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743B33">
      <w:pPr>
        <w:tabs>
          <w:tab w:val="left" w:pos="2100"/>
        </w:tabs>
        <w:rPr>
          <w:rFonts w:hint="eastAsia" w:eastAsia="仿宋_GB2312"/>
          <w:color w:val="auto"/>
          <w:sz w:val="36"/>
          <w:szCs w:val="36"/>
          <w:highlight w:val="none"/>
          <w:lang w:val="en-US" w:eastAsia="zh-CN"/>
        </w:rPr>
      </w:pPr>
    </w:p>
    <w:p w14:paraId="18064A4E">
      <w:pPr>
        <w:rPr>
          <w:rFonts w:eastAsia="仿宋_GB2312"/>
          <w:color w:val="auto"/>
          <w:sz w:val="36"/>
          <w:szCs w:val="36"/>
          <w:highlight w:val="none"/>
        </w:rPr>
      </w:pPr>
    </w:p>
    <w:p w14:paraId="702B83CB">
      <w:pPr>
        <w:rPr>
          <w:rFonts w:eastAsia="仿宋_GB2312"/>
          <w:color w:val="auto"/>
          <w:sz w:val="36"/>
          <w:szCs w:val="36"/>
          <w:highlight w:val="none"/>
        </w:rPr>
      </w:pPr>
    </w:p>
    <w:p w14:paraId="02BF3949">
      <w:pPr>
        <w:rPr>
          <w:rFonts w:eastAsia="仿宋_GB2312"/>
          <w:color w:val="auto"/>
          <w:sz w:val="36"/>
          <w:szCs w:val="36"/>
          <w:highlight w:val="none"/>
        </w:rPr>
      </w:pPr>
    </w:p>
    <w:p w14:paraId="667F5E03">
      <w:pPr>
        <w:rPr>
          <w:rFonts w:eastAsia="仿宋_GB2312"/>
          <w:color w:val="auto"/>
          <w:sz w:val="36"/>
          <w:szCs w:val="36"/>
          <w:highlight w:val="none"/>
        </w:rPr>
      </w:pPr>
    </w:p>
    <w:p w14:paraId="3C417941">
      <w:pPr>
        <w:adjustRightInd w:val="0"/>
        <w:snapToGrid w:val="0"/>
        <w:jc w:val="center"/>
        <w:outlineLvl w:val="0"/>
        <w:rPr>
          <w:rFonts w:eastAsia="方正小标宋_GBK"/>
          <w:bCs/>
          <w:color w:val="auto"/>
          <w:sz w:val="72"/>
          <w:szCs w:val="72"/>
          <w:highlight w:val="none"/>
        </w:rPr>
      </w:pPr>
      <w:bookmarkStart w:id="0" w:name="_Toc15861"/>
      <w:r>
        <w:rPr>
          <w:rFonts w:eastAsia="方正小标宋_GBK"/>
          <w:bCs/>
          <w:color w:val="auto"/>
          <w:sz w:val="72"/>
          <w:szCs w:val="72"/>
          <w:highlight w:val="none"/>
        </w:rPr>
        <w:t>建设项目环境影响报告表</w:t>
      </w:r>
      <w:bookmarkEnd w:id="0"/>
    </w:p>
    <w:p w14:paraId="57AC5218">
      <w:pPr>
        <w:adjustRightInd w:val="0"/>
        <w:snapToGrid w:val="0"/>
        <w:spacing w:before="192" w:beforeLines="80"/>
        <w:jc w:val="center"/>
        <w:rPr>
          <w:rFonts w:eastAsia="楷体_GB2312"/>
          <w:bCs/>
          <w:color w:val="auto"/>
          <w:sz w:val="48"/>
          <w:szCs w:val="48"/>
          <w:highlight w:val="none"/>
        </w:rPr>
      </w:pPr>
      <w:r>
        <w:rPr>
          <w:rFonts w:eastAsia="楷体_GB2312"/>
          <w:bCs/>
          <w:color w:val="auto"/>
          <w:sz w:val="48"/>
          <w:szCs w:val="48"/>
          <w:highlight w:val="none"/>
        </w:rPr>
        <w:t>（污染影响类）</w:t>
      </w:r>
    </w:p>
    <w:p w14:paraId="1D619A73">
      <w:pPr>
        <w:bidi w:val="0"/>
        <w:rPr>
          <w:color w:val="auto"/>
          <w:highlight w:val="none"/>
        </w:rPr>
      </w:pPr>
    </w:p>
    <w:p w14:paraId="21BC854C">
      <w:pPr>
        <w:jc w:val="center"/>
        <w:rPr>
          <w:rFonts w:eastAsia="仿宋"/>
          <w:color w:val="auto"/>
          <w:sz w:val="52"/>
          <w:szCs w:val="52"/>
          <w:highlight w:val="none"/>
        </w:rPr>
      </w:pPr>
    </w:p>
    <w:p w14:paraId="5CFF7A1A">
      <w:pPr>
        <w:ind w:firstLine="1040"/>
        <w:rPr>
          <w:rFonts w:eastAsia="仿宋"/>
          <w:color w:val="auto"/>
          <w:sz w:val="44"/>
          <w:szCs w:val="44"/>
          <w:highlight w:val="none"/>
        </w:rPr>
      </w:pPr>
    </w:p>
    <w:p w14:paraId="0A165694">
      <w:pPr>
        <w:ind w:firstLine="1040"/>
        <w:rPr>
          <w:rFonts w:eastAsia="仿宋"/>
          <w:color w:val="auto"/>
          <w:sz w:val="44"/>
          <w:szCs w:val="44"/>
          <w:highlight w:val="none"/>
        </w:rPr>
      </w:pPr>
    </w:p>
    <w:p w14:paraId="050180F1">
      <w:pPr>
        <w:ind w:firstLine="1040"/>
        <w:rPr>
          <w:rFonts w:eastAsia="仿宋"/>
          <w:color w:val="auto"/>
          <w:sz w:val="44"/>
          <w:szCs w:val="44"/>
          <w:highlight w:val="none"/>
        </w:rPr>
      </w:pPr>
    </w:p>
    <w:p w14:paraId="3D06D7C5">
      <w:pPr>
        <w:ind w:firstLine="1040"/>
        <w:rPr>
          <w:rFonts w:eastAsia="仿宋"/>
          <w:color w:val="auto"/>
          <w:sz w:val="44"/>
          <w:szCs w:val="44"/>
          <w:highlight w:val="none"/>
        </w:rPr>
      </w:pPr>
    </w:p>
    <w:p w14:paraId="53271C3B">
      <w:pPr>
        <w:adjustRightInd w:val="0"/>
        <w:snapToGrid w:val="0"/>
        <w:spacing w:line="288" w:lineRule="auto"/>
        <w:ind w:firstLine="1040"/>
        <w:rPr>
          <w:rFonts w:hint="eastAsia" w:eastAsia="仿宋_GB2312"/>
          <w:color w:val="auto"/>
          <w:spacing w:val="-20"/>
          <w:sz w:val="36"/>
          <w:szCs w:val="36"/>
          <w:highlight w:val="none"/>
          <w:u w:val="single"/>
          <w:lang w:eastAsia="zh-CN"/>
        </w:rPr>
      </w:pPr>
      <w:r>
        <w:rPr>
          <w:rFonts w:eastAsia="仿宋_GB2312"/>
          <w:color w:val="auto"/>
          <w:sz w:val="36"/>
          <w:szCs w:val="36"/>
          <w:highlight w:val="none"/>
        </w:rPr>
        <w:t>项目名称：</w:t>
      </w:r>
      <w:r>
        <w:rPr>
          <w:rFonts w:hint="eastAsia" w:eastAsia="仿宋_GB2312"/>
          <w:color w:val="auto"/>
          <w:spacing w:val="-20"/>
          <w:sz w:val="36"/>
          <w:szCs w:val="36"/>
          <w:highlight w:val="none"/>
          <w:u w:val="single"/>
          <w:lang w:eastAsia="zh-CN"/>
        </w:rPr>
        <w:t>年产量2万套塑料坐具、20000立方米泡沫</w:t>
      </w:r>
    </w:p>
    <w:p w14:paraId="794617EE">
      <w:pPr>
        <w:adjustRightInd w:val="0"/>
        <w:snapToGrid w:val="0"/>
        <w:spacing w:line="288" w:lineRule="auto"/>
        <w:ind w:firstLine="2860" w:firstLineChars="894"/>
        <w:rPr>
          <w:rFonts w:hint="default" w:eastAsia="仿宋_GB2312"/>
          <w:color w:val="auto"/>
          <w:sz w:val="36"/>
          <w:szCs w:val="36"/>
          <w:highlight w:val="none"/>
          <w:u w:val="single"/>
          <w:lang w:val="en-US" w:eastAsia="zh-CN"/>
        </w:rPr>
      </w:pPr>
      <w:r>
        <w:rPr>
          <w:rFonts w:hint="eastAsia" w:eastAsia="仿宋_GB2312"/>
          <w:color w:val="auto"/>
          <w:spacing w:val="-20"/>
          <w:sz w:val="36"/>
          <w:szCs w:val="36"/>
          <w:highlight w:val="none"/>
          <w:u w:val="single"/>
          <w:lang w:eastAsia="zh-CN"/>
        </w:rPr>
        <w:t>板及包装项目</w:t>
      </w:r>
      <w:r>
        <w:rPr>
          <w:rFonts w:hint="eastAsia" w:eastAsia="仿宋_GB2312"/>
          <w:color w:val="auto"/>
          <w:spacing w:val="-20"/>
          <w:sz w:val="36"/>
          <w:szCs w:val="36"/>
          <w:highlight w:val="none"/>
          <w:u w:val="single"/>
          <w:lang w:val="en-US" w:eastAsia="zh-CN"/>
        </w:rPr>
        <w:t xml:space="preserve"> </w:t>
      </w:r>
    </w:p>
    <w:p w14:paraId="52127388">
      <w:pPr>
        <w:adjustRightInd w:val="0"/>
        <w:snapToGrid w:val="0"/>
        <w:spacing w:line="288" w:lineRule="auto"/>
        <w:ind w:firstLine="1040"/>
        <w:rPr>
          <w:rFonts w:hint="eastAsia" w:eastAsia="仿宋_GB2312"/>
          <w:color w:val="auto"/>
          <w:sz w:val="36"/>
          <w:szCs w:val="36"/>
          <w:highlight w:val="none"/>
          <w:u w:val="single"/>
          <w:lang w:eastAsia="zh-CN"/>
        </w:rPr>
      </w:pPr>
      <w:r>
        <w:rPr>
          <w:rFonts w:eastAsia="仿宋_GB2312"/>
          <w:color w:val="auto"/>
          <w:sz w:val="36"/>
          <w:szCs w:val="36"/>
          <w:highlight w:val="none"/>
        </w:rPr>
        <w:t>建设单位（盖章）：</w:t>
      </w:r>
      <w:r>
        <w:rPr>
          <w:rFonts w:hint="eastAsia" w:eastAsia="仿宋_GB2312"/>
          <w:color w:val="auto"/>
          <w:sz w:val="36"/>
          <w:szCs w:val="36"/>
          <w:highlight w:val="none"/>
          <w:u w:val="single"/>
          <w:lang w:eastAsia="zh-CN"/>
        </w:rPr>
        <w:t>石家庄迎宏塑料制品有限公司</w:t>
      </w:r>
    </w:p>
    <w:p w14:paraId="2570B636">
      <w:pPr>
        <w:adjustRightInd w:val="0"/>
        <w:snapToGrid w:val="0"/>
        <w:spacing w:line="288" w:lineRule="auto"/>
        <w:ind w:firstLine="1040"/>
        <w:rPr>
          <w:rFonts w:hint="eastAsia" w:eastAsia="仿宋_GB2312"/>
          <w:color w:val="auto"/>
          <w:sz w:val="36"/>
          <w:szCs w:val="36"/>
          <w:highlight w:val="none"/>
          <w:u w:val="single"/>
        </w:rPr>
      </w:pPr>
      <w:r>
        <w:rPr>
          <w:rFonts w:eastAsia="仿宋_GB2312"/>
          <w:color w:val="auto"/>
          <w:sz w:val="36"/>
          <w:szCs w:val="36"/>
          <w:highlight w:val="none"/>
        </w:rPr>
        <w:t>编制日期：</w:t>
      </w:r>
      <w:r>
        <w:rPr>
          <w:rFonts w:eastAsia="仿宋_GB2312"/>
          <w:color w:val="auto"/>
          <w:sz w:val="36"/>
          <w:szCs w:val="36"/>
          <w:highlight w:val="none"/>
          <w:u w:val="single"/>
        </w:rPr>
        <w:t xml:space="preserve">          202</w:t>
      </w:r>
      <w:r>
        <w:rPr>
          <w:rFonts w:hint="eastAsia" w:eastAsia="仿宋_GB2312"/>
          <w:color w:val="auto"/>
          <w:sz w:val="36"/>
          <w:szCs w:val="36"/>
          <w:highlight w:val="none"/>
          <w:u w:val="single"/>
          <w:lang w:val="en-US" w:eastAsia="zh-CN"/>
        </w:rPr>
        <w:t>6</w:t>
      </w:r>
      <w:r>
        <w:rPr>
          <w:rFonts w:eastAsia="仿宋_GB2312"/>
          <w:color w:val="auto"/>
          <w:sz w:val="36"/>
          <w:szCs w:val="36"/>
          <w:highlight w:val="none"/>
          <w:u w:val="single"/>
        </w:rPr>
        <w:t>年</w:t>
      </w:r>
      <w:r>
        <w:rPr>
          <w:rFonts w:hint="eastAsia" w:eastAsia="仿宋_GB2312"/>
          <w:color w:val="auto"/>
          <w:sz w:val="36"/>
          <w:szCs w:val="36"/>
          <w:highlight w:val="none"/>
          <w:u w:val="single"/>
          <w:lang w:val="en-US" w:eastAsia="zh-CN"/>
        </w:rPr>
        <w:t>4</w:t>
      </w:r>
      <w:r>
        <w:rPr>
          <w:rFonts w:eastAsia="仿宋_GB2312"/>
          <w:color w:val="auto"/>
          <w:sz w:val="36"/>
          <w:szCs w:val="36"/>
          <w:highlight w:val="none"/>
          <w:u w:val="single"/>
        </w:rPr>
        <w:t xml:space="preserve">月         </w:t>
      </w:r>
      <w:r>
        <w:rPr>
          <w:rFonts w:hint="eastAsia" w:eastAsia="仿宋_GB2312"/>
          <w:color w:val="auto"/>
          <w:sz w:val="36"/>
          <w:szCs w:val="36"/>
          <w:highlight w:val="none"/>
          <w:u w:val="single"/>
        </w:rPr>
        <w:t xml:space="preserve"> </w:t>
      </w:r>
    </w:p>
    <w:p w14:paraId="5FCCD41F">
      <w:pPr>
        <w:adjustRightInd w:val="0"/>
        <w:snapToGrid w:val="0"/>
        <w:spacing w:line="288" w:lineRule="auto"/>
        <w:ind w:firstLine="1040"/>
        <w:rPr>
          <w:rFonts w:eastAsia="仿宋_GB2312"/>
          <w:color w:val="auto"/>
          <w:sz w:val="36"/>
          <w:szCs w:val="36"/>
          <w:highlight w:val="none"/>
          <w:u w:val="single"/>
        </w:rPr>
      </w:pPr>
      <w:bookmarkStart w:id="1" w:name="_Hlk57884087"/>
    </w:p>
    <w:p w14:paraId="2DF7FCA8">
      <w:pPr>
        <w:adjustRightInd w:val="0"/>
        <w:snapToGrid w:val="0"/>
        <w:spacing w:line="288" w:lineRule="auto"/>
        <w:ind w:firstLine="1040"/>
        <w:rPr>
          <w:rFonts w:eastAsia="仿宋_GB2312"/>
          <w:color w:val="auto"/>
          <w:sz w:val="36"/>
          <w:szCs w:val="36"/>
          <w:highlight w:val="none"/>
        </w:rPr>
      </w:pPr>
    </w:p>
    <w:p w14:paraId="285A8168">
      <w:pPr>
        <w:adjustRightInd w:val="0"/>
        <w:snapToGrid w:val="0"/>
        <w:spacing w:line="288" w:lineRule="auto"/>
        <w:rPr>
          <w:rFonts w:eastAsia="仿宋_GB2312"/>
          <w:color w:val="auto"/>
          <w:sz w:val="36"/>
          <w:szCs w:val="36"/>
          <w:highlight w:val="none"/>
        </w:rPr>
      </w:pPr>
    </w:p>
    <w:p w14:paraId="05FD91DD">
      <w:pPr>
        <w:adjustRightInd w:val="0"/>
        <w:snapToGrid w:val="0"/>
        <w:spacing w:line="288" w:lineRule="auto"/>
        <w:ind w:firstLine="1040"/>
        <w:rPr>
          <w:rFonts w:eastAsia="仿宋_GB2312"/>
          <w:color w:val="auto"/>
          <w:sz w:val="36"/>
          <w:szCs w:val="36"/>
          <w:highlight w:val="none"/>
        </w:rPr>
      </w:pPr>
    </w:p>
    <w:bookmarkEnd w:id="1"/>
    <w:p w14:paraId="6B246F6B">
      <w:pPr>
        <w:adjustRightInd w:val="0"/>
        <w:snapToGrid w:val="0"/>
        <w:spacing w:line="288" w:lineRule="auto"/>
        <w:jc w:val="center"/>
        <w:rPr>
          <w:rFonts w:eastAsia="仿宋_GB2312"/>
          <w:color w:val="auto"/>
          <w:sz w:val="36"/>
          <w:szCs w:val="36"/>
          <w:highlight w:val="none"/>
        </w:rPr>
        <w:sectPr>
          <w:headerReference r:id="rId3" w:type="default"/>
          <w:footerReference r:id="rId4" w:type="default"/>
          <w:footerReference r:id="rId5" w:type="even"/>
          <w:pgSz w:w="11906" w:h="16838"/>
          <w:pgMar w:top="1701" w:right="1531" w:bottom="1701" w:left="1531" w:header="850" w:footer="1077" w:gutter="0"/>
          <w:pgBorders>
            <w:top w:val="none" w:sz="0" w:space="0"/>
            <w:left w:val="none" w:sz="0" w:space="0"/>
            <w:bottom w:val="none" w:sz="0" w:space="0"/>
            <w:right w:val="none" w:sz="0" w:space="0"/>
          </w:pgBorders>
          <w:pgNumType w:start="3"/>
          <w:cols w:space="720" w:num="1"/>
          <w:docGrid w:linePitch="312" w:charSpace="0"/>
        </w:sectPr>
      </w:pPr>
      <w:r>
        <w:rPr>
          <w:rFonts w:eastAsia="楷体_GB2312"/>
          <w:color w:val="auto"/>
          <w:sz w:val="36"/>
          <w:szCs w:val="36"/>
          <w:highlight w:val="none"/>
        </w:rPr>
        <w:t>中华人民共和国生态环境部制</w:t>
      </w:r>
    </w:p>
    <w:p w14:paraId="5B302FEA">
      <w:pPr>
        <w:keepNext w:val="0"/>
        <w:keepLines w:val="0"/>
        <w:pageBreakBefore w:val="0"/>
        <w:kinsoku/>
        <w:wordWrap/>
        <w:overflowPunct/>
        <w:topLinePunct w:val="0"/>
        <w:autoSpaceDE/>
        <w:autoSpaceDN/>
        <w:bidi w:val="0"/>
        <w:adjustRightInd/>
        <w:snapToGrid/>
        <w:spacing w:before="0" w:after="0" w:line="400" w:lineRule="exact"/>
        <w:ind w:left="0" w:leftChars="0" w:right="0" w:rightChars="0" w:firstLine="0" w:firstLineChars="0"/>
        <w:jc w:val="both"/>
        <w:textAlignment w:val="auto"/>
        <w:rPr>
          <w:rFonts w:hint="default" w:ascii="Times New Roman" w:hAnsi="Times New Roman" w:eastAsia="宋体" w:cs="Times New Roman"/>
          <w:color w:val="auto"/>
          <w:sz w:val="24"/>
          <w:szCs w:val="24"/>
          <w:highlight w:val="none"/>
        </w:rPr>
        <w:sectPr>
          <w:footerReference r:id="rId6" w:type="default"/>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p>
    <w:p w14:paraId="327C7C97">
      <w:pPr>
        <w:keepNext w:val="0"/>
        <w:keepLines w:val="0"/>
        <w:pageBreakBefore w:val="0"/>
        <w:kinsoku/>
        <w:wordWrap/>
        <w:overflowPunct/>
        <w:topLinePunct w:val="0"/>
        <w:autoSpaceDE/>
        <w:autoSpaceDN/>
        <w:bidi w:val="0"/>
        <w:adjustRightInd/>
        <w:snapToGrid/>
        <w:spacing w:before="0" w:after="0" w:line="400" w:lineRule="exact"/>
        <w:ind w:left="0" w:leftChars="0" w:right="0" w:rightChars="0" w:firstLine="0" w:firstLineChars="0"/>
        <w:jc w:val="center"/>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sz w:val="24"/>
          <w:szCs w:val="24"/>
          <w:highlight w:val="none"/>
        </w:rPr>
        <w:t>目录</w:t>
      </w:r>
    </w:p>
    <w:p w14:paraId="0067843C">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TOC \o "1-1" \h \u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_Toc8951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一、建设项目基本情况</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_Toc8951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1</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733ED935">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_Toc20495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二、建设项目工程分析</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_Toc20495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26</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16E7994D">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_Toc7385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三、区域环境质量现状、环境保护目标及评价标准</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_Toc7385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38</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665597D6">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_Toc16631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四、主要环境影响和保护措施</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_Toc16631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44</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2E71E951">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_Toc24863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lang w:val="en-US" w:eastAsia="zh-CN"/>
        </w:rPr>
        <w:t>五、</w:t>
      </w:r>
      <w:r>
        <w:rPr>
          <w:rFonts w:hint="default" w:ascii="Times New Roman" w:hAnsi="Times New Roman" w:eastAsia="宋体" w:cs="Times New Roman"/>
          <w:color w:val="auto"/>
          <w:sz w:val="24"/>
          <w:szCs w:val="24"/>
          <w:highlight w:val="none"/>
        </w:rPr>
        <w:t>环境保护措施监督检查清单</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_Toc24863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66</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78162AC3">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_Toc5970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六、结论</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_Toc5970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69</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22634FE4">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_Toc15395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附表</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_Toc15395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70</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2190B621">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end"/>
      </w:r>
    </w:p>
    <w:p w14:paraId="578949C3">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p>
    <w:p w14:paraId="58C473E0">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p>
    <w:p w14:paraId="008B5CDC">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p>
    <w:p w14:paraId="2AEFFE54">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附图：</w:t>
      </w:r>
    </w:p>
    <w:p w14:paraId="7EFE2B15">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附图1：项目地理位置图</w:t>
      </w:r>
    </w:p>
    <w:p w14:paraId="7DA6139E">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附图2：项目周边关系</w:t>
      </w:r>
      <w:r>
        <w:rPr>
          <w:rFonts w:hint="eastAsia" w:cs="Times New Roman"/>
          <w:color w:val="auto"/>
          <w:sz w:val="24"/>
          <w:szCs w:val="24"/>
          <w:highlight w:val="none"/>
          <w:lang w:val="en-US" w:eastAsia="zh-CN"/>
        </w:rPr>
        <w:t>与保护目标分布</w:t>
      </w:r>
      <w:r>
        <w:rPr>
          <w:rFonts w:hint="default" w:ascii="Times New Roman" w:hAnsi="Times New Roman" w:eastAsia="宋体" w:cs="Times New Roman"/>
          <w:color w:val="auto"/>
          <w:sz w:val="24"/>
          <w:szCs w:val="24"/>
          <w:highlight w:val="none"/>
        </w:rPr>
        <w:t>图</w:t>
      </w:r>
    </w:p>
    <w:p w14:paraId="15B7E888">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附图3：平面布置</w:t>
      </w:r>
      <w:r>
        <w:rPr>
          <w:rFonts w:hint="eastAsia" w:cs="Times New Roman"/>
          <w:color w:val="auto"/>
          <w:sz w:val="24"/>
          <w:szCs w:val="24"/>
          <w:highlight w:val="none"/>
          <w:lang w:val="en-US" w:eastAsia="zh-CN"/>
        </w:rPr>
        <w:t>及分区防渗</w:t>
      </w:r>
      <w:r>
        <w:rPr>
          <w:rFonts w:hint="default" w:ascii="Times New Roman" w:hAnsi="Times New Roman" w:eastAsia="宋体" w:cs="Times New Roman"/>
          <w:color w:val="auto"/>
          <w:sz w:val="24"/>
          <w:szCs w:val="24"/>
          <w:highlight w:val="none"/>
        </w:rPr>
        <w:t>图</w:t>
      </w:r>
    </w:p>
    <w:p w14:paraId="0D9C87D2">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附图4：</w:t>
      </w:r>
      <w:r>
        <w:rPr>
          <w:rFonts w:hint="eastAsia" w:cs="Times New Roman"/>
          <w:color w:val="auto"/>
          <w:sz w:val="24"/>
          <w:szCs w:val="24"/>
          <w:highlight w:val="none"/>
          <w:lang w:val="en-US" w:eastAsia="zh-CN"/>
        </w:rPr>
        <w:t>环境质量现状监测图</w:t>
      </w:r>
    </w:p>
    <w:p w14:paraId="3F6AF6F7">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eastAsia"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附图5：</w:t>
      </w:r>
      <w:r>
        <w:rPr>
          <w:rFonts w:hint="eastAsia" w:cs="Times New Roman"/>
          <w:color w:val="auto"/>
          <w:sz w:val="24"/>
          <w:szCs w:val="24"/>
          <w:highlight w:val="none"/>
          <w:lang w:val="en-US" w:eastAsia="zh-CN"/>
        </w:rPr>
        <w:t>项目与生态红线位置关系图</w:t>
      </w:r>
    </w:p>
    <w:p w14:paraId="297C12D1">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eastAsia"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附图</w:t>
      </w:r>
      <w:r>
        <w:rPr>
          <w:rFonts w:hint="eastAsia"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项目与环境管控单元位置关系图</w:t>
      </w:r>
    </w:p>
    <w:p w14:paraId="4DFBA885">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附图</w:t>
      </w:r>
      <w:r>
        <w:rPr>
          <w:rFonts w:hint="eastAsia" w:cs="Times New Roman"/>
          <w:color w:val="auto"/>
          <w:sz w:val="24"/>
          <w:szCs w:val="24"/>
          <w:highlight w:val="none"/>
          <w:lang w:val="en-US" w:eastAsia="zh-CN"/>
        </w:rPr>
        <w:t>7</w:t>
      </w:r>
      <w:r>
        <w:rPr>
          <w:rFonts w:hint="eastAsia" w:ascii="Times New Roman" w:hAnsi="Times New Roman" w:eastAsia="宋体" w:cs="Times New Roman"/>
          <w:color w:val="auto"/>
          <w:sz w:val="24"/>
          <w:szCs w:val="24"/>
          <w:highlight w:val="none"/>
          <w:lang w:val="en-US" w:eastAsia="zh-CN"/>
        </w:rPr>
        <w:t>：</w:t>
      </w:r>
      <w:r>
        <w:rPr>
          <w:rFonts w:hint="eastAsia" w:ascii="Times New Roman" w:hAnsi="Times New Roman" w:eastAsia="宋体" w:cs="Times New Roman"/>
          <w:color w:val="auto"/>
          <w:kern w:val="0"/>
          <w:sz w:val="24"/>
          <w:szCs w:val="24"/>
          <w:highlight w:val="none"/>
          <w:lang w:val="en-US" w:eastAsia="zh-CN"/>
        </w:rPr>
        <w:t>项目</w:t>
      </w:r>
      <w:r>
        <w:rPr>
          <w:rFonts w:hint="eastAsia" w:eastAsia="宋体" w:cs="Times New Roman"/>
          <w:color w:val="auto"/>
          <w:kern w:val="0"/>
          <w:sz w:val="24"/>
          <w:szCs w:val="24"/>
          <w:highlight w:val="none"/>
          <w:lang w:val="en-US" w:eastAsia="zh-CN"/>
        </w:rPr>
        <w:t>不属于河北省沙化土地图</w:t>
      </w:r>
    </w:p>
    <w:p w14:paraId="5AD66413">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r>
        <w:rPr>
          <w:rFonts w:hint="eastAsia" w:cs="Times New Roman"/>
          <w:color w:val="auto"/>
          <w:sz w:val="24"/>
          <w:szCs w:val="24"/>
          <w:highlight w:val="none"/>
          <w:lang w:val="en-US" w:eastAsia="zh-CN"/>
        </w:rPr>
        <w:t>附图8：</w:t>
      </w:r>
      <w:r>
        <w:rPr>
          <w:rFonts w:hint="eastAsia" w:ascii="Times New Roman" w:hAnsi="Times New Roman" w:eastAsia="宋体" w:cs="Times New Roman"/>
          <w:color w:val="auto"/>
          <w:sz w:val="24"/>
          <w:szCs w:val="24"/>
          <w:highlight w:val="none"/>
          <w:lang w:eastAsia="zh-CN"/>
        </w:rPr>
        <w:t>河北行唐经济开发区</w:t>
      </w:r>
      <w:r>
        <w:rPr>
          <w:rFonts w:hint="eastAsia" w:cs="Times New Roman"/>
          <w:color w:val="auto"/>
          <w:sz w:val="24"/>
          <w:szCs w:val="24"/>
          <w:highlight w:val="none"/>
          <w:lang w:eastAsia="zh-CN"/>
        </w:rPr>
        <w:t>（</w:t>
      </w:r>
      <w:r>
        <w:rPr>
          <w:rFonts w:hint="eastAsia" w:ascii="Times New Roman" w:hAnsi="Times New Roman" w:eastAsia="宋体" w:cs="Times New Roman"/>
          <w:color w:val="auto"/>
          <w:sz w:val="24"/>
          <w:szCs w:val="24"/>
          <w:highlight w:val="none"/>
          <w:lang w:eastAsia="zh-CN"/>
        </w:rPr>
        <w:t>南区</w:t>
      </w:r>
      <w:r>
        <w:rPr>
          <w:rFonts w:hint="eastAsia" w:cs="Times New Roman"/>
          <w:color w:val="auto"/>
          <w:sz w:val="24"/>
          <w:szCs w:val="24"/>
          <w:highlight w:val="none"/>
          <w:lang w:eastAsia="zh-CN"/>
        </w:rPr>
        <w:t>）</w:t>
      </w:r>
      <w:r>
        <w:rPr>
          <w:rFonts w:hint="eastAsia" w:ascii="Times New Roman" w:hAnsi="Times New Roman" w:eastAsia="宋体" w:cs="Times New Roman"/>
          <w:color w:val="auto"/>
          <w:sz w:val="24"/>
          <w:szCs w:val="24"/>
          <w:highlight w:val="none"/>
          <w:lang w:eastAsia="zh-CN"/>
        </w:rPr>
        <w:t>用地布局规划图</w:t>
      </w:r>
    </w:p>
    <w:p w14:paraId="5CBB8DD4">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eastAsia" w:ascii="Times New Roman" w:hAnsi="Times New Roman" w:eastAsia="宋体" w:cs="Times New Roman"/>
          <w:b/>
          <w:bCs/>
          <w:color w:val="auto"/>
          <w:sz w:val="28"/>
          <w:szCs w:val="28"/>
          <w:highlight w:val="none"/>
          <w:lang w:eastAsia="zh-CN"/>
        </w:rPr>
      </w:pPr>
      <w:r>
        <w:rPr>
          <w:rFonts w:hint="eastAsia" w:ascii="Times New Roman" w:hAnsi="Times New Roman" w:eastAsia="宋体" w:cs="Times New Roman"/>
          <w:color w:val="auto"/>
          <w:kern w:val="0"/>
          <w:sz w:val="24"/>
          <w:szCs w:val="24"/>
          <w:highlight w:val="none"/>
          <w:lang w:val="en-US" w:eastAsia="zh-CN"/>
        </w:rPr>
        <w:t>附图</w:t>
      </w:r>
      <w:r>
        <w:rPr>
          <w:rFonts w:hint="eastAsia" w:cs="Times New Roman"/>
          <w:color w:val="auto"/>
          <w:kern w:val="0"/>
          <w:sz w:val="24"/>
          <w:szCs w:val="24"/>
          <w:highlight w:val="none"/>
          <w:lang w:val="en-US" w:eastAsia="zh-CN"/>
        </w:rPr>
        <w:t>9：</w:t>
      </w:r>
      <w:r>
        <w:rPr>
          <w:rFonts w:hint="eastAsia" w:ascii="Times New Roman" w:hAnsi="Times New Roman" w:eastAsia="宋体" w:cs="Times New Roman"/>
          <w:color w:val="auto"/>
          <w:sz w:val="24"/>
          <w:szCs w:val="24"/>
          <w:highlight w:val="none"/>
          <w:lang w:val="en-US" w:eastAsia="zh-CN"/>
        </w:rPr>
        <w:t>河北行唐经济开发区</w:t>
      </w:r>
      <w:r>
        <w:rPr>
          <w:rFonts w:hint="eastAsia" w:cs="Times New Roman"/>
          <w:color w:val="auto"/>
          <w:sz w:val="24"/>
          <w:szCs w:val="24"/>
          <w:highlight w:val="none"/>
          <w:lang w:val="en-US" w:eastAsia="zh-CN"/>
        </w:rPr>
        <w:t>（</w:t>
      </w:r>
      <w:r>
        <w:rPr>
          <w:rFonts w:hint="eastAsia" w:ascii="Times New Roman" w:hAnsi="Times New Roman" w:eastAsia="宋体" w:cs="Times New Roman"/>
          <w:color w:val="auto"/>
          <w:sz w:val="24"/>
          <w:szCs w:val="24"/>
          <w:highlight w:val="none"/>
          <w:lang w:val="en-US" w:eastAsia="zh-CN"/>
        </w:rPr>
        <w:t>南区</w:t>
      </w:r>
      <w:r>
        <w:rPr>
          <w:rFonts w:hint="eastAsia" w:cs="Times New Roman"/>
          <w:color w:val="auto"/>
          <w:sz w:val="24"/>
          <w:szCs w:val="24"/>
          <w:highlight w:val="none"/>
          <w:lang w:val="en-US" w:eastAsia="zh-CN"/>
        </w:rPr>
        <w:t>）</w:t>
      </w:r>
      <w:r>
        <w:rPr>
          <w:rFonts w:hint="eastAsia" w:ascii="Times New Roman" w:hAnsi="Times New Roman" w:eastAsia="宋体" w:cs="Times New Roman"/>
          <w:color w:val="auto"/>
          <w:sz w:val="24"/>
          <w:szCs w:val="24"/>
          <w:highlight w:val="none"/>
          <w:lang w:val="en-US" w:eastAsia="zh-CN"/>
        </w:rPr>
        <w:t>产业布局规划图</w:t>
      </w:r>
    </w:p>
    <w:p w14:paraId="1469BE4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auto"/>
        <w:rPr>
          <w:rFonts w:hint="default" w:ascii="Times New Roman" w:hAnsi="Times New Roman" w:eastAsia="宋体" w:cs="Times New Roman"/>
          <w:color w:val="auto"/>
          <w:sz w:val="24"/>
          <w:szCs w:val="24"/>
          <w:highlight w:val="none"/>
        </w:rPr>
      </w:pPr>
    </w:p>
    <w:p w14:paraId="0A178764">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p>
    <w:p w14:paraId="341DFAF2">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附件：</w:t>
      </w:r>
    </w:p>
    <w:p w14:paraId="125A2705">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eastAsia"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附件1：</w:t>
      </w:r>
      <w:r>
        <w:rPr>
          <w:rFonts w:hint="eastAsia" w:ascii="Times New Roman" w:hAnsi="Times New Roman" w:eastAsia="宋体" w:cs="Times New Roman"/>
          <w:color w:val="auto"/>
          <w:sz w:val="24"/>
          <w:szCs w:val="24"/>
          <w:highlight w:val="none"/>
          <w:lang w:val="en-US" w:eastAsia="zh-CN"/>
        </w:rPr>
        <w:t>企业投资项目备案信息</w:t>
      </w:r>
    </w:p>
    <w:p w14:paraId="2F548A8F">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附件2：</w:t>
      </w:r>
      <w:r>
        <w:rPr>
          <w:rFonts w:hint="eastAsia" w:cs="Times New Roman"/>
          <w:color w:val="auto"/>
          <w:sz w:val="24"/>
          <w:szCs w:val="24"/>
          <w:highlight w:val="none"/>
          <w:lang w:val="en-US" w:eastAsia="zh-CN"/>
        </w:rPr>
        <w:t>租赁协议</w:t>
      </w:r>
    </w:p>
    <w:p w14:paraId="13A822D8">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附件3：</w:t>
      </w:r>
      <w:r>
        <w:rPr>
          <w:rFonts w:hint="eastAsia" w:cs="Times New Roman"/>
          <w:color w:val="auto"/>
          <w:sz w:val="24"/>
          <w:szCs w:val="24"/>
          <w:highlight w:val="none"/>
          <w:lang w:val="en-US" w:eastAsia="zh-CN"/>
        </w:rPr>
        <w:t>入园证明</w:t>
      </w:r>
    </w:p>
    <w:p w14:paraId="10540C3D">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附件4：</w:t>
      </w:r>
      <w:r>
        <w:rPr>
          <w:rFonts w:hint="eastAsia" w:cs="Times New Roman"/>
          <w:color w:val="auto"/>
          <w:sz w:val="24"/>
          <w:szCs w:val="24"/>
          <w:highlight w:val="none"/>
          <w:lang w:val="en-US" w:eastAsia="zh-CN"/>
        </w:rPr>
        <w:t>河北行唐经济开发区控制性详细规划环境影响报告书审查意见</w:t>
      </w:r>
    </w:p>
    <w:p w14:paraId="2EBC169D">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eastAsia"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附件</w:t>
      </w:r>
      <w:r>
        <w:rPr>
          <w:rFonts w:hint="eastAsia" w:cs="Times New Roman"/>
          <w:color w:val="auto"/>
          <w:sz w:val="24"/>
          <w:szCs w:val="24"/>
          <w:highlight w:val="none"/>
          <w:lang w:val="en-US" w:eastAsia="zh-CN"/>
        </w:rPr>
        <w:t>5</w:t>
      </w:r>
      <w:r>
        <w:rPr>
          <w:rFonts w:hint="eastAsia"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现状监测数据</w:t>
      </w:r>
    </w:p>
    <w:p w14:paraId="372BEB8D">
      <w:pPr>
        <w:pStyle w:val="115"/>
        <w:keepNext w:val="0"/>
        <w:keepLines w:val="0"/>
        <w:pageBreakBefore w:val="0"/>
        <w:widowControl/>
        <w:tabs>
          <w:tab w:val="right" w:leader="dot" w:pos="8844"/>
        </w:tabs>
        <w:kinsoku/>
        <w:wordWrap/>
        <w:overflowPunct/>
        <w:topLinePunct w:val="0"/>
        <w:autoSpaceDE/>
        <w:autoSpaceDN/>
        <w:bidi w:val="0"/>
        <w:adjustRightInd/>
        <w:snapToGrid/>
        <w:spacing w:line="400" w:lineRule="exact"/>
        <w:ind w:right="0"/>
        <w:textAlignment w:val="auto"/>
        <w:rPr>
          <w:rFonts w:hint="default" w:cs="Times New Roman"/>
          <w:color w:val="auto"/>
          <w:sz w:val="24"/>
          <w:szCs w:val="24"/>
          <w:highlight w:val="none"/>
          <w:lang w:val="en-US" w:eastAsia="zh-CN"/>
        </w:rPr>
      </w:pPr>
      <w:r>
        <w:rPr>
          <w:rFonts w:hint="eastAsia" w:cs="Times New Roman"/>
          <w:color w:val="auto"/>
          <w:sz w:val="24"/>
          <w:szCs w:val="24"/>
          <w:highlight w:val="none"/>
          <w:lang w:val="en-US" w:eastAsia="zh-CN"/>
        </w:rPr>
        <w:t>附件6：VOCs调剂文件</w:t>
      </w:r>
    </w:p>
    <w:p w14:paraId="2611ABF7">
      <w:pPr>
        <w:pStyle w:val="115"/>
        <w:keepNext w:val="0"/>
        <w:keepLines w:val="0"/>
        <w:pageBreakBefore w:val="0"/>
        <w:widowControl/>
        <w:tabs>
          <w:tab w:val="right" w:leader="dot" w:pos="8844"/>
        </w:tabs>
        <w:kinsoku/>
        <w:wordWrap/>
        <w:overflowPunct/>
        <w:topLinePunct w:val="0"/>
        <w:autoSpaceDE/>
        <w:autoSpaceDN/>
        <w:bidi w:val="0"/>
        <w:adjustRightInd/>
        <w:snapToGrid/>
        <w:spacing w:line="360" w:lineRule="exact"/>
        <w:ind w:right="0"/>
        <w:textAlignment w:val="auto"/>
        <w:rPr>
          <w:rFonts w:hint="eastAsia" w:cs="Times New Roman"/>
          <w:color w:val="auto"/>
          <w:sz w:val="24"/>
          <w:szCs w:val="24"/>
          <w:highlight w:val="none"/>
          <w:lang w:val="en-US" w:eastAsia="zh-CN"/>
        </w:rPr>
      </w:pPr>
    </w:p>
    <w:p w14:paraId="5B068C6E">
      <w:pPr>
        <w:pStyle w:val="115"/>
        <w:keepNext w:val="0"/>
        <w:keepLines w:val="0"/>
        <w:pageBreakBefore w:val="0"/>
        <w:widowControl/>
        <w:tabs>
          <w:tab w:val="right" w:leader="dot" w:pos="8844"/>
        </w:tabs>
        <w:kinsoku/>
        <w:wordWrap/>
        <w:overflowPunct/>
        <w:topLinePunct w:val="0"/>
        <w:autoSpaceDE/>
        <w:autoSpaceDN/>
        <w:bidi w:val="0"/>
        <w:adjustRightInd/>
        <w:snapToGrid/>
        <w:spacing w:line="360" w:lineRule="exact"/>
        <w:ind w:right="0"/>
        <w:textAlignment w:val="auto"/>
        <w:rPr>
          <w:rFonts w:hint="eastAsia" w:cs="Times New Roman"/>
          <w:color w:val="auto"/>
          <w:sz w:val="24"/>
          <w:szCs w:val="24"/>
          <w:highlight w:val="none"/>
          <w:lang w:val="en-US" w:eastAsia="zh-CN"/>
        </w:rPr>
        <w:sectPr>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p>
    <w:p w14:paraId="70E6FCAF">
      <w:pPr>
        <w:pStyle w:val="115"/>
        <w:keepNext w:val="0"/>
        <w:keepLines w:val="0"/>
        <w:pageBreakBefore w:val="0"/>
        <w:widowControl/>
        <w:tabs>
          <w:tab w:val="right" w:leader="dot" w:pos="8844"/>
        </w:tabs>
        <w:kinsoku/>
        <w:wordWrap/>
        <w:overflowPunct/>
        <w:topLinePunct w:val="0"/>
        <w:autoSpaceDE/>
        <w:autoSpaceDN/>
        <w:bidi w:val="0"/>
        <w:adjustRightInd/>
        <w:snapToGrid/>
        <w:spacing w:line="360" w:lineRule="exact"/>
        <w:ind w:right="0"/>
        <w:textAlignment w:val="auto"/>
        <w:rPr>
          <w:rFonts w:hint="eastAsia" w:cs="Times New Roman"/>
          <w:color w:val="auto"/>
          <w:sz w:val="24"/>
          <w:szCs w:val="24"/>
          <w:highlight w:val="none"/>
          <w:lang w:val="en-US" w:eastAsia="zh-CN"/>
        </w:rPr>
      </w:pPr>
    </w:p>
    <w:p w14:paraId="09DEC887">
      <w:pPr>
        <w:pStyle w:val="30"/>
        <w:jc w:val="center"/>
        <w:outlineLvl w:val="0"/>
        <w:rPr>
          <w:rFonts w:ascii="Times New Roman" w:hAnsi="Times New Roman" w:eastAsia="黑体"/>
          <w:snapToGrid w:val="0"/>
          <w:color w:val="auto"/>
          <w:sz w:val="30"/>
          <w:szCs w:val="30"/>
          <w:highlight w:val="none"/>
        </w:rPr>
        <w:sectPr>
          <w:footerReference r:id="rId7" w:type="default"/>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bookmarkStart w:id="2" w:name="_Toc8951"/>
    </w:p>
    <w:p w14:paraId="55F37F86">
      <w:pPr>
        <w:pStyle w:val="30"/>
        <w:keepNext w:val="0"/>
        <w:keepLines w:val="0"/>
        <w:pageBreakBefore w:val="0"/>
        <w:widowControl/>
        <w:kinsoku/>
        <w:wordWrap/>
        <w:overflowPunct/>
        <w:topLinePunct w:val="0"/>
        <w:autoSpaceDE/>
        <w:autoSpaceDN/>
        <w:bidi w:val="0"/>
        <w:adjustRightInd/>
        <w:snapToGrid/>
        <w:jc w:val="center"/>
        <w:textAlignment w:val="auto"/>
        <w:outlineLvl w:val="0"/>
        <w:rPr>
          <w:rFonts w:ascii="Times New Roman" w:hAnsi="Times New Roman" w:eastAsia="黑体"/>
          <w:snapToGrid w:val="0"/>
          <w:color w:val="auto"/>
          <w:sz w:val="30"/>
          <w:szCs w:val="30"/>
          <w:highlight w:val="none"/>
        </w:rPr>
      </w:pPr>
      <w:r>
        <w:rPr>
          <w:rFonts w:ascii="Times New Roman" w:hAnsi="Times New Roman" w:eastAsia="黑体"/>
          <w:snapToGrid w:val="0"/>
          <w:color w:val="auto"/>
          <w:sz w:val="30"/>
          <w:szCs w:val="30"/>
          <w:highlight w:val="none"/>
        </w:rPr>
        <w:t>一、建设项目基本情况</w:t>
      </w:r>
      <w:bookmarkEnd w:id="2"/>
    </w:p>
    <w:tbl>
      <w:tblPr>
        <w:tblStyle w:val="34"/>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053"/>
        <w:gridCol w:w="2023"/>
        <w:gridCol w:w="51"/>
        <w:gridCol w:w="1797"/>
        <w:gridCol w:w="3946"/>
      </w:tblGrid>
      <w:tr w14:paraId="08A05E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46" w:hRule="atLeast"/>
          <w:jc w:val="center"/>
        </w:trPr>
        <w:tc>
          <w:tcPr>
            <w:tcW w:w="1053" w:type="dxa"/>
            <w:noWrap w:val="0"/>
            <w:tcMar>
              <w:top w:w="16" w:type="dxa"/>
              <w:left w:w="16" w:type="dxa"/>
              <w:right w:w="16" w:type="dxa"/>
            </w:tcMar>
            <w:vAlign w:val="center"/>
          </w:tcPr>
          <w:p w14:paraId="2B179115">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建设项目名称</w:t>
            </w:r>
          </w:p>
        </w:tc>
        <w:tc>
          <w:tcPr>
            <w:tcW w:w="7817" w:type="dxa"/>
            <w:gridSpan w:val="4"/>
            <w:noWrap w:val="0"/>
            <w:vAlign w:val="center"/>
          </w:tcPr>
          <w:p w14:paraId="0D295C5E">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rFonts w:hint="eastAsia" w:cs="Times New Roman"/>
                <w:color w:val="auto"/>
                <w:sz w:val="24"/>
                <w:szCs w:val="24"/>
                <w:highlight w:val="none"/>
                <w:lang w:eastAsia="zh-CN"/>
              </w:rPr>
              <w:t>年产量2万套塑料坐具、20000立方米泡沫板及包装项目</w:t>
            </w:r>
          </w:p>
        </w:tc>
      </w:tr>
      <w:tr w14:paraId="5CDA4B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053" w:type="dxa"/>
            <w:noWrap w:val="0"/>
            <w:tcMar>
              <w:top w:w="16" w:type="dxa"/>
              <w:left w:w="16" w:type="dxa"/>
              <w:right w:w="16" w:type="dxa"/>
            </w:tcMar>
            <w:vAlign w:val="center"/>
          </w:tcPr>
          <w:p w14:paraId="2757A15F">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项目代码</w:t>
            </w:r>
          </w:p>
        </w:tc>
        <w:tc>
          <w:tcPr>
            <w:tcW w:w="7817" w:type="dxa"/>
            <w:gridSpan w:val="4"/>
            <w:noWrap w:val="0"/>
            <w:vAlign w:val="center"/>
          </w:tcPr>
          <w:p w14:paraId="52E2D6CC">
            <w:pPr>
              <w:keepLines w:val="0"/>
              <w:pageBreakBefore w:val="0"/>
              <w:widowControl w:val="0"/>
              <w:kinsoku/>
              <w:wordWrap/>
              <w:overflowPunct/>
              <w:topLinePunct w:val="0"/>
              <w:bidi w:val="0"/>
              <w:adjustRightInd w:val="0"/>
              <w:snapToGrid w:val="0"/>
              <w:jc w:val="center"/>
              <w:textAlignment w:val="auto"/>
              <w:rPr>
                <w:rFonts w:hint="default"/>
                <w:color w:val="auto"/>
                <w:sz w:val="24"/>
                <w:highlight w:val="none"/>
                <w:lang w:val="en-US"/>
              </w:rPr>
            </w:pPr>
            <w:r>
              <w:rPr>
                <w:rFonts w:hint="eastAsia" w:cs="Times New Roman"/>
                <w:color w:val="auto"/>
                <w:sz w:val="24"/>
                <w:szCs w:val="24"/>
                <w:highlight w:val="none"/>
                <w:lang w:val="en-US" w:eastAsia="zh-CN"/>
              </w:rPr>
              <w:t>2601-130125-89-05-149985</w:t>
            </w:r>
          </w:p>
        </w:tc>
      </w:tr>
      <w:tr w14:paraId="286DA3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053" w:type="dxa"/>
            <w:noWrap w:val="0"/>
            <w:tcMar>
              <w:top w:w="16" w:type="dxa"/>
              <w:left w:w="16" w:type="dxa"/>
              <w:right w:w="16" w:type="dxa"/>
            </w:tcMar>
            <w:vAlign w:val="center"/>
          </w:tcPr>
          <w:p w14:paraId="316225EC">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建设单位联系人</w:t>
            </w:r>
          </w:p>
        </w:tc>
        <w:tc>
          <w:tcPr>
            <w:tcW w:w="2074" w:type="dxa"/>
            <w:gridSpan w:val="2"/>
            <w:noWrap w:val="0"/>
            <w:vAlign w:val="center"/>
          </w:tcPr>
          <w:p w14:paraId="7A53C07F">
            <w:pPr>
              <w:keepLines w:val="0"/>
              <w:pageBreakBefore w:val="0"/>
              <w:widowControl w:val="0"/>
              <w:kinsoku/>
              <w:wordWrap/>
              <w:overflowPunct/>
              <w:topLinePunct w:val="0"/>
              <w:bidi w:val="0"/>
              <w:adjustRightInd w:val="0"/>
              <w:snapToGrid w:val="0"/>
              <w:jc w:val="center"/>
              <w:textAlignment w:val="auto"/>
              <w:rPr>
                <w:rFonts w:hint="default"/>
                <w:color w:val="auto"/>
                <w:sz w:val="24"/>
                <w:highlight w:val="none"/>
                <w:lang w:val="en-US"/>
              </w:rPr>
            </w:pPr>
            <w:r>
              <w:rPr>
                <w:rFonts w:hint="default"/>
                <w:color w:val="auto"/>
                <w:sz w:val="24"/>
                <w:highlight w:val="none"/>
                <w:lang w:val="en-US" w:eastAsia="zh-CN"/>
              </w:rPr>
              <w:t>郝迎晓</w:t>
            </w:r>
          </w:p>
        </w:tc>
        <w:tc>
          <w:tcPr>
            <w:tcW w:w="1797" w:type="dxa"/>
            <w:noWrap w:val="0"/>
            <w:vAlign w:val="center"/>
          </w:tcPr>
          <w:p w14:paraId="56D9E37F">
            <w:pPr>
              <w:keepLines w:val="0"/>
              <w:pageBreakBefore w:val="0"/>
              <w:widowControl w:val="0"/>
              <w:kinsoku/>
              <w:wordWrap/>
              <w:overflowPunct/>
              <w:topLinePunct w:val="0"/>
              <w:bidi w:val="0"/>
              <w:adjustRightInd w:val="0"/>
              <w:snapToGrid w:val="0"/>
              <w:jc w:val="center"/>
              <w:textAlignment w:val="auto"/>
              <w:rPr>
                <w:rFonts w:hint="eastAsia"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联系方式</w:t>
            </w:r>
          </w:p>
        </w:tc>
        <w:tc>
          <w:tcPr>
            <w:tcW w:w="3946" w:type="dxa"/>
            <w:noWrap w:val="0"/>
            <w:vAlign w:val="center"/>
          </w:tcPr>
          <w:p w14:paraId="333BA16D">
            <w:pPr>
              <w:keepLines w:val="0"/>
              <w:pageBreakBefore w:val="0"/>
              <w:widowControl w:val="0"/>
              <w:kinsoku/>
              <w:wordWrap/>
              <w:overflowPunct/>
              <w:topLinePunct w:val="0"/>
              <w:bidi w:val="0"/>
              <w:adjustRightInd w:val="0"/>
              <w:snapToGrid w:val="0"/>
              <w:jc w:val="center"/>
              <w:textAlignment w:val="auto"/>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15127096021</w:t>
            </w:r>
          </w:p>
        </w:tc>
      </w:tr>
      <w:tr w14:paraId="3FAA7A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053" w:type="dxa"/>
            <w:noWrap w:val="0"/>
            <w:tcMar>
              <w:top w:w="16" w:type="dxa"/>
              <w:left w:w="16" w:type="dxa"/>
              <w:right w:w="16" w:type="dxa"/>
            </w:tcMar>
            <w:vAlign w:val="center"/>
          </w:tcPr>
          <w:p w14:paraId="4A955D93">
            <w:pPr>
              <w:keepLines w:val="0"/>
              <w:pageBreakBefore w:val="0"/>
              <w:widowControl w:val="0"/>
              <w:kinsoku/>
              <w:wordWrap/>
              <w:overflowPunct/>
              <w:topLinePunct w:val="0"/>
              <w:bidi w:val="0"/>
              <w:adjustRightInd w:val="0"/>
              <w:snapToGrid w:val="0"/>
              <w:spacing w:line="288" w:lineRule="auto"/>
              <w:jc w:val="center"/>
              <w:textAlignment w:val="auto"/>
              <w:rPr>
                <w:rFonts w:hint="eastAsia" w:cs="Times New Roman"/>
                <w:color w:val="auto"/>
                <w:sz w:val="24"/>
                <w:highlight w:val="none"/>
                <w:lang w:val="en-US" w:eastAsia="zh-CN"/>
              </w:rPr>
            </w:pPr>
            <w:r>
              <w:rPr>
                <w:rFonts w:hint="eastAsia" w:cs="Times New Roman"/>
                <w:color w:val="auto"/>
                <w:sz w:val="24"/>
                <w:highlight w:val="none"/>
                <w:lang w:val="en-US" w:eastAsia="zh-CN"/>
              </w:rPr>
              <w:t>建设地点</w:t>
            </w:r>
          </w:p>
        </w:tc>
        <w:tc>
          <w:tcPr>
            <w:tcW w:w="7817" w:type="dxa"/>
            <w:gridSpan w:val="4"/>
            <w:noWrap w:val="0"/>
            <w:vAlign w:val="center"/>
          </w:tcPr>
          <w:p w14:paraId="49010B1D">
            <w:pPr>
              <w:keepLines w:val="0"/>
              <w:pageBreakBefore w:val="0"/>
              <w:widowControl w:val="0"/>
              <w:kinsoku/>
              <w:wordWrap/>
              <w:overflowPunct/>
              <w:topLinePunct w:val="0"/>
              <w:bidi w:val="0"/>
              <w:adjustRightInd w:val="0"/>
              <w:snapToGrid w:val="0"/>
              <w:spacing w:line="288" w:lineRule="auto"/>
              <w:textAlignment w:val="auto"/>
              <w:rPr>
                <w:rFonts w:hint="eastAsia" w:cs="Times New Roman"/>
                <w:color w:val="auto"/>
                <w:sz w:val="24"/>
                <w:highlight w:val="none"/>
                <w:lang w:val="en-US" w:eastAsia="zh-CN"/>
              </w:rPr>
            </w:pPr>
            <w:r>
              <w:rPr>
                <w:rFonts w:hint="eastAsia" w:cs="Times New Roman"/>
                <w:color w:val="auto"/>
                <w:sz w:val="24"/>
                <w:highlight w:val="none"/>
                <w:lang w:val="en-US" w:eastAsia="zh-CN"/>
              </w:rPr>
              <w:t>河北省石家庄市行唐县经济开发区科技大街东段（隆泰家具2号车间）</w:t>
            </w:r>
          </w:p>
        </w:tc>
      </w:tr>
      <w:tr w14:paraId="64C753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053" w:type="dxa"/>
            <w:noWrap w:val="0"/>
            <w:tcMar>
              <w:top w:w="16" w:type="dxa"/>
              <w:left w:w="16" w:type="dxa"/>
              <w:right w:w="16" w:type="dxa"/>
            </w:tcMar>
            <w:vAlign w:val="center"/>
          </w:tcPr>
          <w:p w14:paraId="3B24D836">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地理坐标</w:t>
            </w:r>
          </w:p>
        </w:tc>
        <w:tc>
          <w:tcPr>
            <w:tcW w:w="7817" w:type="dxa"/>
            <w:gridSpan w:val="4"/>
            <w:noWrap w:val="0"/>
            <w:vAlign w:val="center"/>
          </w:tcPr>
          <w:p w14:paraId="69924036">
            <w:pPr>
              <w:keepLines w:val="0"/>
              <w:pageBreakBefore w:val="0"/>
              <w:widowControl w:val="0"/>
              <w:kinsoku/>
              <w:wordWrap/>
              <w:overflowPunct/>
              <w:topLinePunct w:val="0"/>
              <w:bidi w:val="0"/>
              <w:jc w:val="center"/>
              <w:textAlignment w:val="auto"/>
              <w:rPr>
                <w:color w:val="auto"/>
                <w:highlight w:val="none"/>
              </w:rPr>
            </w:pPr>
            <w:r>
              <w:rPr>
                <w:rFonts w:hint="eastAsia" w:cs="Times New Roman"/>
                <w:color w:val="auto"/>
                <w:sz w:val="24"/>
                <w:highlight w:val="none"/>
                <w:lang w:val="en-US" w:eastAsia="zh-CN"/>
              </w:rPr>
              <w:t>中心坐标：东经</w:t>
            </w:r>
            <w:r>
              <w:rPr>
                <w:rFonts w:hint="default" w:cs="Times New Roman"/>
                <w:color w:val="auto"/>
                <w:sz w:val="24"/>
                <w:highlight w:val="none"/>
                <w:lang w:val="en-US" w:eastAsia="zh-CN"/>
              </w:rPr>
              <w:t>114</w:t>
            </w:r>
            <w:r>
              <w:rPr>
                <w:rFonts w:hint="eastAsia" w:cs="Times New Roman"/>
                <w:color w:val="auto"/>
                <w:sz w:val="24"/>
                <w:highlight w:val="none"/>
                <w:lang w:val="en-US" w:eastAsia="zh-CN"/>
              </w:rPr>
              <w:t>度30分25.142秒，北纬</w:t>
            </w:r>
            <w:r>
              <w:rPr>
                <w:rFonts w:hint="default" w:cs="Times New Roman"/>
                <w:color w:val="auto"/>
                <w:sz w:val="24"/>
                <w:highlight w:val="none"/>
                <w:lang w:val="en-US" w:eastAsia="zh-CN"/>
              </w:rPr>
              <w:t>38</w:t>
            </w:r>
            <w:r>
              <w:rPr>
                <w:rFonts w:hint="eastAsia" w:cs="Times New Roman"/>
                <w:color w:val="auto"/>
                <w:sz w:val="24"/>
                <w:highlight w:val="none"/>
                <w:lang w:val="en-US" w:eastAsia="zh-CN"/>
              </w:rPr>
              <w:t>度23分23.614秒</w:t>
            </w:r>
          </w:p>
        </w:tc>
      </w:tr>
      <w:tr w14:paraId="184CD7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901" w:hRule="atLeast"/>
          <w:jc w:val="center"/>
        </w:trPr>
        <w:tc>
          <w:tcPr>
            <w:tcW w:w="1053" w:type="dxa"/>
            <w:noWrap w:val="0"/>
            <w:tcMar>
              <w:top w:w="16" w:type="dxa"/>
              <w:left w:w="16" w:type="dxa"/>
              <w:right w:w="16" w:type="dxa"/>
            </w:tcMar>
            <w:vAlign w:val="center"/>
          </w:tcPr>
          <w:p w14:paraId="553B521F">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国民经济</w:t>
            </w:r>
          </w:p>
          <w:p w14:paraId="11763378">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行业类别</w:t>
            </w:r>
          </w:p>
        </w:tc>
        <w:tc>
          <w:tcPr>
            <w:tcW w:w="2023" w:type="dxa"/>
            <w:noWrap w:val="0"/>
            <w:vAlign w:val="center"/>
          </w:tcPr>
          <w:p w14:paraId="397BAFE9">
            <w:pPr>
              <w:keepLines w:val="0"/>
              <w:pageBreakBefore w:val="0"/>
              <w:widowControl w:val="0"/>
              <w:kinsoku/>
              <w:wordWrap/>
              <w:overflowPunct/>
              <w:topLinePunct w:val="0"/>
              <w:bidi w:val="0"/>
              <w:adjustRightInd w:val="0"/>
              <w:snapToGrid w:val="0"/>
              <w:jc w:val="left"/>
              <w:textAlignment w:val="auto"/>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C</w:t>
            </w:r>
            <w:r>
              <w:rPr>
                <w:rFonts w:hint="default" w:ascii="Times New Roman" w:hAnsi="Times New Roman" w:eastAsia="宋体" w:cs="Times New Roman"/>
                <w:color w:val="auto"/>
                <w:sz w:val="24"/>
                <w:szCs w:val="24"/>
                <w:highlight w:val="none"/>
                <w:lang w:eastAsia="zh-CN"/>
              </w:rPr>
              <w:t>2</w:t>
            </w:r>
            <w:r>
              <w:rPr>
                <w:rFonts w:hint="eastAsia" w:cs="Times New Roman"/>
                <w:color w:val="auto"/>
                <w:sz w:val="24"/>
                <w:szCs w:val="24"/>
                <w:highlight w:val="none"/>
                <w:lang w:val="en-US" w:eastAsia="zh-CN"/>
              </w:rPr>
              <w:t>140塑料家具制造；</w:t>
            </w:r>
          </w:p>
          <w:p w14:paraId="1F862BD7">
            <w:pPr>
              <w:keepLines w:val="0"/>
              <w:pageBreakBefore w:val="0"/>
              <w:widowControl w:val="0"/>
              <w:kinsoku/>
              <w:wordWrap/>
              <w:overflowPunct/>
              <w:topLinePunct w:val="0"/>
              <w:bidi w:val="0"/>
              <w:adjustRightInd w:val="0"/>
              <w:snapToGrid w:val="0"/>
              <w:jc w:val="left"/>
              <w:textAlignment w:val="auto"/>
              <w:rPr>
                <w:rFonts w:hint="eastAsia" w:cs="Times New Roman"/>
                <w:color w:val="auto"/>
                <w:sz w:val="24"/>
                <w:szCs w:val="24"/>
                <w:highlight w:val="none"/>
                <w:lang w:eastAsia="zh-CN"/>
              </w:rPr>
            </w:pPr>
            <w:r>
              <w:rPr>
                <w:rFonts w:hint="eastAsia" w:cs="Times New Roman"/>
                <w:color w:val="auto"/>
                <w:sz w:val="24"/>
                <w:szCs w:val="24"/>
                <w:highlight w:val="none"/>
                <w:lang w:val="en-US" w:eastAsia="zh-CN"/>
              </w:rPr>
              <w:t>C</w:t>
            </w:r>
            <w:r>
              <w:rPr>
                <w:rFonts w:hint="default" w:ascii="Times New Roman" w:hAnsi="Times New Roman" w:eastAsia="宋体" w:cs="Times New Roman"/>
                <w:color w:val="auto"/>
                <w:sz w:val="24"/>
                <w:szCs w:val="24"/>
                <w:highlight w:val="none"/>
                <w:lang w:val="en-US" w:eastAsia="zh-CN"/>
              </w:rPr>
              <w:t>2924</w:t>
            </w:r>
            <w:r>
              <w:rPr>
                <w:rFonts w:hint="default" w:ascii="Times New Roman" w:hAnsi="Times New Roman" w:eastAsia="宋体" w:cs="Times New Roman"/>
                <w:color w:val="auto"/>
                <w:sz w:val="24"/>
                <w:szCs w:val="24"/>
                <w:highlight w:val="none"/>
                <w:lang w:eastAsia="zh-CN"/>
              </w:rPr>
              <w:t>发泡塑料制造</w:t>
            </w:r>
          </w:p>
          <w:p w14:paraId="2F100676">
            <w:pPr>
              <w:keepLines w:val="0"/>
              <w:pageBreakBefore w:val="0"/>
              <w:widowControl w:val="0"/>
              <w:kinsoku/>
              <w:wordWrap/>
              <w:overflowPunct/>
              <w:topLinePunct w:val="0"/>
              <w:bidi w:val="0"/>
              <w:adjustRightInd w:val="0"/>
              <w:snapToGrid w:val="0"/>
              <w:jc w:val="left"/>
              <w:textAlignment w:val="auto"/>
              <w:rPr>
                <w:rFonts w:hint="default"/>
                <w:color w:val="auto"/>
                <w:sz w:val="24"/>
                <w:highlight w:val="none"/>
                <w:lang w:val="en-US"/>
              </w:rPr>
            </w:pPr>
          </w:p>
        </w:tc>
        <w:tc>
          <w:tcPr>
            <w:tcW w:w="1848" w:type="dxa"/>
            <w:gridSpan w:val="2"/>
            <w:noWrap w:val="0"/>
            <w:vAlign w:val="center"/>
          </w:tcPr>
          <w:p w14:paraId="304C7326">
            <w:pPr>
              <w:keepLines w:val="0"/>
              <w:pageBreakBefore w:val="0"/>
              <w:widowControl w:val="0"/>
              <w:kinsoku/>
              <w:wordWrap/>
              <w:overflowPunct/>
              <w:topLinePunct w:val="0"/>
              <w:bidi w:val="0"/>
              <w:adjustRightInd w:val="0"/>
              <w:snapToGrid w:val="0"/>
              <w:jc w:val="center"/>
              <w:textAlignment w:val="auto"/>
              <w:rPr>
                <w:color w:val="auto"/>
                <w:sz w:val="24"/>
                <w:highlight w:val="none"/>
              </w:rPr>
            </w:pPr>
            <w:bookmarkStart w:id="3" w:name="_Hlk49843745"/>
            <w:r>
              <w:rPr>
                <w:color w:val="auto"/>
                <w:sz w:val="24"/>
                <w:highlight w:val="none"/>
              </w:rPr>
              <w:t>建设项目</w:t>
            </w:r>
          </w:p>
          <w:p w14:paraId="6654593D">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行业类别</w:t>
            </w:r>
            <w:bookmarkEnd w:id="3"/>
          </w:p>
        </w:tc>
        <w:tc>
          <w:tcPr>
            <w:tcW w:w="3946" w:type="dxa"/>
            <w:noWrap w:val="0"/>
            <w:vAlign w:val="center"/>
          </w:tcPr>
          <w:p w14:paraId="0C05AD9C">
            <w:pPr>
              <w:keepLines w:val="0"/>
              <w:pageBreakBefore w:val="0"/>
              <w:widowControl w:val="0"/>
              <w:kinsoku/>
              <w:wordWrap/>
              <w:overflowPunct/>
              <w:topLinePunct w:val="0"/>
              <w:bidi w:val="0"/>
              <w:adjustRightInd w:val="0"/>
              <w:snapToGrid w:val="0"/>
              <w:jc w:val="both"/>
              <w:textAlignment w:val="auto"/>
              <w:rPr>
                <w:rFonts w:hint="eastAsia" w:eastAsia="宋体" w:cs="Times New Roman"/>
                <w:color w:val="auto"/>
                <w:sz w:val="24"/>
                <w:szCs w:val="24"/>
                <w:highlight w:val="none"/>
                <w:lang w:val="en-US" w:eastAsia="zh-CN"/>
              </w:rPr>
            </w:pPr>
            <w:r>
              <w:rPr>
                <w:rFonts w:hint="eastAsia" w:eastAsia="宋体" w:cs="Times New Roman"/>
                <w:color w:val="auto"/>
                <w:sz w:val="24"/>
                <w:szCs w:val="24"/>
                <w:highlight w:val="none"/>
                <w:lang w:val="en-US" w:eastAsia="zh-CN"/>
              </w:rPr>
              <w:t>十八、家具制造21</w:t>
            </w:r>
            <w:r>
              <w:rPr>
                <w:rFonts w:hint="eastAsia" w:cs="Times New Roman"/>
                <w:color w:val="auto"/>
                <w:sz w:val="24"/>
                <w:szCs w:val="24"/>
                <w:highlight w:val="none"/>
                <w:lang w:val="en-US" w:eastAsia="zh-CN"/>
              </w:rPr>
              <w:t xml:space="preserve"> </w:t>
            </w:r>
            <w:r>
              <w:rPr>
                <w:rFonts w:hint="eastAsia" w:eastAsia="宋体" w:cs="Times New Roman"/>
                <w:color w:val="auto"/>
                <w:sz w:val="24"/>
                <w:szCs w:val="24"/>
                <w:highlight w:val="none"/>
                <w:lang w:val="en-US" w:eastAsia="zh-CN"/>
              </w:rPr>
              <w:t xml:space="preserve">36木质家具制造211*；竹、藤家具制造212*；金属家具制造213*；塑料家具制造 214*；其他家具制造 </w:t>
            </w:r>
          </w:p>
          <w:p w14:paraId="14FA41BB">
            <w:pPr>
              <w:keepLines w:val="0"/>
              <w:pageBreakBefore w:val="0"/>
              <w:widowControl w:val="0"/>
              <w:kinsoku/>
              <w:wordWrap/>
              <w:overflowPunct/>
              <w:topLinePunct w:val="0"/>
              <w:bidi w:val="0"/>
              <w:adjustRightInd w:val="0"/>
              <w:snapToGrid w:val="0"/>
              <w:jc w:val="left"/>
              <w:textAlignment w:val="auto"/>
              <w:rPr>
                <w:rFonts w:hint="eastAsia" w:cs="Times New Roman"/>
                <w:color w:val="auto"/>
                <w:sz w:val="24"/>
                <w:szCs w:val="24"/>
                <w:highlight w:val="none"/>
                <w:lang w:val="en-US" w:eastAsia="zh-CN"/>
              </w:rPr>
            </w:pPr>
            <w:r>
              <w:rPr>
                <w:rFonts w:hint="eastAsia" w:eastAsia="宋体" w:cs="Times New Roman"/>
                <w:color w:val="auto"/>
                <w:sz w:val="24"/>
                <w:szCs w:val="24"/>
                <w:highlight w:val="none"/>
                <w:lang w:val="en-US" w:eastAsia="zh-CN"/>
              </w:rPr>
              <w:t>219*</w:t>
            </w:r>
            <w:r>
              <w:rPr>
                <w:rFonts w:hint="eastAsia" w:cs="Times New Roman"/>
                <w:color w:val="auto"/>
                <w:sz w:val="24"/>
                <w:szCs w:val="24"/>
                <w:highlight w:val="none"/>
                <w:lang w:val="en-US" w:eastAsia="zh-CN"/>
              </w:rPr>
              <w:t>其他（仅分割、组装的除外；年用非溶剂型低VOCs含量涂料10吨以下的除外）；</w:t>
            </w:r>
          </w:p>
          <w:p w14:paraId="3854E539">
            <w:pPr>
              <w:keepLines w:val="0"/>
              <w:pageBreakBefore w:val="0"/>
              <w:widowControl w:val="0"/>
              <w:kinsoku/>
              <w:wordWrap/>
              <w:overflowPunct/>
              <w:topLinePunct w:val="0"/>
              <w:bidi w:val="0"/>
              <w:adjustRightInd w:val="0"/>
              <w:snapToGrid w:val="0"/>
              <w:jc w:val="left"/>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二十六、橡胶和塑料制品业29</w:t>
            </w:r>
          </w:p>
          <w:p w14:paraId="0B51044B">
            <w:pPr>
              <w:keepLines w:val="0"/>
              <w:pageBreakBefore w:val="0"/>
              <w:widowControl w:val="0"/>
              <w:kinsoku/>
              <w:wordWrap/>
              <w:overflowPunct/>
              <w:topLinePunct w:val="0"/>
              <w:bidi w:val="0"/>
              <w:adjustRightInd w:val="0"/>
              <w:snapToGrid w:val="0"/>
              <w:jc w:val="left"/>
              <w:textAlignment w:val="auto"/>
              <w:rPr>
                <w:rFonts w:hint="default" w:eastAsia="宋体"/>
                <w:color w:val="auto"/>
                <w:sz w:val="24"/>
                <w:highlight w:val="none"/>
                <w:lang w:val="en-US" w:eastAsia="zh-CN"/>
              </w:rPr>
            </w:pPr>
            <w:r>
              <w:rPr>
                <w:rFonts w:hint="eastAsia" w:ascii="Times New Roman" w:hAnsi="Times New Roman" w:eastAsia="宋体" w:cs="Times New Roman"/>
                <w:color w:val="auto"/>
                <w:sz w:val="24"/>
                <w:szCs w:val="24"/>
                <w:highlight w:val="none"/>
                <w:lang w:val="en-US" w:eastAsia="zh-CN"/>
              </w:rPr>
              <w:t xml:space="preserve"> 53塑料制品业 292其他（年用非溶剂型低VOCs含量涂料10吨以下的除外）</w:t>
            </w:r>
          </w:p>
        </w:tc>
      </w:tr>
      <w:tr w14:paraId="2121E5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053" w:type="dxa"/>
            <w:noWrap w:val="0"/>
            <w:tcMar>
              <w:top w:w="16" w:type="dxa"/>
              <w:left w:w="16" w:type="dxa"/>
              <w:right w:w="16" w:type="dxa"/>
            </w:tcMar>
            <w:vAlign w:val="center"/>
          </w:tcPr>
          <w:p w14:paraId="28A27B07">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建设性质</w:t>
            </w:r>
          </w:p>
        </w:tc>
        <w:tc>
          <w:tcPr>
            <w:tcW w:w="2023" w:type="dxa"/>
            <w:noWrap w:val="0"/>
            <w:vAlign w:val="center"/>
          </w:tcPr>
          <w:p w14:paraId="391F09E0">
            <w:pPr>
              <w:keepLines w:val="0"/>
              <w:pageBreakBefore w:val="0"/>
              <w:widowControl w:val="0"/>
              <w:kinsoku/>
              <w:wordWrap/>
              <w:overflowPunct/>
              <w:topLinePunct w:val="0"/>
              <w:bidi w:val="0"/>
              <w:jc w:val="left"/>
              <w:textAlignment w:val="auto"/>
              <w:rPr>
                <w:color w:val="auto"/>
                <w:sz w:val="24"/>
                <w:highlight w:val="none"/>
              </w:rPr>
            </w:pPr>
            <w:r>
              <w:rPr>
                <w:rFonts w:hint="eastAsia"/>
                <w:color w:val="auto"/>
                <w:sz w:val="24"/>
                <w:highlight w:val="none"/>
                <w:lang w:eastAsia="zh-CN"/>
              </w:rPr>
              <w:t>☑</w:t>
            </w:r>
            <w:r>
              <w:rPr>
                <w:color w:val="auto"/>
                <w:sz w:val="24"/>
                <w:highlight w:val="none"/>
              </w:rPr>
              <w:t>新建（迁建）</w:t>
            </w:r>
          </w:p>
          <w:p w14:paraId="2E88D7DD">
            <w:pPr>
              <w:keepLines w:val="0"/>
              <w:pageBreakBefore w:val="0"/>
              <w:widowControl w:val="0"/>
              <w:kinsoku/>
              <w:wordWrap/>
              <w:overflowPunct/>
              <w:topLinePunct w:val="0"/>
              <w:bidi w:val="0"/>
              <w:jc w:val="left"/>
              <w:textAlignment w:val="auto"/>
              <w:rPr>
                <w:color w:val="auto"/>
                <w:sz w:val="24"/>
                <w:highlight w:val="none"/>
              </w:rPr>
            </w:pPr>
            <w:r>
              <w:rPr>
                <w:color w:val="auto"/>
                <w:sz w:val="24"/>
                <w:highlight w:val="none"/>
              </w:rPr>
              <w:sym w:font="Wingdings 2" w:char="00A3"/>
            </w:r>
            <w:r>
              <w:rPr>
                <w:color w:val="auto"/>
                <w:sz w:val="24"/>
                <w:highlight w:val="none"/>
              </w:rPr>
              <w:t>改建</w:t>
            </w:r>
          </w:p>
          <w:p w14:paraId="7892B4D6">
            <w:pPr>
              <w:keepLines w:val="0"/>
              <w:pageBreakBefore w:val="0"/>
              <w:widowControl w:val="0"/>
              <w:kinsoku/>
              <w:wordWrap/>
              <w:overflowPunct/>
              <w:topLinePunct w:val="0"/>
              <w:bidi w:val="0"/>
              <w:jc w:val="left"/>
              <w:textAlignment w:val="auto"/>
              <w:rPr>
                <w:color w:val="auto"/>
                <w:sz w:val="24"/>
                <w:highlight w:val="none"/>
              </w:rPr>
            </w:pPr>
            <w:r>
              <w:rPr>
                <w:color w:val="auto"/>
                <w:sz w:val="24"/>
                <w:highlight w:val="none"/>
              </w:rPr>
              <w:sym w:font="Wingdings 2" w:char="00A3"/>
            </w:r>
            <w:r>
              <w:rPr>
                <w:color w:val="auto"/>
                <w:sz w:val="24"/>
                <w:highlight w:val="none"/>
              </w:rPr>
              <w:t>扩建</w:t>
            </w:r>
          </w:p>
          <w:p w14:paraId="6191CB24">
            <w:pPr>
              <w:keepLines w:val="0"/>
              <w:pageBreakBefore w:val="0"/>
              <w:widowControl w:val="0"/>
              <w:kinsoku/>
              <w:wordWrap/>
              <w:overflowPunct/>
              <w:topLinePunct w:val="0"/>
              <w:bidi w:val="0"/>
              <w:jc w:val="left"/>
              <w:textAlignment w:val="auto"/>
              <w:rPr>
                <w:color w:val="auto"/>
                <w:sz w:val="24"/>
                <w:highlight w:val="none"/>
              </w:rPr>
            </w:pPr>
            <w:r>
              <w:rPr>
                <w:color w:val="auto"/>
                <w:sz w:val="24"/>
                <w:highlight w:val="none"/>
              </w:rPr>
              <w:sym w:font="Wingdings 2" w:char="00A3"/>
            </w:r>
            <w:r>
              <w:rPr>
                <w:color w:val="auto"/>
                <w:sz w:val="24"/>
                <w:highlight w:val="none"/>
              </w:rPr>
              <w:t>技术改造</w:t>
            </w:r>
          </w:p>
        </w:tc>
        <w:tc>
          <w:tcPr>
            <w:tcW w:w="1848" w:type="dxa"/>
            <w:gridSpan w:val="2"/>
            <w:noWrap w:val="0"/>
            <w:vAlign w:val="center"/>
          </w:tcPr>
          <w:p w14:paraId="3A46DC0A">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建设项目</w:t>
            </w:r>
          </w:p>
          <w:p w14:paraId="6E95C3EC">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申报情形</w:t>
            </w:r>
          </w:p>
        </w:tc>
        <w:tc>
          <w:tcPr>
            <w:tcW w:w="3946" w:type="dxa"/>
            <w:noWrap w:val="0"/>
            <w:vAlign w:val="center"/>
          </w:tcPr>
          <w:p w14:paraId="2771F0C3">
            <w:pPr>
              <w:keepLines w:val="0"/>
              <w:pageBreakBefore w:val="0"/>
              <w:widowControl w:val="0"/>
              <w:kinsoku/>
              <w:wordWrap/>
              <w:overflowPunct/>
              <w:topLinePunct w:val="0"/>
              <w:bidi w:val="0"/>
              <w:jc w:val="left"/>
              <w:textAlignment w:val="auto"/>
              <w:rPr>
                <w:color w:val="auto"/>
                <w:sz w:val="24"/>
                <w:highlight w:val="none"/>
              </w:rPr>
            </w:pPr>
            <w:r>
              <w:rPr>
                <w:rFonts w:hint="eastAsia"/>
                <w:color w:val="auto"/>
                <w:sz w:val="24"/>
                <w:highlight w:val="none"/>
              </w:rPr>
              <w:t>☑</w:t>
            </w:r>
            <w:r>
              <w:rPr>
                <w:color w:val="auto"/>
                <w:sz w:val="24"/>
                <w:highlight w:val="none"/>
              </w:rPr>
              <w:t xml:space="preserve">首次申报项目             </w:t>
            </w:r>
          </w:p>
          <w:p w14:paraId="391DEB7F">
            <w:pPr>
              <w:keepLines w:val="0"/>
              <w:pageBreakBefore w:val="0"/>
              <w:widowControl w:val="0"/>
              <w:kinsoku/>
              <w:wordWrap/>
              <w:overflowPunct/>
              <w:topLinePunct w:val="0"/>
              <w:bidi w:val="0"/>
              <w:jc w:val="left"/>
              <w:textAlignment w:val="auto"/>
              <w:rPr>
                <w:color w:val="auto"/>
                <w:sz w:val="24"/>
                <w:highlight w:val="none"/>
              </w:rPr>
            </w:pPr>
            <w:r>
              <w:rPr>
                <w:rFonts w:hint="eastAsia"/>
                <w:color w:val="auto"/>
                <w:sz w:val="24"/>
                <w:highlight w:val="none"/>
              </w:rPr>
              <w:t>□</w:t>
            </w:r>
            <w:r>
              <w:rPr>
                <w:color w:val="auto"/>
                <w:sz w:val="24"/>
                <w:highlight w:val="none"/>
              </w:rPr>
              <w:t>不予批准后再次申报项目</w:t>
            </w:r>
          </w:p>
          <w:p w14:paraId="2C26FE4A">
            <w:pPr>
              <w:keepLines w:val="0"/>
              <w:pageBreakBefore w:val="0"/>
              <w:widowControl w:val="0"/>
              <w:kinsoku/>
              <w:wordWrap/>
              <w:overflowPunct/>
              <w:topLinePunct w:val="0"/>
              <w:bidi w:val="0"/>
              <w:jc w:val="left"/>
              <w:textAlignment w:val="auto"/>
              <w:rPr>
                <w:color w:val="auto"/>
                <w:sz w:val="24"/>
                <w:highlight w:val="none"/>
              </w:rPr>
            </w:pPr>
            <w:r>
              <w:rPr>
                <w:rFonts w:hint="eastAsia"/>
                <w:color w:val="auto"/>
                <w:sz w:val="24"/>
                <w:highlight w:val="none"/>
                <w:lang w:eastAsia="zh-CN"/>
              </w:rPr>
              <w:t>□</w:t>
            </w:r>
            <w:r>
              <w:rPr>
                <w:color w:val="auto"/>
                <w:sz w:val="24"/>
                <w:highlight w:val="none"/>
              </w:rPr>
              <w:t xml:space="preserve">超五年重新审核项目     </w:t>
            </w:r>
          </w:p>
          <w:p w14:paraId="1D78FE1A">
            <w:pPr>
              <w:keepLines w:val="0"/>
              <w:pageBreakBefore w:val="0"/>
              <w:widowControl w:val="0"/>
              <w:kinsoku/>
              <w:wordWrap/>
              <w:overflowPunct/>
              <w:topLinePunct w:val="0"/>
              <w:bidi w:val="0"/>
              <w:jc w:val="left"/>
              <w:textAlignment w:val="auto"/>
              <w:rPr>
                <w:color w:val="auto"/>
                <w:sz w:val="24"/>
                <w:highlight w:val="none"/>
              </w:rPr>
            </w:pPr>
            <w:r>
              <w:rPr>
                <w:rFonts w:hint="eastAsia"/>
                <w:color w:val="auto"/>
                <w:sz w:val="24"/>
                <w:highlight w:val="none"/>
                <w:lang w:eastAsia="zh-CN"/>
              </w:rPr>
              <w:t>□</w:t>
            </w:r>
            <w:r>
              <w:rPr>
                <w:color w:val="auto"/>
                <w:sz w:val="24"/>
                <w:highlight w:val="none"/>
              </w:rPr>
              <w:t>重大变动重新报批项目</w:t>
            </w:r>
          </w:p>
        </w:tc>
      </w:tr>
      <w:tr w14:paraId="4FBABA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053" w:type="dxa"/>
            <w:noWrap w:val="0"/>
            <w:tcMar>
              <w:top w:w="16" w:type="dxa"/>
              <w:left w:w="16" w:type="dxa"/>
              <w:right w:w="16" w:type="dxa"/>
            </w:tcMar>
            <w:vAlign w:val="center"/>
          </w:tcPr>
          <w:p w14:paraId="4F5EC6B3">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项目审批（核准/</w:t>
            </w:r>
          </w:p>
          <w:p w14:paraId="1AD02DF6">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备案）部门（选填）</w:t>
            </w:r>
          </w:p>
        </w:tc>
        <w:tc>
          <w:tcPr>
            <w:tcW w:w="2023" w:type="dxa"/>
            <w:noWrap w:val="0"/>
            <w:vAlign w:val="center"/>
          </w:tcPr>
          <w:p w14:paraId="25C6AA71">
            <w:pPr>
              <w:keepLines w:val="0"/>
              <w:pageBreakBefore w:val="0"/>
              <w:widowControl w:val="0"/>
              <w:kinsoku/>
              <w:wordWrap/>
              <w:overflowPunct/>
              <w:topLinePunct w:val="0"/>
              <w:bidi w:val="0"/>
              <w:adjustRightInd w:val="0"/>
              <w:snapToGrid w:val="0"/>
              <w:jc w:val="center"/>
              <w:textAlignment w:val="auto"/>
              <w:rPr>
                <w:rFonts w:hint="default"/>
                <w:color w:val="auto"/>
                <w:sz w:val="24"/>
                <w:highlight w:val="none"/>
                <w:lang w:val="en-US"/>
              </w:rPr>
            </w:pPr>
            <w:r>
              <w:rPr>
                <w:rFonts w:hint="eastAsia" w:cs="Times New Roman"/>
                <w:color w:val="auto"/>
                <w:sz w:val="24"/>
                <w:highlight w:val="none"/>
                <w:lang w:val="en-US" w:eastAsia="zh-CN"/>
              </w:rPr>
              <w:t>行唐数据和政务服务局</w:t>
            </w:r>
          </w:p>
        </w:tc>
        <w:tc>
          <w:tcPr>
            <w:tcW w:w="1848" w:type="dxa"/>
            <w:gridSpan w:val="2"/>
            <w:noWrap w:val="0"/>
            <w:vAlign w:val="center"/>
          </w:tcPr>
          <w:p w14:paraId="3CE22A78">
            <w:pPr>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项目审批（核准/</w:t>
            </w:r>
          </w:p>
          <w:p w14:paraId="4EFF4E1C">
            <w:pPr>
              <w:keepLines w:val="0"/>
              <w:pageBreakBefore w:val="0"/>
              <w:widowControl w:val="0"/>
              <w:kinsoku/>
              <w:wordWrap/>
              <w:overflowPunct/>
              <w:topLinePunct w:val="0"/>
              <w:bidi w:val="0"/>
              <w:adjustRightInd w:val="0"/>
              <w:snapToGrid w:val="0"/>
              <w:jc w:val="center"/>
              <w:textAlignment w:val="auto"/>
              <w:rPr>
                <w:rFonts w:ascii="Times New Roman" w:hAnsi="Times New Roman" w:eastAsia="宋体" w:cs="Times New Roman"/>
                <w:color w:val="auto"/>
                <w:sz w:val="24"/>
                <w:highlight w:val="none"/>
              </w:rPr>
            </w:pPr>
            <w:r>
              <w:rPr>
                <w:rFonts w:hint="default" w:ascii="Times New Roman" w:hAnsi="Times New Roman" w:eastAsia="宋体" w:cs="Times New Roman"/>
                <w:b w:val="0"/>
                <w:bCs w:val="0"/>
                <w:color w:val="auto"/>
                <w:sz w:val="24"/>
                <w:szCs w:val="24"/>
                <w:highlight w:val="none"/>
              </w:rPr>
              <w:t>备案）文号）</w:t>
            </w:r>
          </w:p>
        </w:tc>
        <w:tc>
          <w:tcPr>
            <w:tcW w:w="3946" w:type="dxa"/>
            <w:noWrap w:val="0"/>
            <w:vAlign w:val="center"/>
          </w:tcPr>
          <w:p w14:paraId="44EE7AC5">
            <w:pPr>
              <w:keepLines w:val="0"/>
              <w:pageBreakBefore w:val="0"/>
              <w:widowControl w:val="0"/>
              <w:kinsoku/>
              <w:wordWrap/>
              <w:overflowPunct/>
              <w:topLinePunct w:val="0"/>
              <w:bidi w:val="0"/>
              <w:adjustRightInd w:val="0"/>
              <w:snapToGrid w:val="0"/>
              <w:jc w:val="center"/>
              <w:textAlignment w:val="auto"/>
              <w:rPr>
                <w:rFonts w:hint="default" w:ascii="Times New Roman" w:hAnsi="Times New Roman" w:eastAsia="宋体" w:cs="Times New Roman"/>
                <w:b w:val="0"/>
                <w:bCs w:val="0"/>
                <w:color w:val="auto"/>
                <w:sz w:val="24"/>
                <w:szCs w:val="24"/>
                <w:highlight w:val="none"/>
              </w:rPr>
            </w:pPr>
            <w:r>
              <w:rPr>
                <w:rFonts w:hint="eastAsia" w:cs="Times New Roman"/>
                <w:b w:val="0"/>
                <w:bCs w:val="0"/>
                <w:color w:val="auto"/>
                <w:sz w:val="24"/>
                <w:szCs w:val="24"/>
                <w:highlight w:val="none"/>
                <w:lang w:val="en-US" w:eastAsia="zh-CN"/>
              </w:rPr>
              <w:t>行数政备字〔2025〕243号</w:t>
            </w:r>
          </w:p>
        </w:tc>
      </w:tr>
      <w:tr w14:paraId="24CD13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053" w:type="dxa"/>
            <w:noWrap w:val="0"/>
            <w:tcMar>
              <w:top w:w="16" w:type="dxa"/>
              <w:left w:w="16" w:type="dxa"/>
              <w:right w:w="16" w:type="dxa"/>
            </w:tcMar>
            <w:vAlign w:val="center"/>
          </w:tcPr>
          <w:p w14:paraId="01967866">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总投资（万元）</w:t>
            </w:r>
          </w:p>
        </w:tc>
        <w:tc>
          <w:tcPr>
            <w:tcW w:w="2023" w:type="dxa"/>
            <w:noWrap w:val="0"/>
            <w:vAlign w:val="center"/>
          </w:tcPr>
          <w:p w14:paraId="6E3D3E63">
            <w:pPr>
              <w:keepLines w:val="0"/>
              <w:pageBreakBefore w:val="0"/>
              <w:widowControl w:val="0"/>
              <w:kinsoku/>
              <w:wordWrap/>
              <w:overflowPunct/>
              <w:topLinePunct w:val="0"/>
              <w:bidi w:val="0"/>
              <w:adjustRightInd w:val="0"/>
              <w:snapToGrid w:val="0"/>
              <w:jc w:val="center"/>
              <w:textAlignment w:val="auto"/>
              <w:rPr>
                <w:rFonts w:hint="default"/>
                <w:color w:val="auto"/>
                <w:sz w:val="24"/>
                <w:highlight w:val="none"/>
                <w:lang w:val="en-US"/>
              </w:rPr>
            </w:pPr>
            <w:r>
              <w:rPr>
                <w:rFonts w:hint="eastAsia" w:cs="Times New Roman"/>
                <w:color w:val="auto"/>
                <w:sz w:val="24"/>
                <w:szCs w:val="24"/>
                <w:highlight w:val="none"/>
                <w:lang w:val="en-US" w:eastAsia="zh-CN"/>
              </w:rPr>
              <w:t>3000</w:t>
            </w:r>
          </w:p>
        </w:tc>
        <w:tc>
          <w:tcPr>
            <w:tcW w:w="1848" w:type="dxa"/>
            <w:gridSpan w:val="2"/>
            <w:noWrap w:val="0"/>
            <w:tcMar>
              <w:top w:w="16" w:type="dxa"/>
              <w:left w:w="16" w:type="dxa"/>
              <w:right w:w="16" w:type="dxa"/>
            </w:tcMar>
            <w:vAlign w:val="center"/>
          </w:tcPr>
          <w:p w14:paraId="6017D5F4">
            <w:pPr>
              <w:keepLines w:val="0"/>
              <w:pageBreakBefore w:val="0"/>
              <w:widowControl w:val="0"/>
              <w:kinsoku/>
              <w:wordWrap/>
              <w:overflowPunct/>
              <w:topLinePunct w:val="0"/>
              <w:bidi w:val="0"/>
              <w:adjustRightInd w:val="0"/>
              <w:snapToGrid w:val="0"/>
              <w:jc w:val="center"/>
              <w:textAlignment w:val="auto"/>
              <w:rPr>
                <w:rFonts w:ascii="Times New Roman" w:hAnsi="Times New Roman" w:eastAsia="宋体" w:cs="Times New Roman"/>
                <w:color w:val="auto"/>
                <w:sz w:val="24"/>
                <w:highlight w:val="none"/>
              </w:rPr>
            </w:pPr>
            <w:r>
              <w:rPr>
                <w:rFonts w:hint="default" w:ascii="Times New Roman" w:hAnsi="Times New Roman" w:eastAsia="宋体" w:cs="Times New Roman"/>
                <w:b w:val="0"/>
                <w:bCs w:val="0"/>
                <w:color w:val="auto"/>
                <w:sz w:val="24"/>
                <w:szCs w:val="24"/>
                <w:highlight w:val="none"/>
              </w:rPr>
              <w:t>环保投资（万元）</w:t>
            </w:r>
          </w:p>
        </w:tc>
        <w:tc>
          <w:tcPr>
            <w:tcW w:w="3946" w:type="dxa"/>
            <w:noWrap w:val="0"/>
            <w:vAlign w:val="center"/>
          </w:tcPr>
          <w:p w14:paraId="0E8CEF25">
            <w:pPr>
              <w:keepLines w:val="0"/>
              <w:pageBreakBefore w:val="0"/>
              <w:widowControl w:val="0"/>
              <w:kinsoku/>
              <w:wordWrap/>
              <w:overflowPunct/>
              <w:topLinePunct w:val="0"/>
              <w:bidi w:val="0"/>
              <w:adjustRightInd w:val="0"/>
              <w:snapToGrid w:val="0"/>
              <w:jc w:val="center"/>
              <w:textAlignment w:val="auto"/>
              <w:rPr>
                <w:rFonts w:hint="default"/>
                <w:color w:val="auto"/>
                <w:sz w:val="24"/>
                <w:highlight w:val="none"/>
                <w:lang w:val="en-US"/>
              </w:rPr>
            </w:pPr>
            <w:r>
              <w:rPr>
                <w:rFonts w:hint="eastAsia" w:cs="Times New Roman"/>
                <w:color w:val="auto"/>
                <w:sz w:val="24"/>
                <w:highlight w:val="none"/>
                <w:lang w:val="en-US" w:eastAsia="zh-CN"/>
              </w:rPr>
              <w:t>300</w:t>
            </w:r>
          </w:p>
        </w:tc>
      </w:tr>
      <w:tr w14:paraId="3A784B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053" w:type="dxa"/>
            <w:noWrap w:val="0"/>
            <w:tcMar>
              <w:top w:w="16" w:type="dxa"/>
              <w:left w:w="16" w:type="dxa"/>
              <w:right w:w="16" w:type="dxa"/>
            </w:tcMar>
            <w:vAlign w:val="center"/>
          </w:tcPr>
          <w:p w14:paraId="5CB11C13">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环保投资占比（%）</w:t>
            </w:r>
          </w:p>
        </w:tc>
        <w:tc>
          <w:tcPr>
            <w:tcW w:w="2023" w:type="dxa"/>
            <w:noWrap w:val="0"/>
            <w:vAlign w:val="center"/>
          </w:tcPr>
          <w:p w14:paraId="09177466">
            <w:pPr>
              <w:keepLines w:val="0"/>
              <w:pageBreakBefore w:val="0"/>
              <w:widowControl w:val="0"/>
              <w:kinsoku/>
              <w:wordWrap/>
              <w:overflowPunct/>
              <w:topLinePunct w:val="0"/>
              <w:bidi w:val="0"/>
              <w:adjustRightInd w:val="0"/>
              <w:snapToGrid w:val="0"/>
              <w:jc w:val="center"/>
              <w:textAlignment w:val="auto"/>
              <w:rPr>
                <w:rFonts w:hint="default" w:eastAsia="宋体"/>
                <w:color w:val="auto"/>
                <w:sz w:val="24"/>
                <w:highlight w:val="none"/>
                <w:lang w:val="en-US" w:eastAsia="zh-CN"/>
              </w:rPr>
            </w:pPr>
            <w:r>
              <w:rPr>
                <w:rFonts w:hint="eastAsia"/>
                <w:color w:val="auto"/>
                <w:sz w:val="24"/>
                <w:highlight w:val="none"/>
                <w:lang w:val="en-US" w:eastAsia="zh-CN"/>
              </w:rPr>
              <w:t>10</w:t>
            </w:r>
          </w:p>
        </w:tc>
        <w:tc>
          <w:tcPr>
            <w:tcW w:w="1848" w:type="dxa"/>
            <w:gridSpan w:val="2"/>
            <w:noWrap w:val="0"/>
            <w:tcMar>
              <w:top w:w="16" w:type="dxa"/>
              <w:left w:w="16" w:type="dxa"/>
              <w:right w:w="16" w:type="dxa"/>
            </w:tcMar>
            <w:vAlign w:val="center"/>
          </w:tcPr>
          <w:p w14:paraId="6F3B17E5">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施工工期</w:t>
            </w:r>
          </w:p>
        </w:tc>
        <w:tc>
          <w:tcPr>
            <w:tcW w:w="3946" w:type="dxa"/>
            <w:noWrap w:val="0"/>
            <w:vAlign w:val="center"/>
          </w:tcPr>
          <w:p w14:paraId="289F22FD">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rFonts w:hint="eastAsia"/>
                <w:color w:val="auto"/>
                <w:sz w:val="24"/>
                <w:highlight w:val="none"/>
                <w:lang w:val="en-US" w:eastAsia="zh-CN"/>
              </w:rPr>
              <w:t>3</w:t>
            </w:r>
            <w:r>
              <w:rPr>
                <w:color w:val="auto"/>
                <w:sz w:val="24"/>
                <w:highlight w:val="none"/>
              </w:rPr>
              <w:t>个月</w:t>
            </w:r>
          </w:p>
        </w:tc>
      </w:tr>
      <w:tr w14:paraId="68DBBB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46" w:hRule="atLeast"/>
          <w:jc w:val="center"/>
        </w:trPr>
        <w:tc>
          <w:tcPr>
            <w:tcW w:w="1053" w:type="dxa"/>
            <w:noWrap w:val="0"/>
            <w:tcMar>
              <w:top w:w="16" w:type="dxa"/>
              <w:left w:w="16" w:type="dxa"/>
              <w:right w:w="16" w:type="dxa"/>
            </w:tcMar>
            <w:vAlign w:val="center"/>
          </w:tcPr>
          <w:p w14:paraId="538790C6">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是否开工建设</w:t>
            </w:r>
          </w:p>
        </w:tc>
        <w:tc>
          <w:tcPr>
            <w:tcW w:w="2023" w:type="dxa"/>
            <w:noWrap w:val="0"/>
            <w:vAlign w:val="center"/>
          </w:tcPr>
          <w:p w14:paraId="31180C42">
            <w:pPr>
              <w:keepLines w:val="0"/>
              <w:pageBreakBefore w:val="0"/>
              <w:widowControl w:val="0"/>
              <w:kinsoku/>
              <w:wordWrap/>
              <w:overflowPunct/>
              <w:topLinePunct w:val="0"/>
              <w:bidi w:val="0"/>
              <w:adjustRightInd w:val="0"/>
              <w:snapToGrid w:val="0"/>
              <w:textAlignment w:val="auto"/>
              <w:rPr>
                <w:color w:val="auto"/>
                <w:sz w:val="24"/>
                <w:highlight w:val="none"/>
              </w:rPr>
            </w:pPr>
            <w:r>
              <w:rPr>
                <w:color w:val="auto"/>
                <w:sz w:val="24"/>
                <w:highlight w:val="none"/>
              </w:rPr>
              <w:t>☑否</w:t>
            </w:r>
          </w:p>
          <w:p w14:paraId="107A7523">
            <w:pPr>
              <w:keepLines w:val="0"/>
              <w:pageBreakBefore w:val="0"/>
              <w:widowControl w:val="0"/>
              <w:kinsoku/>
              <w:wordWrap/>
              <w:overflowPunct/>
              <w:topLinePunct w:val="0"/>
              <w:bidi w:val="0"/>
              <w:adjustRightInd w:val="0"/>
              <w:snapToGrid w:val="0"/>
              <w:textAlignment w:val="auto"/>
              <w:rPr>
                <w:color w:val="auto"/>
                <w:sz w:val="24"/>
                <w:highlight w:val="none"/>
              </w:rPr>
            </w:pPr>
            <w:r>
              <w:rPr>
                <w:color w:val="auto"/>
                <w:sz w:val="24"/>
                <w:highlight w:val="none"/>
              </w:rPr>
              <w:t>□是：</w:t>
            </w:r>
            <w:r>
              <w:rPr>
                <w:color w:val="auto"/>
                <w:sz w:val="24"/>
                <w:highlight w:val="none"/>
                <w:u w:val="single"/>
              </w:rPr>
              <w:t xml:space="preserve">             </w:t>
            </w:r>
          </w:p>
        </w:tc>
        <w:tc>
          <w:tcPr>
            <w:tcW w:w="1848" w:type="dxa"/>
            <w:gridSpan w:val="2"/>
            <w:noWrap w:val="0"/>
            <w:tcMar>
              <w:top w:w="16" w:type="dxa"/>
              <w:left w:w="16" w:type="dxa"/>
              <w:right w:w="16" w:type="dxa"/>
            </w:tcMar>
            <w:vAlign w:val="center"/>
          </w:tcPr>
          <w:p w14:paraId="4B1EFE89">
            <w:pPr>
              <w:keepLines w:val="0"/>
              <w:pageBreakBefore w:val="0"/>
              <w:widowControl w:val="0"/>
              <w:kinsoku/>
              <w:wordWrap/>
              <w:overflowPunct/>
              <w:topLinePunct w:val="0"/>
              <w:bidi w:val="0"/>
              <w:adjustRightInd w:val="0"/>
              <w:snapToGrid w:val="0"/>
              <w:jc w:val="center"/>
              <w:textAlignment w:val="auto"/>
              <w:rPr>
                <w:color w:val="auto"/>
                <w:spacing w:val="-6"/>
                <w:sz w:val="24"/>
                <w:highlight w:val="none"/>
              </w:rPr>
            </w:pPr>
            <w:r>
              <w:rPr>
                <w:color w:val="auto"/>
                <w:spacing w:val="-6"/>
                <w:sz w:val="24"/>
                <w:highlight w:val="none"/>
              </w:rPr>
              <w:t>用地（用海）</w:t>
            </w:r>
          </w:p>
          <w:p w14:paraId="01B23574">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pacing w:val="-6"/>
                <w:sz w:val="24"/>
                <w:highlight w:val="none"/>
              </w:rPr>
              <w:t>面积（m</w:t>
            </w:r>
            <w:r>
              <w:rPr>
                <w:color w:val="auto"/>
                <w:spacing w:val="-6"/>
                <w:sz w:val="24"/>
                <w:highlight w:val="none"/>
                <w:vertAlign w:val="superscript"/>
              </w:rPr>
              <w:t>2</w:t>
            </w:r>
            <w:r>
              <w:rPr>
                <w:color w:val="auto"/>
                <w:spacing w:val="-6"/>
                <w:sz w:val="24"/>
                <w:highlight w:val="none"/>
              </w:rPr>
              <w:t>）</w:t>
            </w:r>
          </w:p>
        </w:tc>
        <w:tc>
          <w:tcPr>
            <w:tcW w:w="3946" w:type="dxa"/>
            <w:noWrap w:val="0"/>
            <w:vAlign w:val="center"/>
          </w:tcPr>
          <w:p w14:paraId="333ABCD1">
            <w:pPr>
              <w:keepLines w:val="0"/>
              <w:pageBreakBefore w:val="0"/>
              <w:widowControl w:val="0"/>
              <w:tabs>
                <w:tab w:val="center" w:pos="1372"/>
                <w:tab w:val="right" w:pos="2624"/>
              </w:tabs>
              <w:kinsoku/>
              <w:wordWrap/>
              <w:overflowPunct/>
              <w:topLinePunct w:val="0"/>
              <w:bidi w:val="0"/>
              <w:adjustRightInd w:val="0"/>
              <w:snapToGrid w:val="0"/>
              <w:jc w:val="left"/>
              <w:textAlignment w:val="auto"/>
              <w:rPr>
                <w:color w:val="auto"/>
                <w:sz w:val="24"/>
                <w:highlight w:val="none"/>
              </w:rPr>
            </w:pPr>
            <w:r>
              <w:rPr>
                <w:rFonts w:hint="eastAsia" w:ascii="Times New Roman" w:hAnsi="Times New Roman" w:cs="Times New Roman"/>
                <w:color w:val="auto"/>
                <w:sz w:val="24"/>
                <w:szCs w:val="24"/>
                <w:highlight w:val="none"/>
                <w:lang w:val="en-US" w:eastAsia="zh-CN"/>
              </w:rPr>
              <w:tab/>
            </w:r>
            <w:r>
              <w:rPr>
                <w:rFonts w:hint="eastAsia" w:cs="Times New Roman"/>
                <w:color w:val="auto"/>
                <w:sz w:val="24"/>
                <w:szCs w:val="24"/>
                <w:highlight w:val="none"/>
                <w:lang w:val="en-US" w:eastAsia="zh-CN"/>
              </w:rPr>
              <w:t>4453</w:t>
            </w:r>
            <w:r>
              <w:rPr>
                <w:rFonts w:hint="eastAsia" w:ascii="Times New Roman" w:hAnsi="Times New Roman" w:cs="Times New Roman"/>
                <w:color w:val="auto"/>
                <w:sz w:val="24"/>
                <w:szCs w:val="24"/>
                <w:highlight w:val="none"/>
                <w:lang w:val="en-US" w:eastAsia="zh-CN"/>
              </w:rPr>
              <w:tab/>
            </w:r>
          </w:p>
        </w:tc>
      </w:tr>
      <w:tr w14:paraId="5850DD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053" w:type="dxa"/>
            <w:noWrap w:val="0"/>
            <w:vAlign w:val="center"/>
          </w:tcPr>
          <w:p w14:paraId="2957E916">
            <w:pPr>
              <w:keepLines w:val="0"/>
              <w:pageBreakBefore w:val="0"/>
              <w:widowControl w:val="0"/>
              <w:kinsoku/>
              <w:wordWrap/>
              <w:overflowPunct/>
              <w:topLinePunct w:val="0"/>
              <w:autoSpaceDE w:val="0"/>
              <w:autoSpaceDN w:val="0"/>
              <w:bidi w:val="0"/>
              <w:adjustRightInd w:val="0"/>
              <w:snapToGrid w:val="0"/>
              <w:jc w:val="center"/>
              <w:textAlignment w:val="auto"/>
              <w:rPr>
                <w:color w:val="auto"/>
                <w:kern w:val="0"/>
                <w:sz w:val="24"/>
                <w:highlight w:val="none"/>
              </w:rPr>
            </w:pPr>
            <w:r>
              <w:rPr>
                <w:color w:val="auto"/>
                <w:kern w:val="0"/>
                <w:sz w:val="24"/>
                <w:highlight w:val="none"/>
              </w:rPr>
              <w:t>专项评价设置情况</w:t>
            </w:r>
          </w:p>
        </w:tc>
        <w:tc>
          <w:tcPr>
            <w:tcW w:w="7817" w:type="dxa"/>
            <w:gridSpan w:val="4"/>
            <w:noWrap w:val="0"/>
            <w:vAlign w:val="center"/>
          </w:tcPr>
          <w:p w14:paraId="4CAE2648">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eastAsia="宋体"/>
                <w:color w:val="auto"/>
                <w:kern w:val="0"/>
                <w:sz w:val="24"/>
                <w:highlight w:val="none"/>
                <w:lang w:val="en-US" w:eastAsia="zh-CN"/>
              </w:rPr>
            </w:pPr>
            <w:r>
              <w:rPr>
                <w:rFonts w:hint="eastAsia"/>
                <w:color w:val="auto"/>
                <w:sz w:val="24"/>
                <w:szCs w:val="24"/>
                <w:highlight w:val="none"/>
                <w:lang w:val="en-US" w:eastAsia="zh-CN"/>
              </w:rPr>
              <w:t>无</w:t>
            </w:r>
          </w:p>
        </w:tc>
      </w:tr>
      <w:tr w14:paraId="56BEDF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9" w:hRule="atLeast"/>
          <w:jc w:val="center"/>
        </w:trPr>
        <w:tc>
          <w:tcPr>
            <w:tcW w:w="1053" w:type="dxa"/>
            <w:noWrap w:val="0"/>
            <w:vAlign w:val="center"/>
          </w:tcPr>
          <w:p w14:paraId="25882BD5">
            <w:pPr>
              <w:keepLines w:val="0"/>
              <w:pageBreakBefore w:val="0"/>
              <w:widowControl w:val="0"/>
              <w:kinsoku/>
              <w:wordWrap/>
              <w:overflowPunct/>
              <w:topLinePunct w:val="0"/>
              <w:autoSpaceDE w:val="0"/>
              <w:autoSpaceDN w:val="0"/>
              <w:bidi w:val="0"/>
              <w:adjustRightInd w:val="0"/>
              <w:snapToGrid w:val="0"/>
              <w:jc w:val="center"/>
              <w:textAlignment w:val="auto"/>
              <w:rPr>
                <w:color w:val="auto"/>
                <w:kern w:val="0"/>
                <w:sz w:val="24"/>
                <w:highlight w:val="none"/>
              </w:rPr>
            </w:pPr>
            <w:r>
              <w:rPr>
                <w:color w:val="auto"/>
                <w:sz w:val="24"/>
                <w:highlight w:val="none"/>
              </w:rPr>
              <w:t>规划情况</w:t>
            </w:r>
          </w:p>
        </w:tc>
        <w:tc>
          <w:tcPr>
            <w:tcW w:w="7817" w:type="dxa"/>
            <w:gridSpan w:val="4"/>
            <w:noWrap w:val="0"/>
            <w:vAlign w:val="center"/>
          </w:tcPr>
          <w:p w14:paraId="4462BC2D">
            <w:pPr>
              <w:pStyle w:val="109"/>
              <w:keepNext w:val="0"/>
              <w:keepLines w:val="0"/>
              <w:pageBreakBefore w:val="0"/>
              <w:widowControl w:val="0"/>
              <w:kinsoku/>
              <w:wordWrap/>
              <w:overflowPunct/>
              <w:topLinePunct w:val="0"/>
              <w:autoSpaceDE/>
              <w:autoSpaceDN/>
              <w:bidi w:val="0"/>
              <w:adjustRightInd w:val="0"/>
              <w:snapToGrid w:val="0"/>
              <w:spacing w:before="0" w:beforeLines="0" w:line="410" w:lineRule="exact"/>
              <w:ind w:firstLine="480" w:firstLineChars="200"/>
              <w:jc w:val="both"/>
              <w:textAlignment w:val="auto"/>
              <w:rPr>
                <w:rFonts w:hint="eastAsia"/>
                <w:color w:val="auto"/>
                <w:sz w:val="24"/>
                <w:szCs w:val="24"/>
                <w:highlight w:val="none"/>
              </w:rPr>
            </w:pPr>
            <w:r>
              <w:rPr>
                <w:rFonts w:hint="eastAsia"/>
                <w:color w:val="auto"/>
                <w:sz w:val="24"/>
                <w:szCs w:val="24"/>
                <w:highlight w:val="none"/>
                <w:lang w:val="en-US" w:eastAsia="zh-CN"/>
              </w:rPr>
              <w:t>2023年，河北行唐经济开发区管理委员会组织编制完成</w:t>
            </w:r>
            <w:r>
              <w:rPr>
                <w:rFonts w:hint="eastAsia"/>
                <w:color w:val="auto"/>
                <w:sz w:val="24"/>
                <w:szCs w:val="24"/>
                <w:highlight w:val="none"/>
              </w:rPr>
              <w:t>《河北行唐经济开发区控制性详细规划》。</w:t>
            </w:r>
          </w:p>
          <w:p w14:paraId="459F61F3">
            <w:pPr>
              <w:pStyle w:val="109"/>
              <w:keepNext w:val="0"/>
              <w:keepLines w:val="0"/>
              <w:pageBreakBefore w:val="0"/>
              <w:widowControl w:val="0"/>
              <w:kinsoku/>
              <w:wordWrap/>
              <w:overflowPunct/>
              <w:topLinePunct w:val="0"/>
              <w:autoSpaceDE/>
              <w:autoSpaceDN/>
              <w:bidi w:val="0"/>
              <w:adjustRightInd w:val="0"/>
              <w:snapToGrid w:val="0"/>
              <w:spacing w:before="0" w:beforeLines="0" w:line="410" w:lineRule="exact"/>
              <w:ind w:firstLine="480" w:firstLineChars="200"/>
              <w:jc w:val="both"/>
              <w:textAlignment w:val="auto"/>
              <w:rPr>
                <w:rFonts w:hint="default"/>
                <w:color w:val="auto"/>
                <w:sz w:val="24"/>
                <w:szCs w:val="24"/>
                <w:highlight w:val="none"/>
                <w:lang w:val="en-US" w:eastAsia="zh-CN"/>
              </w:rPr>
            </w:pPr>
            <w:r>
              <w:rPr>
                <w:rFonts w:hint="eastAsia"/>
                <w:color w:val="auto"/>
                <w:sz w:val="24"/>
                <w:szCs w:val="24"/>
                <w:highlight w:val="none"/>
                <w:lang w:val="en-US" w:eastAsia="zh-CN"/>
              </w:rPr>
              <w:t>行唐县发展和改革局、行唐县自然资源和规划局、行唐县住房和城乡建设局、石家庄市生态环境局行唐县分局、行唐县水利局分别于2023年3月7日—9日出具“关于《河北行唐经济开发区控制性详细规划》的意见”，同意规划内容。</w:t>
            </w:r>
          </w:p>
        </w:tc>
      </w:tr>
      <w:tr w14:paraId="374028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053" w:type="dxa"/>
            <w:noWrap w:val="0"/>
            <w:vAlign w:val="center"/>
          </w:tcPr>
          <w:p w14:paraId="681475A7">
            <w:pPr>
              <w:keepLines w:val="0"/>
              <w:pageBreakBefore w:val="0"/>
              <w:widowControl w:val="0"/>
              <w:kinsoku/>
              <w:wordWrap/>
              <w:overflowPunct/>
              <w:topLinePunct w:val="0"/>
              <w:bidi w:val="0"/>
              <w:adjustRightInd w:val="0"/>
              <w:snapToGrid w:val="0"/>
              <w:jc w:val="center"/>
              <w:textAlignment w:val="auto"/>
              <w:rPr>
                <w:color w:val="auto"/>
                <w:sz w:val="24"/>
                <w:highlight w:val="none"/>
              </w:rPr>
            </w:pPr>
            <w:r>
              <w:rPr>
                <w:color w:val="auto"/>
                <w:sz w:val="24"/>
                <w:highlight w:val="none"/>
              </w:rPr>
              <w:t>规划环境影响</w:t>
            </w:r>
          </w:p>
          <w:p w14:paraId="386A4AB8">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sz w:val="24"/>
                <w:highlight w:val="none"/>
              </w:rPr>
              <w:t>评价情况</w:t>
            </w:r>
          </w:p>
        </w:tc>
        <w:tc>
          <w:tcPr>
            <w:tcW w:w="7817" w:type="dxa"/>
            <w:gridSpan w:val="4"/>
            <w:noWrap w:val="0"/>
            <w:vAlign w:val="center"/>
          </w:tcPr>
          <w:p w14:paraId="0DC01DF6">
            <w:pPr>
              <w:pStyle w:val="120"/>
              <w:keepNext w:val="0"/>
              <w:keepLines w:val="0"/>
              <w:pageBreakBefore w:val="0"/>
              <w:widowControl w:val="0"/>
              <w:kinsoku/>
              <w:wordWrap/>
              <w:overflowPunct/>
              <w:topLinePunct w:val="0"/>
              <w:autoSpaceDE/>
              <w:autoSpaceDN/>
              <w:bidi w:val="0"/>
              <w:spacing w:before="0" w:beforeLines="0" w:after="0" w:afterLines="0" w:line="410" w:lineRule="exact"/>
              <w:ind w:firstLine="480" w:firstLineChars="200"/>
              <w:textAlignment w:val="auto"/>
              <w:rPr>
                <w:rFonts w:hint="eastAsia" w:eastAsia="宋体"/>
                <w:color w:val="auto"/>
                <w:sz w:val="24"/>
                <w:szCs w:val="24"/>
                <w:highlight w:val="none"/>
                <w:lang w:val="en-US" w:eastAsia="zh-CN"/>
              </w:rPr>
            </w:pPr>
            <w:r>
              <w:rPr>
                <w:rFonts w:hint="eastAsia"/>
                <w:color w:val="auto"/>
                <w:sz w:val="24"/>
                <w:szCs w:val="24"/>
                <w:highlight w:val="none"/>
                <w:lang w:val="en-US" w:eastAsia="zh-CN"/>
              </w:rPr>
              <w:t>规划环境影响文件名称：</w:t>
            </w:r>
            <w:r>
              <w:rPr>
                <w:rFonts w:hint="eastAsia"/>
                <w:color w:val="auto"/>
                <w:sz w:val="24"/>
                <w:szCs w:val="24"/>
                <w:highlight w:val="none"/>
              </w:rPr>
              <w:t>《河北行唐经济开发区控制性详细规划环境影响报告书》</w:t>
            </w:r>
            <w:r>
              <w:rPr>
                <w:rFonts w:hint="eastAsia"/>
                <w:color w:val="auto"/>
                <w:sz w:val="24"/>
                <w:szCs w:val="24"/>
                <w:highlight w:val="none"/>
                <w:lang w:eastAsia="zh-CN"/>
              </w:rPr>
              <w:t>；</w:t>
            </w:r>
          </w:p>
          <w:p w14:paraId="59F84F80">
            <w:pPr>
              <w:pStyle w:val="120"/>
              <w:keepNext w:val="0"/>
              <w:keepLines w:val="0"/>
              <w:pageBreakBefore w:val="0"/>
              <w:widowControl w:val="0"/>
              <w:kinsoku/>
              <w:wordWrap/>
              <w:overflowPunct/>
              <w:topLinePunct w:val="0"/>
              <w:autoSpaceDE/>
              <w:autoSpaceDN/>
              <w:bidi w:val="0"/>
              <w:spacing w:before="0" w:beforeLines="0" w:after="0" w:afterLines="0" w:line="410" w:lineRule="exact"/>
              <w:ind w:firstLine="480" w:firstLineChars="200"/>
              <w:textAlignment w:val="auto"/>
              <w:rPr>
                <w:rFonts w:hint="eastAsia" w:eastAsia="宋体"/>
                <w:color w:val="auto"/>
                <w:sz w:val="24"/>
                <w:szCs w:val="24"/>
                <w:highlight w:val="none"/>
                <w:lang w:val="en-US" w:eastAsia="zh-CN"/>
              </w:rPr>
            </w:pPr>
            <w:r>
              <w:rPr>
                <w:rFonts w:hint="eastAsia"/>
                <w:color w:val="auto"/>
                <w:sz w:val="24"/>
                <w:szCs w:val="24"/>
                <w:highlight w:val="none"/>
                <w:lang w:val="en-US" w:eastAsia="zh-CN"/>
              </w:rPr>
              <w:t>审查机关：</w:t>
            </w:r>
            <w:r>
              <w:rPr>
                <w:rFonts w:hint="eastAsia"/>
                <w:color w:val="auto"/>
                <w:sz w:val="24"/>
                <w:szCs w:val="24"/>
                <w:highlight w:val="none"/>
              </w:rPr>
              <w:t>河北省生态环境厅</w:t>
            </w:r>
            <w:r>
              <w:rPr>
                <w:rFonts w:hint="eastAsia"/>
                <w:color w:val="auto"/>
                <w:sz w:val="24"/>
                <w:szCs w:val="24"/>
                <w:highlight w:val="none"/>
                <w:lang w:eastAsia="zh-CN"/>
              </w:rPr>
              <w:t>；</w:t>
            </w:r>
          </w:p>
          <w:p w14:paraId="33B1B8D7">
            <w:pPr>
              <w:pStyle w:val="109"/>
              <w:keepNext w:val="0"/>
              <w:keepLines w:val="0"/>
              <w:pageBreakBefore w:val="0"/>
              <w:widowControl w:val="0"/>
              <w:kinsoku/>
              <w:wordWrap/>
              <w:overflowPunct/>
              <w:topLinePunct w:val="0"/>
              <w:autoSpaceDE/>
              <w:autoSpaceDN/>
              <w:bidi w:val="0"/>
              <w:adjustRightInd w:val="0"/>
              <w:snapToGrid w:val="0"/>
              <w:spacing w:before="0" w:beforeLines="0" w:line="410" w:lineRule="exact"/>
              <w:ind w:firstLine="480" w:firstLineChars="200"/>
              <w:textAlignment w:val="auto"/>
              <w:rPr>
                <w:rFonts w:hint="eastAsia"/>
                <w:color w:val="auto"/>
                <w:sz w:val="24"/>
                <w:szCs w:val="24"/>
                <w:highlight w:val="none"/>
              </w:rPr>
            </w:pPr>
            <w:r>
              <w:rPr>
                <w:rFonts w:hint="eastAsia"/>
                <w:color w:val="auto"/>
                <w:sz w:val="24"/>
                <w:szCs w:val="24"/>
                <w:highlight w:val="none"/>
                <w:lang w:val="en-US" w:eastAsia="zh-CN"/>
              </w:rPr>
              <w:t>审查文件名称：</w:t>
            </w:r>
            <w:r>
              <w:rPr>
                <w:rFonts w:hint="eastAsia"/>
                <w:color w:val="auto"/>
                <w:sz w:val="24"/>
                <w:szCs w:val="24"/>
                <w:highlight w:val="none"/>
              </w:rPr>
              <w:t>《关于</w:t>
            </w:r>
            <w:r>
              <w:rPr>
                <w:rFonts w:hint="eastAsia"/>
                <w:color w:val="auto"/>
                <w:sz w:val="24"/>
                <w:szCs w:val="24"/>
                <w:highlight w:val="none"/>
                <w:lang w:eastAsia="zh-CN"/>
              </w:rPr>
              <w:t>〈</w:t>
            </w:r>
            <w:r>
              <w:rPr>
                <w:rFonts w:hint="eastAsia"/>
                <w:color w:val="auto"/>
                <w:sz w:val="24"/>
                <w:szCs w:val="24"/>
                <w:highlight w:val="none"/>
              </w:rPr>
              <w:t>河北行唐经济开发区控制性详细规划环境影响报告书</w:t>
            </w:r>
            <w:r>
              <w:rPr>
                <w:rFonts w:hint="eastAsia"/>
                <w:color w:val="auto"/>
                <w:sz w:val="24"/>
                <w:szCs w:val="24"/>
                <w:highlight w:val="none"/>
                <w:lang w:eastAsia="zh-CN"/>
              </w:rPr>
              <w:t>〉</w:t>
            </w:r>
            <w:r>
              <w:rPr>
                <w:rFonts w:hint="eastAsia"/>
                <w:color w:val="auto"/>
                <w:sz w:val="24"/>
                <w:szCs w:val="24"/>
                <w:highlight w:val="none"/>
              </w:rPr>
              <w:t>的审查意见》</w:t>
            </w:r>
          </w:p>
          <w:p w14:paraId="4315A9A3">
            <w:pPr>
              <w:pStyle w:val="109"/>
              <w:keepNext w:val="0"/>
              <w:keepLines w:val="0"/>
              <w:pageBreakBefore w:val="0"/>
              <w:widowControl w:val="0"/>
              <w:kinsoku/>
              <w:wordWrap/>
              <w:overflowPunct/>
              <w:topLinePunct w:val="0"/>
              <w:autoSpaceDE/>
              <w:autoSpaceDN/>
              <w:bidi w:val="0"/>
              <w:adjustRightInd w:val="0"/>
              <w:snapToGrid w:val="0"/>
              <w:spacing w:before="0" w:beforeLines="0" w:line="410" w:lineRule="exact"/>
              <w:ind w:firstLine="480" w:firstLineChars="200"/>
              <w:textAlignment w:val="auto"/>
              <w:rPr>
                <w:rFonts w:hint="eastAsia" w:eastAsia="宋体"/>
                <w:color w:val="auto"/>
                <w:kern w:val="0"/>
                <w:sz w:val="24"/>
                <w:highlight w:val="none"/>
                <w:lang w:val="en-US" w:eastAsia="zh-CN"/>
              </w:rPr>
            </w:pPr>
            <w:r>
              <w:rPr>
                <w:rFonts w:hint="eastAsia"/>
                <w:color w:val="auto"/>
                <w:sz w:val="24"/>
                <w:szCs w:val="24"/>
                <w:highlight w:val="none"/>
                <w:lang w:val="en-US" w:eastAsia="zh-CN"/>
              </w:rPr>
              <w:t>审查文件文号：</w:t>
            </w:r>
            <w:r>
              <w:rPr>
                <w:rFonts w:hint="eastAsia"/>
                <w:color w:val="auto"/>
                <w:sz w:val="24"/>
                <w:szCs w:val="24"/>
                <w:highlight w:val="none"/>
              </w:rPr>
              <w:t>（冀环环评函〔202</w:t>
            </w:r>
            <w:r>
              <w:rPr>
                <w:rFonts w:hint="eastAsia"/>
                <w:color w:val="auto"/>
                <w:sz w:val="24"/>
                <w:szCs w:val="24"/>
                <w:highlight w:val="none"/>
                <w:lang w:val="en-US" w:eastAsia="zh-CN"/>
              </w:rPr>
              <w:t>3</w:t>
            </w:r>
            <w:r>
              <w:rPr>
                <w:rFonts w:hint="eastAsia"/>
                <w:color w:val="auto"/>
                <w:sz w:val="24"/>
                <w:szCs w:val="24"/>
                <w:highlight w:val="none"/>
              </w:rPr>
              <w:t>〕</w:t>
            </w:r>
            <w:r>
              <w:rPr>
                <w:rFonts w:hint="eastAsia"/>
                <w:color w:val="auto"/>
                <w:sz w:val="24"/>
                <w:szCs w:val="24"/>
                <w:highlight w:val="none"/>
                <w:lang w:val="en-US" w:eastAsia="zh-CN"/>
              </w:rPr>
              <w:t>1177</w:t>
            </w:r>
            <w:r>
              <w:rPr>
                <w:rFonts w:hint="eastAsia"/>
                <w:color w:val="auto"/>
                <w:sz w:val="24"/>
                <w:szCs w:val="24"/>
                <w:highlight w:val="none"/>
              </w:rPr>
              <w:t>号）</w:t>
            </w:r>
            <w:r>
              <w:rPr>
                <w:rFonts w:hint="eastAsia"/>
                <w:color w:val="auto"/>
                <w:sz w:val="24"/>
                <w:szCs w:val="24"/>
                <w:highlight w:val="none"/>
                <w:lang w:eastAsia="zh-CN"/>
              </w:rPr>
              <w:t>。</w:t>
            </w:r>
          </w:p>
        </w:tc>
      </w:tr>
      <w:tr w14:paraId="5E7324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53" w:type="dxa"/>
            <w:noWrap w:val="0"/>
            <w:vAlign w:val="center"/>
          </w:tcPr>
          <w:p w14:paraId="4DF0A81A">
            <w:pPr>
              <w:keepLines w:val="0"/>
              <w:pageBreakBefore w:val="0"/>
              <w:widowControl w:val="0"/>
              <w:kinsoku/>
              <w:wordWrap/>
              <w:overflowPunct/>
              <w:topLinePunct w:val="0"/>
              <w:autoSpaceDE w:val="0"/>
              <w:autoSpaceDN w:val="0"/>
              <w:bidi w:val="0"/>
              <w:adjustRightInd w:val="0"/>
              <w:snapToGrid w:val="0"/>
              <w:jc w:val="center"/>
              <w:textAlignment w:val="auto"/>
              <w:rPr>
                <w:color w:val="auto"/>
                <w:kern w:val="0"/>
                <w:sz w:val="24"/>
                <w:highlight w:val="none"/>
              </w:rPr>
            </w:pPr>
            <w:r>
              <w:rPr>
                <w:color w:val="auto"/>
                <w:kern w:val="0"/>
                <w:sz w:val="24"/>
                <w:highlight w:val="none"/>
              </w:rPr>
              <w:t>规划及规划环境影响评价符合性分析</w:t>
            </w:r>
          </w:p>
        </w:tc>
        <w:tc>
          <w:tcPr>
            <w:tcW w:w="7817" w:type="dxa"/>
            <w:gridSpan w:val="4"/>
            <w:noWrap w:val="0"/>
            <w:vAlign w:val="center"/>
          </w:tcPr>
          <w:p w14:paraId="57602973">
            <w:pPr>
              <w:keepLines w:val="0"/>
              <w:pageBreakBefore w:val="0"/>
              <w:widowControl w:val="0"/>
              <w:kinsoku/>
              <w:wordWrap/>
              <w:overflowPunct/>
              <w:topLinePunct w:val="0"/>
              <w:autoSpaceDE w:val="0"/>
              <w:autoSpaceDN w:val="0"/>
              <w:bidi w:val="0"/>
              <w:adjustRightInd w:val="0"/>
              <w:snapToGrid w:val="0"/>
              <w:spacing w:line="410" w:lineRule="exact"/>
              <w:ind w:firstLine="480" w:firstLineChars="200"/>
              <w:textAlignment w:val="auto"/>
              <w:rPr>
                <w:color w:val="auto"/>
                <w:kern w:val="0"/>
                <w:sz w:val="24"/>
                <w:highlight w:val="none"/>
              </w:rPr>
            </w:pPr>
            <w:r>
              <w:rPr>
                <w:rFonts w:hint="eastAsia"/>
                <w:color w:val="auto"/>
                <w:kern w:val="0"/>
                <w:sz w:val="24"/>
                <w:highlight w:val="none"/>
                <w:lang w:eastAsia="zh-CN"/>
              </w:rPr>
              <w:t>1.</w:t>
            </w:r>
            <w:r>
              <w:rPr>
                <w:color w:val="auto"/>
                <w:kern w:val="0"/>
                <w:sz w:val="24"/>
                <w:highlight w:val="none"/>
              </w:rPr>
              <w:t>与规划符合性分析</w:t>
            </w:r>
          </w:p>
          <w:p w14:paraId="6D871081">
            <w:pPr>
              <w:keepLines w:val="0"/>
              <w:pageBreakBefore w:val="0"/>
              <w:widowControl w:val="0"/>
              <w:kinsoku/>
              <w:wordWrap/>
              <w:overflowPunct/>
              <w:topLinePunct w:val="0"/>
              <w:autoSpaceDE w:val="0"/>
              <w:autoSpaceDN w:val="0"/>
              <w:bidi w:val="0"/>
              <w:adjustRightInd w:val="0"/>
              <w:snapToGrid w:val="0"/>
              <w:spacing w:line="410" w:lineRule="exact"/>
              <w:ind w:firstLine="480" w:firstLineChars="200"/>
              <w:textAlignment w:val="auto"/>
              <w:rPr>
                <w:color w:val="auto"/>
                <w:kern w:val="0"/>
                <w:sz w:val="24"/>
                <w:szCs w:val="24"/>
                <w:highlight w:val="none"/>
              </w:rPr>
            </w:pPr>
            <w:r>
              <w:rPr>
                <w:rFonts w:hint="eastAsia"/>
                <w:color w:val="auto"/>
                <w:sz w:val="24"/>
                <w:szCs w:val="24"/>
                <w:highlight w:val="none"/>
                <w:lang w:val="en-US" w:eastAsia="zh-CN"/>
              </w:rPr>
              <w:t>2023年，河北行唐经济开发区管理委员会组织编制完成</w:t>
            </w:r>
            <w:r>
              <w:rPr>
                <w:rFonts w:hint="eastAsia"/>
                <w:color w:val="auto"/>
                <w:sz w:val="24"/>
                <w:szCs w:val="24"/>
                <w:highlight w:val="none"/>
              </w:rPr>
              <w:t>《河北行唐经济开发区控制性详细规划》</w:t>
            </w:r>
            <w:r>
              <w:rPr>
                <w:rFonts w:hint="eastAsia"/>
                <w:color w:val="auto"/>
                <w:sz w:val="24"/>
                <w:szCs w:val="24"/>
                <w:highlight w:val="none"/>
                <w:lang w:eastAsia="zh-CN"/>
              </w:rPr>
              <w:t>，</w:t>
            </w:r>
            <w:r>
              <w:rPr>
                <w:rFonts w:hint="eastAsia"/>
                <w:color w:val="auto"/>
                <w:sz w:val="24"/>
                <w:szCs w:val="24"/>
                <w:highlight w:val="none"/>
                <w:lang w:val="en-US" w:eastAsia="zh-CN"/>
              </w:rPr>
              <w:t>该规划中</w:t>
            </w:r>
            <w:r>
              <w:rPr>
                <w:rFonts w:hint="eastAsia"/>
                <w:color w:val="auto"/>
                <w:sz w:val="24"/>
                <w:szCs w:val="24"/>
                <w:highlight w:val="none"/>
              </w:rPr>
              <w:t>河北行唐经济开发区分为南区和北区。南区范围东至</w:t>
            </w:r>
            <w:r>
              <w:rPr>
                <w:rFonts w:hint="eastAsia"/>
                <w:color w:val="auto"/>
                <w:sz w:val="24"/>
                <w:szCs w:val="24"/>
                <w:highlight w:val="none"/>
                <w:lang w:eastAsia="zh-CN"/>
              </w:rPr>
              <w:t>东留营村</w:t>
            </w:r>
            <w:r>
              <w:rPr>
                <w:rFonts w:hint="eastAsia"/>
                <w:color w:val="auto"/>
                <w:sz w:val="24"/>
                <w:szCs w:val="24"/>
                <w:highlight w:val="none"/>
              </w:rPr>
              <w:t>东，南至西正庄村北，西至京昆高速，北至西留营村，总用地面积9.2平方公里；开发区北区范围东至阳关村东，南至明旺乳业，西至郜河东岸，北至上方村北，总用地面积6.02平方公里。</w:t>
            </w:r>
            <w:r>
              <w:rPr>
                <w:color w:val="auto"/>
                <w:sz w:val="24"/>
                <w:szCs w:val="24"/>
                <w:highlight w:val="none"/>
              </w:rPr>
              <w:t>河北行唐经济开发区南区以先进装备制造、绿色建材产业为主导产业，北区以现代食品为主导产业。</w:t>
            </w:r>
            <w:r>
              <w:rPr>
                <w:rFonts w:hint="eastAsia"/>
                <w:bCs/>
                <w:color w:val="auto"/>
                <w:sz w:val="24"/>
                <w:szCs w:val="24"/>
                <w:highlight w:val="none"/>
              </w:rPr>
              <w:t>规划期限为2021年至20</w:t>
            </w:r>
            <w:r>
              <w:rPr>
                <w:rFonts w:hint="eastAsia"/>
                <w:bCs/>
                <w:color w:val="auto"/>
                <w:sz w:val="24"/>
                <w:szCs w:val="24"/>
                <w:highlight w:val="none"/>
                <w:lang w:val="en-US" w:eastAsia="zh-CN"/>
              </w:rPr>
              <w:t>35</w:t>
            </w:r>
            <w:r>
              <w:rPr>
                <w:rFonts w:hint="eastAsia"/>
                <w:bCs/>
                <w:color w:val="auto"/>
                <w:sz w:val="24"/>
                <w:szCs w:val="24"/>
                <w:highlight w:val="none"/>
              </w:rPr>
              <w:t>年，其中近期为2021年至2025年，远期为2026年至203</w:t>
            </w:r>
            <w:r>
              <w:rPr>
                <w:rFonts w:hint="eastAsia"/>
                <w:bCs/>
                <w:color w:val="auto"/>
                <w:sz w:val="24"/>
                <w:szCs w:val="24"/>
                <w:highlight w:val="none"/>
                <w:lang w:val="en-US" w:eastAsia="zh-CN"/>
              </w:rPr>
              <w:t>5</w:t>
            </w:r>
            <w:r>
              <w:rPr>
                <w:rFonts w:hint="eastAsia"/>
                <w:bCs/>
                <w:color w:val="auto"/>
                <w:sz w:val="24"/>
                <w:szCs w:val="24"/>
                <w:highlight w:val="none"/>
              </w:rPr>
              <w:t>年。</w:t>
            </w:r>
            <w:r>
              <w:rPr>
                <w:color w:val="auto"/>
                <w:kern w:val="0"/>
                <w:sz w:val="24"/>
                <w:szCs w:val="24"/>
                <w:highlight w:val="none"/>
              </w:rPr>
              <w:t>园区规划产业和发展方向详见表1</w:t>
            </w:r>
            <w:r>
              <w:rPr>
                <w:rFonts w:hint="eastAsia"/>
                <w:color w:val="auto"/>
                <w:kern w:val="0"/>
                <w:sz w:val="24"/>
                <w:szCs w:val="24"/>
                <w:highlight w:val="none"/>
              </w:rPr>
              <w:t>-1</w:t>
            </w:r>
            <w:r>
              <w:rPr>
                <w:color w:val="auto"/>
                <w:kern w:val="0"/>
                <w:sz w:val="24"/>
                <w:szCs w:val="24"/>
                <w:highlight w:val="none"/>
              </w:rPr>
              <w:t>。</w:t>
            </w:r>
          </w:p>
          <w:p w14:paraId="62B41E8A">
            <w:pPr>
              <w:keepLines w:val="0"/>
              <w:pageBreakBefore w:val="0"/>
              <w:widowControl w:val="0"/>
              <w:kinsoku/>
              <w:wordWrap/>
              <w:overflowPunct/>
              <w:topLinePunct w:val="0"/>
              <w:autoSpaceDE w:val="0"/>
              <w:autoSpaceDN w:val="0"/>
              <w:bidi w:val="0"/>
              <w:adjustRightInd w:val="0"/>
              <w:snapToGrid w:val="0"/>
              <w:spacing w:line="420" w:lineRule="exact"/>
              <w:ind w:firstLine="482" w:firstLineChars="200"/>
              <w:jc w:val="center"/>
              <w:textAlignment w:val="auto"/>
              <w:rPr>
                <w:b/>
                <w:bCs/>
                <w:color w:val="auto"/>
                <w:kern w:val="0"/>
                <w:szCs w:val="21"/>
                <w:highlight w:val="none"/>
              </w:rPr>
            </w:pPr>
            <w:r>
              <w:rPr>
                <w:b/>
                <w:bCs/>
                <w:color w:val="auto"/>
                <w:kern w:val="0"/>
                <w:sz w:val="24"/>
                <w:szCs w:val="24"/>
                <w:highlight w:val="none"/>
              </w:rPr>
              <w:t>表1</w:t>
            </w:r>
            <w:r>
              <w:rPr>
                <w:rFonts w:hint="eastAsia"/>
                <w:b/>
                <w:bCs/>
                <w:color w:val="auto"/>
                <w:kern w:val="0"/>
                <w:sz w:val="24"/>
                <w:szCs w:val="24"/>
                <w:highlight w:val="none"/>
              </w:rPr>
              <w:t>-1</w:t>
            </w:r>
            <w:r>
              <w:rPr>
                <w:b/>
                <w:bCs/>
                <w:color w:val="auto"/>
                <w:kern w:val="0"/>
                <w:sz w:val="24"/>
                <w:szCs w:val="24"/>
                <w:highlight w:val="none"/>
              </w:rPr>
              <w:t xml:space="preserve">   规划产业和发展方向一览表</w:t>
            </w:r>
          </w:p>
          <w:tbl>
            <w:tblPr>
              <w:tblStyle w:val="34"/>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38"/>
              <w:gridCol w:w="643"/>
              <w:gridCol w:w="500"/>
              <w:gridCol w:w="651"/>
              <w:gridCol w:w="5266"/>
            </w:tblGrid>
            <w:tr w14:paraId="444A392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0" w:hRule="atLeast"/>
                <w:tblHeader/>
                <w:jc w:val="center"/>
              </w:trPr>
              <w:tc>
                <w:tcPr>
                  <w:tcW w:w="354" w:type="pct"/>
                  <w:noWrap w:val="0"/>
                  <w:vAlign w:val="center"/>
                </w:tcPr>
                <w:p w14:paraId="6EF9F234">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序号</w:t>
                  </w:r>
                </w:p>
              </w:tc>
              <w:tc>
                <w:tcPr>
                  <w:tcW w:w="423" w:type="pct"/>
                  <w:noWrap w:val="0"/>
                  <w:vAlign w:val="center"/>
                </w:tcPr>
                <w:p w14:paraId="72AA7127">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园区</w:t>
                  </w:r>
                </w:p>
              </w:tc>
              <w:tc>
                <w:tcPr>
                  <w:tcW w:w="757" w:type="pct"/>
                  <w:gridSpan w:val="2"/>
                  <w:noWrap w:val="0"/>
                  <w:vAlign w:val="center"/>
                </w:tcPr>
                <w:p w14:paraId="3792EF5A">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规划产业</w:t>
                  </w:r>
                </w:p>
              </w:tc>
              <w:tc>
                <w:tcPr>
                  <w:tcW w:w="3464" w:type="pct"/>
                  <w:noWrap w:val="0"/>
                  <w:vAlign w:val="center"/>
                </w:tcPr>
                <w:p w14:paraId="5647A688">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产业发展方向</w:t>
                  </w:r>
                </w:p>
              </w:tc>
            </w:tr>
            <w:tr w14:paraId="554E599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3D491287">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1</w:t>
                  </w:r>
                </w:p>
              </w:tc>
              <w:tc>
                <w:tcPr>
                  <w:tcW w:w="423" w:type="pct"/>
                  <w:vMerge w:val="restart"/>
                  <w:noWrap w:val="0"/>
                  <w:vAlign w:val="center"/>
                </w:tcPr>
                <w:p w14:paraId="6AEC93DF">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南区</w:t>
                  </w:r>
                </w:p>
              </w:tc>
              <w:tc>
                <w:tcPr>
                  <w:tcW w:w="329" w:type="pct"/>
                  <w:vMerge w:val="restart"/>
                  <w:noWrap w:val="0"/>
                  <w:vAlign w:val="center"/>
                </w:tcPr>
                <w:p w14:paraId="2CFEB1C4">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先进制造</w:t>
                  </w:r>
                </w:p>
              </w:tc>
              <w:tc>
                <w:tcPr>
                  <w:tcW w:w="427" w:type="pct"/>
                  <w:noWrap w:val="0"/>
                  <w:vAlign w:val="center"/>
                </w:tcPr>
                <w:p w14:paraId="622A38AB">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装备</w:t>
                  </w:r>
                </w:p>
                <w:p w14:paraId="1C6191C0">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制造</w:t>
                  </w:r>
                </w:p>
              </w:tc>
              <w:tc>
                <w:tcPr>
                  <w:tcW w:w="3464" w:type="pct"/>
                  <w:noWrap w:val="0"/>
                  <w:vAlign w:val="center"/>
                </w:tcPr>
                <w:p w14:paraId="24F77B21">
                  <w:pPr>
                    <w:pStyle w:val="129"/>
                    <w:keepNext w:val="0"/>
                    <w:keepLines w:val="0"/>
                    <w:pageBreakBefore w:val="0"/>
                    <w:widowControl w:val="0"/>
                    <w:kinsoku/>
                    <w:wordWrap/>
                    <w:overflowPunct/>
                    <w:topLinePunct w:val="0"/>
                    <w:autoSpaceDE/>
                    <w:autoSpaceDN/>
                    <w:bidi w:val="0"/>
                    <w:adjustRightInd/>
                    <w:snapToGrid w:val="0"/>
                    <w:spacing w:line="320" w:lineRule="exact"/>
                    <w:jc w:val="left"/>
                    <w:textAlignment w:val="auto"/>
                    <w:rPr>
                      <w:color w:val="auto"/>
                      <w:highlight w:val="none"/>
                    </w:rPr>
                  </w:pPr>
                  <w:r>
                    <w:rPr>
                      <w:color w:val="auto"/>
                      <w:highlight w:val="none"/>
                    </w:rPr>
                    <w:t>重点发展机械装备制造，包括阀门、泵业、农机设备等制造，以及智能家居制造，包括智能家电、智能机器人及配件等制造。</w:t>
                  </w:r>
                </w:p>
              </w:tc>
            </w:tr>
            <w:tr w14:paraId="3D344CB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58747A31">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2</w:t>
                  </w:r>
                </w:p>
              </w:tc>
              <w:tc>
                <w:tcPr>
                  <w:tcW w:w="423" w:type="pct"/>
                  <w:vMerge w:val="continue"/>
                  <w:noWrap w:val="0"/>
                  <w:vAlign w:val="center"/>
                </w:tcPr>
                <w:p w14:paraId="23F733A5">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p>
              </w:tc>
              <w:tc>
                <w:tcPr>
                  <w:tcW w:w="329" w:type="pct"/>
                  <w:vMerge w:val="continue"/>
                  <w:noWrap w:val="0"/>
                  <w:vAlign w:val="center"/>
                </w:tcPr>
                <w:p w14:paraId="6224DF6C">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p>
              </w:tc>
              <w:tc>
                <w:tcPr>
                  <w:tcW w:w="427" w:type="pct"/>
                  <w:noWrap w:val="0"/>
                  <w:vAlign w:val="center"/>
                </w:tcPr>
                <w:p w14:paraId="14E905A1">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绿色</w:t>
                  </w:r>
                </w:p>
                <w:p w14:paraId="5C857EBB">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建材</w:t>
                  </w:r>
                </w:p>
              </w:tc>
              <w:tc>
                <w:tcPr>
                  <w:tcW w:w="3464" w:type="pct"/>
                  <w:noWrap w:val="0"/>
                  <w:vAlign w:val="center"/>
                </w:tcPr>
                <w:p w14:paraId="65C99246">
                  <w:pPr>
                    <w:pStyle w:val="129"/>
                    <w:keepNext w:val="0"/>
                    <w:keepLines w:val="0"/>
                    <w:pageBreakBefore w:val="0"/>
                    <w:widowControl w:val="0"/>
                    <w:kinsoku/>
                    <w:wordWrap/>
                    <w:overflowPunct/>
                    <w:topLinePunct w:val="0"/>
                    <w:autoSpaceDE/>
                    <w:autoSpaceDN/>
                    <w:bidi w:val="0"/>
                    <w:adjustRightInd/>
                    <w:snapToGrid w:val="0"/>
                    <w:spacing w:line="320" w:lineRule="exact"/>
                    <w:jc w:val="left"/>
                    <w:textAlignment w:val="auto"/>
                    <w:rPr>
                      <w:color w:val="auto"/>
                      <w:highlight w:val="none"/>
                    </w:rPr>
                  </w:pPr>
                  <w:r>
                    <w:rPr>
                      <w:color w:val="auto"/>
                      <w:highlight w:val="none"/>
                    </w:rPr>
                    <w:t>重点发展玻璃、节能环保建材、装配式建筑材料及配件等生产</w:t>
                  </w:r>
                  <w:r>
                    <w:rPr>
                      <w:rFonts w:hint="eastAsia"/>
                      <w:color w:val="auto"/>
                      <w:highlight w:val="none"/>
                    </w:rPr>
                    <w:t>，以及玻璃深加工</w:t>
                  </w:r>
                  <w:r>
                    <w:rPr>
                      <w:color w:val="auto"/>
                      <w:highlight w:val="none"/>
                    </w:rPr>
                    <w:t>。</w:t>
                  </w:r>
                </w:p>
              </w:tc>
            </w:tr>
            <w:tr w14:paraId="299A41C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12601E1D">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3</w:t>
                  </w:r>
                </w:p>
              </w:tc>
              <w:tc>
                <w:tcPr>
                  <w:tcW w:w="423" w:type="pct"/>
                  <w:vMerge w:val="continue"/>
                  <w:noWrap w:val="0"/>
                  <w:vAlign w:val="center"/>
                </w:tcPr>
                <w:p w14:paraId="3A9CFD34">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p>
              </w:tc>
              <w:tc>
                <w:tcPr>
                  <w:tcW w:w="757" w:type="pct"/>
                  <w:gridSpan w:val="2"/>
                  <w:noWrap w:val="0"/>
                  <w:vAlign w:val="center"/>
                </w:tcPr>
                <w:p w14:paraId="2B3CE3A1">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健康产业</w:t>
                  </w:r>
                </w:p>
              </w:tc>
              <w:tc>
                <w:tcPr>
                  <w:tcW w:w="3464" w:type="pct"/>
                  <w:noWrap w:val="0"/>
                  <w:vAlign w:val="center"/>
                </w:tcPr>
                <w:p w14:paraId="722A7B77">
                  <w:pPr>
                    <w:pStyle w:val="129"/>
                    <w:keepNext w:val="0"/>
                    <w:keepLines w:val="0"/>
                    <w:pageBreakBefore w:val="0"/>
                    <w:widowControl w:val="0"/>
                    <w:kinsoku/>
                    <w:wordWrap/>
                    <w:overflowPunct/>
                    <w:topLinePunct w:val="0"/>
                    <w:autoSpaceDE/>
                    <w:autoSpaceDN/>
                    <w:bidi w:val="0"/>
                    <w:adjustRightInd/>
                    <w:snapToGrid w:val="0"/>
                    <w:spacing w:line="320" w:lineRule="exact"/>
                    <w:jc w:val="left"/>
                    <w:textAlignment w:val="auto"/>
                    <w:rPr>
                      <w:color w:val="auto"/>
                      <w:highlight w:val="none"/>
                    </w:rPr>
                  </w:pPr>
                  <w:r>
                    <w:rPr>
                      <w:color w:val="auto"/>
                      <w:highlight w:val="none"/>
                    </w:rPr>
                    <w:t>重点发展中药材、保健品等。</w:t>
                  </w:r>
                </w:p>
              </w:tc>
            </w:tr>
            <w:tr w14:paraId="6181C02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0196EF34">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rFonts w:hint="eastAsia"/>
                      <w:color w:val="auto"/>
                      <w:highlight w:val="none"/>
                    </w:rPr>
                    <w:t>4</w:t>
                  </w:r>
                </w:p>
              </w:tc>
              <w:tc>
                <w:tcPr>
                  <w:tcW w:w="423" w:type="pct"/>
                  <w:vMerge w:val="continue"/>
                  <w:noWrap w:val="0"/>
                  <w:vAlign w:val="center"/>
                </w:tcPr>
                <w:p w14:paraId="31F97BFE">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p>
              </w:tc>
              <w:tc>
                <w:tcPr>
                  <w:tcW w:w="757" w:type="pct"/>
                  <w:gridSpan w:val="2"/>
                  <w:noWrap w:val="0"/>
                  <w:vAlign w:val="center"/>
                </w:tcPr>
                <w:p w14:paraId="503B7BA1">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rFonts w:hint="eastAsia"/>
                      <w:color w:val="auto"/>
                      <w:highlight w:val="none"/>
                    </w:rPr>
                    <w:t>包装印刷</w:t>
                  </w:r>
                </w:p>
              </w:tc>
              <w:tc>
                <w:tcPr>
                  <w:tcW w:w="3464" w:type="pct"/>
                  <w:noWrap w:val="0"/>
                  <w:vAlign w:val="center"/>
                </w:tcPr>
                <w:p w14:paraId="04FB7141">
                  <w:pPr>
                    <w:pStyle w:val="129"/>
                    <w:keepNext w:val="0"/>
                    <w:keepLines w:val="0"/>
                    <w:pageBreakBefore w:val="0"/>
                    <w:widowControl w:val="0"/>
                    <w:kinsoku/>
                    <w:wordWrap/>
                    <w:overflowPunct/>
                    <w:topLinePunct w:val="0"/>
                    <w:autoSpaceDE/>
                    <w:autoSpaceDN/>
                    <w:bidi w:val="0"/>
                    <w:adjustRightInd/>
                    <w:snapToGrid w:val="0"/>
                    <w:spacing w:line="320" w:lineRule="exact"/>
                    <w:jc w:val="left"/>
                    <w:textAlignment w:val="auto"/>
                    <w:rPr>
                      <w:color w:val="auto"/>
                      <w:highlight w:val="none"/>
                    </w:rPr>
                  </w:pPr>
                  <w:r>
                    <w:rPr>
                      <w:color w:val="auto"/>
                      <w:highlight w:val="none"/>
                    </w:rPr>
                    <w:t>主要发展包装材料</w:t>
                  </w:r>
                  <w:r>
                    <w:rPr>
                      <w:rFonts w:hint="eastAsia"/>
                      <w:color w:val="auto"/>
                      <w:highlight w:val="none"/>
                    </w:rPr>
                    <w:t>及印刷。</w:t>
                  </w:r>
                </w:p>
              </w:tc>
            </w:tr>
            <w:tr w14:paraId="6C7B96D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3E2545FF">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rFonts w:hint="eastAsia"/>
                      <w:color w:val="auto"/>
                      <w:highlight w:val="none"/>
                    </w:rPr>
                    <w:t>5</w:t>
                  </w:r>
                </w:p>
              </w:tc>
              <w:tc>
                <w:tcPr>
                  <w:tcW w:w="423" w:type="pct"/>
                  <w:vMerge w:val="continue"/>
                  <w:noWrap w:val="0"/>
                  <w:vAlign w:val="center"/>
                </w:tcPr>
                <w:p w14:paraId="4C23E419">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p>
              </w:tc>
              <w:tc>
                <w:tcPr>
                  <w:tcW w:w="757" w:type="pct"/>
                  <w:gridSpan w:val="2"/>
                  <w:noWrap w:val="0"/>
                  <w:vAlign w:val="center"/>
                </w:tcPr>
                <w:p w14:paraId="0684FF92">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rFonts w:hint="eastAsia"/>
                      <w:color w:val="auto"/>
                      <w:highlight w:val="none"/>
                    </w:rPr>
                    <w:t>家具制造</w:t>
                  </w:r>
                </w:p>
              </w:tc>
              <w:tc>
                <w:tcPr>
                  <w:tcW w:w="3464" w:type="pct"/>
                  <w:noWrap w:val="0"/>
                  <w:vAlign w:val="center"/>
                </w:tcPr>
                <w:p w14:paraId="60A9B549">
                  <w:pPr>
                    <w:pStyle w:val="129"/>
                    <w:keepNext w:val="0"/>
                    <w:keepLines w:val="0"/>
                    <w:pageBreakBefore w:val="0"/>
                    <w:widowControl w:val="0"/>
                    <w:kinsoku/>
                    <w:wordWrap/>
                    <w:overflowPunct/>
                    <w:topLinePunct w:val="0"/>
                    <w:autoSpaceDE/>
                    <w:autoSpaceDN/>
                    <w:bidi w:val="0"/>
                    <w:adjustRightInd/>
                    <w:snapToGrid w:val="0"/>
                    <w:spacing w:line="320" w:lineRule="exact"/>
                    <w:jc w:val="left"/>
                    <w:textAlignment w:val="auto"/>
                    <w:rPr>
                      <w:color w:val="auto"/>
                      <w:highlight w:val="none"/>
                    </w:rPr>
                  </w:pPr>
                  <w:r>
                    <w:rPr>
                      <w:color w:val="auto"/>
                      <w:highlight w:val="none"/>
                    </w:rPr>
                    <w:t>主要发展家具及板材制造</w:t>
                  </w:r>
                  <w:r>
                    <w:rPr>
                      <w:rFonts w:hint="eastAsia"/>
                      <w:color w:val="auto"/>
                      <w:highlight w:val="none"/>
                    </w:rPr>
                    <w:t>。</w:t>
                  </w:r>
                </w:p>
              </w:tc>
            </w:tr>
            <w:tr w14:paraId="437C6B8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4D290C24">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rFonts w:hint="eastAsia"/>
                      <w:color w:val="auto"/>
                      <w:highlight w:val="none"/>
                    </w:rPr>
                    <w:t>6</w:t>
                  </w:r>
                </w:p>
              </w:tc>
              <w:tc>
                <w:tcPr>
                  <w:tcW w:w="423" w:type="pct"/>
                  <w:vMerge w:val="continue"/>
                  <w:noWrap w:val="0"/>
                  <w:vAlign w:val="center"/>
                </w:tcPr>
                <w:p w14:paraId="570D711D">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p>
              </w:tc>
              <w:tc>
                <w:tcPr>
                  <w:tcW w:w="757" w:type="pct"/>
                  <w:gridSpan w:val="2"/>
                  <w:noWrap w:val="0"/>
                  <w:vAlign w:val="center"/>
                </w:tcPr>
                <w:p w14:paraId="1A3F6583">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color w:val="auto"/>
                      <w:highlight w:val="none"/>
                    </w:rPr>
                  </w:pPr>
                  <w:r>
                    <w:rPr>
                      <w:rFonts w:hint="eastAsia"/>
                      <w:color w:val="auto"/>
                      <w:highlight w:val="none"/>
                    </w:rPr>
                    <w:t>轻工产业</w:t>
                  </w:r>
                </w:p>
              </w:tc>
              <w:tc>
                <w:tcPr>
                  <w:tcW w:w="3464" w:type="pct"/>
                  <w:noWrap w:val="0"/>
                  <w:vAlign w:val="center"/>
                </w:tcPr>
                <w:p w14:paraId="6F219CE8">
                  <w:pPr>
                    <w:pStyle w:val="129"/>
                    <w:keepNext w:val="0"/>
                    <w:keepLines w:val="0"/>
                    <w:pageBreakBefore w:val="0"/>
                    <w:widowControl w:val="0"/>
                    <w:kinsoku/>
                    <w:wordWrap/>
                    <w:overflowPunct/>
                    <w:topLinePunct w:val="0"/>
                    <w:autoSpaceDE/>
                    <w:autoSpaceDN/>
                    <w:bidi w:val="0"/>
                    <w:adjustRightInd/>
                    <w:snapToGrid w:val="0"/>
                    <w:spacing w:line="320" w:lineRule="exact"/>
                    <w:jc w:val="left"/>
                    <w:textAlignment w:val="auto"/>
                    <w:rPr>
                      <w:color w:val="auto"/>
                      <w:highlight w:val="none"/>
                    </w:rPr>
                  </w:pPr>
                  <w:r>
                    <w:rPr>
                      <w:color w:val="auto"/>
                      <w:highlight w:val="none"/>
                    </w:rPr>
                    <w:t>主要发展鞋品及服装服饰制造、家居用品。</w:t>
                  </w:r>
                </w:p>
              </w:tc>
            </w:tr>
            <w:tr w14:paraId="4C65C39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085C1922">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7</w:t>
                  </w:r>
                </w:p>
              </w:tc>
              <w:tc>
                <w:tcPr>
                  <w:tcW w:w="423" w:type="pct"/>
                  <w:noWrap w:val="0"/>
                  <w:vAlign w:val="center"/>
                </w:tcPr>
                <w:p w14:paraId="2EC8C10F">
                  <w:pPr>
                    <w:pStyle w:val="129"/>
                    <w:keepNext w:val="0"/>
                    <w:keepLines w:val="0"/>
                    <w:pageBreakBefore w:val="0"/>
                    <w:widowControl w:val="0"/>
                    <w:kinsoku/>
                    <w:wordWrap/>
                    <w:overflowPunct/>
                    <w:topLinePunct w:val="0"/>
                    <w:autoSpaceDE/>
                    <w:autoSpaceDN/>
                    <w:bidi w:val="0"/>
                    <w:adjustRightInd/>
                    <w:snapToGrid w:val="0"/>
                    <w:spacing w:line="320" w:lineRule="exac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北区</w:t>
                  </w:r>
                </w:p>
              </w:tc>
              <w:tc>
                <w:tcPr>
                  <w:tcW w:w="757" w:type="pct"/>
                  <w:gridSpan w:val="2"/>
                  <w:noWrap w:val="0"/>
                  <w:vAlign w:val="center"/>
                </w:tcPr>
                <w:p w14:paraId="5ED245D8">
                  <w:pPr>
                    <w:pStyle w:val="129"/>
                    <w:keepNext w:val="0"/>
                    <w:keepLines w:val="0"/>
                    <w:pageBreakBefore w:val="0"/>
                    <w:widowControl w:val="0"/>
                    <w:kinsoku/>
                    <w:wordWrap/>
                    <w:overflowPunct/>
                    <w:topLinePunct w:val="0"/>
                    <w:autoSpaceDE/>
                    <w:autoSpaceDN/>
                    <w:bidi w:val="0"/>
                    <w:adjustRightInd/>
                    <w:snapToGrid w:val="0"/>
                    <w:spacing w:line="320" w:lineRule="exact"/>
                    <w:jc w:val="lef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现代食品</w:t>
                  </w:r>
                </w:p>
              </w:tc>
              <w:tc>
                <w:tcPr>
                  <w:tcW w:w="3464" w:type="pct"/>
                  <w:noWrap w:val="0"/>
                  <w:vAlign w:val="center"/>
                </w:tcPr>
                <w:p w14:paraId="17AA6F98">
                  <w:pPr>
                    <w:pStyle w:val="129"/>
                    <w:keepNext w:val="0"/>
                    <w:keepLines w:val="0"/>
                    <w:pageBreakBefore w:val="0"/>
                    <w:widowControl w:val="0"/>
                    <w:kinsoku/>
                    <w:wordWrap/>
                    <w:overflowPunct/>
                    <w:topLinePunct w:val="0"/>
                    <w:autoSpaceDE/>
                    <w:autoSpaceDN/>
                    <w:bidi w:val="0"/>
                    <w:adjustRightInd/>
                    <w:snapToGrid w:val="0"/>
                    <w:spacing w:line="320" w:lineRule="exact"/>
                    <w:jc w:val="lef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依托行唐县良好的农业条件和开发区北区现有的农产品加工产业基础，大力发展现代食品精深加工业。同时加快配套包装材料加工产业的发展，主要包括塑料类食品包装材料、金属类食品包装材料、纸质类食品包装材料、绿色食品包装材料、纳米食品包装材料的加工。</w:t>
                  </w:r>
                </w:p>
              </w:tc>
            </w:tr>
          </w:tbl>
          <w:p w14:paraId="77BE4EF2">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auto"/>
              <w:rPr>
                <w:rFonts w:hint="eastAsia"/>
                <w:bCs/>
                <w:color w:val="auto"/>
                <w:kern w:val="0"/>
                <w:sz w:val="24"/>
                <w:highlight w:val="none"/>
                <w:lang w:val="en-US" w:eastAsia="zh-CN"/>
              </w:rPr>
            </w:pPr>
            <w:r>
              <w:rPr>
                <w:rFonts w:hint="eastAsia"/>
                <w:bCs/>
                <w:color w:val="auto"/>
                <w:kern w:val="0"/>
                <w:sz w:val="24"/>
                <w:highlight w:val="none"/>
                <w:lang w:val="en-US" w:eastAsia="zh-CN"/>
              </w:rPr>
              <w:t>石家庄迎宏塑料制品有限公司年产量2万套塑料坐具、20000立方米泡沫板及包装项目位于隆泰家具2号车间。依 据“河北行唐经济开发区控制性详细规划 南区用地布局规划图”占地类型为二类工业用地。依据“河北行唐经济开发区控制性详细规划 南区产业布局规划图”，项目位于家具制造产业园内。项目</w:t>
            </w:r>
            <w:r>
              <w:rPr>
                <w:rFonts w:hint="eastAsia" w:cs="Times New Roman"/>
                <w:color w:val="auto"/>
                <w:sz w:val="24"/>
                <w:szCs w:val="24"/>
                <w:highlight w:val="none"/>
                <w:lang w:eastAsia="zh-CN"/>
              </w:rPr>
              <w:t>年产量2万套塑料坐具</w:t>
            </w:r>
            <w:r>
              <w:rPr>
                <w:rFonts w:hint="eastAsia" w:cs="Times New Roman"/>
                <w:color w:val="auto"/>
                <w:sz w:val="24"/>
                <w:szCs w:val="24"/>
                <w:highlight w:val="none"/>
                <w:lang w:val="en-US" w:eastAsia="zh-CN"/>
              </w:rPr>
              <w:t>属于家具制造C214塑料家具制造，</w:t>
            </w:r>
            <w:r>
              <w:rPr>
                <w:rFonts w:hint="eastAsia"/>
                <w:bCs/>
                <w:color w:val="auto"/>
                <w:kern w:val="0"/>
                <w:sz w:val="24"/>
                <w:highlight w:val="none"/>
                <w:lang w:val="en-US" w:eastAsia="zh-CN"/>
              </w:rPr>
              <w:t>符合园区产业规划，</w:t>
            </w:r>
            <w:r>
              <w:rPr>
                <w:rFonts w:hint="eastAsia" w:cs="Times New Roman"/>
                <w:color w:val="auto"/>
                <w:sz w:val="24"/>
                <w:szCs w:val="24"/>
                <w:highlight w:val="none"/>
                <w:lang w:val="en-US" w:eastAsia="zh-CN"/>
              </w:rPr>
              <w:t>且C2924未列入河北行唐经济开发区环境准入负面清单。</w:t>
            </w:r>
            <w:r>
              <w:rPr>
                <w:rFonts w:hint="eastAsia"/>
                <w:bCs/>
                <w:color w:val="auto"/>
                <w:kern w:val="0"/>
                <w:sz w:val="24"/>
                <w:highlight w:val="none"/>
                <w:lang w:val="en-US" w:eastAsia="zh-CN"/>
              </w:rPr>
              <w:t>河北行唐经济开发区管理委员会已出具关于年产量2万套塑料坐具、20000立方米泡沫板及包装项目的入园证明，证明本项目符合河北行唐经济开发区用地规划和产业定位规划（详见附件）。故项目符合河北行唐经济开发区控制性详细规划。</w:t>
            </w:r>
          </w:p>
          <w:p w14:paraId="207BABB6">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auto"/>
              <w:rPr>
                <w:color w:val="auto"/>
                <w:kern w:val="0"/>
                <w:sz w:val="24"/>
                <w:highlight w:val="none"/>
              </w:rPr>
            </w:pPr>
            <w:r>
              <w:rPr>
                <w:rFonts w:hint="eastAsia"/>
                <w:color w:val="auto"/>
                <w:kern w:val="0"/>
                <w:sz w:val="24"/>
                <w:highlight w:val="none"/>
                <w:lang w:eastAsia="zh-CN"/>
              </w:rPr>
              <w:t>2.</w:t>
            </w:r>
            <w:r>
              <w:rPr>
                <w:color w:val="auto"/>
                <w:kern w:val="0"/>
                <w:sz w:val="24"/>
                <w:highlight w:val="none"/>
              </w:rPr>
              <w:t>与规划环境影响评价结论符合性分析</w:t>
            </w:r>
          </w:p>
          <w:p w14:paraId="1B0F34D6">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auto"/>
              <w:rPr>
                <w:color w:val="auto"/>
                <w:kern w:val="0"/>
                <w:sz w:val="24"/>
                <w:highlight w:val="none"/>
              </w:rPr>
            </w:pPr>
            <w:r>
              <w:rPr>
                <w:color w:val="auto"/>
                <w:kern w:val="0"/>
                <w:sz w:val="24"/>
                <w:highlight w:val="none"/>
              </w:rPr>
              <w:t>规划环境影响评价结论：</w:t>
            </w:r>
            <w:r>
              <w:rPr>
                <w:rFonts w:hint="eastAsia"/>
                <w:color w:val="auto"/>
                <w:kern w:val="0"/>
                <w:sz w:val="24"/>
                <w:highlight w:val="none"/>
              </w:rPr>
              <w:t>河北行唐经济开发区控制性详细规划注重经济建设与环境保护的协调发展，在落实本环评中提出的优化调整建议及环境影响减缓对策和措施、采纳公众参与意见的前提下，从环保角度分析，规划的实施对当地经济和环境保护协调发展具有重要指导作用，规划方案可行。</w:t>
            </w:r>
          </w:p>
          <w:p w14:paraId="0B1B2421">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auto"/>
              <w:rPr>
                <w:rFonts w:hint="eastAsia"/>
                <w:color w:val="auto"/>
                <w:sz w:val="24"/>
                <w:highlight w:val="none"/>
                <w:lang w:eastAsia="zh-CN"/>
              </w:rPr>
            </w:pPr>
            <w:r>
              <w:rPr>
                <w:rFonts w:hint="eastAsia" w:cs="Times New Roman"/>
                <w:bCs/>
                <w:color w:val="auto"/>
                <w:sz w:val="24"/>
                <w:highlight w:val="none"/>
                <w:lang w:val="en-US" w:eastAsia="zh-CN"/>
              </w:rPr>
              <w:t>石家庄迎宏塑料制品有限公司年产量2万套塑料坐具、20000立方米泡沫板及包装项目</w:t>
            </w:r>
            <w:r>
              <w:rPr>
                <w:color w:val="auto"/>
                <w:sz w:val="24"/>
                <w:highlight w:val="none"/>
              </w:rPr>
              <w:t>，</w:t>
            </w:r>
            <w:r>
              <w:rPr>
                <w:rFonts w:hint="eastAsia"/>
                <w:color w:val="auto"/>
                <w:sz w:val="24"/>
                <w:highlight w:val="none"/>
              </w:rPr>
              <w:t>符合国家和地方产业政策要求，符合园区规划和区域“三线一单”要求</w:t>
            </w:r>
            <w:r>
              <w:rPr>
                <w:rFonts w:hint="eastAsia"/>
                <w:color w:val="auto"/>
                <w:sz w:val="24"/>
                <w:highlight w:val="none"/>
                <w:lang w:eastAsia="zh-CN"/>
              </w:rPr>
              <w:t>。</w:t>
            </w:r>
          </w:p>
          <w:p w14:paraId="28B88E92">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highlight w:val="none"/>
                <w:lang w:val="en-US" w:eastAsia="zh-CN"/>
              </w:rPr>
            </w:pPr>
            <w:r>
              <w:rPr>
                <w:rFonts w:hint="eastAsia"/>
                <w:color w:val="auto"/>
                <w:sz w:val="24"/>
                <w:highlight w:val="none"/>
                <w:lang w:val="en-US" w:eastAsia="zh-CN"/>
              </w:rPr>
              <w:t>项目为</w:t>
            </w:r>
            <w:r>
              <w:rPr>
                <w:rFonts w:hint="eastAsia" w:cs="Times New Roman"/>
                <w:color w:val="auto"/>
                <w:sz w:val="24"/>
                <w:szCs w:val="24"/>
                <w:highlight w:val="none"/>
                <w:lang w:eastAsia="zh-CN"/>
              </w:rPr>
              <w:t>塑料坐具</w:t>
            </w:r>
            <w:r>
              <w:rPr>
                <w:rFonts w:hint="eastAsia" w:cs="Times New Roman"/>
                <w:color w:val="auto"/>
                <w:sz w:val="24"/>
                <w:szCs w:val="24"/>
                <w:highlight w:val="none"/>
                <w:lang w:val="en-US" w:eastAsia="zh-CN"/>
              </w:rPr>
              <w:t>及</w:t>
            </w:r>
            <w:r>
              <w:rPr>
                <w:rFonts w:hint="eastAsia" w:cs="Times New Roman"/>
                <w:color w:val="auto"/>
                <w:sz w:val="24"/>
                <w:szCs w:val="24"/>
                <w:highlight w:val="none"/>
                <w:lang w:eastAsia="zh-CN"/>
              </w:rPr>
              <w:t>泡沫板</w:t>
            </w:r>
            <w:r>
              <w:rPr>
                <w:rFonts w:hint="eastAsia" w:cs="Times New Roman"/>
                <w:color w:val="auto"/>
                <w:sz w:val="24"/>
                <w:szCs w:val="24"/>
                <w:highlight w:val="none"/>
                <w:lang w:val="en-US" w:eastAsia="zh-CN"/>
              </w:rPr>
              <w:t>及包装</w:t>
            </w:r>
            <w:r>
              <w:rPr>
                <w:rFonts w:hint="eastAsia"/>
                <w:color w:val="auto"/>
                <w:sz w:val="24"/>
                <w:highlight w:val="none"/>
                <w:lang w:val="en-US" w:eastAsia="zh-CN"/>
              </w:rPr>
              <w:t>制造，废气主要为挥发性有机物及恶臭气体。项目使用</w:t>
            </w:r>
            <w:r>
              <w:rPr>
                <w:rFonts w:hint="eastAsia"/>
                <w:color w:val="auto"/>
                <w:highlight w:val="none"/>
                <w:lang w:eastAsia="zh-CN"/>
              </w:rPr>
              <w:t>“</w:t>
            </w:r>
            <w:r>
              <w:rPr>
                <w:rFonts w:hint="eastAsia"/>
                <w:bCs/>
                <w:color w:val="auto"/>
                <w:sz w:val="24"/>
                <w:highlight w:val="none"/>
                <w:lang w:val="en-US" w:eastAsia="zh-CN"/>
              </w:rPr>
              <w:t>活性炭吸附/脱附-催化燃烧</w:t>
            </w:r>
            <w:r>
              <w:rPr>
                <w:rFonts w:hint="eastAsia"/>
                <w:color w:val="auto"/>
                <w:highlight w:val="none"/>
                <w:lang w:eastAsia="zh-CN"/>
              </w:rPr>
              <w:t>”</w:t>
            </w:r>
            <w:r>
              <w:rPr>
                <w:rFonts w:hint="eastAsia"/>
                <w:bCs/>
                <w:color w:val="auto"/>
                <w:sz w:val="24"/>
                <w:highlight w:val="none"/>
              </w:rPr>
              <w:t>设备</w:t>
            </w:r>
            <w:r>
              <w:rPr>
                <w:rFonts w:hint="eastAsia"/>
                <w:bCs/>
                <w:color w:val="auto"/>
                <w:sz w:val="24"/>
                <w:highlight w:val="none"/>
                <w:lang w:val="en-US" w:eastAsia="zh-CN"/>
              </w:rPr>
              <w:t>处理</w:t>
            </w:r>
            <w:r>
              <w:rPr>
                <w:rFonts w:hint="eastAsia"/>
                <w:color w:val="auto"/>
                <w:sz w:val="24"/>
                <w:highlight w:val="none"/>
                <w:lang w:val="en-US" w:eastAsia="zh-CN"/>
              </w:rPr>
              <w:t>挥发性有机物（以非甲烷总烃计）及恶臭气体</w:t>
            </w:r>
            <w:r>
              <w:rPr>
                <w:rFonts w:hint="eastAsia"/>
                <w:bCs/>
                <w:color w:val="auto"/>
                <w:sz w:val="24"/>
                <w:highlight w:val="none"/>
                <w:lang w:val="en-US" w:eastAsia="zh-CN"/>
              </w:rPr>
              <w:t>，</w:t>
            </w:r>
            <w:r>
              <w:rPr>
                <w:rFonts w:hint="eastAsia"/>
                <w:color w:val="auto"/>
                <w:sz w:val="24"/>
                <w:szCs w:val="24"/>
                <w:highlight w:val="none"/>
                <w:lang w:val="en-US" w:eastAsia="zh-CN"/>
              </w:rPr>
              <w:t>处理效率高，</w:t>
            </w:r>
            <w:r>
              <w:rPr>
                <w:rFonts w:hint="eastAsia"/>
                <w:color w:val="auto"/>
                <w:sz w:val="24"/>
                <w:highlight w:val="none"/>
                <w:lang w:val="en-US" w:eastAsia="zh-CN"/>
              </w:rPr>
              <w:t>对周围</w:t>
            </w:r>
            <w:r>
              <w:rPr>
                <w:bCs/>
                <w:color w:val="auto"/>
                <w:spacing w:val="-4"/>
                <w:sz w:val="24"/>
                <w:highlight w:val="none"/>
              </w:rPr>
              <w:t>环境影响较小。</w:t>
            </w:r>
            <w:r>
              <w:rPr>
                <w:rFonts w:hint="eastAsia"/>
                <w:bCs/>
                <w:color w:val="auto"/>
                <w:spacing w:val="-4"/>
                <w:sz w:val="24"/>
                <w:highlight w:val="none"/>
              </w:rPr>
              <w:t>仅职工</w:t>
            </w:r>
            <w:r>
              <w:rPr>
                <w:rFonts w:hint="eastAsia"/>
                <w:bCs/>
                <w:color w:val="auto"/>
                <w:spacing w:val="-4"/>
                <w:sz w:val="24"/>
                <w:highlight w:val="none"/>
                <w:lang w:val="en-US" w:eastAsia="zh-CN"/>
              </w:rPr>
              <w:t>生活</w:t>
            </w:r>
            <w:r>
              <w:rPr>
                <w:rFonts w:hint="eastAsia"/>
                <w:bCs/>
                <w:color w:val="auto"/>
                <w:spacing w:val="-4"/>
                <w:sz w:val="24"/>
                <w:highlight w:val="none"/>
                <w:lang w:eastAsia="zh-CN"/>
              </w:rPr>
              <w:t>废水</w:t>
            </w:r>
            <w:r>
              <w:rPr>
                <w:rFonts w:hint="eastAsia"/>
                <w:bCs/>
                <w:color w:val="auto"/>
                <w:spacing w:val="-4"/>
                <w:sz w:val="24"/>
                <w:highlight w:val="none"/>
              </w:rPr>
              <w:t>。盥洗废水泼洒抑尘、厂区设防渗旱厕，定期清掏，不外排</w:t>
            </w:r>
            <w:r>
              <w:rPr>
                <w:rFonts w:hint="eastAsia" w:ascii="Times New Roman" w:hAnsi="Times New Roman" w:eastAsia="宋体" w:cs="Times New Roman"/>
                <w:color w:val="auto"/>
                <w:sz w:val="24"/>
                <w:highlight w:val="none"/>
                <w:lang w:val="en-US" w:eastAsia="zh-CN"/>
              </w:rPr>
              <w:t>，对地表水环境影响较小。</w:t>
            </w:r>
            <w:r>
              <w:rPr>
                <w:rFonts w:hint="eastAsia" w:cs="Times New Roman"/>
                <w:color w:val="auto"/>
                <w:sz w:val="24"/>
                <w:highlight w:val="none"/>
                <w:lang w:val="en-US" w:eastAsia="zh-CN"/>
              </w:rPr>
              <w:t>项目主要固体废物为废包装、边角料、不合格产品及废气治理设备产生的活性炭及废气</w:t>
            </w:r>
            <w:r>
              <w:rPr>
                <w:rFonts w:hint="eastAsia"/>
                <w:color w:val="auto"/>
                <w:sz w:val="24"/>
                <w:highlight w:val="none"/>
                <w:lang w:val="en-US" w:eastAsia="zh-CN"/>
              </w:rPr>
              <w:t>挥发性有机物（以非甲烷总烃计）</w:t>
            </w:r>
            <w:r>
              <w:rPr>
                <w:rFonts w:hint="eastAsia" w:ascii="Times New Roman" w:hAnsi="Times New Roman" w:eastAsia="宋体" w:cs="Times New Roman"/>
                <w:color w:val="auto"/>
                <w:sz w:val="24"/>
                <w:highlight w:val="none"/>
                <w:lang w:val="en-US" w:eastAsia="zh-CN"/>
              </w:rPr>
              <w:t>对地下水、土壤环境几乎无影响；项目噪声排放主要为</w:t>
            </w:r>
            <w:r>
              <w:rPr>
                <w:rFonts w:hint="eastAsia" w:cs="Times New Roman"/>
                <w:color w:val="auto"/>
                <w:sz w:val="24"/>
                <w:highlight w:val="none"/>
                <w:lang w:val="en-US" w:eastAsia="zh-CN"/>
              </w:rPr>
              <w:t>发泡机、成型机、</w:t>
            </w:r>
            <w:r>
              <w:rPr>
                <w:rFonts w:hint="eastAsia" w:cs="Times New Roman"/>
                <w:b w:val="0"/>
                <w:bCs/>
                <w:color w:val="auto"/>
                <w:kern w:val="0"/>
                <w:sz w:val="24"/>
                <w:szCs w:val="24"/>
                <w:highlight w:val="none"/>
                <w:vertAlign w:val="baseline"/>
                <w:lang w:val="en-US" w:eastAsia="zh-CN"/>
              </w:rPr>
              <w:t>水泵及空压机、风机等运转噪声</w:t>
            </w:r>
            <w:r>
              <w:rPr>
                <w:rFonts w:hint="eastAsia" w:ascii="Times New Roman" w:hAnsi="Times New Roman" w:eastAsia="宋体" w:cs="Times New Roman"/>
                <w:color w:val="auto"/>
                <w:sz w:val="24"/>
                <w:highlight w:val="none"/>
                <w:lang w:val="en-US" w:eastAsia="zh-CN"/>
              </w:rPr>
              <w:t>，噪声较低，采取</w:t>
            </w:r>
            <w:r>
              <w:rPr>
                <w:rFonts w:hint="eastAsia" w:cs="Times New Roman"/>
                <w:color w:val="auto"/>
                <w:sz w:val="24"/>
                <w:highlight w:val="none"/>
                <w:lang w:val="en-US" w:eastAsia="zh-CN"/>
              </w:rPr>
              <w:t>选用低噪声设备、距离衰减、墙体隔声等</w:t>
            </w:r>
            <w:r>
              <w:rPr>
                <w:rFonts w:hint="eastAsia" w:ascii="Times New Roman" w:hAnsi="Times New Roman" w:eastAsia="宋体" w:cs="Times New Roman"/>
                <w:color w:val="auto"/>
                <w:sz w:val="24"/>
                <w:highlight w:val="none"/>
                <w:lang w:val="en-US" w:eastAsia="zh-CN"/>
              </w:rPr>
              <w:t>措施</w:t>
            </w:r>
            <w:r>
              <w:rPr>
                <w:rFonts w:hint="eastAsia" w:cs="Times New Roman"/>
                <w:color w:val="auto"/>
                <w:sz w:val="24"/>
                <w:highlight w:val="none"/>
                <w:lang w:val="en-US" w:eastAsia="zh-CN"/>
              </w:rPr>
              <w:t>后</w:t>
            </w:r>
            <w:r>
              <w:rPr>
                <w:rFonts w:hint="eastAsia" w:ascii="Times New Roman" w:hAnsi="Times New Roman" w:eastAsia="宋体" w:cs="Times New Roman"/>
                <w:color w:val="auto"/>
                <w:sz w:val="24"/>
                <w:highlight w:val="none"/>
                <w:lang w:val="en-US" w:eastAsia="zh-CN"/>
              </w:rPr>
              <w:t>对声环境影响较小。项目通过空间设计等措施，发生环境事故的概率较小，发生突发环境事故后，环境影响亦在可控、可接受范围内。</w:t>
            </w:r>
          </w:p>
          <w:p w14:paraId="150EE6E4">
            <w:pPr>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bCs/>
                <w:color w:val="auto"/>
                <w:sz w:val="24"/>
                <w:highlight w:val="none"/>
              </w:rPr>
            </w:pPr>
            <w:r>
              <w:rPr>
                <w:rFonts w:hint="eastAsia"/>
                <w:bCs/>
                <w:color w:val="auto"/>
                <w:sz w:val="24"/>
                <w:highlight w:val="none"/>
                <w:lang w:eastAsia="zh-CN"/>
              </w:rPr>
              <w:t>3.</w:t>
            </w:r>
            <w:r>
              <w:rPr>
                <w:bCs/>
                <w:color w:val="auto"/>
                <w:sz w:val="24"/>
                <w:highlight w:val="none"/>
              </w:rPr>
              <w:t>与规划环评审查意见的符合性分析</w:t>
            </w:r>
          </w:p>
          <w:p w14:paraId="6CF9CCD1">
            <w:pPr>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color w:val="auto"/>
                <w:sz w:val="24"/>
                <w:highlight w:val="none"/>
              </w:rPr>
            </w:pPr>
            <w:r>
              <w:rPr>
                <w:rFonts w:hint="eastAsia"/>
                <w:color w:val="auto"/>
                <w:kern w:val="0"/>
                <w:sz w:val="24"/>
                <w:highlight w:val="none"/>
              </w:rPr>
              <w:t>与《</w:t>
            </w:r>
            <w:r>
              <w:rPr>
                <w:rFonts w:hint="eastAsia"/>
                <w:bCs/>
                <w:color w:val="auto"/>
                <w:sz w:val="24"/>
                <w:highlight w:val="none"/>
                <w:lang w:eastAsia="zh-CN"/>
              </w:rPr>
              <w:t>河北行唐经济开发区控制性详细规划环境影响报告书</w:t>
            </w:r>
            <w:r>
              <w:rPr>
                <w:color w:val="auto"/>
                <w:kern w:val="0"/>
                <w:sz w:val="24"/>
                <w:highlight w:val="none"/>
              </w:rPr>
              <w:t>》</w:t>
            </w:r>
            <w:r>
              <w:rPr>
                <w:rFonts w:hint="eastAsia"/>
                <w:color w:val="auto"/>
                <w:kern w:val="0"/>
                <w:sz w:val="24"/>
                <w:highlight w:val="none"/>
              </w:rPr>
              <w:t>审查意见</w:t>
            </w:r>
            <w:r>
              <w:rPr>
                <w:color w:val="auto"/>
                <w:kern w:val="0"/>
                <w:sz w:val="24"/>
                <w:highlight w:val="none"/>
              </w:rPr>
              <w:t>（</w:t>
            </w:r>
            <w:r>
              <w:rPr>
                <w:bCs/>
                <w:color w:val="auto"/>
                <w:kern w:val="0"/>
                <w:sz w:val="24"/>
                <w:highlight w:val="none"/>
              </w:rPr>
              <w:t>冀环</w:t>
            </w:r>
            <w:r>
              <w:rPr>
                <w:rFonts w:hint="eastAsia"/>
                <w:bCs/>
                <w:color w:val="auto"/>
                <w:kern w:val="0"/>
                <w:sz w:val="24"/>
                <w:highlight w:val="none"/>
              </w:rPr>
              <w:t>环</w:t>
            </w:r>
            <w:r>
              <w:rPr>
                <w:bCs/>
                <w:color w:val="auto"/>
                <w:kern w:val="0"/>
                <w:sz w:val="24"/>
                <w:highlight w:val="none"/>
              </w:rPr>
              <w:t>评函</w:t>
            </w:r>
            <w:r>
              <w:rPr>
                <w:rFonts w:hint="eastAsia"/>
                <w:bCs/>
                <w:color w:val="auto"/>
                <w:kern w:val="0"/>
                <w:sz w:val="24"/>
                <w:highlight w:val="none"/>
                <w:lang w:eastAsia="zh-CN"/>
              </w:rPr>
              <w:t>〔2023〕1177号</w:t>
            </w:r>
            <w:r>
              <w:rPr>
                <w:color w:val="auto"/>
                <w:kern w:val="0"/>
                <w:sz w:val="24"/>
                <w:highlight w:val="none"/>
              </w:rPr>
              <w:t>）</w:t>
            </w:r>
            <w:r>
              <w:rPr>
                <w:rFonts w:hint="eastAsia"/>
                <w:color w:val="auto"/>
                <w:sz w:val="24"/>
                <w:highlight w:val="none"/>
              </w:rPr>
              <w:t>符合性分析见</w:t>
            </w:r>
            <w:r>
              <w:rPr>
                <w:color w:val="auto"/>
                <w:sz w:val="24"/>
                <w:highlight w:val="none"/>
              </w:rPr>
              <w:t>下表。</w:t>
            </w:r>
          </w:p>
          <w:p w14:paraId="190CFC46">
            <w:pPr>
              <w:keepLines w:val="0"/>
              <w:pageBreakBefore w:val="0"/>
              <w:widowControl w:val="0"/>
              <w:kinsoku/>
              <w:wordWrap/>
              <w:overflowPunct/>
              <w:topLinePunct w:val="0"/>
              <w:autoSpaceDE w:val="0"/>
              <w:autoSpaceDN w:val="0"/>
              <w:bidi w:val="0"/>
              <w:spacing w:line="240" w:lineRule="auto"/>
              <w:ind w:firstLine="472" w:firstLineChars="196"/>
              <w:textAlignment w:val="auto"/>
              <w:rPr>
                <w:b/>
                <w:bCs/>
                <w:color w:val="auto"/>
                <w:sz w:val="24"/>
                <w:highlight w:val="none"/>
              </w:rPr>
            </w:pPr>
            <w:r>
              <w:rPr>
                <w:b/>
                <w:color w:val="auto"/>
                <w:kern w:val="0"/>
                <w:sz w:val="24"/>
                <w:highlight w:val="none"/>
                <w:lang w:bidi="ar"/>
              </w:rPr>
              <w:t>表1</w:t>
            </w:r>
            <w:r>
              <w:rPr>
                <w:rFonts w:hint="eastAsia"/>
                <w:b/>
                <w:color w:val="auto"/>
                <w:kern w:val="0"/>
                <w:sz w:val="24"/>
                <w:highlight w:val="none"/>
                <w:lang w:bidi="ar"/>
              </w:rPr>
              <w:t>-</w:t>
            </w:r>
            <w:r>
              <w:rPr>
                <w:rFonts w:hint="eastAsia"/>
                <w:b/>
                <w:color w:val="auto"/>
                <w:kern w:val="0"/>
                <w:sz w:val="24"/>
                <w:highlight w:val="none"/>
                <w:lang w:val="en-US" w:eastAsia="zh-CN" w:bidi="ar"/>
              </w:rPr>
              <w:t>2</w:t>
            </w:r>
            <w:r>
              <w:rPr>
                <w:b/>
                <w:color w:val="auto"/>
                <w:kern w:val="0"/>
                <w:sz w:val="24"/>
                <w:highlight w:val="none"/>
                <w:lang w:bidi="ar"/>
              </w:rPr>
              <w:t xml:space="preserve">    </w:t>
            </w:r>
            <w:r>
              <w:rPr>
                <w:rFonts w:hint="eastAsia"/>
                <w:b/>
                <w:color w:val="auto"/>
                <w:sz w:val="24"/>
                <w:highlight w:val="none"/>
                <w:lang w:eastAsia="zh-CN" w:bidi="ar"/>
              </w:rPr>
              <w:t>本项目</w:t>
            </w:r>
            <w:r>
              <w:rPr>
                <w:b/>
                <w:bCs/>
                <w:color w:val="auto"/>
                <w:sz w:val="24"/>
                <w:highlight w:val="none"/>
              </w:rPr>
              <w:t>与</w:t>
            </w:r>
            <w:r>
              <w:rPr>
                <w:rFonts w:hint="eastAsia"/>
                <w:b/>
                <w:bCs/>
                <w:color w:val="auto"/>
                <w:sz w:val="24"/>
                <w:highlight w:val="none"/>
              </w:rPr>
              <w:t>冀环环评函</w:t>
            </w:r>
            <w:r>
              <w:rPr>
                <w:rFonts w:hint="eastAsia"/>
                <w:b/>
                <w:bCs/>
                <w:color w:val="auto"/>
                <w:sz w:val="24"/>
                <w:highlight w:val="none"/>
                <w:lang w:eastAsia="zh-CN"/>
              </w:rPr>
              <w:t>〔2023〕1177号</w:t>
            </w:r>
            <w:r>
              <w:rPr>
                <w:b/>
                <w:bCs/>
                <w:color w:val="auto"/>
                <w:sz w:val="24"/>
                <w:highlight w:val="none"/>
              </w:rPr>
              <w:t>的符合性</w:t>
            </w:r>
          </w:p>
          <w:tbl>
            <w:tblPr>
              <w:tblStyle w:val="34"/>
              <w:tblW w:w="4996"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91"/>
              <w:gridCol w:w="3510"/>
              <w:gridCol w:w="2863"/>
              <w:gridCol w:w="631"/>
            </w:tblGrid>
            <w:tr w14:paraId="5D1E369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tcBorders>
                    <w:top w:val="single" w:color="auto" w:sz="4" w:space="0"/>
                    <w:bottom w:val="single" w:color="auto" w:sz="4" w:space="0"/>
                    <w:right w:val="single" w:color="auto" w:sz="4" w:space="0"/>
                  </w:tcBorders>
                  <w:noWrap w:val="0"/>
                  <w:vAlign w:val="center"/>
                </w:tcPr>
                <w:p w14:paraId="2AD9FCBD">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b/>
                      <w:bCs w:val="0"/>
                      <w:color w:val="auto"/>
                      <w:spacing w:val="-11"/>
                      <w:sz w:val="21"/>
                      <w:szCs w:val="21"/>
                      <w:highlight w:val="none"/>
                    </w:rPr>
                  </w:pPr>
                  <w:r>
                    <w:rPr>
                      <w:b/>
                      <w:bCs w:val="0"/>
                      <w:color w:val="auto"/>
                      <w:spacing w:val="-11"/>
                      <w:sz w:val="21"/>
                      <w:szCs w:val="21"/>
                      <w:highlight w:val="none"/>
                      <w:lang w:bidi="ar"/>
                    </w:rPr>
                    <w:t>序号</w:t>
                  </w:r>
                </w:p>
              </w:tc>
              <w:tc>
                <w:tcPr>
                  <w:tcW w:w="2310" w:type="pct"/>
                  <w:tcBorders>
                    <w:top w:val="single" w:color="auto" w:sz="4" w:space="0"/>
                    <w:left w:val="single" w:color="auto" w:sz="4" w:space="0"/>
                    <w:bottom w:val="single" w:color="auto" w:sz="4" w:space="0"/>
                    <w:right w:val="single" w:color="auto" w:sz="4" w:space="0"/>
                  </w:tcBorders>
                  <w:noWrap w:val="0"/>
                  <w:vAlign w:val="center"/>
                </w:tcPr>
                <w:p w14:paraId="7A273021">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b/>
                      <w:bCs w:val="0"/>
                      <w:color w:val="auto"/>
                      <w:spacing w:val="-11"/>
                      <w:kern w:val="0"/>
                      <w:sz w:val="21"/>
                      <w:szCs w:val="21"/>
                      <w:highlight w:val="none"/>
                      <w:lang w:bidi="ar"/>
                    </w:rPr>
                  </w:pPr>
                  <w:r>
                    <w:rPr>
                      <w:rFonts w:hint="eastAsia"/>
                      <w:b/>
                      <w:bCs w:val="0"/>
                      <w:color w:val="auto"/>
                      <w:spacing w:val="-11"/>
                      <w:kern w:val="0"/>
                      <w:sz w:val="21"/>
                      <w:szCs w:val="21"/>
                      <w:highlight w:val="none"/>
                    </w:rPr>
                    <w:t>冀环环评函</w:t>
                  </w:r>
                  <w:r>
                    <w:rPr>
                      <w:rFonts w:hint="eastAsia"/>
                      <w:b/>
                      <w:bCs w:val="0"/>
                      <w:color w:val="auto"/>
                      <w:spacing w:val="-11"/>
                      <w:kern w:val="0"/>
                      <w:sz w:val="21"/>
                      <w:szCs w:val="21"/>
                      <w:highlight w:val="none"/>
                      <w:lang w:eastAsia="zh-CN"/>
                    </w:rPr>
                    <w:t>〔2023〕1177号</w:t>
                  </w:r>
                  <w:r>
                    <w:rPr>
                      <w:b/>
                      <w:bCs w:val="0"/>
                      <w:color w:val="auto"/>
                      <w:spacing w:val="-11"/>
                      <w:kern w:val="0"/>
                      <w:sz w:val="21"/>
                      <w:szCs w:val="21"/>
                      <w:highlight w:val="none"/>
                      <w:lang w:bidi="ar"/>
                    </w:rPr>
                    <w:t>文件</w:t>
                  </w:r>
                </w:p>
              </w:tc>
              <w:tc>
                <w:tcPr>
                  <w:tcW w:w="1884" w:type="pct"/>
                  <w:tcBorders>
                    <w:top w:val="single" w:color="auto" w:sz="4" w:space="0"/>
                    <w:left w:val="single" w:color="auto" w:sz="4" w:space="0"/>
                    <w:bottom w:val="single" w:color="auto" w:sz="4" w:space="0"/>
                    <w:right w:val="single" w:color="auto" w:sz="4" w:space="0"/>
                  </w:tcBorders>
                  <w:noWrap w:val="0"/>
                  <w:vAlign w:val="center"/>
                </w:tcPr>
                <w:p w14:paraId="3380975B">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rFonts w:hint="eastAsia" w:eastAsia="宋体"/>
                      <w:b/>
                      <w:bCs w:val="0"/>
                      <w:color w:val="auto"/>
                      <w:spacing w:val="-11"/>
                      <w:kern w:val="0"/>
                      <w:sz w:val="21"/>
                      <w:szCs w:val="21"/>
                      <w:highlight w:val="none"/>
                      <w:lang w:eastAsia="zh-CN" w:bidi="ar"/>
                    </w:rPr>
                  </w:pPr>
                  <w:r>
                    <w:rPr>
                      <w:rFonts w:hint="eastAsia"/>
                      <w:b/>
                      <w:bCs w:val="0"/>
                      <w:color w:val="auto"/>
                      <w:spacing w:val="-11"/>
                      <w:kern w:val="0"/>
                      <w:sz w:val="21"/>
                      <w:szCs w:val="21"/>
                      <w:highlight w:val="none"/>
                      <w:lang w:eastAsia="zh-CN" w:bidi="ar"/>
                    </w:rPr>
                    <w:t>本项目</w:t>
                  </w:r>
                </w:p>
              </w:tc>
              <w:tc>
                <w:tcPr>
                  <w:tcW w:w="415" w:type="pct"/>
                  <w:tcBorders>
                    <w:top w:val="single" w:color="auto" w:sz="4" w:space="0"/>
                    <w:left w:val="single" w:color="auto" w:sz="4" w:space="0"/>
                    <w:bottom w:val="single" w:color="auto" w:sz="4" w:space="0"/>
                  </w:tcBorders>
                  <w:noWrap w:val="0"/>
                  <w:vAlign w:val="center"/>
                </w:tcPr>
                <w:p w14:paraId="46710662">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b/>
                      <w:bCs w:val="0"/>
                      <w:color w:val="auto"/>
                      <w:spacing w:val="-11"/>
                      <w:sz w:val="21"/>
                      <w:szCs w:val="21"/>
                      <w:highlight w:val="none"/>
                    </w:rPr>
                  </w:pPr>
                  <w:r>
                    <w:rPr>
                      <w:b/>
                      <w:bCs w:val="0"/>
                      <w:color w:val="auto"/>
                      <w:spacing w:val="-11"/>
                      <w:sz w:val="21"/>
                      <w:szCs w:val="21"/>
                      <w:highlight w:val="none"/>
                      <w:lang w:bidi="ar"/>
                    </w:rPr>
                    <w:t>符合性</w:t>
                  </w:r>
                </w:p>
              </w:tc>
            </w:tr>
            <w:tr w14:paraId="2CAE221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89" w:type="pct"/>
                  <w:tcBorders>
                    <w:top w:val="single" w:color="auto" w:sz="4" w:space="0"/>
                    <w:bottom w:val="single" w:color="auto" w:sz="4" w:space="0"/>
                    <w:right w:val="single" w:color="auto" w:sz="4" w:space="0"/>
                  </w:tcBorders>
                  <w:noWrap w:val="0"/>
                  <w:vAlign w:val="center"/>
                </w:tcPr>
                <w:p w14:paraId="6D7A7109">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bCs/>
                      <w:color w:val="auto"/>
                      <w:spacing w:val="-11"/>
                      <w:sz w:val="21"/>
                      <w:szCs w:val="21"/>
                      <w:highlight w:val="none"/>
                      <w:lang w:bidi="ar"/>
                    </w:rPr>
                  </w:pPr>
                  <w:r>
                    <w:rPr>
                      <w:bCs/>
                      <w:color w:val="auto"/>
                      <w:spacing w:val="-11"/>
                      <w:sz w:val="21"/>
                      <w:szCs w:val="21"/>
                      <w:highlight w:val="none"/>
                      <w:lang w:bidi="ar"/>
                    </w:rPr>
                    <w:t>1</w:t>
                  </w:r>
                </w:p>
              </w:tc>
              <w:tc>
                <w:tcPr>
                  <w:tcW w:w="2310" w:type="pct"/>
                  <w:tcBorders>
                    <w:top w:val="single" w:color="auto" w:sz="4" w:space="0"/>
                    <w:left w:val="single" w:color="auto" w:sz="4" w:space="0"/>
                    <w:bottom w:val="single" w:color="auto" w:sz="4" w:space="0"/>
                    <w:right w:val="single" w:color="auto" w:sz="4" w:space="0"/>
                  </w:tcBorders>
                  <w:noWrap w:val="0"/>
                  <w:vAlign w:val="center"/>
                </w:tcPr>
                <w:p w14:paraId="242A95DE">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rFonts w:hint="eastAsia" w:eastAsia="宋体"/>
                      <w:color w:val="auto"/>
                      <w:spacing w:val="-11"/>
                      <w:sz w:val="21"/>
                      <w:szCs w:val="21"/>
                      <w:highlight w:val="none"/>
                      <w:lang w:eastAsia="zh-CN"/>
                    </w:rPr>
                  </w:pPr>
                  <w:r>
                    <w:rPr>
                      <w:rFonts w:hint="eastAsia"/>
                      <w:color w:val="auto"/>
                      <w:spacing w:val="-11"/>
                      <w:sz w:val="21"/>
                      <w:szCs w:val="21"/>
                      <w:highlight w:val="none"/>
                    </w:rPr>
                    <w:t>落实国家、区域发展战略，坚持生态优先、提质增效，以生态环境质量改善为核心，做好与各级国土空间规划和“三线一单”生态环境分区管控体系的协调衔接，进一步优化《规划》布局、产业定位和发展规模</w:t>
                  </w:r>
                  <w:r>
                    <w:rPr>
                      <w:rFonts w:hint="eastAsia"/>
                      <w:color w:val="auto"/>
                      <w:spacing w:val="-11"/>
                      <w:sz w:val="21"/>
                      <w:szCs w:val="21"/>
                      <w:highlight w:val="none"/>
                      <w:lang w:eastAsia="zh-CN"/>
                    </w:rPr>
                    <w:t>。</w:t>
                  </w:r>
                </w:p>
              </w:tc>
              <w:tc>
                <w:tcPr>
                  <w:tcW w:w="1884" w:type="pct"/>
                  <w:tcBorders>
                    <w:top w:val="single" w:color="auto" w:sz="4" w:space="0"/>
                    <w:left w:val="single" w:color="auto" w:sz="4" w:space="0"/>
                    <w:bottom w:val="single" w:color="auto" w:sz="4" w:space="0"/>
                    <w:right w:val="single" w:color="auto" w:sz="4" w:space="0"/>
                  </w:tcBorders>
                  <w:noWrap w:val="0"/>
                  <w:vAlign w:val="center"/>
                </w:tcPr>
                <w:p w14:paraId="5C8D8989">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color w:val="auto"/>
                      <w:spacing w:val="-11"/>
                      <w:kern w:val="0"/>
                      <w:sz w:val="21"/>
                      <w:szCs w:val="21"/>
                      <w:highlight w:val="none"/>
                      <w:lang w:bidi="ar"/>
                    </w:rPr>
                  </w:pPr>
                  <w:r>
                    <w:rPr>
                      <w:rFonts w:hint="eastAsia"/>
                      <w:color w:val="auto"/>
                      <w:spacing w:val="-11"/>
                      <w:sz w:val="21"/>
                      <w:szCs w:val="21"/>
                      <w:highlight w:val="none"/>
                    </w:rPr>
                    <w:t>对照</w:t>
                  </w:r>
                  <w:r>
                    <w:rPr>
                      <w:rFonts w:hint="eastAsia"/>
                      <w:color w:val="auto"/>
                      <w:spacing w:val="-11"/>
                      <w:sz w:val="21"/>
                      <w:szCs w:val="21"/>
                      <w:highlight w:val="none"/>
                      <w:lang w:eastAsia="zh-CN"/>
                    </w:rPr>
                    <w:t>《产业结构调整指导目录（2024年本）》</w:t>
                  </w:r>
                  <w:r>
                    <w:rPr>
                      <w:rFonts w:hint="eastAsia"/>
                      <w:color w:val="auto"/>
                      <w:spacing w:val="-11"/>
                      <w:sz w:val="21"/>
                      <w:szCs w:val="21"/>
                      <w:highlight w:val="none"/>
                    </w:rPr>
                    <w:t>，</w:t>
                  </w:r>
                  <w:r>
                    <w:rPr>
                      <w:rFonts w:hint="eastAsia"/>
                      <w:color w:val="auto"/>
                      <w:spacing w:val="-11"/>
                      <w:sz w:val="21"/>
                      <w:szCs w:val="21"/>
                      <w:highlight w:val="none"/>
                      <w:lang w:val="en-US" w:eastAsia="zh-CN"/>
                    </w:rPr>
                    <w:t>本项目不属于</w:t>
                  </w:r>
                  <w:r>
                    <w:rPr>
                      <w:rFonts w:hint="default" w:ascii="Times New Roman" w:hAnsi="Times New Roman" w:cs="Times New Roman"/>
                      <w:b w:val="0"/>
                      <w:bCs w:val="0"/>
                      <w:color w:val="auto"/>
                      <w:spacing w:val="-11"/>
                      <w:sz w:val="21"/>
                      <w:szCs w:val="21"/>
                      <w:highlight w:val="none"/>
                      <w:lang w:val="en-US" w:eastAsia="zh-CN"/>
                    </w:rPr>
                    <w:t>鼓励类、限制类及淘汰类，属于允许类</w:t>
                  </w:r>
                  <w:r>
                    <w:rPr>
                      <w:rFonts w:hint="default" w:ascii="Times New Roman" w:hAnsi="Times New Roman" w:cs="Times New Roman"/>
                      <w:b w:val="0"/>
                      <w:bCs w:val="0"/>
                      <w:color w:val="auto"/>
                      <w:spacing w:val="-11"/>
                      <w:sz w:val="21"/>
                      <w:szCs w:val="21"/>
                      <w:highlight w:val="none"/>
                    </w:rPr>
                    <w:t>。不属于《市场准入负面清单（202</w:t>
                  </w:r>
                  <w:r>
                    <w:rPr>
                      <w:rFonts w:hint="eastAsia" w:ascii="Times New Roman" w:hAnsi="Times New Roman" w:cs="Times New Roman"/>
                      <w:b w:val="0"/>
                      <w:bCs w:val="0"/>
                      <w:color w:val="auto"/>
                      <w:spacing w:val="-11"/>
                      <w:sz w:val="21"/>
                      <w:szCs w:val="21"/>
                      <w:highlight w:val="none"/>
                      <w:lang w:val="en-US" w:eastAsia="zh-CN"/>
                    </w:rPr>
                    <w:t>5</w:t>
                  </w:r>
                  <w:r>
                    <w:rPr>
                      <w:rFonts w:hint="default" w:ascii="Times New Roman" w:hAnsi="Times New Roman" w:cs="Times New Roman"/>
                      <w:b w:val="0"/>
                      <w:bCs w:val="0"/>
                      <w:color w:val="auto"/>
                      <w:spacing w:val="-11"/>
                      <w:sz w:val="21"/>
                      <w:szCs w:val="21"/>
                      <w:highlight w:val="none"/>
                    </w:rPr>
                    <w:t>年版）》中负面清单，</w:t>
                  </w:r>
                  <w:r>
                    <w:rPr>
                      <w:rFonts w:hint="eastAsia"/>
                      <w:color w:val="auto"/>
                      <w:spacing w:val="-11"/>
                      <w:sz w:val="21"/>
                      <w:szCs w:val="21"/>
                      <w:highlight w:val="none"/>
                    </w:rPr>
                    <w:t>符合环办环评</w:t>
                  </w:r>
                  <w:r>
                    <w:rPr>
                      <w:rFonts w:hint="eastAsia"/>
                      <w:color w:val="auto"/>
                      <w:spacing w:val="-11"/>
                      <w:sz w:val="21"/>
                      <w:szCs w:val="21"/>
                      <w:highlight w:val="none"/>
                      <w:lang w:eastAsia="zh-CN"/>
                    </w:rPr>
                    <w:t>〔2018〕24号</w:t>
                  </w:r>
                  <w:r>
                    <w:rPr>
                      <w:rFonts w:hint="eastAsia"/>
                      <w:color w:val="auto"/>
                      <w:spacing w:val="-11"/>
                      <w:sz w:val="21"/>
                      <w:szCs w:val="21"/>
                      <w:highlight w:val="none"/>
                    </w:rPr>
                    <w:t>文件要求，满足园区“三线一</w:t>
                  </w:r>
                  <w:r>
                    <w:rPr>
                      <w:rFonts w:hint="eastAsia" w:ascii="Times New Roman" w:hAnsi="Times New Roman" w:eastAsia="宋体" w:cs="Times New Roman"/>
                      <w:color w:val="auto"/>
                      <w:spacing w:val="-11"/>
                      <w:sz w:val="21"/>
                      <w:szCs w:val="21"/>
                      <w:highlight w:val="none"/>
                    </w:rPr>
                    <w:t>单”要求。</w:t>
                  </w:r>
                </w:p>
              </w:tc>
              <w:tc>
                <w:tcPr>
                  <w:tcW w:w="415" w:type="pct"/>
                  <w:tcBorders>
                    <w:top w:val="single" w:color="auto" w:sz="4" w:space="0"/>
                    <w:left w:val="single" w:color="auto" w:sz="4" w:space="0"/>
                    <w:bottom w:val="single" w:color="auto" w:sz="4" w:space="0"/>
                  </w:tcBorders>
                  <w:noWrap w:val="0"/>
                  <w:vAlign w:val="center"/>
                </w:tcPr>
                <w:p w14:paraId="5EA855F5">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bCs/>
                      <w:color w:val="auto"/>
                      <w:spacing w:val="-11"/>
                      <w:sz w:val="21"/>
                      <w:szCs w:val="21"/>
                      <w:highlight w:val="none"/>
                      <w:lang w:bidi="ar"/>
                    </w:rPr>
                  </w:pPr>
                  <w:r>
                    <w:rPr>
                      <w:bCs/>
                      <w:color w:val="auto"/>
                      <w:spacing w:val="-11"/>
                      <w:sz w:val="21"/>
                      <w:szCs w:val="21"/>
                      <w:highlight w:val="none"/>
                      <w:lang w:bidi="ar"/>
                    </w:rPr>
                    <w:t>符合</w:t>
                  </w:r>
                </w:p>
              </w:tc>
            </w:tr>
            <w:tr w14:paraId="28D44C0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978" w:hRule="atLeast"/>
                <w:jc w:val="center"/>
              </w:trPr>
              <w:tc>
                <w:tcPr>
                  <w:tcW w:w="389" w:type="pct"/>
                  <w:tcBorders>
                    <w:top w:val="single" w:color="auto" w:sz="4" w:space="0"/>
                    <w:bottom w:val="single" w:color="auto" w:sz="4" w:space="0"/>
                    <w:right w:val="single" w:color="auto" w:sz="4" w:space="0"/>
                  </w:tcBorders>
                  <w:noWrap w:val="0"/>
                  <w:vAlign w:val="center"/>
                </w:tcPr>
                <w:p w14:paraId="7CFCF2B9">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bCs/>
                      <w:color w:val="auto"/>
                      <w:spacing w:val="-11"/>
                      <w:sz w:val="21"/>
                      <w:szCs w:val="21"/>
                      <w:highlight w:val="none"/>
                      <w:lang w:bidi="ar"/>
                    </w:rPr>
                  </w:pPr>
                  <w:r>
                    <w:rPr>
                      <w:bCs/>
                      <w:color w:val="auto"/>
                      <w:spacing w:val="-11"/>
                      <w:sz w:val="21"/>
                      <w:szCs w:val="21"/>
                      <w:highlight w:val="none"/>
                      <w:lang w:bidi="ar"/>
                    </w:rPr>
                    <w:t>2</w:t>
                  </w:r>
                </w:p>
              </w:tc>
              <w:tc>
                <w:tcPr>
                  <w:tcW w:w="2310" w:type="pct"/>
                  <w:tcBorders>
                    <w:top w:val="single" w:color="auto" w:sz="4" w:space="0"/>
                    <w:left w:val="single" w:color="auto" w:sz="4" w:space="0"/>
                    <w:bottom w:val="single" w:color="auto" w:sz="4" w:space="0"/>
                    <w:right w:val="single" w:color="auto" w:sz="4" w:space="0"/>
                  </w:tcBorders>
                  <w:noWrap w:val="0"/>
                  <w:vAlign w:val="center"/>
                </w:tcPr>
                <w:p w14:paraId="383D0525">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rFonts w:hint="eastAsia" w:eastAsia="宋体"/>
                      <w:color w:val="auto"/>
                      <w:spacing w:val="-11"/>
                      <w:sz w:val="21"/>
                      <w:szCs w:val="21"/>
                      <w:highlight w:val="none"/>
                      <w:lang w:eastAsia="zh-CN"/>
                    </w:rPr>
                  </w:pPr>
                  <w:r>
                    <w:rPr>
                      <w:rFonts w:hint="eastAsia"/>
                      <w:color w:val="auto"/>
                      <w:spacing w:val="-11"/>
                      <w:sz w:val="21"/>
                      <w:szCs w:val="21"/>
                      <w:highlight w:val="none"/>
                    </w:rPr>
                    <w:t>推进绿色低碳发展，实现减污降碳协同增效目标。根据国家、地方碳减排和碳达峰行动方案及路径要求，进一步优化开发区能源结构、交通运输方式等《规划》内容</w:t>
                  </w:r>
                  <w:r>
                    <w:rPr>
                      <w:rFonts w:hint="eastAsia"/>
                      <w:color w:val="auto"/>
                      <w:spacing w:val="-11"/>
                      <w:sz w:val="21"/>
                      <w:szCs w:val="21"/>
                      <w:highlight w:val="none"/>
                      <w:lang w:eastAsia="zh-CN"/>
                    </w:rPr>
                    <w:t>。</w:t>
                  </w:r>
                </w:p>
              </w:tc>
              <w:tc>
                <w:tcPr>
                  <w:tcW w:w="1884" w:type="pct"/>
                  <w:tcBorders>
                    <w:top w:val="single" w:color="auto" w:sz="4" w:space="0"/>
                    <w:left w:val="single" w:color="auto" w:sz="4" w:space="0"/>
                    <w:bottom w:val="single" w:color="auto" w:sz="4" w:space="0"/>
                    <w:right w:val="single" w:color="auto" w:sz="4" w:space="0"/>
                  </w:tcBorders>
                  <w:noWrap w:val="0"/>
                  <w:vAlign w:val="center"/>
                </w:tcPr>
                <w:p w14:paraId="2A106461">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rFonts w:hint="default" w:eastAsia="宋体"/>
                      <w:color w:val="auto"/>
                      <w:spacing w:val="-11"/>
                      <w:kern w:val="0"/>
                      <w:sz w:val="21"/>
                      <w:szCs w:val="21"/>
                      <w:highlight w:val="none"/>
                      <w:lang w:val="en-US" w:eastAsia="zh-CN" w:bidi="ar"/>
                    </w:rPr>
                  </w:pPr>
                  <w:r>
                    <w:rPr>
                      <w:rFonts w:hint="eastAsia" w:ascii="Times New Roman" w:hAnsi="Times New Roman" w:eastAsia="宋体" w:cs="Times New Roman"/>
                      <w:color w:val="auto"/>
                      <w:spacing w:val="-11"/>
                      <w:sz w:val="21"/>
                      <w:szCs w:val="21"/>
                      <w:highlight w:val="none"/>
                      <w:lang w:val="en-US" w:eastAsia="zh-CN"/>
                    </w:rPr>
                    <w:t>项目</w:t>
                  </w:r>
                  <w:r>
                    <w:rPr>
                      <w:rFonts w:hint="eastAsia" w:cs="Times New Roman"/>
                      <w:color w:val="auto"/>
                      <w:spacing w:val="-11"/>
                      <w:sz w:val="21"/>
                      <w:szCs w:val="21"/>
                      <w:highlight w:val="none"/>
                      <w:lang w:val="en-US" w:eastAsia="zh-CN"/>
                    </w:rPr>
                    <w:t>为塑料坐具及泡沫板制造</w:t>
                  </w:r>
                  <w:r>
                    <w:rPr>
                      <w:rFonts w:hint="eastAsia" w:ascii="Times New Roman" w:hAnsi="Times New Roman" w:eastAsia="宋体" w:cs="Times New Roman"/>
                      <w:color w:val="auto"/>
                      <w:spacing w:val="-11"/>
                      <w:sz w:val="21"/>
                      <w:szCs w:val="21"/>
                      <w:highlight w:val="none"/>
                      <w:lang w:val="en-US" w:eastAsia="zh-CN"/>
                    </w:rPr>
                    <w:t>，</w:t>
                  </w:r>
                  <w:r>
                    <w:rPr>
                      <w:rFonts w:hint="eastAsia" w:cs="Times New Roman"/>
                      <w:color w:val="auto"/>
                      <w:spacing w:val="-11"/>
                      <w:sz w:val="21"/>
                      <w:szCs w:val="21"/>
                      <w:highlight w:val="none"/>
                      <w:lang w:val="en-US" w:eastAsia="zh-CN"/>
                    </w:rPr>
                    <w:t>废气主要为可发性聚苯乙烯熔融时产生少量挥发性有机物（以非甲烷总烃计）使用“活性炭吸附/脱附-催化燃烧”设备处理挥发性有机物（以非甲烷总烃计）处理效率高，对周围环境影响较小</w:t>
                  </w:r>
                  <w:r>
                    <w:rPr>
                      <w:rFonts w:hint="eastAsia" w:ascii="Times New Roman" w:hAnsi="Times New Roman" w:eastAsia="宋体" w:cs="Times New Roman"/>
                      <w:color w:val="auto"/>
                      <w:spacing w:val="-11"/>
                      <w:sz w:val="21"/>
                      <w:szCs w:val="21"/>
                      <w:highlight w:val="none"/>
                      <w:lang w:val="en-US" w:eastAsia="zh-CN"/>
                    </w:rPr>
                    <w:t>。项目使用新能源汽车或国六</w:t>
                  </w:r>
                  <w:r>
                    <w:rPr>
                      <w:rFonts w:hint="default" w:ascii="Times New Roman" w:hAnsi="Times New Roman" w:eastAsia="宋体" w:cs="Times New Roman"/>
                      <w:color w:val="auto"/>
                      <w:spacing w:val="-11"/>
                      <w:sz w:val="21"/>
                      <w:szCs w:val="21"/>
                      <w:highlight w:val="none"/>
                      <w:lang w:val="en-US" w:eastAsia="zh-CN"/>
                    </w:rPr>
                    <w:t>排放标准汽车</w:t>
                  </w:r>
                  <w:r>
                    <w:rPr>
                      <w:rFonts w:hint="eastAsia" w:ascii="Times New Roman" w:hAnsi="Times New Roman" w:eastAsia="宋体" w:cs="Times New Roman"/>
                      <w:color w:val="auto"/>
                      <w:spacing w:val="-11"/>
                      <w:sz w:val="21"/>
                      <w:szCs w:val="21"/>
                      <w:highlight w:val="none"/>
                      <w:lang w:val="en-US" w:eastAsia="zh-CN"/>
                    </w:rPr>
                    <w:t>，尾气对周围</w:t>
                  </w:r>
                  <w:r>
                    <w:rPr>
                      <w:rFonts w:hint="eastAsia" w:ascii="Times New Roman" w:hAnsi="Times New Roman" w:eastAsia="宋体" w:cs="Times New Roman"/>
                      <w:color w:val="auto"/>
                      <w:spacing w:val="-11"/>
                      <w:sz w:val="21"/>
                      <w:szCs w:val="21"/>
                      <w:highlight w:val="none"/>
                    </w:rPr>
                    <w:t>环境影响较小。</w:t>
                  </w:r>
                </w:p>
              </w:tc>
              <w:tc>
                <w:tcPr>
                  <w:tcW w:w="415" w:type="pct"/>
                  <w:tcBorders>
                    <w:top w:val="single" w:color="auto" w:sz="4" w:space="0"/>
                    <w:left w:val="single" w:color="auto" w:sz="4" w:space="0"/>
                    <w:bottom w:val="single" w:color="auto" w:sz="4" w:space="0"/>
                  </w:tcBorders>
                  <w:noWrap w:val="0"/>
                  <w:vAlign w:val="center"/>
                </w:tcPr>
                <w:p w14:paraId="2B449B27">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bCs/>
                      <w:color w:val="auto"/>
                      <w:spacing w:val="-11"/>
                      <w:sz w:val="21"/>
                      <w:szCs w:val="21"/>
                      <w:highlight w:val="none"/>
                      <w:lang w:bidi="ar"/>
                    </w:rPr>
                  </w:pPr>
                  <w:r>
                    <w:rPr>
                      <w:bCs/>
                      <w:color w:val="auto"/>
                      <w:spacing w:val="-11"/>
                      <w:sz w:val="21"/>
                      <w:szCs w:val="21"/>
                      <w:highlight w:val="none"/>
                      <w:lang w:bidi="ar"/>
                    </w:rPr>
                    <w:t>符合</w:t>
                  </w:r>
                </w:p>
              </w:tc>
            </w:tr>
            <w:tr w14:paraId="176BD0E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tcBorders>
                    <w:top w:val="single" w:color="auto" w:sz="4" w:space="0"/>
                    <w:bottom w:val="single" w:color="auto" w:sz="4" w:space="0"/>
                    <w:right w:val="single" w:color="auto" w:sz="4" w:space="0"/>
                  </w:tcBorders>
                  <w:noWrap w:val="0"/>
                  <w:vAlign w:val="center"/>
                </w:tcPr>
                <w:p w14:paraId="78A5CA43">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bCs/>
                      <w:color w:val="auto"/>
                      <w:spacing w:val="-11"/>
                      <w:sz w:val="21"/>
                      <w:szCs w:val="21"/>
                      <w:highlight w:val="none"/>
                      <w:lang w:bidi="ar"/>
                    </w:rPr>
                  </w:pPr>
                  <w:r>
                    <w:rPr>
                      <w:bCs/>
                      <w:color w:val="auto"/>
                      <w:spacing w:val="-11"/>
                      <w:sz w:val="21"/>
                      <w:szCs w:val="21"/>
                      <w:highlight w:val="none"/>
                      <w:lang w:bidi="ar"/>
                    </w:rPr>
                    <w:t>3</w:t>
                  </w:r>
                </w:p>
              </w:tc>
              <w:tc>
                <w:tcPr>
                  <w:tcW w:w="2310" w:type="pct"/>
                  <w:tcBorders>
                    <w:top w:val="single" w:color="auto" w:sz="4" w:space="0"/>
                    <w:left w:val="single" w:color="auto" w:sz="4" w:space="0"/>
                    <w:bottom w:val="single" w:color="auto" w:sz="4" w:space="0"/>
                    <w:right w:val="single" w:color="auto" w:sz="4" w:space="0"/>
                  </w:tcBorders>
                  <w:noWrap w:val="0"/>
                  <w:vAlign w:val="center"/>
                </w:tcPr>
                <w:p w14:paraId="60E90522">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color w:val="auto"/>
                      <w:spacing w:val="-11"/>
                      <w:sz w:val="21"/>
                      <w:szCs w:val="21"/>
                      <w:highlight w:val="none"/>
                    </w:rPr>
                  </w:pPr>
                  <w:r>
                    <w:rPr>
                      <w:rFonts w:hint="eastAsia"/>
                      <w:color w:val="auto"/>
                      <w:spacing w:val="-11"/>
                      <w:sz w:val="21"/>
                      <w:szCs w:val="21"/>
                      <w:highlight w:val="none"/>
                    </w:rPr>
                    <w:t>严格环境准入条件，推动产业结构调整和转型升级落实《报告书》提出的开发区生态环境准入要求和与规划不符的现有企业环境管理要求，强化现有及入区企业污染物排放控制要求。开发区现有“两高”项目不得扩大生产规模，严禁新增“两高”项目，平板玻璃产能上限2000吨/天。现有企业不断提高清洁生产水平，促进开发区产业转型升级与生态环境保护、人居环境安全相协调</w:t>
                  </w:r>
                </w:p>
              </w:tc>
              <w:tc>
                <w:tcPr>
                  <w:tcW w:w="1884" w:type="pct"/>
                  <w:tcBorders>
                    <w:top w:val="single" w:color="auto" w:sz="4" w:space="0"/>
                    <w:left w:val="single" w:color="auto" w:sz="4" w:space="0"/>
                    <w:bottom w:val="single" w:color="auto" w:sz="4" w:space="0"/>
                    <w:right w:val="single" w:color="auto" w:sz="4" w:space="0"/>
                  </w:tcBorders>
                  <w:noWrap w:val="0"/>
                  <w:vAlign w:val="center"/>
                </w:tcPr>
                <w:p w14:paraId="1B7C0242">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both"/>
                    <w:textAlignment w:val="auto"/>
                    <w:rPr>
                      <w:rFonts w:hint="eastAsia" w:eastAsia="宋体"/>
                      <w:color w:val="auto"/>
                      <w:spacing w:val="-11"/>
                      <w:kern w:val="0"/>
                      <w:sz w:val="21"/>
                      <w:szCs w:val="21"/>
                      <w:highlight w:val="none"/>
                      <w:lang w:eastAsia="zh-CN" w:bidi="ar"/>
                    </w:rPr>
                  </w:pPr>
                  <w:r>
                    <w:rPr>
                      <w:rFonts w:hint="eastAsia"/>
                      <w:color w:val="auto"/>
                      <w:spacing w:val="-11"/>
                      <w:kern w:val="0"/>
                      <w:sz w:val="21"/>
                      <w:szCs w:val="21"/>
                      <w:highlight w:val="none"/>
                      <w:lang w:val="en-US" w:eastAsia="zh-CN" w:bidi="ar"/>
                    </w:rPr>
                    <w:t>项目为新入园企业，本项目各污染物均执行其较严格排放限值；</w:t>
                  </w:r>
                  <w:r>
                    <w:rPr>
                      <w:rFonts w:hint="eastAsia"/>
                      <w:color w:val="auto"/>
                      <w:spacing w:val="-11"/>
                      <w:kern w:val="0"/>
                      <w:sz w:val="21"/>
                      <w:szCs w:val="21"/>
                      <w:highlight w:val="none"/>
                      <w:lang w:eastAsia="zh-CN" w:bidi="ar"/>
                    </w:rPr>
                    <w:t>本项目</w:t>
                  </w:r>
                  <w:r>
                    <w:rPr>
                      <w:rFonts w:hint="eastAsia"/>
                      <w:color w:val="auto"/>
                      <w:spacing w:val="-11"/>
                      <w:kern w:val="0"/>
                      <w:sz w:val="21"/>
                      <w:szCs w:val="21"/>
                      <w:highlight w:val="none"/>
                      <w:lang w:val="en-US" w:eastAsia="zh-CN" w:bidi="ar"/>
                    </w:rPr>
                    <w:t>不属于现有企业</w:t>
                  </w:r>
                  <w:r>
                    <w:rPr>
                      <w:rFonts w:hint="eastAsia"/>
                      <w:color w:val="auto"/>
                      <w:spacing w:val="-11"/>
                      <w:kern w:val="0"/>
                      <w:sz w:val="21"/>
                      <w:szCs w:val="21"/>
                      <w:highlight w:val="none"/>
                      <w:lang w:eastAsia="zh-CN" w:bidi="ar"/>
                    </w:rPr>
                    <w:t>。</w:t>
                  </w:r>
                </w:p>
              </w:tc>
              <w:tc>
                <w:tcPr>
                  <w:tcW w:w="415" w:type="pct"/>
                  <w:tcBorders>
                    <w:top w:val="single" w:color="auto" w:sz="4" w:space="0"/>
                    <w:left w:val="single" w:color="auto" w:sz="4" w:space="0"/>
                    <w:bottom w:val="single" w:color="auto" w:sz="4" w:space="0"/>
                  </w:tcBorders>
                  <w:noWrap w:val="0"/>
                  <w:vAlign w:val="center"/>
                </w:tcPr>
                <w:p w14:paraId="6F8314D8">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bCs/>
                      <w:color w:val="auto"/>
                      <w:spacing w:val="-11"/>
                      <w:sz w:val="21"/>
                      <w:szCs w:val="21"/>
                      <w:highlight w:val="none"/>
                      <w:lang w:bidi="ar"/>
                    </w:rPr>
                  </w:pPr>
                  <w:r>
                    <w:rPr>
                      <w:bCs/>
                      <w:color w:val="auto"/>
                      <w:spacing w:val="-11"/>
                      <w:sz w:val="21"/>
                      <w:szCs w:val="21"/>
                      <w:highlight w:val="none"/>
                      <w:lang w:bidi="ar"/>
                    </w:rPr>
                    <w:t>符合</w:t>
                  </w:r>
                </w:p>
              </w:tc>
            </w:tr>
            <w:tr w14:paraId="345897F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tcBorders>
                    <w:top w:val="single" w:color="auto" w:sz="4" w:space="0"/>
                    <w:bottom w:val="single" w:color="auto" w:sz="4" w:space="0"/>
                    <w:right w:val="single" w:color="auto" w:sz="4" w:space="0"/>
                  </w:tcBorders>
                  <w:noWrap w:val="0"/>
                  <w:vAlign w:val="center"/>
                </w:tcPr>
                <w:p w14:paraId="24333F5A">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rFonts w:hint="eastAsia" w:eastAsia="宋体"/>
                      <w:bCs/>
                      <w:color w:val="auto"/>
                      <w:spacing w:val="-11"/>
                      <w:sz w:val="21"/>
                      <w:szCs w:val="21"/>
                      <w:highlight w:val="none"/>
                      <w:lang w:val="en-US" w:eastAsia="zh-CN" w:bidi="ar"/>
                    </w:rPr>
                  </w:pPr>
                  <w:r>
                    <w:rPr>
                      <w:rFonts w:hint="eastAsia"/>
                      <w:bCs/>
                      <w:color w:val="auto"/>
                      <w:spacing w:val="-11"/>
                      <w:sz w:val="21"/>
                      <w:szCs w:val="21"/>
                      <w:highlight w:val="none"/>
                      <w:lang w:val="en-US" w:eastAsia="zh-CN" w:bidi="ar"/>
                    </w:rPr>
                    <w:t>4</w:t>
                  </w:r>
                </w:p>
              </w:tc>
              <w:tc>
                <w:tcPr>
                  <w:tcW w:w="2310" w:type="pct"/>
                  <w:tcBorders>
                    <w:top w:val="single" w:color="auto" w:sz="4" w:space="0"/>
                    <w:left w:val="single" w:color="auto" w:sz="4" w:space="0"/>
                    <w:bottom w:val="single" w:color="auto" w:sz="4" w:space="0"/>
                    <w:right w:val="single" w:color="auto" w:sz="4" w:space="0"/>
                  </w:tcBorders>
                  <w:noWrap w:val="0"/>
                  <w:vAlign w:val="center"/>
                </w:tcPr>
                <w:p w14:paraId="7465E727">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rFonts w:hint="eastAsia"/>
                      <w:color w:val="auto"/>
                      <w:spacing w:val="-11"/>
                      <w:sz w:val="21"/>
                      <w:szCs w:val="21"/>
                      <w:highlight w:val="none"/>
                    </w:rPr>
                  </w:pPr>
                  <w:r>
                    <w:rPr>
                      <w:rFonts w:hint="eastAsia"/>
                      <w:color w:val="auto"/>
                      <w:spacing w:val="-11"/>
                      <w:sz w:val="21"/>
                      <w:szCs w:val="21"/>
                      <w:highlight w:val="none"/>
                    </w:rPr>
                    <w:t>严格空间管控，进一步优化开发区空间布局。统筹优化开发区产业布局和发展规模，加强对开发区周边生态保护红线及各类环境敏感区的保护。城镇开发边界以外的范围严格按照国土空间规划调整情况进行开发利用，并</w:t>
                  </w:r>
                  <w:r>
                    <w:rPr>
                      <w:rFonts w:hint="eastAsia"/>
                      <w:color w:val="auto"/>
                      <w:spacing w:val="-11"/>
                      <w:sz w:val="21"/>
                      <w:szCs w:val="21"/>
                      <w:highlight w:val="none"/>
                      <w:lang w:eastAsia="zh-CN"/>
                    </w:rPr>
                    <w:t>严格遵守</w:t>
                  </w:r>
                  <w:r>
                    <w:rPr>
                      <w:rFonts w:hint="eastAsia"/>
                      <w:color w:val="auto"/>
                      <w:spacing w:val="-11"/>
                      <w:sz w:val="21"/>
                      <w:szCs w:val="21"/>
                      <w:highlight w:val="none"/>
                    </w:rPr>
                    <w:t>相关管理要求控制开发区边界外居民点向开发区方向发展，确保开发区内企业与敏感点保持足够的防护距离，减少突发事件可能对居民区环境产生的影响。</w:t>
                  </w:r>
                </w:p>
              </w:tc>
              <w:tc>
                <w:tcPr>
                  <w:tcW w:w="1884" w:type="pct"/>
                  <w:tcBorders>
                    <w:top w:val="single" w:color="auto" w:sz="4" w:space="0"/>
                    <w:left w:val="single" w:color="auto" w:sz="4" w:space="0"/>
                    <w:bottom w:val="single" w:color="auto" w:sz="4" w:space="0"/>
                    <w:right w:val="single" w:color="auto" w:sz="4" w:space="0"/>
                  </w:tcBorders>
                  <w:noWrap w:val="0"/>
                  <w:vAlign w:val="center"/>
                </w:tcPr>
                <w:p w14:paraId="19841AFB">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rFonts w:hint="default"/>
                      <w:bCs/>
                      <w:color w:val="auto"/>
                      <w:spacing w:val="-11"/>
                      <w:kern w:val="0"/>
                      <w:sz w:val="21"/>
                      <w:szCs w:val="21"/>
                      <w:highlight w:val="none"/>
                      <w:lang w:val="en-US" w:eastAsia="zh-CN" w:bidi="ar"/>
                    </w:rPr>
                  </w:pPr>
                  <w:r>
                    <w:rPr>
                      <w:rFonts w:hint="eastAsia"/>
                      <w:bCs/>
                      <w:color w:val="auto"/>
                      <w:spacing w:val="-11"/>
                      <w:kern w:val="0"/>
                      <w:sz w:val="21"/>
                      <w:szCs w:val="21"/>
                      <w:highlight w:val="none"/>
                      <w:lang w:val="en-US" w:eastAsia="zh-CN" w:bidi="ar"/>
                    </w:rPr>
                    <w:t>根据入园证明，项目建设符合开发区产业布局；不涉及生态保护红线；项目租赁现有厂区进行建设，不涉及</w:t>
                  </w:r>
                  <w:r>
                    <w:rPr>
                      <w:rFonts w:hint="eastAsia"/>
                      <w:color w:val="auto"/>
                      <w:spacing w:val="-11"/>
                      <w:sz w:val="21"/>
                      <w:szCs w:val="21"/>
                      <w:highlight w:val="none"/>
                    </w:rPr>
                    <w:t>控制开发区边界外居民点向开发区方向发展</w:t>
                  </w:r>
                </w:p>
                <w:p w14:paraId="7E0E0D73">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rFonts w:hint="default" w:eastAsia="宋体"/>
                      <w:color w:val="auto"/>
                      <w:spacing w:val="-11"/>
                      <w:kern w:val="0"/>
                      <w:sz w:val="21"/>
                      <w:szCs w:val="21"/>
                      <w:highlight w:val="none"/>
                      <w:lang w:val="en-US" w:eastAsia="zh-CN" w:bidi="ar"/>
                    </w:rPr>
                  </w:pPr>
                  <w:r>
                    <w:rPr>
                      <w:rFonts w:hint="eastAsia"/>
                      <w:bCs/>
                      <w:color w:val="auto"/>
                      <w:spacing w:val="-11"/>
                      <w:kern w:val="0"/>
                      <w:sz w:val="21"/>
                      <w:szCs w:val="21"/>
                      <w:highlight w:val="none"/>
                      <w:lang w:bidi="ar"/>
                    </w:rPr>
                    <w:t>距离厂</w:t>
                  </w:r>
                  <w:r>
                    <w:rPr>
                      <w:bCs/>
                      <w:color w:val="auto"/>
                      <w:spacing w:val="-11"/>
                      <w:kern w:val="0"/>
                      <w:sz w:val="21"/>
                      <w:szCs w:val="21"/>
                      <w:highlight w:val="none"/>
                      <w:lang w:bidi="ar"/>
                    </w:rPr>
                    <w:t>界</w:t>
                  </w:r>
                  <w:r>
                    <w:rPr>
                      <w:rFonts w:hint="eastAsia"/>
                      <w:bCs/>
                      <w:color w:val="auto"/>
                      <w:spacing w:val="-11"/>
                      <w:kern w:val="0"/>
                      <w:sz w:val="21"/>
                      <w:szCs w:val="21"/>
                      <w:highlight w:val="none"/>
                      <w:lang w:bidi="ar"/>
                    </w:rPr>
                    <w:t>最近的敏感点</w:t>
                  </w:r>
                  <w:r>
                    <w:rPr>
                      <w:rFonts w:hint="eastAsia"/>
                      <w:bCs/>
                      <w:color w:val="auto"/>
                      <w:spacing w:val="-11"/>
                      <w:kern w:val="0"/>
                      <w:sz w:val="21"/>
                      <w:szCs w:val="21"/>
                      <w:highlight w:val="none"/>
                      <w:lang w:val="en-US" w:eastAsia="zh-CN" w:bidi="ar"/>
                    </w:rPr>
                    <w:t>为东</w:t>
                  </w:r>
                  <w:r>
                    <w:rPr>
                      <w:rFonts w:hint="eastAsia"/>
                      <w:color w:val="auto"/>
                      <w:spacing w:val="-11"/>
                      <w:sz w:val="21"/>
                      <w:szCs w:val="21"/>
                      <w:highlight w:val="none"/>
                      <w:lang w:val="en-US" w:eastAsia="zh-CN"/>
                    </w:rPr>
                    <w:t>北429m处岳霍口村，有足够的防护距离</w:t>
                  </w:r>
                </w:p>
              </w:tc>
              <w:tc>
                <w:tcPr>
                  <w:tcW w:w="415" w:type="pct"/>
                  <w:tcBorders>
                    <w:top w:val="single" w:color="auto" w:sz="4" w:space="0"/>
                    <w:left w:val="single" w:color="auto" w:sz="4" w:space="0"/>
                    <w:bottom w:val="single" w:color="auto" w:sz="4" w:space="0"/>
                  </w:tcBorders>
                  <w:noWrap w:val="0"/>
                  <w:vAlign w:val="center"/>
                </w:tcPr>
                <w:p w14:paraId="346003EA">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rFonts w:hint="eastAsia" w:eastAsia="宋体"/>
                      <w:bCs/>
                      <w:color w:val="auto"/>
                      <w:spacing w:val="-11"/>
                      <w:sz w:val="21"/>
                      <w:szCs w:val="21"/>
                      <w:highlight w:val="none"/>
                      <w:lang w:val="en-US" w:eastAsia="zh-CN" w:bidi="ar"/>
                    </w:rPr>
                  </w:pPr>
                  <w:r>
                    <w:rPr>
                      <w:rFonts w:hint="eastAsia"/>
                      <w:bCs/>
                      <w:color w:val="auto"/>
                      <w:spacing w:val="-11"/>
                      <w:sz w:val="21"/>
                      <w:szCs w:val="21"/>
                      <w:highlight w:val="none"/>
                      <w:lang w:val="en-US" w:eastAsia="zh-CN" w:bidi="ar"/>
                    </w:rPr>
                    <w:t>符合</w:t>
                  </w:r>
                </w:p>
              </w:tc>
            </w:tr>
            <w:tr w14:paraId="43D96CC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0" w:hRule="atLeast"/>
                <w:jc w:val="center"/>
              </w:trPr>
              <w:tc>
                <w:tcPr>
                  <w:tcW w:w="389" w:type="pct"/>
                  <w:tcBorders>
                    <w:top w:val="single" w:color="auto" w:sz="4" w:space="0"/>
                    <w:bottom w:val="single" w:color="auto" w:sz="4" w:space="0"/>
                    <w:right w:val="single" w:color="auto" w:sz="4" w:space="0"/>
                  </w:tcBorders>
                  <w:noWrap w:val="0"/>
                  <w:vAlign w:val="center"/>
                </w:tcPr>
                <w:p w14:paraId="5CAC2892">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rFonts w:hint="eastAsia" w:eastAsia="宋体"/>
                      <w:bCs/>
                      <w:color w:val="auto"/>
                      <w:spacing w:val="-11"/>
                      <w:sz w:val="21"/>
                      <w:szCs w:val="21"/>
                      <w:highlight w:val="none"/>
                      <w:lang w:val="en-US" w:eastAsia="zh-CN" w:bidi="ar"/>
                    </w:rPr>
                  </w:pPr>
                  <w:r>
                    <w:rPr>
                      <w:rFonts w:hint="eastAsia"/>
                      <w:bCs/>
                      <w:color w:val="auto"/>
                      <w:spacing w:val="-11"/>
                      <w:sz w:val="21"/>
                      <w:szCs w:val="21"/>
                      <w:highlight w:val="none"/>
                      <w:lang w:val="en-US" w:eastAsia="zh-CN" w:bidi="ar"/>
                    </w:rPr>
                    <w:t>5</w:t>
                  </w:r>
                </w:p>
              </w:tc>
              <w:tc>
                <w:tcPr>
                  <w:tcW w:w="2310" w:type="pct"/>
                  <w:tcBorders>
                    <w:top w:val="single" w:color="auto" w:sz="4" w:space="0"/>
                    <w:left w:val="single" w:color="auto" w:sz="4" w:space="0"/>
                    <w:bottom w:val="single" w:color="auto" w:sz="4" w:space="0"/>
                    <w:right w:val="single" w:color="auto" w:sz="4" w:space="0"/>
                  </w:tcBorders>
                  <w:noWrap w:val="0"/>
                  <w:vAlign w:val="center"/>
                </w:tcPr>
                <w:p w14:paraId="36E0A9BB">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rFonts w:hint="eastAsia" w:eastAsia="宋体"/>
                      <w:color w:val="auto"/>
                      <w:spacing w:val="-11"/>
                      <w:sz w:val="21"/>
                      <w:szCs w:val="21"/>
                      <w:highlight w:val="none"/>
                      <w:lang w:eastAsia="zh-CN"/>
                    </w:rPr>
                  </w:pPr>
                  <w:r>
                    <w:rPr>
                      <w:rFonts w:hint="eastAsia"/>
                      <w:color w:val="auto"/>
                      <w:spacing w:val="-11"/>
                      <w:sz w:val="21"/>
                      <w:szCs w:val="21"/>
                      <w:highlight w:val="none"/>
                    </w:rPr>
                    <w:t>严守环境质量底线，强化污染物排放总量管控。根据国家、河北省及石家庄市污染防治规划和区域“三线一单”生态环境分区管控相关要求，制定并落实开发区污染减排方案，采取有效措施减少主要污染物和特征污染物的排放量，确保区域环境质量持续改善，促进产业发展与生态环境保护相协调。严格落实《报告书》提出的污染物排放准入要求，车间排放口涉重金属废水严禁外排</w:t>
                  </w:r>
                  <w:r>
                    <w:rPr>
                      <w:rFonts w:hint="eastAsia"/>
                      <w:color w:val="auto"/>
                      <w:spacing w:val="-11"/>
                      <w:sz w:val="21"/>
                      <w:szCs w:val="21"/>
                      <w:highlight w:val="none"/>
                      <w:lang w:eastAsia="zh-CN"/>
                    </w:rPr>
                    <w:t>；在</w:t>
                  </w:r>
                  <w:r>
                    <w:rPr>
                      <w:rFonts w:hint="eastAsia"/>
                      <w:color w:val="auto"/>
                      <w:spacing w:val="-11"/>
                      <w:sz w:val="21"/>
                      <w:szCs w:val="21"/>
                      <w:highlight w:val="none"/>
                    </w:rPr>
                    <w:t>环境质量未达到国家或者地方环境质量标准之前，建设项目主要污染物实行区域倍量削减</w:t>
                  </w:r>
                  <w:r>
                    <w:rPr>
                      <w:rFonts w:hint="eastAsia"/>
                      <w:color w:val="auto"/>
                      <w:spacing w:val="-11"/>
                      <w:sz w:val="21"/>
                      <w:szCs w:val="21"/>
                      <w:highlight w:val="none"/>
                      <w:lang w:eastAsia="zh-CN"/>
                    </w:rPr>
                    <w:t>。</w:t>
                  </w:r>
                </w:p>
              </w:tc>
              <w:tc>
                <w:tcPr>
                  <w:tcW w:w="1884" w:type="pct"/>
                  <w:tcBorders>
                    <w:top w:val="single" w:color="auto" w:sz="4" w:space="0"/>
                    <w:left w:val="single" w:color="auto" w:sz="4" w:space="0"/>
                    <w:bottom w:val="single" w:color="auto" w:sz="4" w:space="0"/>
                    <w:right w:val="single" w:color="auto" w:sz="4" w:space="0"/>
                  </w:tcBorders>
                  <w:noWrap w:val="0"/>
                  <w:vAlign w:val="center"/>
                </w:tcPr>
                <w:p w14:paraId="05F312D1">
                  <w:pPr>
                    <w:keepNext w:val="0"/>
                    <w:keepLines w:val="0"/>
                    <w:pageBreakBefore w:val="0"/>
                    <w:widowControl w:val="0"/>
                    <w:suppressLineNumbers w:val="0"/>
                    <w:kinsoku/>
                    <w:wordWrap/>
                    <w:overflowPunct/>
                    <w:topLinePunct w:val="0"/>
                    <w:autoSpaceDE/>
                    <w:autoSpaceDN/>
                    <w:bidi w:val="0"/>
                    <w:adjustRightInd/>
                    <w:snapToGrid/>
                    <w:spacing w:line="240" w:lineRule="auto"/>
                    <w:ind w:left="-42" w:leftChars="-20" w:right="-42" w:rightChars="-20" w:firstLine="0" w:firstLineChars="0"/>
                    <w:jc w:val="center"/>
                    <w:textAlignment w:val="auto"/>
                    <w:rPr>
                      <w:rFonts w:hint="default" w:ascii="Times New Roman" w:hAnsi="Times New Roman" w:eastAsia="宋体" w:cs="Times New Roman"/>
                      <w:bCs/>
                      <w:color w:val="auto"/>
                      <w:spacing w:val="-11"/>
                      <w:kern w:val="0"/>
                      <w:sz w:val="21"/>
                      <w:szCs w:val="21"/>
                      <w:highlight w:val="none"/>
                      <w:lang w:val="en-US" w:eastAsia="zh-CN" w:bidi="ar"/>
                    </w:rPr>
                  </w:pPr>
                  <w:r>
                    <w:rPr>
                      <w:rFonts w:hint="default" w:ascii="Times New Roman" w:hAnsi="Times New Roman" w:cs="Times New Roman"/>
                      <w:color w:val="auto"/>
                      <w:spacing w:val="-11"/>
                      <w:sz w:val="21"/>
                      <w:szCs w:val="21"/>
                      <w:highlight w:val="none"/>
                      <w:lang w:val="en-US" w:eastAsia="zh-CN"/>
                    </w:rPr>
                    <w:t>项目总量控制指标为：</w:t>
                  </w:r>
                  <w:r>
                    <w:rPr>
                      <w:rFonts w:hint="default" w:ascii="Times New Roman" w:hAnsi="Times New Roman" w:eastAsia="宋体" w:cs="Times New Roman"/>
                      <w:i w:val="0"/>
                      <w:iCs w:val="0"/>
                      <w:color w:val="auto"/>
                      <w:spacing w:val="-11"/>
                      <w:sz w:val="21"/>
                      <w:szCs w:val="21"/>
                      <w:highlight w:val="none"/>
                      <w:lang w:val="en-US" w:eastAsia="zh-CN"/>
                    </w:rPr>
                    <w:t>COD：</w:t>
                  </w:r>
                  <w:r>
                    <w:rPr>
                      <w:rFonts w:hint="eastAsia" w:cs="Times New Roman"/>
                      <w:color w:val="auto"/>
                      <w:spacing w:val="-11"/>
                      <w:kern w:val="2"/>
                      <w:sz w:val="21"/>
                      <w:szCs w:val="21"/>
                      <w:highlight w:val="none"/>
                      <w:lang w:val="en-US" w:eastAsia="zh-CN" w:bidi="ar-SA"/>
                    </w:rPr>
                    <w:t>0</w:t>
                  </w:r>
                  <w:r>
                    <w:rPr>
                      <w:rFonts w:hint="default" w:ascii="Times New Roman" w:hAnsi="Times New Roman" w:eastAsia="宋体" w:cs="Times New Roman"/>
                      <w:color w:val="auto"/>
                      <w:spacing w:val="-11"/>
                      <w:kern w:val="2"/>
                      <w:sz w:val="21"/>
                      <w:szCs w:val="21"/>
                      <w:highlight w:val="none"/>
                      <w:lang w:val="en-US" w:eastAsia="zh-CN" w:bidi="ar-SA"/>
                    </w:rPr>
                    <w:t>t/a</w:t>
                  </w:r>
                  <w:r>
                    <w:rPr>
                      <w:rFonts w:hint="eastAsia" w:cs="Times New Roman"/>
                      <w:i w:val="0"/>
                      <w:iCs w:val="0"/>
                      <w:color w:val="auto"/>
                      <w:spacing w:val="-11"/>
                      <w:sz w:val="21"/>
                      <w:szCs w:val="21"/>
                      <w:highlight w:val="none"/>
                      <w:lang w:val="en-US" w:eastAsia="zh-CN"/>
                    </w:rPr>
                    <w:t>、</w:t>
                  </w:r>
                  <w:r>
                    <w:rPr>
                      <w:rFonts w:hint="default" w:ascii="Times New Roman" w:hAnsi="Times New Roman" w:eastAsia="宋体" w:cs="Times New Roman"/>
                      <w:i w:val="0"/>
                      <w:iCs w:val="0"/>
                      <w:color w:val="auto"/>
                      <w:spacing w:val="-11"/>
                      <w:sz w:val="21"/>
                      <w:szCs w:val="21"/>
                      <w:highlight w:val="none"/>
                      <w:lang w:val="en-US" w:eastAsia="zh-CN"/>
                    </w:rPr>
                    <w:t>NH</w:t>
                  </w:r>
                  <w:r>
                    <w:rPr>
                      <w:rFonts w:hint="default" w:ascii="Times New Roman" w:hAnsi="Times New Roman" w:eastAsia="宋体" w:cs="Times New Roman"/>
                      <w:i w:val="0"/>
                      <w:iCs w:val="0"/>
                      <w:color w:val="auto"/>
                      <w:spacing w:val="-11"/>
                      <w:sz w:val="21"/>
                      <w:szCs w:val="21"/>
                      <w:highlight w:val="none"/>
                      <w:vertAlign w:val="subscript"/>
                      <w:lang w:val="en-US" w:eastAsia="zh-CN"/>
                    </w:rPr>
                    <w:t>3</w:t>
                  </w:r>
                  <w:r>
                    <w:rPr>
                      <w:rFonts w:hint="default" w:ascii="Times New Roman" w:hAnsi="Times New Roman" w:eastAsia="宋体" w:cs="Times New Roman"/>
                      <w:i w:val="0"/>
                      <w:iCs w:val="0"/>
                      <w:color w:val="auto"/>
                      <w:spacing w:val="-11"/>
                      <w:sz w:val="21"/>
                      <w:szCs w:val="21"/>
                      <w:highlight w:val="none"/>
                      <w:lang w:val="en-US" w:eastAsia="zh-CN"/>
                    </w:rPr>
                    <w:t>-N：</w:t>
                  </w:r>
                  <w:r>
                    <w:rPr>
                      <w:rFonts w:hint="eastAsia" w:cs="Times New Roman"/>
                      <w:color w:val="auto"/>
                      <w:spacing w:val="-11"/>
                      <w:kern w:val="2"/>
                      <w:sz w:val="21"/>
                      <w:szCs w:val="21"/>
                      <w:highlight w:val="none"/>
                      <w:lang w:val="en-US" w:eastAsia="zh-CN" w:bidi="ar-SA"/>
                    </w:rPr>
                    <w:t>0</w:t>
                  </w:r>
                  <w:r>
                    <w:rPr>
                      <w:rFonts w:hint="default" w:ascii="Times New Roman" w:hAnsi="Times New Roman" w:eastAsia="宋体" w:cs="Times New Roman"/>
                      <w:color w:val="auto"/>
                      <w:spacing w:val="-11"/>
                      <w:kern w:val="2"/>
                      <w:sz w:val="21"/>
                      <w:szCs w:val="21"/>
                      <w:highlight w:val="none"/>
                      <w:lang w:val="en-US" w:eastAsia="zh-CN" w:bidi="ar-SA"/>
                    </w:rPr>
                    <w:t>t/a</w:t>
                  </w:r>
                  <w:r>
                    <w:rPr>
                      <w:rFonts w:hint="eastAsia" w:cs="Times New Roman"/>
                      <w:color w:val="auto"/>
                      <w:spacing w:val="-11"/>
                      <w:kern w:val="2"/>
                      <w:sz w:val="21"/>
                      <w:szCs w:val="21"/>
                      <w:highlight w:val="none"/>
                      <w:lang w:val="en-US" w:eastAsia="zh-CN" w:bidi="ar-SA"/>
                    </w:rPr>
                    <w:t>、SO</w:t>
                  </w:r>
                  <w:r>
                    <w:rPr>
                      <w:rFonts w:hint="eastAsia" w:cs="Times New Roman"/>
                      <w:color w:val="auto"/>
                      <w:spacing w:val="-11"/>
                      <w:kern w:val="2"/>
                      <w:sz w:val="21"/>
                      <w:szCs w:val="21"/>
                      <w:highlight w:val="none"/>
                      <w:vertAlign w:val="subscript"/>
                      <w:lang w:val="en-US" w:eastAsia="zh-CN" w:bidi="ar-SA"/>
                    </w:rPr>
                    <w:t>2:</w:t>
                  </w:r>
                  <w:r>
                    <w:rPr>
                      <w:rFonts w:hint="eastAsia" w:cs="Times New Roman"/>
                      <w:color w:val="auto"/>
                      <w:spacing w:val="-11"/>
                      <w:kern w:val="2"/>
                      <w:sz w:val="21"/>
                      <w:szCs w:val="21"/>
                      <w:highlight w:val="none"/>
                      <w:lang w:val="en-US" w:eastAsia="zh-CN" w:bidi="ar-SA"/>
                    </w:rPr>
                    <w:t>0</w:t>
                  </w:r>
                  <w:r>
                    <w:rPr>
                      <w:rFonts w:hint="default" w:ascii="Times New Roman" w:hAnsi="Times New Roman" w:eastAsia="宋体" w:cs="Times New Roman"/>
                      <w:color w:val="auto"/>
                      <w:spacing w:val="-11"/>
                      <w:kern w:val="2"/>
                      <w:sz w:val="21"/>
                      <w:szCs w:val="21"/>
                      <w:highlight w:val="none"/>
                      <w:lang w:val="en-US" w:eastAsia="zh-CN" w:bidi="ar-SA"/>
                    </w:rPr>
                    <w:t>t/a</w:t>
                  </w:r>
                  <w:r>
                    <w:rPr>
                      <w:rFonts w:hint="eastAsia" w:cs="Times New Roman"/>
                      <w:color w:val="auto"/>
                      <w:spacing w:val="-11"/>
                      <w:kern w:val="2"/>
                      <w:sz w:val="21"/>
                      <w:szCs w:val="21"/>
                      <w:highlight w:val="none"/>
                      <w:lang w:val="en-US" w:eastAsia="zh-CN" w:bidi="ar-SA"/>
                    </w:rPr>
                    <w:t>、NO</w:t>
                  </w:r>
                  <w:r>
                    <w:rPr>
                      <w:rFonts w:hint="eastAsia" w:cs="Times New Roman"/>
                      <w:color w:val="auto"/>
                      <w:spacing w:val="-11"/>
                      <w:kern w:val="2"/>
                      <w:sz w:val="21"/>
                      <w:szCs w:val="21"/>
                      <w:highlight w:val="none"/>
                      <w:vertAlign w:val="subscript"/>
                      <w:lang w:val="en-US" w:eastAsia="zh-CN" w:bidi="ar-SA"/>
                    </w:rPr>
                    <w:t>X</w:t>
                  </w:r>
                  <w:r>
                    <w:rPr>
                      <w:rFonts w:hint="default" w:ascii="Times New Roman" w:hAnsi="Times New Roman" w:eastAsia="宋体" w:cs="Times New Roman"/>
                      <w:i w:val="0"/>
                      <w:iCs w:val="0"/>
                      <w:color w:val="auto"/>
                      <w:spacing w:val="-11"/>
                      <w:sz w:val="21"/>
                      <w:szCs w:val="21"/>
                      <w:highlight w:val="none"/>
                      <w:lang w:val="en-US" w:eastAsia="zh-CN"/>
                    </w:rPr>
                    <w:t>：</w:t>
                  </w:r>
                  <w:r>
                    <w:rPr>
                      <w:rFonts w:hint="eastAsia" w:cs="Times New Roman"/>
                      <w:color w:val="auto"/>
                      <w:spacing w:val="-11"/>
                      <w:kern w:val="2"/>
                      <w:sz w:val="21"/>
                      <w:szCs w:val="21"/>
                      <w:highlight w:val="none"/>
                      <w:lang w:val="en-US" w:eastAsia="zh-CN" w:bidi="ar-SA"/>
                    </w:rPr>
                    <w:t>0</w:t>
                  </w:r>
                  <w:r>
                    <w:rPr>
                      <w:rFonts w:hint="default" w:ascii="Times New Roman" w:hAnsi="Times New Roman" w:eastAsia="宋体" w:cs="Times New Roman"/>
                      <w:color w:val="auto"/>
                      <w:spacing w:val="-11"/>
                      <w:kern w:val="2"/>
                      <w:sz w:val="21"/>
                      <w:szCs w:val="21"/>
                      <w:highlight w:val="none"/>
                      <w:lang w:val="en-US" w:eastAsia="zh-CN" w:bidi="ar-SA"/>
                    </w:rPr>
                    <w:t>t/a</w:t>
                  </w:r>
                  <w:r>
                    <w:rPr>
                      <w:rFonts w:hint="eastAsia" w:cs="Times New Roman"/>
                      <w:color w:val="auto"/>
                      <w:spacing w:val="-11"/>
                      <w:kern w:val="2"/>
                      <w:sz w:val="21"/>
                      <w:szCs w:val="21"/>
                      <w:highlight w:val="none"/>
                      <w:lang w:val="en-US" w:eastAsia="zh-CN" w:bidi="ar-SA"/>
                    </w:rPr>
                    <w:t>、</w:t>
                  </w:r>
                  <w:r>
                    <w:rPr>
                      <w:rFonts w:hint="eastAsia" w:ascii="Times New Roman" w:hAnsi="Times New Roman" w:eastAsia="宋体" w:cs="Times New Roman"/>
                      <w:bCs/>
                      <w:color w:val="auto"/>
                      <w:spacing w:val="-11"/>
                      <w:kern w:val="0"/>
                      <w:sz w:val="21"/>
                      <w:szCs w:val="21"/>
                      <w:highlight w:val="none"/>
                      <w:lang w:val="en-US" w:eastAsia="zh-CN" w:bidi="ar"/>
                    </w:rPr>
                    <w:t>非甲烷总烃排放量</w:t>
                  </w:r>
                  <w:r>
                    <w:rPr>
                      <w:rFonts w:hint="eastAsia" w:cs="Times New Roman"/>
                      <w:bCs/>
                      <w:color w:val="auto"/>
                      <w:spacing w:val="-11"/>
                      <w:kern w:val="0"/>
                      <w:sz w:val="21"/>
                      <w:szCs w:val="21"/>
                      <w:highlight w:val="none"/>
                      <w:lang w:val="en-US" w:eastAsia="zh-CN" w:bidi="ar"/>
                    </w:rPr>
                    <w:t>1.542</w:t>
                  </w:r>
                  <w:r>
                    <w:rPr>
                      <w:rFonts w:hint="eastAsia" w:ascii="Times New Roman" w:hAnsi="Times New Roman" w:eastAsia="宋体" w:cs="Times New Roman"/>
                      <w:bCs/>
                      <w:color w:val="auto"/>
                      <w:spacing w:val="-11"/>
                      <w:kern w:val="0"/>
                      <w:sz w:val="21"/>
                      <w:szCs w:val="21"/>
                      <w:highlight w:val="none"/>
                      <w:lang w:val="en-US" w:eastAsia="zh-CN" w:bidi="ar"/>
                    </w:rPr>
                    <w:t>t/a、苯乙烯排放量为</w:t>
                  </w:r>
                  <w:r>
                    <w:rPr>
                      <w:rFonts w:hint="eastAsia" w:cs="Times New Roman"/>
                      <w:bCs/>
                      <w:color w:val="auto"/>
                      <w:spacing w:val="-11"/>
                      <w:kern w:val="0"/>
                      <w:sz w:val="21"/>
                      <w:szCs w:val="21"/>
                      <w:highlight w:val="none"/>
                      <w:lang w:val="en-US" w:eastAsia="zh-CN" w:bidi="ar"/>
                    </w:rPr>
                    <w:t>0.026</w:t>
                  </w:r>
                  <w:r>
                    <w:rPr>
                      <w:rFonts w:hint="eastAsia" w:ascii="Times New Roman" w:hAnsi="Times New Roman" w:eastAsia="宋体" w:cs="Times New Roman"/>
                      <w:bCs/>
                      <w:color w:val="auto"/>
                      <w:spacing w:val="-11"/>
                      <w:kern w:val="0"/>
                      <w:sz w:val="21"/>
                      <w:szCs w:val="21"/>
                      <w:highlight w:val="none"/>
                      <w:lang w:val="en-US" w:eastAsia="zh-CN" w:bidi="ar"/>
                    </w:rPr>
                    <w:t>t/a。</w:t>
                  </w:r>
                </w:p>
                <w:p w14:paraId="094C85B9">
                  <w:pPr>
                    <w:pStyle w:val="12"/>
                    <w:keepNext w:val="0"/>
                    <w:keepLines w:val="0"/>
                    <w:pageBreakBefore w:val="0"/>
                    <w:widowControl w:val="0"/>
                    <w:numPr>
                      <w:ilvl w:val="0"/>
                      <w:numId w:val="0"/>
                    </w:numPr>
                    <w:kinsoku/>
                    <w:wordWrap/>
                    <w:overflowPunct/>
                    <w:topLinePunct w:val="0"/>
                    <w:autoSpaceDE/>
                    <w:autoSpaceDN/>
                    <w:bidi w:val="0"/>
                    <w:adjustRightInd/>
                    <w:spacing w:before="0" w:after="0" w:line="240" w:lineRule="auto"/>
                    <w:ind w:left="-42" w:leftChars="-20" w:right="-42" w:rightChars="-20" w:firstLine="0" w:firstLineChars="0"/>
                    <w:jc w:val="center"/>
                    <w:textAlignment w:val="auto"/>
                    <w:rPr>
                      <w:rFonts w:hint="default" w:eastAsia="宋体"/>
                      <w:color w:val="auto"/>
                      <w:spacing w:val="-11"/>
                      <w:kern w:val="0"/>
                      <w:sz w:val="21"/>
                      <w:szCs w:val="21"/>
                      <w:highlight w:val="none"/>
                      <w:lang w:val="en-US" w:eastAsia="zh-CN" w:bidi="ar"/>
                    </w:rPr>
                  </w:pPr>
                  <w:r>
                    <w:rPr>
                      <w:rFonts w:hint="eastAsia"/>
                      <w:bCs/>
                      <w:color w:val="auto"/>
                      <w:spacing w:val="-11"/>
                      <w:kern w:val="0"/>
                      <w:sz w:val="21"/>
                      <w:szCs w:val="21"/>
                      <w:highlight w:val="none"/>
                      <w:lang w:val="en-US" w:eastAsia="zh-CN" w:bidi="ar"/>
                    </w:rPr>
                    <w:t>项目批复前完成总量削减工作。</w:t>
                  </w:r>
                </w:p>
              </w:tc>
              <w:tc>
                <w:tcPr>
                  <w:tcW w:w="415" w:type="pct"/>
                  <w:tcBorders>
                    <w:top w:val="single" w:color="auto" w:sz="4" w:space="0"/>
                    <w:left w:val="single" w:color="auto" w:sz="4" w:space="0"/>
                    <w:bottom w:val="single" w:color="auto" w:sz="4" w:space="0"/>
                  </w:tcBorders>
                  <w:noWrap w:val="0"/>
                  <w:vAlign w:val="center"/>
                </w:tcPr>
                <w:p w14:paraId="3835AEBD">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rFonts w:hint="eastAsia" w:eastAsia="宋体"/>
                      <w:bCs/>
                      <w:color w:val="auto"/>
                      <w:spacing w:val="-11"/>
                      <w:sz w:val="21"/>
                      <w:szCs w:val="21"/>
                      <w:highlight w:val="none"/>
                      <w:lang w:val="en-US" w:eastAsia="zh-CN" w:bidi="ar"/>
                    </w:rPr>
                  </w:pPr>
                  <w:r>
                    <w:rPr>
                      <w:rFonts w:hint="eastAsia"/>
                      <w:bCs/>
                      <w:color w:val="auto"/>
                      <w:spacing w:val="-11"/>
                      <w:sz w:val="21"/>
                      <w:szCs w:val="21"/>
                      <w:highlight w:val="none"/>
                      <w:lang w:val="en-US" w:eastAsia="zh-CN" w:bidi="ar"/>
                    </w:rPr>
                    <w:t>符合</w:t>
                  </w:r>
                </w:p>
              </w:tc>
            </w:tr>
            <w:tr w14:paraId="00BF154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tcBorders>
                    <w:top w:val="single" w:color="auto" w:sz="4" w:space="0"/>
                    <w:bottom w:val="single" w:color="auto" w:sz="4" w:space="0"/>
                    <w:right w:val="single" w:color="auto" w:sz="4" w:space="0"/>
                  </w:tcBorders>
                  <w:noWrap w:val="0"/>
                  <w:vAlign w:val="center"/>
                </w:tcPr>
                <w:p w14:paraId="370B4BD5">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rFonts w:hint="eastAsia" w:eastAsia="宋体"/>
                      <w:bCs/>
                      <w:color w:val="auto"/>
                      <w:spacing w:val="-11"/>
                      <w:sz w:val="21"/>
                      <w:szCs w:val="21"/>
                      <w:highlight w:val="none"/>
                      <w:lang w:val="en-US" w:eastAsia="zh-CN" w:bidi="ar"/>
                    </w:rPr>
                  </w:pPr>
                  <w:r>
                    <w:rPr>
                      <w:rFonts w:hint="eastAsia"/>
                      <w:bCs/>
                      <w:color w:val="auto"/>
                      <w:spacing w:val="-11"/>
                      <w:sz w:val="21"/>
                      <w:szCs w:val="21"/>
                      <w:highlight w:val="none"/>
                      <w:lang w:val="en-US" w:eastAsia="zh-CN" w:bidi="ar"/>
                    </w:rPr>
                    <w:t>6</w:t>
                  </w:r>
                </w:p>
              </w:tc>
              <w:tc>
                <w:tcPr>
                  <w:tcW w:w="2310" w:type="pct"/>
                  <w:tcBorders>
                    <w:top w:val="single" w:color="auto" w:sz="4" w:space="0"/>
                    <w:left w:val="single" w:color="auto" w:sz="4" w:space="0"/>
                    <w:bottom w:val="single" w:color="auto" w:sz="4" w:space="0"/>
                    <w:right w:val="single" w:color="auto" w:sz="4" w:space="0"/>
                  </w:tcBorders>
                  <w:noWrap w:val="0"/>
                  <w:vAlign w:val="center"/>
                </w:tcPr>
                <w:p w14:paraId="24E97BA7">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rFonts w:hint="eastAsia" w:eastAsia="宋体"/>
                      <w:color w:val="auto"/>
                      <w:spacing w:val="-11"/>
                      <w:sz w:val="21"/>
                      <w:szCs w:val="21"/>
                      <w:highlight w:val="none"/>
                      <w:lang w:eastAsia="zh-CN"/>
                    </w:rPr>
                  </w:pPr>
                  <w:r>
                    <w:rPr>
                      <w:rFonts w:hint="eastAsia"/>
                      <w:color w:val="auto"/>
                      <w:spacing w:val="-11"/>
                      <w:sz w:val="21"/>
                      <w:szCs w:val="21"/>
                      <w:highlight w:val="none"/>
                    </w:rPr>
                    <w:t>统筹基础设施建设，严格落实建设内容及时限。近期，开发区南区供水由建成的地下水厂供给，北区供水依托上方乡供水厂和阳关供水厂，水源为地下水</w:t>
                  </w:r>
                  <w:r>
                    <w:rPr>
                      <w:rFonts w:hint="eastAsia"/>
                      <w:color w:val="auto"/>
                      <w:spacing w:val="-11"/>
                      <w:sz w:val="21"/>
                      <w:szCs w:val="21"/>
                      <w:highlight w:val="none"/>
                      <w:lang w:eastAsia="zh-CN"/>
                    </w:rPr>
                    <w:t>；</w:t>
                  </w:r>
                  <w:r>
                    <w:rPr>
                      <w:rFonts w:hint="eastAsia"/>
                      <w:color w:val="auto"/>
                      <w:spacing w:val="-11"/>
                      <w:sz w:val="21"/>
                      <w:szCs w:val="21"/>
                      <w:highlight w:val="none"/>
                    </w:rPr>
                    <w:t>远期，开发区积极寻求地表水源，适时建设地表水厂。开发区南区污水排入建成的行唐县第二污水处理厂处理后部分回用，剩余部分排入的生态修复湿地进一步处理，最终排入</w:t>
                  </w:r>
                  <w:r>
                    <w:rPr>
                      <w:rFonts w:hint="eastAsia"/>
                      <w:color w:val="auto"/>
                      <w:spacing w:val="-11"/>
                      <w:sz w:val="21"/>
                      <w:szCs w:val="21"/>
                      <w:highlight w:val="none"/>
                      <w:lang w:val="en-US" w:eastAsia="zh-CN"/>
                    </w:rPr>
                    <w:t>郜</w:t>
                  </w:r>
                  <w:r>
                    <w:rPr>
                      <w:rFonts w:hint="eastAsia"/>
                      <w:color w:val="auto"/>
                      <w:spacing w:val="-11"/>
                      <w:sz w:val="21"/>
                      <w:szCs w:val="21"/>
                      <w:highlight w:val="none"/>
                    </w:rPr>
                    <w:t>河</w:t>
                  </w:r>
                  <w:r>
                    <w:rPr>
                      <w:rFonts w:hint="eastAsia"/>
                      <w:color w:val="auto"/>
                      <w:spacing w:val="-11"/>
                      <w:sz w:val="21"/>
                      <w:szCs w:val="21"/>
                      <w:highlight w:val="none"/>
                      <w:lang w:eastAsia="zh-CN"/>
                    </w:rPr>
                    <w:t>；</w:t>
                  </w:r>
                  <w:r>
                    <w:rPr>
                      <w:rFonts w:hint="eastAsia"/>
                      <w:color w:val="auto"/>
                      <w:spacing w:val="-11"/>
                      <w:sz w:val="21"/>
                      <w:szCs w:val="21"/>
                      <w:highlight w:val="none"/>
                    </w:rPr>
                    <w:t>北区污水排入建成的行唐县玉城污水处理厂后部分回用，剩余部分排入的生态修复湿地进一步处理，最终排入</w:t>
                  </w:r>
                  <w:r>
                    <w:rPr>
                      <w:rFonts w:hint="eastAsia"/>
                      <w:color w:val="auto"/>
                      <w:spacing w:val="-11"/>
                      <w:sz w:val="21"/>
                      <w:szCs w:val="21"/>
                      <w:highlight w:val="none"/>
                      <w:lang w:eastAsia="zh-CN"/>
                    </w:rPr>
                    <w:t>郜河</w:t>
                  </w:r>
                  <w:r>
                    <w:rPr>
                      <w:rFonts w:hint="eastAsia"/>
                      <w:color w:val="auto"/>
                      <w:spacing w:val="-11"/>
                      <w:sz w:val="21"/>
                      <w:szCs w:val="21"/>
                      <w:highlight w:val="none"/>
                    </w:rPr>
                    <w:t>。开发区南区供热由建成的中电行唐生物质能热电有限公司供给，北区随入区企业发展规模，结合实际需求，适时建设集中供热。开发区南区供气由集中煤制气中心和天然气联合供给，北区供气由天然气供给</w:t>
                  </w:r>
                  <w:r>
                    <w:rPr>
                      <w:rFonts w:hint="eastAsia"/>
                      <w:color w:val="auto"/>
                      <w:spacing w:val="-11"/>
                      <w:sz w:val="21"/>
                      <w:szCs w:val="21"/>
                      <w:highlight w:val="none"/>
                      <w:lang w:eastAsia="zh-CN"/>
                    </w:rPr>
                    <w:t>。</w:t>
                  </w:r>
                </w:p>
              </w:tc>
              <w:tc>
                <w:tcPr>
                  <w:tcW w:w="1884" w:type="pct"/>
                  <w:tcBorders>
                    <w:top w:val="single" w:color="auto" w:sz="4" w:space="0"/>
                    <w:left w:val="single" w:color="auto" w:sz="4" w:space="0"/>
                    <w:bottom w:val="single" w:color="auto" w:sz="4" w:space="0"/>
                    <w:right w:val="single" w:color="auto" w:sz="4" w:space="0"/>
                  </w:tcBorders>
                  <w:noWrap w:val="0"/>
                  <w:vAlign w:val="center"/>
                </w:tcPr>
                <w:p w14:paraId="39E0A6D5">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rFonts w:hint="default" w:eastAsia="宋体"/>
                      <w:bCs/>
                      <w:color w:val="auto"/>
                      <w:spacing w:val="-11"/>
                      <w:kern w:val="0"/>
                      <w:sz w:val="21"/>
                      <w:szCs w:val="21"/>
                      <w:highlight w:val="none"/>
                      <w:lang w:val="en-US" w:eastAsia="zh-CN" w:bidi="ar"/>
                    </w:rPr>
                  </w:pPr>
                  <w:r>
                    <w:rPr>
                      <w:rFonts w:hint="eastAsia" w:cs="Times New Roman"/>
                      <w:color w:val="auto"/>
                      <w:spacing w:val="-11"/>
                      <w:kern w:val="0"/>
                      <w:sz w:val="21"/>
                      <w:szCs w:val="21"/>
                      <w:highlight w:val="none"/>
                      <w:lang w:val="en-US" w:eastAsia="zh-CN" w:bidi="ar"/>
                    </w:rPr>
                    <w:t>园区建设进度详见基础设施符合性分析章节；</w:t>
                  </w:r>
                  <w:r>
                    <w:rPr>
                      <w:rFonts w:hint="eastAsia" w:ascii="Times New Roman" w:hAnsi="Times New Roman" w:eastAsia="宋体" w:cs="Times New Roman"/>
                      <w:color w:val="auto"/>
                      <w:spacing w:val="-11"/>
                      <w:kern w:val="0"/>
                      <w:sz w:val="21"/>
                      <w:szCs w:val="21"/>
                      <w:highlight w:val="none"/>
                      <w:lang w:val="en-US" w:eastAsia="zh-CN" w:bidi="ar"/>
                    </w:rPr>
                    <w:t>项</w:t>
                  </w:r>
                  <w:r>
                    <w:rPr>
                      <w:rFonts w:hint="eastAsia" w:ascii="Times New Roman" w:hAnsi="Times New Roman" w:eastAsia="宋体" w:cs="Times New Roman"/>
                      <w:bCs/>
                      <w:color w:val="auto"/>
                      <w:spacing w:val="-11"/>
                      <w:kern w:val="0"/>
                      <w:sz w:val="21"/>
                      <w:szCs w:val="21"/>
                      <w:highlight w:val="none"/>
                      <w:lang w:val="en-US" w:eastAsia="zh-CN" w:bidi="ar"/>
                    </w:rPr>
                    <w:t>目用水为生活用水、冷却塔用水由园区供水管网提供，不开采地下水，用水量较小。项目无生产废水排放，仅职工生活废水。厂区设防渗旱厕，生活污水排入防渗旱厕，定期清掏，不外排。</w:t>
                  </w:r>
                </w:p>
                <w:p w14:paraId="0F8AF558">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rFonts w:hint="default" w:eastAsia="宋体"/>
                      <w:color w:val="auto"/>
                      <w:spacing w:val="-11"/>
                      <w:kern w:val="0"/>
                      <w:sz w:val="21"/>
                      <w:szCs w:val="21"/>
                      <w:highlight w:val="none"/>
                      <w:lang w:val="en-US" w:eastAsia="zh-CN" w:bidi="ar"/>
                    </w:rPr>
                  </w:pPr>
                  <w:r>
                    <w:rPr>
                      <w:rFonts w:hint="eastAsia"/>
                      <w:color w:val="auto"/>
                      <w:spacing w:val="-11"/>
                      <w:kern w:val="0"/>
                      <w:sz w:val="21"/>
                      <w:szCs w:val="21"/>
                      <w:highlight w:val="none"/>
                      <w:lang w:val="en-US" w:eastAsia="zh-CN" w:bidi="ar"/>
                    </w:rPr>
                    <w:t>项目采用石家庄玉晶玻璃有限公司蒸汽，办公楼采用空调。</w:t>
                  </w:r>
                </w:p>
              </w:tc>
              <w:tc>
                <w:tcPr>
                  <w:tcW w:w="415" w:type="pct"/>
                  <w:tcBorders>
                    <w:top w:val="single" w:color="auto" w:sz="4" w:space="0"/>
                    <w:left w:val="single" w:color="auto" w:sz="4" w:space="0"/>
                    <w:bottom w:val="single" w:color="auto" w:sz="4" w:space="0"/>
                  </w:tcBorders>
                  <w:noWrap w:val="0"/>
                  <w:vAlign w:val="center"/>
                </w:tcPr>
                <w:p w14:paraId="43AAA218">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rFonts w:hint="eastAsia" w:eastAsia="宋体"/>
                      <w:bCs/>
                      <w:color w:val="auto"/>
                      <w:spacing w:val="-11"/>
                      <w:sz w:val="21"/>
                      <w:szCs w:val="21"/>
                      <w:highlight w:val="none"/>
                      <w:lang w:val="en-US" w:eastAsia="zh-CN" w:bidi="ar"/>
                    </w:rPr>
                  </w:pPr>
                  <w:r>
                    <w:rPr>
                      <w:rFonts w:hint="eastAsia"/>
                      <w:bCs/>
                      <w:color w:val="auto"/>
                      <w:spacing w:val="-11"/>
                      <w:sz w:val="21"/>
                      <w:szCs w:val="21"/>
                      <w:highlight w:val="none"/>
                      <w:lang w:val="en-US" w:eastAsia="zh-CN" w:bidi="ar"/>
                    </w:rPr>
                    <w:t>符合</w:t>
                  </w:r>
                </w:p>
              </w:tc>
            </w:tr>
            <w:tr w14:paraId="5A4E65B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tcBorders>
                    <w:top w:val="single" w:color="auto" w:sz="4" w:space="0"/>
                    <w:bottom w:val="single" w:color="auto" w:sz="4" w:space="0"/>
                    <w:right w:val="single" w:color="auto" w:sz="4" w:space="0"/>
                  </w:tcBorders>
                  <w:noWrap w:val="0"/>
                  <w:vAlign w:val="center"/>
                </w:tcPr>
                <w:p w14:paraId="4309DAC3">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rFonts w:hint="default"/>
                      <w:bCs/>
                      <w:color w:val="auto"/>
                      <w:spacing w:val="-11"/>
                      <w:sz w:val="21"/>
                      <w:szCs w:val="21"/>
                      <w:highlight w:val="none"/>
                      <w:lang w:val="en-US" w:eastAsia="zh-CN" w:bidi="ar"/>
                    </w:rPr>
                  </w:pPr>
                  <w:r>
                    <w:rPr>
                      <w:rFonts w:hint="eastAsia"/>
                      <w:bCs/>
                      <w:color w:val="auto"/>
                      <w:spacing w:val="-11"/>
                      <w:sz w:val="21"/>
                      <w:szCs w:val="21"/>
                      <w:highlight w:val="none"/>
                      <w:lang w:val="en-US" w:eastAsia="zh-CN" w:bidi="ar"/>
                    </w:rPr>
                    <w:t>7</w:t>
                  </w:r>
                </w:p>
              </w:tc>
              <w:tc>
                <w:tcPr>
                  <w:tcW w:w="2310" w:type="pct"/>
                  <w:tcBorders>
                    <w:top w:val="single" w:color="auto" w:sz="4" w:space="0"/>
                    <w:left w:val="single" w:color="auto" w:sz="4" w:space="0"/>
                    <w:bottom w:val="single" w:color="auto" w:sz="4" w:space="0"/>
                    <w:right w:val="single" w:color="auto" w:sz="4" w:space="0"/>
                  </w:tcBorders>
                  <w:noWrap w:val="0"/>
                  <w:vAlign w:val="center"/>
                </w:tcPr>
                <w:p w14:paraId="347B9CF0">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rFonts w:hint="eastAsia" w:eastAsia="宋体"/>
                      <w:color w:val="auto"/>
                      <w:spacing w:val="-11"/>
                      <w:sz w:val="21"/>
                      <w:szCs w:val="21"/>
                      <w:highlight w:val="none"/>
                      <w:lang w:eastAsia="zh-CN"/>
                    </w:rPr>
                  </w:pPr>
                  <w:r>
                    <w:rPr>
                      <w:rFonts w:hint="eastAsia"/>
                      <w:color w:val="auto"/>
                      <w:spacing w:val="-11"/>
                      <w:sz w:val="21"/>
                      <w:szCs w:val="21"/>
                      <w:highlight w:val="none"/>
                    </w:rPr>
                    <w:t>优化运输方式，落实应急运输响应方案。鼓励开发区提高清洁能源汽车运输比例，优化区域运输方式，减轻运输产生的不利环境影响。结合秋冬行业错峰生产和重污染天气应急响应要求，在黄色及以上重污染天气预警期间，重点用车企业实施应急运输响应</w:t>
                  </w:r>
                  <w:r>
                    <w:rPr>
                      <w:rFonts w:hint="eastAsia"/>
                      <w:color w:val="auto"/>
                      <w:spacing w:val="-11"/>
                      <w:sz w:val="21"/>
                      <w:szCs w:val="21"/>
                      <w:highlight w:val="none"/>
                      <w:lang w:eastAsia="zh-CN"/>
                    </w:rPr>
                    <w:t>。</w:t>
                  </w:r>
                </w:p>
              </w:tc>
              <w:tc>
                <w:tcPr>
                  <w:tcW w:w="1884" w:type="pct"/>
                  <w:tcBorders>
                    <w:top w:val="single" w:color="auto" w:sz="4" w:space="0"/>
                    <w:left w:val="single" w:color="auto" w:sz="4" w:space="0"/>
                    <w:bottom w:val="single" w:color="auto" w:sz="4" w:space="0"/>
                    <w:right w:val="single" w:color="auto" w:sz="4" w:space="0"/>
                  </w:tcBorders>
                  <w:noWrap w:val="0"/>
                  <w:vAlign w:val="center"/>
                </w:tcPr>
                <w:p w14:paraId="74A38AB6">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rFonts w:hint="default" w:eastAsia="宋体"/>
                      <w:color w:val="auto"/>
                      <w:spacing w:val="-11"/>
                      <w:kern w:val="0"/>
                      <w:sz w:val="21"/>
                      <w:szCs w:val="21"/>
                      <w:highlight w:val="none"/>
                      <w:lang w:val="en-US" w:eastAsia="zh-CN" w:bidi="ar"/>
                    </w:rPr>
                  </w:pPr>
                  <w:r>
                    <w:rPr>
                      <w:rFonts w:hint="eastAsia" w:ascii="Times New Roman" w:hAnsi="Times New Roman" w:eastAsia="宋体" w:cs="Times New Roman"/>
                      <w:color w:val="auto"/>
                      <w:spacing w:val="-11"/>
                      <w:sz w:val="21"/>
                      <w:szCs w:val="21"/>
                      <w:highlight w:val="none"/>
                      <w:lang w:val="en-US" w:eastAsia="zh-CN"/>
                    </w:rPr>
                    <w:t>项目使用新能源汽车或国六</w:t>
                  </w:r>
                  <w:r>
                    <w:rPr>
                      <w:rFonts w:hint="default" w:ascii="Times New Roman" w:hAnsi="Times New Roman" w:eastAsia="宋体" w:cs="Times New Roman"/>
                      <w:color w:val="auto"/>
                      <w:spacing w:val="-11"/>
                      <w:sz w:val="21"/>
                      <w:szCs w:val="21"/>
                      <w:highlight w:val="none"/>
                      <w:lang w:val="en-US" w:eastAsia="zh-CN"/>
                    </w:rPr>
                    <w:t>排放标准汽车</w:t>
                  </w:r>
                  <w:r>
                    <w:rPr>
                      <w:rFonts w:hint="eastAsia" w:ascii="Times New Roman" w:hAnsi="Times New Roman" w:eastAsia="宋体" w:cs="Times New Roman"/>
                      <w:color w:val="auto"/>
                      <w:spacing w:val="-11"/>
                      <w:sz w:val="21"/>
                      <w:szCs w:val="21"/>
                      <w:highlight w:val="none"/>
                      <w:lang w:val="en-US" w:eastAsia="zh-CN"/>
                    </w:rPr>
                    <w:t>，尾气对周围</w:t>
                  </w:r>
                  <w:r>
                    <w:rPr>
                      <w:rFonts w:hint="eastAsia" w:ascii="Times New Roman" w:hAnsi="Times New Roman" w:eastAsia="宋体" w:cs="Times New Roman"/>
                      <w:color w:val="auto"/>
                      <w:spacing w:val="-11"/>
                      <w:sz w:val="21"/>
                      <w:szCs w:val="21"/>
                      <w:highlight w:val="none"/>
                    </w:rPr>
                    <w:t>环境影响较小。</w:t>
                  </w:r>
                </w:p>
              </w:tc>
              <w:tc>
                <w:tcPr>
                  <w:tcW w:w="415" w:type="pct"/>
                  <w:tcBorders>
                    <w:top w:val="single" w:color="auto" w:sz="4" w:space="0"/>
                    <w:left w:val="single" w:color="auto" w:sz="4" w:space="0"/>
                    <w:bottom w:val="single" w:color="auto" w:sz="4" w:space="0"/>
                  </w:tcBorders>
                  <w:noWrap w:val="0"/>
                  <w:vAlign w:val="center"/>
                </w:tcPr>
                <w:p w14:paraId="76179F97">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rFonts w:hint="eastAsia" w:eastAsia="宋体"/>
                      <w:bCs/>
                      <w:color w:val="auto"/>
                      <w:spacing w:val="-11"/>
                      <w:sz w:val="21"/>
                      <w:szCs w:val="21"/>
                      <w:highlight w:val="none"/>
                      <w:lang w:val="en-US" w:eastAsia="zh-CN" w:bidi="ar"/>
                    </w:rPr>
                  </w:pPr>
                  <w:r>
                    <w:rPr>
                      <w:rFonts w:hint="eastAsia"/>
                      <w:bCs/>
                      <w:color w:val="auto"/>
                      <w:spacing w:val="-11"/>
                      <w:sz w:val="21"/>
                      <w:szCs w:val="21"/>
                      <w:highlight w:val="none"/>
                      <w:lang w:val="en-US" w:eastAsia="zh-CN" w:bidi="ar"/>
                    </w:rPr>
                    <w:t>符合</w:t>
                  </w:r>
                </w:p>
              </w:tc>
            </w:tr>
            <w:tr w14:paraId="0E713D0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tcBorders>
                    <w:top w:val="single" w:color="auto" w:sz="4" w:space="0"/>
                    <w:bottom w:val="single" w:color="auto" w:sz="4" w:space="0"/>
                    <w:right w:val="single" w:color="auto" w:sz="4" w:space="0"/>
                  </w:tcBorders>
                  <w:noWrap w:val="0"/>
                  <w:vAlign w:val="center"/>
                </w:tcPr>
                <w:p w14:paraId="5CCA710F">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rFonts w:hint="default"/>
                      <w:bCs/>
                      <w:color w:val="auto"/>
                      <w:spacing w:val="-11"/>
                      <w:sz w:val="21"/>
                      <w:szCs w:val="21"/>
                      <w:highlight w:val="none"/>
                      <w:lang w:val="en-US" w:eastAsia="zh-CN" w:bidi="ar"/>
                    </w:rPr>
                  </w:pPr>
                  <w:r>
                    <w:rPr>
                      <w:rFonts w:hint="eastAsia"/>
                      <w:bCs/>
                      <w:color w:val="auto"/>
                      <w:spacing w:val="-11"/>
                      <w:sz w:val="21"/>
                      <w:szCs w:val="21"/>
                      <w:highlight w:val="none"/>
                      <w:lang w:val="en-US" w:eastAsia="zh-CN" w:bidi="ar"/>
                    </w:rPr>
                    <w:t>8</w:t>
                  </w:r>
                </w:p>
              </w:tc>
              <w:tc>
                <w:tcPr>
                  <w:tcW w:w="2310" w:type="pct"/>
                  <w:tcBorders>
                    <w:top w:val="single" w:color="auto" w:sz="4" w:space="0"/>
                    <w:left w:val="single" w:color="auto" w:sz="4" w:space="0"/>
                    <w:bottom w:val="single" w:color="auto" w:sz="4" w:space="0"/>
                    <w:right w:val="single" w:color="auto" w:sz="4" w:space="0"/>
                  </w:tcBorders>
                  <w:noWrap w:val="0"/>
                  <w:vAlign w:val="center"/>
                </w:tcPr>
                <w:p w14:paraId="2F7E40FF">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rFonts w:hint="eastAsia"/>
                      <w:color w:val="auto"/>
                      <w:spacing w:val="-11"/>
                      <w:sz w:val="21"/>
                      <w:szCs w:val="21"/>
                      <w:highlight w:val="none"/>
                    </w:rPr>
                  </w:pPr>
                  <w:r>
                    <w:rPr>
                      <w:rFonts w:hint="eastAsia"/>
                      <w:color w:val="auto"/>
                      <w:spacing w:val="-11"/>
                      <w:sz w:val="21"/>
                      <w:szCs w:val="21"/>
                      <w:highlight w:val="none"/>
                    </w:rPr>
                    <w:t>健全完善环境监测体系，强化环境风险防范。建立完善包括环境空气、地表水、地下水、土壤等环境要素的监控体系</w:t>
                  </w:r>
                  <w:r>
                    <w:rPr>
                      <w:rFonts w:hint="eastAsia"/>
                      <w:color w:val="auto"/>
                      <w:spacing w:val="-11"/>
                      <w:sz w:val="21"/>
                      <w:szCs w:val="21"/>
                      <w:highlight w:val="none"/>
                      <w:lang w:eastAsia="zh-CN"/>
                    </w:rPr>
                    <w:t>；</w:t>
                  </w:r>
                  <w:r>
                    <w:rPr>
                      <w:rFonts w:hint="eastAsia"/>
                      <w:color w:val="auto"/>
                      <w:spacing w:val="-11"/>
                      <w:sz w:val="21"/>
                      <w:szCs w:val="21"/>
                      <w:highlight w:val="none"/>
                    </w:rPr>
                    <w:t>强化区域环境风险防范体系，建立应急响应联动机制。严格落实《报告书》提出的各项环境风险防控措施，提升环境风险防控和应急响应能力，保障区域</w:t>
                  </w:r>
                  <w:r>
                    <w:rPr>
                      <w:rFonts w:hint="eastAsia"/>
                      <w:color w:val="auto"/>
                      <w:spacing w:val="-11"/>
                      <w:sz w:val="21"/>
                      <w:szCs w:val="21"/>
                      <w:highlight w:val="none"/>
                      <w:lang w:val="en-US" w:eastAsia="zh-CN"/>
                    </w:rPr>
                    <w:t>环</w:t>
                  </w:r>
                  <w:r>
                    <w:rPr>
                      <w:rFonts w:hint="eastAsia"/>
                      <w:color w:val="auto"/>
                      <w:spacing w:val="-11"/>
                      <w:sz w:val="21"/>
                      <w:szCs w:val="21"/>
                      <w:highlight w:val="none"/>
                    </w:rPr>
                    <w:t>境安全。</w:t>
                  </w:r>
                </w:p>
              </w:tc>
              <w:tc>
                <w:tcPr>
                  <w:tcW w:w="1884" w:type="pct"/>
                  <w:tcBorders>
                    <w:top w:val="single" w:color="auto" w:sz="4" w:space="0"/>
                    <w:left w:val="single" w:color="auto" w:sz="4" w:space="0"/>
                    <w:bottom w:val="single" w:color="auto" w:sz="4" w:space="0"/>
                    <w:right w:val="single" w:color="auto" w:sz="4" w:space="0"/>
                  </w:tcBorders>
                  <w:noWrap w:val="0"/>
                  <w:vAlign w:val="center"/>
                </w:tcPr>
                <w:p w14:paraId="494E89B6">
                  <w:pPr>
                    <w:keepNext w:val="0"/>
                    <w:keepLines w:val="0"/>
                    <w:pageBreakBefore w:val="0"/>
                    <w:widowControl w:val="0"/>
                    <w:kinsoku/>
                    <w:wordWrap/>
                    <w:overflowPunct/>
                    <w:topLinePunct w:val="0"/>
                    <w:autoSpaceDE w:val="0"/>
                    <w:autoSpaceDN w:val="0"/>
                    <w:bidi w:val="0"/>
                    <w:adjustRightInd/>
                    <w:spacing w:line="240" w:lineRule="auto"/>
                    <w:ind w:left="-42" w:leftChars="-20" w:right="-42" w:rightChars="-20"/>
                    <w:jc w:val="center"/>
                    <w:textAlignment w:val="auto"/>
                    <w:rPr>
                      <w:rFonts w:hint="eastAsia"/>
                      <w:color w:val="auto"/>
                      <w:spacing w:val="-11"/>
                      <w:kern w:val="0"/>
                      <w:sz w:val="21"/>
                      <w:szCs w:val="21"/>
                      <w:highlight w:val="none"/>
                      <w:lang w:bidi="ar"/>
                    </w:rPr>
                  </w:pPr>
                  <w:r>
                    <w:rPr>
                      <w:rFonts w:hint="eastAsia"/>
                      <w:color w:val="auto"/>
                      <w:spacing w:val="-11"/>
                      <w:kern w:val="0"/>
                      <w:sz w:val="21"/>
                      <w:szCs w:val="21"/>
                      <w:highlight w:val="none"/>
                      <w:lang w:eastAsia="zh-CN" w:bidi="ar"/>
                    </w:rPr>
                    <w:t>本项目采取严格的风险防范措施后</w:t>
                  </w:r>
                  <w:r>
                    <w:rPr>
                      <w:rFonts w:hint="eastAsia" w:ascii="Times New Roman" w:hAnsi="Times New Roman" w:eastAsia="宋体" w:cs="Times New Roman"/>
                      <w:color w:val="auto"/>
                      <w:spacing w:val="-11"/>
                      <w:kern w:val="0"/>
                      <w:sz w:val="21"/>
                      <w:szCs w:val="21"/>
                      <w:highlight w:val="none"/>
                      <w:lang w:val="en-US" w:eastAsia="zh-CN" w:bidi="ar"/>
                    </w:rPr>
                    <w:t>，环境风险处于可接受水平。编制突发环境事件应急预案，加强环境风险防范措施和应急处置，不会对周边敏感点造成影响。</w:t>
                  </w:r>
                  <w:r>
                    <w:rPr>
                      <w:rFonts w:hint="eastAsia" w:cs="Times New Roman"/>
                      <w:color w:val="auto"/>
                      <w:spacing w:val="-11"/>
                      <w:kern w:val="0"/>
                      <w:sz w:val="21"/>
                      <w:szCs w:val="21"/>
                      <w:highlight w:val="none"/>
                      <w:lang w:val="en-US" w:eastAsia="zh-CN" w:bidi="ar"/>
                    </w:rPr>
                    <w:t>建成后不会影响区域环境。</w:t>
                  </w:r>
                </w:p>
              </w:tc>
              <w:tc>
                <w:tcPr>
                  <w:tcW w:w="415" w:type="pct"/>
                  <w:tcBorders>
                    <w:top w:val="single" w:color="auto" w:sz="4" w:space="0"/>
                    <w:left w:val="single" w:color="auto" w:sz="4" w:space="0"/>
                    <w:bottom w:val="single" w:color="auto" w:sz="4" w:space="0"/>
                  </w:tcBorders>
                  <w:noWrap w:val="0"/>
                  <w:vAlign w:val="center"/>
                </w:tcPr>
                <w:p w14:paraId="26853A2C">
                  <w:pPr>
                    <w:keepNext w:val="0"/>
                    <w:keepLines w:val="0"/>
                    <w:pageBreakBefore w:val="0"/>
                    <w:widowControl w:val="0"/>
                    <w:kinsoku/>
                    <w:wordWrap/>
                    <w:overflowPunct/>
                    <w:topLinePunct w:val="0"/>
                    <w:bidi w:val="0"/>
                    <w:adjustRightInd/>
                    <w:spacing w:line="240" w:lineRule="auto"/>
                    <w:ind w:left="-42" w:leftChars="-20" w:right="-42" w:rightChars="-20"/>
                    <w:jc w:val="center"/>
                    <w:textAlignment w:val="auto"/>
                    <w:rPr>
                      <w:rFonts w:hint="eastAsia" w:eastAsia="宋体"/>
                      <w:bCs/>
                      <w:color w:val="auto"/>
                      <w:spacing w:val="-11"/>
                      <w:sz w:val="21"/>
                      <w:szCs w:val="21"/>
                      <w:highlight w:val="none"/>
                      <w:lang w:val="en-US" w:eastAsia="zh-CN" w:bidi="ar"/>
                    </w:rPr>
                  </w:pPr>
                  <w:r>
                    <w:rPr>
                      <w:rFonts w:hint="eastAsia"/>
                      <w:bCs/>
                      <w:color w:val="auto"/>
                      <w:spacing w:val="-11"/>
                      <w:sz w:val="21"/>
                      <w:szCs w:val="21"/>
                      <w:highlight w:val="none"/>
                      <w:lang w:val="en-US" w:eastAsia="zh-CN" w:bidi="ar"/>
                    </w:rPr>
                    <w:t>符合</w:t>
                  </w:r>
                </w:p>
              </w:tc>
            </w:tr>
          </w:tbl>
          <w:p w14:paraId="3974DBA4">
            <w:pPr>
              <w:pStyle w:val="12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bCs/>
                <w:color w:val="auto"/>
                <w:kern w:val="2"/>
                <w:sz w:val="24"/>
                <w:szCs w:val="24"/>
                <w:highlight w:val="none"/>
              </w:rPr>
            </w:pPr>
            <w:r>
              <w:rPr>
                <w:rFonts w:hint="eastAsia"/>
                <w:color w:val="auto"/>
                <w:sz w:val="24"/>
                <w:szCs w:val="24"/>
                <w:highlight w:val="none"/>
                <w:lang w:eastAsia="zh-CN"/>
              </w:rPr>
              <w:t>4.</w:t>
            </w:r>
            <w:r>
              <w:rPr>
                <w:color w:val="auto"/>
                <w:sz w:val="24"/>
                <w:szCs w:val="24"/>
                <w:highlight w:val="none"/>
              </w:rPr>
              <w:t>基础设施</w:t>
            </w:r>
            <w:r>
              <w:rPr>
                <w:rFonts w:hint="eastAsia"/>
                <w:color w:val="auto"/>
                <w:sz w:val="24"/>
                <w:szCs w:val="24"/>
                <w:highlight w:val="none"/>
              </w:rPr>
              <w:t>规划符合性分析</w:t>
            </w:r>
          </w:p>
          <w:p w14:paraId="38DA6B60">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sz w:val="24"/>
                <w:szCs w:val="24"/>
                <w:highlight w:val="none"/>
                <w:lang w:val="en-US" w:eastAsia="zh-CN"/>
              </w:rPr>
            </w:pPr>
            <w:r>
              <w:rPr>
                <w:rFonts w:hint="default"/>
                <w:color w:val="auto"/>
                <w:sz w:val="24"/>
                <w:szCs w:val="24"/>
                <w:highlight w:val="none"/>
                <w:lang w:val="en-US" w:eastAsia="zh-CN"/>
              </w:rPr>
              <w:t>（1）给水</w:t>
            </w:r>
          </w:p>
          <w:p w14:paraId="103C2BA4">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sz w:val="24"/>
                <w:szCs w:val="24"/>
                <w:highlight w:val="none"/>
                <w:vertAlign w:val="baseline"/>
                <w:lang w:val="en-US" w:eastAsia="zh-CN"/>
              </w:rPr>
            </w:pPr>
            <w:r>
              <w:rPr>
                <w:rFonts w:hint="eastAsia"/>
                <w:color w:val="auto"/>
                <w:sz w:val="24"/>
                <w:szCs w:val="24"/>
                <w:highlight w:val="none"/>
                <w:lang w:val="en-US" w:eastAsia="zh-CN"/>
              </w:rPr>
              <w:t>目前，行唐经济开发区（南区）已实施集中供水，居民生活用水和企业生产用水由行唐经济开发区（南区）水厂供应，水源为地下水。行唐经济开发区（南区）范围内企业自备井均已关停。行唐经济开发区（南区）水厂位于行唐县安香乡北部，现状由安香乡西留营村和东伏流村水源地8眼取水井供水，取水许可量为178.76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/a。行唐经济开发区（南区）水厂规划供水规模5.5万m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/d（一期2万m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/d，二期3.5万m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/d），一期已建成，实际供水能力1.0万m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该水厂规划供水范围为南区企业及周边七个行政村，实际供水范围为南区企业、行唐县第二污水处理厂、开发区管委会、东留营庄村及安香乡政府。截至目前，南区给水管网较完善，已建成道路均铺设给水管网。</w:t>
            </w:r>
          </w:p>
          <w:p w14:paraId="2918905D">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sz w:val="24"/>
                <w:szCs w:val="24"/>
                <w:highlight w:val="none"/>
                <w:lang w:val="en-US" w:eastAsia="zh-CN"/>
              </w:rPr>
            </w:pPr>
            <w:r>
              <w:rPr>
                <w:rFonts w:hint="eastAsia"/>
                <w:color w:val="auto"/>
                <w:sz w:val="24"/>
                <w:szCs w:val="24"/>
                <w:highlight w:val="none"/>
                <w:lang w:val="en-US" w:eastAsia="zh-CN"/>
              </w:rPr>
              <w:t>本项目用水量为1.813m</w:t>
            </w:r>
            <w:r>
              <w:rPr>
                <w:rFonts w:hint="eastAsia"/>
                <w:color w:val="auto"/>
                <w:sz w:val="24"/>
                <w:szCs w:val="24"/>
                <w:highlight w:val="none"/>
                <w:vertAlign w:val="superscript"/>
                <w:lang w:val="en-US" w:eastAsia="zh-CN"/>
              </w:rPr>
              <w:t>3</w:t>
            </w:r>
            <w:r>
              <w:rPr>
                <w:rFonts w:hint="eastAsia"/>
                <w:color w:val="auto"/>
                <w:sz w:val="24"/>
                <w:szCs w:val="24"/>
                <w:highlight w:val="none"/>
                <w:lang w:val="en-US" w:eastAsia="zh-CN"/>
              </w:rPr>
              <w:t>/d、543.9m</w:t>
            </w:r>
            <w:r>
              <w:rPr>
                <w:rFonts w:hint="eastAsia"/>
                <w:color w:val="auto"/>
                <w:sz w:val="24"/>
                <w:szCs w:val="24"/>
                <w:highlight w:val="none"/>
                <w:vertAlign w:val="superscript"/>
                <w:lang w:val="en-US" w:eastAsia="zh-CN"/>
              </w:rPr>
              <w:t>3</w:t>
            </w:r>
            <w:r>
              <w:rPr>
                <w:rFonts w:hint="eastAsia"/>
                <w:color w:val="auto"/>
                <w:sz w:val="24"/>
                <w:szCs w:val="24"/>
                <w:highlight w:val="none"/>
                <w:lang w:val="en-US" w:eastAsia="zh-CN"/>
              </w:rPr>
              <w:t>/a，由园区供水管网提供，用水量较小，不会对供水情况产生影响</w:t>
            </w:r>
            <w:r>
              <w:rPr>
                <w:rFonts w:hint="default"/>
                <w:color w:val="auto"/>
                <w:sz w:val="24"/>
                <w:szCs w:val="24"/>
                <w:highlight w:val="none"/>
                <w:lang w:val="en-US" w:eastAsia="zh-CN"/>
              </w:rPr>
              <w:t>。</w:t>
            </w:r>
          </w:p>
          <w:p w14:paraId="0F53CD88">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sz w:val="24"/>
                <w:szCs w:val="24"/>
                <w:highlight w:val="none"/>
                <w:lang w:val="en-US" w:eastAsia="zh-CN"/>
              </w:rPr>
            </w:pPr>
            <w:r>
              <w:rPr>
                <w:rFonts w:hint="default"/>
                <w:color w:val="auto"/>
                <w:sz w:val="24"/>
                <w:szCs w:val="24"/>
                <w:highlight w:val="none"/>
                <w:lang w:val="en-US" w:eastAsia="zh-CN"/>
              </w:rPr>
              <w:t>（2）排水</w:t>
            </w:r>
          </w:p>
          <w:p w14:paraId="6B0D81EA">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sz w:val="24"/>
                <w:szCs w:val="24"/>
                <w:highlight w:val="none"/>
                <w:vertAlign w:val="baseline"/>
                <w:lang w:val="en-US" w:eastAsia="zh-CN"/>
              </w:rPr>
            </w:pPr>
            <w:r>
              <w:rPr>
                <w:rFonts w:hint="eastAsia" w:ascii="Times New Roman" w:hAnsi="Times New Roman" w:eastAsia="宋体" w:cs="Times New Roman"/>
                <w:color w:val="auto"/>
                <w:sz w:val="24"/>
                <w:szCs w:val="24"/>
                <w:highlight w:val="none"/>
                <w:lang w:val="en-US" w:eastAsia="zh-CN"/>
              </w:rPr>
              <w:t>行唐经济开发区（南区）污水排入行唐县第二污水处理厂</w:t>
            </w:r>
            <w:r>
              <w:rPr>
                <w:rFonts w:hint="eastAsia" w:ascii="Times New Roman" w:hAnsi="Times New Roman" w:eastAsia="宋体" w:cs="Times New Roman"/>
                <w:color w:val="auto"/>
                <w:sz w:val="24"/>
                <w:szCs w:val="24"/>
                <w:highlight w:val="none"/>
                <w:vertAlign w:val="baseline"/>
                <w:lang w:val="en-US" w:eastAsia="zh-CN"/>
              </w:rPr>
              <w:t>部分回用，剩余部分排入行唐县玉城污水处理厂，</w:t>
            </w:r>
            <w:r>
              <w:rPr>
                <w:rFonts w:hint="eastAsia" w:ascii="Times New Roman" w:hAnsi="Times New Roman" w:eastAsia="宋体" w:cs="Times New Roman"/>
                <w:color w:val="auto"/>
                <w:sz w:val="24"/>
                <w:szCs w:val="24"/>
                <w:highlight w:val="none"/>
              </w:rPr>
              <w:t>行唐县玉城污水处理厂</w:t>
            </w:r>
            <w:r>
              <w:rPr>
                <w:rFonts w:hint="eastAsia" w:ascii="Times New Roman" w:hAnsi="Times New Roman" w:eastAsia="宋体" w:cs="Times New Roman"/>
                <w:color w:val="auto"/>
                <w:sz w:val="24"/>
                <w:szCs w:val="24"/>
                <w:highlight w:val="none"/>
                <w:lang w:val="en-US" w:eastAsia="zh-CN"/>
              </w:rPr>
              <w:t>的废水处理后</w:t>
            </w:r>
            <w:r>
              <w:rPr>
                <w:rFonts w:hint="eastAsia" w:ascii="Times New Roman" w:hAnsi="Times New Roman" w:eastAsia="宋体" w:cs="Times New Roman"/>
                <w:color w:val="auto"/>
                <w:sz w:val="24"/>
                <w:szCs w:val="24"/>
                <w:highlight w:val="none"/>
              </w:rPr>
              <w:t>部分回用，剩余部分</w:t>
            </w:r>
            <w:r>
              <w:rPr>
                <w:rFonts w:hint="eastAsia" w:cs="Times New Roman"/>
                <w:color w:val="auto"/>
                <w:sz w:val="24"/>
                <w:szCs w:val="24"/>
                <w:highlight w:val="none"/>
                <w:lang w:eastAsia="zh-CN"/>
              </w:rPr>
              <w:t>排入</w:t>
            </w:r>
            <w:r>
              <w:rPr>
                <w:rFonts w:hint="eastAsia" w:ascii="Times New Roman" w:hAnsi="Times New Roman" w:eastAsia="宋体" w:cs="Times New Roman"/>
                <w:color w:val="auto"/>
                <w:sz w:val="24"/>
                <w:szCs w:val="24"/>
                <w:highlight w:val="none"/>
              </w:rPr>
              <w:t>生态修复湿地进一步处理，最终排入</w:t>
            </w:r>
            <w:r>
              <w:rPr>
                <w:rFonts w:hint="eastAsia" w:cs="Times New Roman"/>
                <w:color w:val="auto"/>
                <w:sz w:val="24"/>
                <w:szCs w:val="24"/>
                <w:highlight w:val="none"/>
                <w:lang w:eastAsia="zh-CN"/>
              </w:rPr>
              <w:t>郜河</w:t>
            </w:r>
            <w:r>
              <w:rPr>
                <w:rFonts w:hint="eastAsia" w:ascii="Times New Roman" w:hAnsi="Times New Roman" w:eastAsia="宋体" w:cs="Times New Roman"/>
                <w:color w:val="auto"/>
                <w:sz w:val="24"/>
                <w:szCs w:val="24"/>
                <w:highlight w:val="none"/>
              </w:rPr>
              <w:t>。</w:t>
            </w:r>
            <w:r>
              <w:rPr>
                <w:rFonts w:hint="eastAsia"/>
                <w:color w:val="auto"/>
                <w:sz w:val="24"/>
                <w:szCs w:val="24"/>
                <w:highlight w:val="none"/>
                <w:lang w:val="en-US" w:eastAsia="zh-CN"/>
              </w:rPr>
              <w:t>行唐县第二污水处理厂位于开发区东正庄西南约300米，占地面积70亩，设计规模2万m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/d，实际运行规模为1万m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/d，实际处理污水量2500m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/d。目前运行正常。行唐县第二污水处理厂收水范围是行唐经济开发区（南区）工业废水及生活污水。开发区南区已建成道路均铺设污水管网。</w:t>
            </w:r>
          </w:p>
          <w:p w14:paraId="3BCEF7DE">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eastAsia"/>
                <w:color w:val="auto"/>
                <w:sz w:val="24"/>
                <w:szCs w:val="24"/>
                <w:highlight w:val="none"/>
                <w:vertAlign w:val="baseline"/>
                <w:lang w:val="en-US" w:eastAsia="zh-CN"/>
              </w:rPr>
            </w:pPr>
            <w:r>
              <w:rPr>
                <w:rFonts w:hint="eastAsia"/>
                <w:color w:val="auto"/>
                <w:sz w:val="24"/>
                <w:szCs w:val="24"/>
                <w:highlight w:val="none"/>
                <w:vertAlign w:val="baseline"/>
                <w:lang w:val="en-US" w:eastAsia="zh-CN"/>
              </w:rPr>
              <w:t>行唐县第二污水处理厂提标改造工程已完成，采用“预处理+A</w:t>
            </w:r>
            <w:r>
              <w:rPr>
                <w:rFonts w:hint="eastAsia"/>
                <w:color w:val="auto"/>
                <w:sz w:val="24"/>
                <w:szCs w:val="24"/>
                <w:highlight w:val="none"/>
                <w:vertAlign w:val="superscript"/>
                <w:lang w:val="en-US" w:eastAsia="zh-CN"/>
              </w:rPr>
              <w:t>2</w:t>
            </w:r>
            <w:r>
              <w:rPr>
                <w:rFonts w:hint="eastAsia"/>
                <w:color w:val="auto"/>
                <w:sz w:val="24"/>
                <w:szCs w:val="24"/>
                <w:highlight w:val="none"/>
                <w:vertAlign w:val="baseline"/>
                <w:lang w:val="en-US" w:eastAsia="zh-CN"/>
              </w:rPr>
              <w:t>O生化工艺+沉淀池+絮凝沉淀池+高效反硝化生物滤池-中间水池+臭氧催化氧化+高效曝气生物滤池+V型滤池+消毒”工艺，提标改造设计规模1万m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出水水质满足《大清河流域水污染物排放标准》（DB13/2798-2018）重点控制区标准及《城镇污水处理厂污染物排放标准》（GB18918-2002）及其修改单中表1中一级A标准要求，部分回用，剩余部分排入行唐县玉城污水处理厂。</w:t>
            </w:r>
          </w:p>
          <w:p w14:paraId="2FE55DE4">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本项目</w:t>
            </w:r>
            <w:r>
              <w:rPr>
                <w:rFonts w:hint="eastAsia" w:cs="Times New Roman"/>
                <w:color w:val="auto"/>
                <w:sz w:val="24"/>
                <w:szCs w:val="24"/>
                <w:highlight w:val="none"/>
                <w:lang w:val="en-US" w:eastAsia="zh-CN"/>
              </w:rPr>
              <w:t>无生产废水排放，仅涉及职工生活废水，盥洗废水泼洒抑尘、厂区设防渗旱厕，定期清掏，不外排。</w:t>
            </w:r>
          </w:p>
          <w:p w14:paraId="4995D2AD">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sz w:val="24"/>
                <w:szCs w:val="24"/>
                <w:highlight w:val="none"/>
                <w:lang w:val="en-US" w:eastAsia="zh-CN"/>
              </w:rPr>
            </w:pPr>
            <w:r>
              <w:rPr>
                <w:rFonts w:hint="default"/>
                <w:color w:val="auto"/>
                <w:sz w:val="24"/>
                <w:szCs w:val="24"/>
                <w:highlight w:val="none"/>
                <w:lang w:val="en-US" w:eastAsia="zh-CN"/>
              </w:rPr>
              <w:t>（3）供热</w:t>
            </w:r>
          </w:p>
          <w:p w14:paraId="7A54222E">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行唐经济开发区（南区）用热由中电行唐生物质能热电有限公司集中供热。中电行唐生物质能热电有限公司以农作物秸秆作为燃料，建有1台130t/h直燃式水冷振动炉排生物质锅炉，年供热量1139465GJ。行唐经济开发区（南区）供热管道已铺设完成，大部分企业已实现集中供热。</w:t>
            </w:r>
          </w:p>
          <w:p w14:paraId="34DE2EED">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石家庄玉晶玻璃有限公司利用工业蒸汽为生产区及办公区供暖，剩蒸汽量为县城供暖，2022年实际供暖范围为40万平方米，使用热水供暖，无富余供热能力。</w:t>
            </w:r>
          </w:p>
          <w:p w14:paraId="01836338">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sz w:val="24"/>
                <w:szCs w:val="24"/>
                <w:highlight w:val="none"/>
                <w:lang w:val="en-US" w:eastAsia="zh-CN"/>
              </w:rPr>
            </w:pPr>
            <w:r>
              <w:rPr>
                <w:rFonts w:hint="eastAsia"/>
                <w:color w:val="auto"/>
                <w:sz w:val="24"/>
                <w:szCs w:val="24"/>
                <w:highlight w:val="none"/>
                <w:lang w:val="en-US" w:eastAsia="zh-CN"/>
              </w:rPr>
              <w:t>行唐经济开发区（南区）部分企业用热由自备锅炉提供。</w:t>
            </w:r>
          </w:p>
          <w:p w14:paraId="18B5D92F">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eastAsia="宋体"/>
                <w:color w:val="auto"/>
                <w:sz w:val="24"/>
                <w:szCs w:val="24"/>
                <w:highlight w:val="none"/>
                <w:lang w:val="en-US" w:eastAsia="zh-CN"/>
              </w:rPr>
            </w:pPr>
            <w:r>
              <w:rPr>
                <w:rFonts w:hint="eastAsia"/>
                <w:color w:val="auto"/>
                <w:sz w:val="24"/>
                <w:szCs w:val="24"/>
                <w:highlight w:val="none"/>
                <w:lang w:eastAsia="zh-CN"/>
              </w:rPr>
              <w:t>本项目运营期</w:t>
            </w:r>
            <w:r>
              <w:rPr>
                <w:rFonts w:hint="eastAsia"/>
                <w:color w:val="auto"/>
                <w:sz w:val="24"/>
                <w:szCs w:val="24"/>
                <w:highlight w:val="none"/>
                <w:lang w:val="en-US" w:eastAsia="zh-CN"/>
              </w:rPr>
              <w:t>聚苯乙烯发泡、定型、烘干工序生产用热采</w:t>
            </w:r>
            <w:r>
              <w:rPr>
                <w:rFonts w:hint="eastAsia" w:ascii="Times New Roman" w:hAnsi="Times New Roman" w:eastAsia="宋体" w:cs="Times New Roman"/>
                <w:color w:val="auto"/>
                <w:sz w:val="24"/>
                <w:szCs w:val="24"/>
                <w:highlight w:val="none"/>
                <w:lang w:val="en-US" w:eastAsia="zh-CN"/>
              </w:rPr>
              <w:t>用</w:t>
            </w:r>
            <w:r>
              <w:rPr>
                <w:rFonts w:hint="eastAsia"/>
                <w:color w:val="auto"/>
                <w:sz w:val="24"/>
                <w:szCs w:val="24"/>
                <w:highlight w:val="none"/>
                <w:lang w:val="en-US" w:eastAsia="zh-CN"/>
              </w:rPr>
              <w:t>石家庄玉晶玻璃有限公司</w:t>
            </w:r>
            <w:r>
              <w:rPr>
                <w:rFonts w:hint="eastAsia" w:ascii="Times New Roman" w:hAnsi="Times New Roman" w:eastAsia="宋体" w:cs="Times New Roman"/>
                <w:color w:val="auto"/>
                <w:sz w:val="24"/>
                <w:szCs w:val="24"/>
                <w:highlight w:val="none"/>
                <w:lang w:val="en-US" w:eastAsia="zh-CN"/>
              </w:rPr>
              <w:t>产生的蒸汽</w:t>
            </w:r>
            <w:r>
              <w:rPr>
                <w:rFonts w:hint="eastAsia" w:cs="Times New Roman"/>
                <w:color w:val="auto"/>
                <w:sz w:val="24"/>
                <w:szCs w:val="24"/>
                <w:highlight w:val="none"/>
                <w:lang w:val="en-US" w:eastAsia="zh-CN"/>
              </w:rPr>
              <w:t>（供汽协议见附件）。</w:t>
            </w:r>
            <w:r>
              <w:rPr>
                <w:rFonts w:hint="eastAsia" w:ascii="Times New Roman" w:hAnsi="Times New Roman" w:eastAsia="宋体" w:cs="Times New Roman"/>
                <w:color w:val="auto"/>
                <w:sz w:val="24"/>
                <w:szCs w:val="24"/>
                <w:highlight w:val="none"/>
                <w:lang w:val="en-US" w:eastAsia="zh-CN"/>
              </w:rPr>
              <w:t>职</w:t>
            </w:r>
            <w:r>
              <w:rPr>
                <w:rFonts w:hint="eastAsia"/>
                <w:color w:val="auto"/>
                <w:sz w:val="24"/>
                <w:szCs w:val="24"/>
                <w:highlight w:val="none"/>
                <w:lang w:eastAsia="zh-CN"/>
              </w:rPr>
              <w:t>工办公生活</w:t>
            </w:r>
            <w:r>
              <w:rPr>
                <w:rFonts w:hint="eastAsia"/>
                <w:color w:val="auto"/>
                <w:sz w:val="24"/>
                <w:szCs w:val="24"/>
                <w:highlight w:val="none"/>
                <w:lang w:val="en-US" w:eastAsia="zh-CN"/>
              </w:rPr>
              <w:t>用热</w:t>
            </w:r>
            <w:r>
              <w:rPr>
                <w:rFonts w:hint="eastAsia"/>
                <w:color w:val="auto"/>
                <w:sz w:val="24"/>
                <w:szCs w:val="24"/>
                <w:highlight w:val="none"/>
                <w:lang w:eastAsia="zh-CN"/>
              </w:rPr>
              <w:t>采用</w:t>
            </w:r>
            <w:r>
              <w:rPr>
                <w:rFonts w:hint="eastAsia"/>
                <w:color w:val="auto"/>
                <w:sz w:val="24"/>
                <w:szCs w:val="24"/>
                <w:highlight w:val="none"/>
                <w:lang w:val="en-US" w:eastAsia="zh-CN"/>
              </w:rPr>
              <w:t>空调</w:t>
            </w:r>
            <w:r>
              <w:rPr>
                <w:rFonts w:hint="eastAsia" w:ascii="Times New Roman" w:hAnsi="Times New Roman"/>
                <w:color w:val="auto"/>
                <w:sz w:val="24"/>
                <w:szCs w:val="24"/>
                <w:highlight w:val="none"/>
              </w:rPr>
              <w:t>。</w:t>
            </w:r>
            <w:r>
              <w:rPr>
                <w:rFonts w:hint="eastAsia"/>
                <w:color w:val="auto"/>
                <w:sz w:val="24"/>
                <w:szCs w:val="24"/>
                <w:highlight w:val="none"/>
                <w:lang w:val="en-US" w:eastAsia="zh-CN"/>
              </w:rPr>
              <w:t>符合要求。</w:t>
            </w:r>
          </w:p>
          <w:p w14:paraId="701ACC40">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sz w:val="24"/>
                <w:szCs w:val="24"/>
                <w:highlight w:val="none"/>
                <w:lang w:val="en-US" w:eastAsia="zh-CN"/>
              </w:rPr>
            </w:pPr>
            <w:r>
              <w:rPr>
                <w:rFonts w:hint="default"/>
                <w:color w:val="auto"/>
                <w:sz w:val="24"/>
                <w:szCs w:val="24"/>
                <w:highlight w:val="none"/>
                <w:lang w:val="en-US" w:eastAsia="zh-CN"/>
              </w:rPr>
              <w:t>（4）供气</w:t>
            </w:r>
          </w:p>
          <w:p w14:paraId="7C26F2FC">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河北行唐经济开发区内已建成供气管网，天然气气源为河北中石油昆仑天然气有限公司行唐门站（行唐末站），由石家庄昆仑新奥燃气有限公司负责为行唐经济开发区企业及周边村庄供气。行唐末站位于南区北部，玉晶路与唐尧大道交叉口，天然气管道已铺设入园区。</w:t>
            </w:r>
          </w:p>
          <w:p w14:paraId="4CE7EFFF">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sz w:val="24"/>
                <w:szCs w:val="24"/>
                <w:highlight w:val="none"/>
                <w:vertAlign w:val="baseline"/>
                <w:lang w:val="en-US" w:eastAsia="zh-CN"/>
              </w:rPr>
            </w:pPr>
            <w:r>
              <w:rPr>
                <w:rFonts w:hint="eastAsia"/>
                <w:color w:val="auto"/>
                <w:sz w:val="24"/>
                <w:szCs w:val="24"/>
                <w:highlight w:val="none"/>
                <w:lang w:val="en-US" w:eastAsia="zh-CN"/>
              </w:rPr>
              <w:t>新奥燃气公司燃气指标为4200万m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/a。其中，居民生活用气量为1900万</w:t>
            </w:r>
            <w:r>
              <w:rPr>
                <w:rFonts w:hint="eastAsia"/>
                <w:color w:val="auto"/>
                <w:sz w:val="24"/>
                <w:szCs w:val="24"/>
                <w:highlight w:val="none"/>
                <w:lang w:val="en-US" w:eastAsia="zh-CN"/>
              </w:rPr>
              <w:t>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/a，河北行唐经济开发区工业用气量为2300万</w:t>
            </w:r>
            <w:r>
              <w:rPr>
                <w:rFonts w:hint="eastAsia"/>
                <w:color w:val="auto"/>
                <w:sz w:val="24"/>
                <w:szCs w:val="24"/>
                <w:highlight w:val="none"/>
                <w:lang w:val="en-US" w:eastAsia="zh-CN"/>
              </w:rPr>
              <w:t>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/a。开发区南区现状天然气消耗量为536.59万</w:t>
            </w:r>
            <w:r>
              <w:rPr>
                <w:rFonts w:hint="eastAsia"/>
                <w:color w:val="auto"/>
                <w:sz w:val="24"/>
                <w:szCs w:val="24"/>
                <w:highlight w:val="none"/>
                <w:lang w:val="en-US" w:eastAsia="zh-CN"/>
              </w:rPr>
              <w:t>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/a。石家庄玉晶玻璃有限公司现状煤气用量约6.2亿</w:t>
            </w:r>
            <w:r>
              <w:rPr>
                <w:rFonts w:hint="eastAsia"/>
                <w:color w:val="auto"/>
                <w:sz w:val="24"/>
                <w:szCs w:val="24"/>
                <w:highlight w:val="none"/>
                <w:lang w:val="en-US" w:eastAsia="zh-CN"/>
              </w:rPr>
              <w:t>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/a，折合天然气约1.4亿</w:t>
            </w:r>
            <w:r>
              <w:rPr>
                <w:rFonts w:hint="eastAsia"/>
                <w:color w:val="auto"/>
                <w:sz w:val="24"/>
                <w:szCs w:val="24"/>
                <w:highlight w:val="none"/>
                <w:lang w:val="en-US" w:eastAsia="zh-CN"/>
              </w:rPr>
              <w:t>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w:t>
            </w:r>
          </w:p>
          <w:p w14:paraId="19D0C7FE">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sz w:val="24"/>
                <w:szCs w:val="24"/>
                <w:highlight w:val="none"/>
                <w:lang w:val="en-US" w:eastAsia="zh-CN"/>
              </w:rPr>
            </w:pPr>
            <w:r>
              <w:rPr>
                <w:rFonts w:hint="eastAsia"/>
                <w:color w:val="auto"/>
                <w:sz w:val="24"/>
                <w:szCs w:val="24"/>
                <w:highlight w:val="none"/>
                <w:lang w:eastAsia="zh-CN"/>
              </w:rPr>
              <w:t>本项目不使用天然气</w:t>
            </w:r>
            <w:r>
              <w:rPr>
                <w:rFonts w:hint="eastAsia"/>
                <w:color w:val="auto"/>
                <w:sz w:val="24"/>
                <w:szCs w:val="24"/>
                <w:highlight w:val="none"/>
                <w:lang w:val="en-US" w:eastAsia="zh-CN"/>
              </w:rPr>
              <w:t>。</w:t>
            </w:r>
          </w:p>
          <w:p w14:paraId="5C975F16">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sz w:val="24"/>
                <w:szCs w:val="24"/>
                <w:highlight w:val="none"/>
                <w:lang w:val="en-US" w:eastAsia="zh-CN"/>
              </w:rPr>
            </w:pPr>
            <w:r>
              <w:rPr>
                <w:rFonts w:hint="default"/>
                <w:color w:val="auto"/>
                <w:sz w:val="24"/>
                <w:szCs w:val="24"/>
                <w:highlight w:val="none"/>
                <w:lang w:val="en-US" w:eastAsia="zh-CN"/>
              </w:rPr>
              <w:t>（5）供电</w:t>
            </w:r>
          </w:p>
          <w:p w14:paraId="753FE8A0">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行唐县输配电网络目前已形成以220kV变电站为枢纽的220kV、110kV、35kV、10kV四级送配电电力网，成为石家庄电网的组成部分。</w:t>
            </w:r>
          </w:p>
          <w:p w14:paraId="35301411">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sz w:val="24"/>
                <w:szCs w:val="24"/>
                <w:highlight w:val="none"/>
                <w:lang w:val="en-US" w:eastAsia="zh-CN"/>
              </w:rPr>
            </w:pPr>
            <w:r>
              <w:rPr>
                <w:rFonts w:hint="eastAsia"/>
                <w:color w:val="auto"/>
                <w:sz w:val="24"/>
                <w:szCs w:val="24"/>
                <w:highlight w:val="none"/>
                <w:lang w:val="en-US" w:eastAsia="zh-CN"/>
              </w:rPr>
              <w:t>行唐经济开发区（南区）供电由石家庄供电公司留营110kV变电站供电。</w:t>
            </w:r>
          </w:p>
          <w:p w14:paraId="5F39A2E0">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sz w:val="24"/>
                <w:szCs w:val="24"/>
                <w:highlight w:val="none"/>
                <w:lang w:val="en-US" w:eastAsia="zh-CN"/>
              </w:rPr>
            </w:pPr>
            <w:r>
              <w:rPr>
                <w:rFonts w:hint="default"/>
                <w:color w:val="auto"/>
                <w:sz w:val="24"/>
                <w:szCs w:val="24"/>
                <w:highlight w:val="none"/>
                <w:lang w:val="en-US" w:eastAsia="zh-CN"/>
              </w:rPr>
              <w:t>本项目用电由园区供电线路提供，能满足项目生产需求。</w:t>
            </w:r>
          </w:p>
          <w:p w14:paraId="0EB480DA">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color w:val="auto"/>
                <w:highlight w:val="none"/>
                <w:lang w:val="en-US" w:eastAsia="zh-CN"/>
              </w:rPr>
            </w:pPr>
            <w:r>
              <w:rPr>
                <w:rFonts w:hint="default"/>
                <w:color w:val="auto"/>
                <w:sz w:val="24"/>
                <w:szCs w:val="24"/>
                <w:highlight w:val="none"/>
                <w:lang w:val="en-US" w:eastAsia="zh-CN"/>
              </w:rPr>
              <w:t>综上所述，本项目符合河北行唐经济开发区规划、规划环评要求。</w:t>
            </w:r>
          </w:p>
        </w:tc>
      </w:tr>
      <w:tr w14:paraId="7FB889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53" w:type="dxa"/>
            <w:noWrap w:val="0"/>
            <w:vAlign w:val="center"/>
          </w:tcPr>
          <w:p w14:paraId="77AE1343">
            <w:pPr>
              <w:keepLines w:val="0"/>
              <w:pageBreakBefore w:val="0"/>
              <w:widowControl w:val="0"/>
              <w:kinsoku/>
              <w:wordWrap/>
              <w:overflowPunct/>
              <w:topLinePunct w:val="0"/>
              <w:autoSpaceDE w:val="0"/>
              <w:autoSpaceDN w:val="0"/>
              <w:bidi w:val="0"/>
              <w:adjustRightInd w:val="0"/>
              <w:snapToGrid w:val="0"/>
              <w:jc w:val="center"/>
              <w:textAlignment w:val="auto"/>
              <w:rPr>
                <w:color w:val="auto"/>
                <w:kern w:val="0"/>
                <w:sz w:val="24"/>
                <w:highlight w:val="none"/>
              </w:rPr>
            </w:pPr>
            <w:r>
              <w:rPr>
                <w:color w:val="auto"/>
                <w:kern w:val="0"/>
                <w:sz w:val="24"/>
                <w:highlight w:val="none"/>
              </w:rPr>
              <w:t>其他符合性分析</w:t>
            </w:r>
          </w:p>
        </w:tc>
        <w:tc>
          <w:tcPr>
            <w:tcW w:w="7817" w:type="dxa"/>
            <w:gridSpan w:val="4"/>
            <w:noWrap w:val="0"/>
            <w:vAlign w:val="center"/>
          </w:tcPr>
          <w:p w14:paraId="387BF7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eastAsia="宋体"/>
                <w:color w:val="auto"/>
                <w:sz w:val="24"/>
                <w:szCs w:val="24"/>
                <w:highlight w:val="none"/>
                <w:lang w:val="en-US" w:eastAsia="zh-CN"/>
              </w:rPr>
            </w:pPr>
            <w:r>
              <w:rPr>
                <w:rFonts w:hint="eastAsia"/>
                <w:color w:val="auto"/>
                <w:sz w:val="24"/>
                <w:szCs w:val="24"/>
                <w:highlight w:val="none"/>
                <w:lang w:val="en-US" w:eastAsia="zh-CN"/>
              </w:rPr>
              <w:t>一</w:t>
            </w:r>
            <w:r>
              <w:rPr>
                <w:rFonts w:hint="default"/>
                <w:color w:val="auto"/>
                <w:sz w:val="24"/>
                <w:szCs w:val="24"/>
                <w:highlight w:val="none"/>
                <w:lang w:val="en-US" w:eastAsia="zh-CN"/>
              </w:rPr>
              <w:t>、</w:t>
            </w:r>
            <w:r>
              <w:rPr>
                <w:rFonts w:hint="eastAsia"/>
                <w:color w:val="auto"/>
                <w:sz w:val="24"/>
                <w:highlight w:val="none"/>
              </w:rPr>
              <w:t>“三线一单</w:t>
            </w:r>
            <w:r>
              <w:rPr>
                <w:color w:val="auto"/>
                <w:sz w:val="24"/>
                <w:highlight w:val="none"/>
              </w:rPr>
              <w:t>”</w:t>
            </w:r>
            <w:r>
              <w:rPr>
                <w:rFonts w:hint="eastAsia"/>
                <w:color w:val="auto"/>
                <w:sz w:val="24"/>
                <w:highlight w:val="none"/>
                <w:lang w:val="en-US" w:eastAsia="zh-CN"/>
              </w:rPr>
              <w:t>符合性分析</w:t>
            </w:r>
          </w:p>
          <w:p w14:paraId="1B4173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b w:val="0"/>
                <w:bCs/>
                <w:color w:val="auto"/>
                <w:highlight w:val="none"/>
                <w:lang w:val="en-US" w:eastAsia="zh-CN"/>
              </w:rPr>
            </w:pPr>
            <w:r>
              <w:rPr>
                <w:rFonts w:hint="eastAsia"/>
                <w:color w:val="auto"/>
                <w:sz w:val="24"/>
                <w:highlight w:val="none"/>
                <w:lang w:eastAsia="zh-CN"/>
              </w:rPr>
              <w:t>（</w:t>
            </w:r>
            <w:r>
              <w:rPr>
                <w:rFonts w:hint="eastAsia"/>
                <w:color w:val="auto"/>
                <w:sz w:val="24"/>
                <w:highlight w:val="none"/>
                <w:lang w:val="en-US" w:eastAsia="zh-CN"/>
              </w:rPr>
              <w:t>1</w:t>
            </w:r>
            <w:r>
              <w:rPr>
                <w:rFonts w:hint="eastAsia"/>
                <w:color w:val="auto"/>
                <w:sz w:val="24"/>
                <w:highlight w:val="none"/>
                <w:lang w:eastAsia="zh-CN"/>
              </w:rPr>
              <w:t>）</w:t>
            </w:r>
            <w:r>
              <w:rPr>
                <w:rFonts w:hint="eastAsia" w:ascii="Times New Roman" w:hAnsi="Times New Roman" w:cs="Times New Roman"/>
                <w:b w:val="0"/>
                <w:bCs/>
                <w:color w:val="auto"/>
                <w:sz w:val="24"/>
                <w:szCs w:val="24"/>
                <w:highlight w:val="none"/>
                <w:lang w:val="en-US" w:eastAsia="zh-CN"/>
              </w:rPr>
              <w:t>与《河北省人民政府关于加快实施“三线一单”生态环境分区管控的意见》（冀政字</w:t>
            </w:r>
            <w:r>
              <w:rPr>
                <w:rFonts w:hint="eastAsia" w:cs="Times New Roman"/>
                <w:b w:val="0"/>
                <w:bCs/>
                <w:color w:val="auto"/>
                <w:sz w:val="24"/>
                <w:szCs w:val="24"/>
                <w:highlight w:val="none"/>
                <w:lang w:val="en-US" w:eastAsia="zh-CN"/>
              </w:rPr>
              <w:t>〔2020〕71号</w:t>
            </w:r>
            <w:r>
              <w:rPr>
                <w:rFonts w:hint="eastAsia" w:ascii="Times New Roman" w:hAnsi="Times New Roman" w:cs="Times New Roman"/>
                <w:b w:val="0"/>
                <w:bCs/>
                <w:color w:val="auto"/>
                <w:sz w:val="24"/>
                <w:szCs w:val="24"/>
                <w:highlight w:val="none"/>
                <w:lang w:val="en-US" w:eastAsia="zh-CN"/>
              </w:rPr>
              <w:t>）</w:t>
            </w:r>
            <w:r>
              <w:rPr>
                <w:rFonts w:hint="eastAsia" w:ascii="Times New Roman" w:hAnsi="Times New Roman" w:eastAsia="宋体" w:cs="Times New Roman"/>
                <w:b w:val="0"/>
                <w:bCs/>
                <w:caps w:val="0"/>
                <w:color w:val="auto"/>
                <w:sz w:val="24"/>
                <w:szCs w:val="24"/>
                <w:highlight w:val="none"/>
                <w:lang w:val="en-US" w:eastAsia="zh-CN"/>
              </w:rPr>
              <w:t>符合性分析。</w:t>
            </w:r>
          </w:p>
          <w:p w14:paraId="2DC42BE9">
            <w:pPr>
              <w:pStyle w:val="30"/>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Times New Roman" w:hAnsi="Times New Roman" w:eastAsia="宋体" w:cs="Times New Roman"/>
                <w:b w:val="0"/>
                <w:bCs/>
                <w:color w:val="auto"/>
                <w:kern w:val="2"/>
                <w:sz w:val="24"/>
                <w:szCs w:val="24"/>
                <w:highlight w:val="none"/>
                <w:lang w:val="en-US" w:eastAsia="zh-CN" w:bidi="ar-SA"/>
              </w:rPr>
            </w:pPr>
            <w:r>
              <w:rPr>
                <w:rFonts w:hint="eastAsia" w:ascii="Times New Roman" w:hAnsi="Times New Roman" w:eastAsia="宋体" w:cs="Times New Roman"/>
                <w:b w:val="0"/>
                <w:bCs/>
                <w:color w:val="auto"/>
                <w:kern w:val="2"/>
                <w:sz w:val="24"/>
                <w:szCs w:val="24"/>
                <w:highlight w:val="none"/>
                <w:lang w:val="en-US" w:eastAsia="zh-CN" w:bidi="ar-SA"/>
              </w:rPr>
              <w:t>依据冀政字</w:t>
            </w:r>
            <w:r>
              <w:rPr>
                <w:rFonts w:hint="eastAsia" w:ascii="Times New Roman" w:hAnsi="Times New Roman" w:cs="Times New Roman"/>
                <w:b w:val="0"/>
                <w:bCs/>
                <w:color w:val="auto"/>
                <w:kern w:val="2"/>
                <w:sz w:val="24"/>
                <w:szCs w:val="24"/>
                <w:highlight w:val="none"/>
                <w:lang w:val="en-US" w:eastAsia="zh-CN" w:bidi="ar-SA"/>
              </w:rPr>
              <w:t>〔2020〕71号</w:t>
            </w:r>
            <w:r>
              <w:rPr>
                <w:rFonts w:hint="eastAsia" w:ascii="Times New Roman" w:hAnsi="Times New Roman" w:eastAsia="宋体" w:cs="Times New Roman"/>
                <w:b w:val="0"/>
                <w:bCs/>
                <w:color w:val="auto"/>
                <w:kern w:val="2"/>
                <w:sz w:val="24"/>
                <w:szCs w:val="24"/>
                <w:highlight w:val="none"/>
                <w:lang w:val="en-US" w:eastAsia="zh-CN" w:bidi="ar-SA"/>
              </w:rPr>
              <w:t>文，河北省划定全省环境管控单元分为优先保护单元、重点管控单元和一般管控单元。经比对河北省环境管控单元分布图（见附图），</w:t>
            </w:r>
            <w:r>
              <w:rPr>
                <w:rFonts w:hint="eastAsia" w:ascii="Times New Roman" w:hAnsi="Times New Roman" w:cs="Times New Roman"/>
                <w:b w:val="0"/>
                <w:bCs/>
                <w:color w:val="auto"/>
                <w:kern w:val="2"/>
                <w:sz w:val="24"/>
                <w:szCs w:val="24"/>
                <w:highlight w:val="none"/>
                <w:lang w:val="en-US" w:eastAsia="zh-CN" w:bidi="ar-SA"/>
              </w:rPr>
              <w:t>本项目</w:t>
            </w:r>
            <w:r>
              <w:rPr>
                <w:rFonts w:hint="default" w:ascii="Times New Roman" w:hAnsi="Times New Roman" w:eastAsia="宋体" w:cs="Times New Roman"/>
                <w:b w:val="0"/>
                <w:bCs/>
                <w:color w:val="auto"/>
                <w:kern w:val="2"/>
                <w:sz w:val="24"/>
                <w:szCs w:val="24"/>
                <w:highlight w:val="none"/>
                <w:lang w:val="en-US" w:eastAsia="zh-CN" w:bidi="ar-SA"/>
              </w:rPr>
              <w:t>位于</w:t>
            </w:r>
            <w:r>
              <w:rPr>
                <w:rFonts w:hint="eastAsia" w:ascii="Times New Roman" w:hAnsi="Times New Roman" w:eastAsia="宋体" w:cs="Times New Roman"/>
                <w:b w:val="0"/>
                <w:bCs/>
                <w:color w:val="auto"/>
                <w:kern w:val="2"/>
                <w:sz w:val="24"/>
                <w:szCs w:val="24"/>
                <w:highlight w:val="none"/>
                <w:lang w:val="en-US" w:eastAsia="zh-CN" w:bidi="ar-SA"/>
              </w:rPr>
              <w:t>河北行唐经济开发区南区，所属单元为省级以上产业园区重点管控单元，管控要求：严格产业准入，完善园区设施建设，推动设施提标改造；实施污染物总量控制，落实</w:t>
            </w:r>
            <w:r>
              <w:rPr>
                <w:rFonts w:hint="eastAsia" w:ascii="Times New Roman" w:hAnsi="Times New Roman" w:cs="Times New Roman"/>
                <w:b w:val="0"/>
                <w:bCs/>
                <w:color w:val="auto"/>
                <w:kern w:val="2"/>
                <w:sz w:val="24"/>
                <w:szCs w:val="24"/>
                <w:highlight w:val="none"/>
                <w:lang w:val="en-US" w:eastAsia="zh-CN" w:bidi="ar-SA"/>
              </w:rPr>
              <w:t>入园证明</w:t>
            </w:r>
            <w:r>
              <w:rPr>
                <w:rFonts w:hint="eastAsia" w:ascii="Times New Roman" w:hAnsi="Times New Roman" w:eastAsia="宋体" w:cs="Times New Roman"/>
                <w:b w:val="0"/>
                <w:bCs/>
                <w:color w:val="auto"/>
                <w:kern w:val="2"/>
                <w:sz w:val="24"/>
                <w:szCs w:val="24"/>
                <w:highlight w:val="none"/>
                <w:lang w:val="en-US" w:eastAsia="zh-CN" w:bidi="ar-SA"/>
              </w:rPr>
              <w:t>制度；强化资源利用效率和地下水开采管控。</w:t>
            </w:r>
          </w:p>
          <w:p w14:paraId="6499FFF2">
            <w:pPr>
              <w:pStyle w:val="30"/>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leftChars="0" w:right="0" w:firstLine="480" w:firstLineChars="200"/>
              <w:textAlignment w:val="auto"/>
              <w:rPr>
                <w:rFonts w:hint="eastAsia"/>
                <w:color w:val="auto"/>
                <w:sz w:val="24"/>
                <w:highlight w:val="none"/>
                <w:lang w:val="en-US" w:eastAsia="zh-CN"/>
              </w:rPr>
            </w:pPr>
            <w:r>
              <w:rPr>
                <w:rFonts w:hint="eastAsia" w:ascii="Times New Roman" w:hAnsi="Times New Roman" w:eastAsia="宋体" w:cs="Times New Roman"/>
                <w:b w:val="0"/>
                <w:bCs/>
                <w:color w:val="auto"/>
                <w:kern w:val="2"/>
                <w:sz w:val="24"/>
                <w:szCs w:val="24"/>
                <w:highlight w:val="none"/>
                <w:lang w:val="en-US" w:eastAsia="zh-CN" w:bidi="ar-SA"/>
              </w:rPr>
              <w:t>经过“规划及规划环境影响评价符合性分析”，</w:t>
            </w:r>
            <w:r>
              <w:rPr>
                <w:rFonts w:hint="eastAsia" w:ascii="Times New Roman" w:hAnsi="Times New Roman" w:cs="Times New Roman"/>
                <w:b w:val="0"/>
                <w:bCs/>
                <w:color w:val="auto"/>
                <w:kern w:val="2"/>
                <w:sz w:val="24"/>
                <w:szCs w:val="24"/>
                <w:highlight w:val="none"/>
                <w:lang w:val="en-US" w:eastAsia="zh-CN" w:bidi="ar-SA"/>
              </w:rPr>
              <w:t>本项目</w:t>
            </w:r>
            <w:r>
              <w:rPr>
                <w:rFonts w:hint="eastAsia" w:ascii="Times New Roman" w:hAnsi="Times New Roman" w:eastAsia="宋体" w:cs="Times New Roman"/>
                <w:b w:val="0"/>
                <w:bCs/>
                <w:color w:val="auto"/>
                <w:kern w:val="2"/>
                <w:sz w:val="24"/>
                <w:szCs w:val="24"/>
                <w:highlight w:val="none"/>
                <w:lang w:val="en-US" w:eastAsia="zh-CN" w:bidi="ar-SA"/>
              </w:rPr>
              <w:t>符合</w:t>
            </w:r>
            <w:r>
              <w:rPr>
                <w:rFonts w:hint="default" w:ascii="Times New Roman" w:hAnsi="Times New Roman" w:eastAsia="宋体" w:cs="Times New Roman"/>
                <w:b w:val="0"/>
                <w:bCs/>
                <w:color w:val="auto"/>
                <w:kern w:val="2"/>
                <w:sz w:val="24"/>
                <w:szCs w:val="24"/>
                <w:highlight w:val="none"/>
                <w:lang w:val="en-US" w:eastAsia="zh-CN" w:bidi="ar-SA"/>
              </w:rPr>
              <w:t>行唐经济开发区南区</w:t>
            </w:r>
            <w:r>
              <w:rPr>
                <w:rFonts w:hint="eastAsia" w:ascii="Times New Roman" w:hAnsi="Times New Roman" w:eastAsia="宋体" w:cs="Times New Roman"/>
                <w:b w:val="0"/>
                <w:bCs/>
                <w:color w:val="auto"/>
                <w:kern w:val="2"/>
                <w:sz w:val="24"/>
                <w:szCs w:val="24"/>
                <w:highlight w:val="none"/>
                <w:lang w:val="en-US" w:eastAsia="zh-CN" w:bidi="ar-SA"/>
              </w:rPr>
              <w:t>产业布局且</w:t>
            </w:r>
            <w:r>
              <w:rPr>
                <w:rFonts w:hint="default" w:ascii="Times New Roman" w:hAnsi="Times New Roman" w:eastAsia="宋体" w:cs="Times New Roman"/>
                <w:b w:val="0"/>
                <w:bCs/>
                <w:color w:val="auto"/>
                <w:kern w:val="2"/>
                <w:sz w:val="24"/>
                <w:szCs w:val="24"/>
                <w:highlight w:val="none"/>
                <w:lang w:val="en-US" w:eastAsia="zh-CN" w:bidi="ar-SA"/>
              </w:rPr>
              <w:t>行唐经济开发区南区</w:t>
            </w:r>
            <w:r>
              <w:rPr>
                <w:rFonts w:hint="eastAsia" w:ascii="Times New Roman" w:hAnsi="Times New Roman" w:eastAsia="宋体" w:cs="Times New Roman"/>
                <w:b w:val="0"/>
                <w:bCs/>
                <w:color w:val="auto"/>
                <w:kern w:val="2"/>
                <w:sz w:val="24"/>
                <w:szCs w:val="24"/>
                <w:highlight w:val="none"/>
                <w:lang w:val="en-US" w:eastAsia="zh-CN" w:bidi="ar-SA"/>
              </w:rPr>
              <w:t>设施建设完备，能够满足项目</w:t>
            </w:r>
            <w:r>
              <w:rPr>
                <w:rFonts w:hint="eastAsia" w:ascii="Times New Roman" w:hAnsi="Times New Roman" w:cs="Times New Roman"/>
                <w:b w:val="0"/>
                <w:bCs/>
                <w:color w:val="auto"/>
                <w:kern w:val="2"/>
                <w:sz w:val="24"/>
                <w:szCs w:val="24"/>
                <w:highlight w:val="none"/>
                <w:lang w:val="en-US" w:eastAsia="zh-CN" w:bidi="ar-SA"/>
              </w:rPr>
              <w:t>落户</w:t>
            </w:r>
            <w:r>
              <w:rPr>
                <w:rFonts w:hint="eastAsia" w:ascii="Times New Roman" w:hAnsi="Times New Roman" w:eastAsia="宋体" w:cs="Times New Roman"/>
                <w:b w:val="0"/>
                <w:bCs/>
                <w:color w:val="auto"/>
                <w:kern w:val="2"/>
                <w:sz w:val="24"/>
                <w:szCs w:val="24"/>
                <w:highlight w:val="none"/>
                <w:lang w:val="en-US" w:eastAsia="zh-CN" w:bidi="ar-SA"/>
              </w:rPr>
              <w:t>要求；</w:t>
            </w:r>
            <w:r>
              <w:rPr>
                <w:rFonts w:hint="eastAsia" w:ascii="Times New Roman" w:hAnsi="Times New Roman" w:cs="Times New Roman"/>
                <w:b w:val="0"/>
                <w:bCs/>
                <w:color w:val="auto"/>
                <w:kern w:val="2"/>
                <w:sz w:val="24"/>
                <w:szCs w:val="24"/>
                <w:highlight w:val="none"/>
                <w:lang w:val="en-US" w:eastAsia="zh-CN" w:bidi="ar-SA"/>
              </w:rPr>
              <w:t>本项目</w:t>
            </w:r>
            <w:r>
              <w:rPr>
                <w:rFonts w:hint="eastAsia" w:ascii="Times New Roman" w:hAnsi="Times New Roman" w:eastAsia="宋体" w:cs="Times New Roman"/>
                <w:b w:val="0"/>
                <w:bCs/>
                <w:color w:val="auto"/>
                <w:kern w:val="2"/>
                <w:sz w:val="24"/>
                <w:szCs w:val="24"/>
                <w:highlight w:val="none"/>
                <w:lang w:val="en-US" w:eastAsia="zh-CN" w:bidi="ar-SA"/>
              </w:rPr>
              <w:t>落实污染物总量控制和排污许可制度；</w:t>
            </w:r>
            <w:r>
              <w:rPr>
                <w:rFonts w:hint="eastAsia" w:ascii="Times New Roman" w:hAnsi="Times New Roman" w:cs="Times New Roman"/>
                <w:b w:val="0"/>
                <w:bCs/>
                <w:color w:val="auto"/>
                <w:kern w:val="2"/>
                <w:sz w:val="24"/>
                <w:szCs w:val="24"/>
                <w:highlight w:val="none"/>
                <w:lang w:val="en-US" w:eastAsia="zh-CN" w:bidi="ar-SA"/>
              </w:rPr>
              <w:t>本项目不使用</w:t>
            </w:r>
            <w:r>
              <w:rPr>
                <w:rFonts w:hint="eastAsia" w:ascii="Times New Roman" w:hAnsi="Times New Roman" w:eastAsia="宋体" w:cs="Times New Roman"/>
                <w:b w:val="0"/>
                <w:bCs/>
                <w:color w:val="auto"/>
                <w:kern w:val="2"/>
                <w:sz w:val="24"/>
                <w:szCs w:val="24"/>
                <w:highlight w:val="none"/>
                <w:lang w:val="en-US" w:eastAsia="zh-CN" w:bidi="ar-SA"/>
              </w:rPr>
              <w:t>天然气，</w:t>
            </w:r>
            <w:r>
              <w:rPr>
                <w:rFonts w:hint="eastAsia" w:ascii="Times New Roman" w:hAnsi="Times New Roman" w:cs="Times New Roman"/>
                <w:b w:val="0"/>
                <w:bCs/>
                <w:color w:val="auto"/>
                <w:kern w:val="2"/>
                <w:sz w:val="24"/>
                <w:szCs w:val="24"/>
                <w:highlight w:val="none"/>
                <w:lang w:val="en-US" w:eastAsia="zh-CN" w:bidi="ar-SA"/>
              </w:rPr>
              <w:t>无生产水使用和排放</w:t>
            </w:r>
            <w:r>
              <w:rPr>
                <w:rFonts w:hint="eastAsia" w:ascii="Times New Roman" w:hAnsi="Times New Roman" w:eastAsia="宋体" w:cs="Times New Roman"/>
                <w:b w:val="0"/>
                <w:bCs/>
                <w:color w:val="auto"/>
                <w:kern w:val="2"/>
                <w:sz w:val="24"/>
                <w:szCs w:val="24"/>
                <w:highlight w:val="none"/>
                <w:lang w:val="en-US" w:eastAsia="zh-CN" w:bidi="ar-SA"/>
              </w:rPr>
              <w:t>。</w:t>
            </w:r>
          </w:p>
          <w:p w14:paraId="01D42178">
            <w:pPr>
              <w:pStyle w:val="99"/>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center"/>
              <w:textAlignment w:val="auto"/>
              <w:rPr>
                <w:color w:val="auto"/>
                <w:sz w:val="24"/>
                <w:highlight w:val="none"/>
              </w:rPr>
            </w:pPr>
            <w:r>
              <w:rPr>
                <w:rFonts w:hint="eastAsia"/>
                <w:color w:val="auto"/>
                <w:sz w:val="24"/>
                <w:highlight w:val="none"/>
                <w:lang w:val="en-US" w:eastAsia="zh-CN"/>
              </w:rPr>
              <w:t xml:space="preserve">表1-3  </w:t>
            </w:r>
            <w:r>
              <w:rPr>
                <w:color w:val="auto"/>
                <w:sz w:val="24"/>
                <w:highlight w:val="none"/>
              </w:rPr>
              <w:t>“冀政字</w:t>
            </w:r>
            <w:r>
              <w:rPr>
                <w:rFonts w:hint="eastAsia"/>
                <w:color w:val="auto"/>
                <w:sz w:val="24"/>
                <w:highlight w:val="none"/>
                <w:lang w:eastAsia="zh-CN"/>
              </w:rPr>
              <w:t>〔2020〕71号</w:t>
            </w:r>
            <w:r>
              <w:rPr>
                <w:color w:val="auto"/>
                <w:sz w:val="24"/>
                <w:highlight w:val="none"/>
              </w:rPr>
              <w:t>”符合性分析</w:t>
            </w:r>
          </w:p>
          <w:tbl>
            <w:tblPr>
              <w:tblStyle w:val="34"/>
              <w:tblW w:w="4998" w:type="pct"/>
              <w:tblInd w:w="5"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597"/>
              <w:gridCol w:w="2886"/>
              <w:gridCol w:w="4115"/>
            </w:tblGrid>
            <w:tr w14:paraId="407E672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392" w:type="pct"/>
                  <w:noWrap w:val="0"/>
                  <w:vAlign w:val="center"/>
                </w:tcPr>
                <w:p w14:paraId="113B84C0">
                  <w:pPr>
                    <w:pStyle w:val="110"/>
                    <w:keepLines w:val="0"/>
                    <w:pageBreakBefore w:val="0"/>
                    <w:widowControl w:val="0"/>
                    <w:kinsoku/>
                    <w:wordWrap/>
                    <w:overflowPunct/>
                    <w:topLinePunct w:val="0"/>
                    <w:bidi w:val="0"/>
                    <w:spacing w:before="24" w:after="24"/>
                    <w:textAlignment w:val="auto"/>
                    <w:rPr>
                      <w:rFonts w:hint="default"/>
                      <w:color w:val="auto"/>
                      <w:szCs w:val="21"/>
                      <w:highlight w:val="none"/>
                      <w:lang w:val="en-US"/>
                    </w:rPr>
                  </w:pPr>
                  <w:r>
                    <w:rPr>
                      <w:rFonts w:hint="default"/>
                      <w:color w:val="auto"/>
                      <w:szCs w:val="21"/>
                      <w:highlight w:val="none"/>
                      <w:lang w:val="en-US"/>
                    </w:rPr>
                    <w:t>内容</w:t>
                  </w:r>
                </w:p>
              </w:tc>
              <w:tc>
                <w:tcPr>
                  <w:tcW w:w="4607" w:type="pct"/>
                  <w:gridSpan w:val="2"/>
                  <w:noWrap w:val="0"/>
                  <w:vAlign w:val="center"/>
                </w:tcPr>
                <w:p w14:paraId="741BF0EA">
                  <w:pPr>
                    <w:pStyle w:val="110"/>
                    <w:keepLines w:val="0"/>
                    <w:pageBreakBefore w:val="0"/>
                    <w:widowControl w:val="0"/>
                    <w:kinsoku/>
                    <w:wordWrap/>
                    <w:overflowPunct/>
                    <w:topLinePunct w:val="0"/>
                    <w:bidi w:val="0"/>
                    <w:spacing w:before="24" w:after="24"/>
                    <w:textAlignment w:val="auto"/>
                    <w:rPr>
                      <w:rFonts w:hint="default"/>
                      <w:color w:val="auto"/>
                      <w:szCs w:val="21"/>
                      <w:highlight w:val="none"/>
                      <w:lang w:val="en-US"/>
                    </w:rPr>
                  </w:pPr>
                  <w:r>
                    <w:rPr>
                      <w:rFonts w:hint="default"/>
                      <w:color w:val="auto"/>
                      <w:szCs w:val="21"/>
                      <w:highlight w:val="none"/>
                      <w:lang w:val="en-US"/>
                    </w:rPr>
                    <w:t>符合性分析</w:t>
                  </w:r>
                </w:p>
              </w:tc>
            </w:tr>
            <w:tr w14:paraId="541B2F3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392" w:type="pct"/>
                  <w:noWrap w:val="0"/>
                  <w:vAlign w:val="center"/>
                </w:tcPr>
                <w:p w14:paraId="6FEC9A51">
                  <w:pPr>
                    <w:pStyle w:val="111"/>
                    <w:keepLines w:val="0"/>
                    <w:pageBreakBefore w:val="0"/>
                    <w:widowControl w:val="0"/>
                    <w:kinsoku/>
                    <w:wordWrap/>
                    <w:overflowPunct/>
                    <w:topLinePunct w:val="0"/>
                    <w:bidi w:val="0"/>
                    <w:textAlignment w:val="auto"/>
                    <w:rPr>
                      <w:color w:val="auto"/>
                      <w:szCs w:val="21"/>
                      <w:highlight w:val="none"/>
                      <w:lang w:val="en-US"/>
                    </w:rPr>
                  </w:pPr>
                  <w:r>
                    <w:rPr>
                      <w:color w:val="auto"/>
                      <w:szCs w:val="21"/>
                      <w:highlight w:val="none"/>
                      <w:lang w:val="en-US"/>
                    </w:rPr>
                    <w:t>生态保护红线</w:t>
                  </w:r>
                </w:p>
              </w:tc>
              <w:tc>
                <w:tcPr>
                  <w:tcW w:w="4607" w:type="pct"/>
                  <w:gridSpan w:val="2"/>
                  <w:noWrap w:val="0"/>
                  <w:vAlign w:val="center"/>
                </w:tcPr>
                <w:p w14:paraId="07C8FBF9">
                  <w:pPr>
                    <w:pStyle w:val="111"/>
                    <w:keepLines w:val="0"/>
                    <w:pageBreakBefore w:val="0"/>
                    <w:widowControl w:val="0"/>
                    <w:kinsoku/>
                    <w:wordWrap/>
                    <w:overflowPunct/>
                    <w:topLinePunct w:val="0"/>
                    <w:bidi w:val="0"/>
                    <w:textAlignment w:val="auto"/>
                    <w:rPr>
                      <w:color w:val="auto"/>
                      <w:szCs w:val="21"/>
                      <w:highlight w:val="none"/>
                      <w:lang w:val="en-US"/>
                    </w:rPr>
                  </w:pPr>
                  <w:r>
                    <w:rPr>
                      <w:color w:val="auto"/>
                      <w:szCs w:val="21"/>
                      <w:highlight w:val="none"/>
                      <w:lang w:val="en-US"/>
                    </w:rPr>
                    <w:t>根据《河北省生态保护红线》，全省生态保护红线类型分为坝上高原防风固沙生态保护红线、燕山水源涵养</w:t>
                  </w:r>
                  <w:r>
                    <w:rPr>
                      <w:rFonts w:hint="eastAsia"/>
                      <w:color w:val="auto"/>
                      <w:szCs w:val="21"/>
                      <w:highlight w:val="none"/>
                      <w:lang w:val="en-US" w:eastAsia="zh-CN"/>
                    </w:rPr>
                    <w:t>－</w:t>
                  </w:r>
                  <w:r>
                    <w:rPr>
                      <w:color w:val="auto"/>
                      <w:szCs w:val="21"/>
                      <w:highlight w:val="none"/>
                      <w:lang w:val="en-US"/>
                    </w:rPr>
                    <w:t>生物多样性维护生态保护红线、太行山水土保持</w:t>
                  </w:r>
                  <w:r>
                    <w:rPr>
                      <w:rFonts w:hint="eastAsia"/>
                      <w:color w:val="auto"/>
                      <w:szCs w:val="21"/>
                      <w:highlight w:val="none"/>
                      <w:lang w:val="en-US" w:eastAsia="zh-CN"/>
                    </w:rPr>
                    <w:t>－</w:t>
                  </w:r>
                  <w:r>
                    <w:rPr>
                      <w:color w:val="auto"/>
                      <w:szCs w:val="21"/>
                      <w:highlight w:val="none"/>
                      <w:lang w:val="en-US"/>
                    </w:rPr>
                    <w:t>生物多样性维护生态保护红线、河北平原河湖滨岸带生态保护红线、海岸海域生态保护红线五大类。</w:t>
                  </w:r>
                  <w:r>
                    <w:rPr>
                      <w:rFonts w:hint="eastAsia"/>
                      <w:color w:val="auto"/>
                      <w:szCs w:val="21"/>
                      <w:highlight w:val="none"/>
                      <w:lang w:val="en-US"/>
                    </w:rPr>
                    <w:t>本项目位于行唐经济技术开发区，</w:t>
                  </w:r>
                  <w:r>
                    <w:rPr>
                      <w:color w:val="auto"/>
                      <w:szCs w:val="21"/>
                      <w:highlight w:val="none"/>
                      <w:lang w:val="en-US"/>
                    </w:rPr>
                    <w:t>经查阅河北省生态保护红线区范围图，</w:t>
                  </w:r>
                  <w:r>
                    <w:rPr>
                      <w:rFonts w:hint="eastAsia"/>
                      <w:color w:val="auto"/>
                      <w:szCs w:val="21"/>
                      <w:highlight w:val="none"/>
                      <w:lang w:val="en-US"/>
                    </w:rPr>
                    <w:t>本项目西南距离生态保护红线</w:t>
                  </w:r>
                  <w:r>
                    <w:rPr>
                      <w:rFonts w:hint="eastAsia"/>
                      <w:color w:val="auto"/>
                      <w:szCs w:val="21"/>
                      <w:highlight w:val="none"/>
                      <w:lang w:val="en-US" w:eastAsia="zh-CN"/>
                    </w:rPr>
                    <w:t>为17.89km</w:t>
                  </w:r>
                  <w:r>
                    <w:rPr>
                      <w:rFonts w:hint="eastAsia"/>
                      <w:color w:val="auto"/>
                      <w:szCs w:val="21"/>
                      <w:highlight w:val="none"/>
                      <w:lang w:val="en-US"/>
                    </w:rPr>
                    <w:t>，</w:t>
                  </w:r>
                  <w:r>
                    <w:rPr>
                      <w:rFonts w:hint="eastAsia"/>
                      <w:color w:val="auto"/>
                      <w:szCs w:val="21"/>
                      <w:highlight w:val="none"/>
                      <w:lang w:val="en-US" w:eastAsia="zh-CN"/>
                    </w:rPr>
                    <w:t>详见附图5，</w:t>
                  </w:r>
                  <w:r>
                    <w:rPr>
                      <w:color w:val="auto"/>
                      <w:szCs w:val="21"/>
                      <w:highlight w:val="none"/>
                      <w:lang w:val="en-US"/>
                    </w:rPr>
                    <w:t>本项目不涉及生态保护红线区</w:t>
                  </w:r>
                  <w:r>
                    <w:rPr>
                      <w:rFonts w:hint="eastAsia"/>
                      <w:color w:val="auto"/>
                      <w:szCs w:val="21"/>
                      <w:highlight w:val="none"/>
                      <w:lang w:val="en-US"/>
                    </w:rPr>
                    <w:t>。</w:t>
                  </w:r>
                </w:p>
              </w:tc>
            </w:tr>
            <w:tr w14:paraId="34E4E39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392" w:type="pct"/>
                  <w:noWrap w:val="0"/>
                  <w:vAlign w:val="center"/>
                </w:tcPr>
                <w:p w14:paraId="5266C32D">
                  <w:pPr>
                    <w:pStyle w:val="111"/>
                    <w:keepLines w:val="0"/>
                    <w:pageBreakBefore w:val="0"/>
                    <w:widowControl w:val="0"/>
                    <w:kinsoku/>
                    <w:wordWrap/>
                    <w:overflowPunct/>
                    <w:topLinePunct w:val="0"/>
                    <w:bidi w:val="0"/>
                    <w:textAlignment w:val="auto"/>
                    <w:rPr>
                      <w:color w:val="auto"/>
                      <w:szCs w:val="21"/>
                      <w:highlight w:val="none"/>
                      <w:lang w:val="en-US"/>
                    </w:rPr>
                  </w:pPr>
                  <w:r>
                    <w:rPr>
                      <w:color w:val="auto"/>
                      <w:szCs w:val="21"/>
                      <w:highlight w:val="none"/>
                      <w:lang w:val="en-US"/>
                    </w:rPr>
                    <w:t>环境质量底线</w:t>
                  </w:r>
                </w:p>
              </w:tc>
              <w:tc>
                <w:tcPr>
                  <w:tcW w:w="4607" w:type="pct"/>
                  <w:gridSpan w:val="2"/>
                  <w:noWrap w:val="0"/>
                  <w:vAlign w:val="center"/>
                </w:tcPr>
                <w:p w14:paraId="2BFC2B9C">
                  <w:pPr>
                    <w:pStyle w:val="111"/>
                    <w:keepLines w:val="0"/>
                    <w:pageBreakBefore w:val="0"/>
                    <w:widowControl w:val="0"/>
                    <w:kinsoku/>
                    <w:wordWrap/>
                    <w:overflowPunct/>
                    <w:topLinePunct w:val="0"/>
                    <w:bidi w:val="0"/>
                    <w:jc w:val="left"/>
                    <w:textAlignment w:val="auto"/>
                    <w:rPr>
                      <w:color w:val="auto"/>
                      <w:szCs w:val="21"/>
                      <w:highlight w:val="none"/>
                      <w:lang w:val="en-US"/>
                    </w:rPr>
                  </w:pPr>
                  <w:r>
                    <w:rPr>
                      <w:color w:val="auto"/>
                      <w:szCs w:val="21"/>
                      <w:highlight w:val="none"/>
                      <w:lang w:val="en-US"/>
                    </w:rPr>
                    <w:t>项目</w:t>
                  </w:r>
                  <w:r>
                    <w:rPr>
                      <w:color w:val="auto"/>
                      <w:sz w:val="21"/>
                      <w:szCs w:val="21"/>
                      <w:highlight w:val="none"/>
                      <w:lang w:val="en-US"/>
                    </w:rPr>
                    <w:t>所在区域为环境空气质量二类区，环境空气质量应满足《环境空气质量标准》（GB3095-2012）二级标准及修改单要求，根据</w:t>
                  </w:r>
                  <w:r>
                    <w:rPr>
                      <w:rFonts w:hint="default" w:ascii="Times New Roman" w:hAnsi="Times New Roman" w:eastAsia="宋体" w:cs="Times New Roman"/>
                      <w:bCs/>
                      <w:color w:val="auto"/>
                      <w:sz w:val="21"/>
                      <w:szCs w:val="21"/>
                      <w:highlight w:val="none"/>
                    </w:rPr>
                    <w:t>《202</w:t>
                  </w:r>
                  <w:r>
                    <w:rPr>
                      <w:rFonts w:hint="default" w:ascii="Times New Roman" w:hAnsi="Times New Roman" w:cs="Times New Roman"/>
                      <w:bCs/>
                      <w:color w:val="auto"/>
                      <w:sz w:val="21"/>
                      <w:szCs w:val="21"/>
                      <w:highlight w:val="none"/>
                      <w:lang w:val="en-US" w:eastAsia="zh-CN"/>
                    </w:rPr>
                    <w:t>4</w:t>
                  </w:r>
                  <w:r>
                    <w:rPr>
                      <w:rFonts w:hint="default" w:ascii="Times New Roman" w:hAnsi="Times New Roman" w:eastAsia="宋体" w:cs="Times New Roman"/>
                      <w:bCs/>
                      <w:color w:val="auto"/>
                      <w:sz w:val="21"/>
                      <w:szCs w:val="21"/>
                      <w:highlight w:val="none"/>
                    </w:rPr>
                    <w:t>年</w:t>
                  </w:r>
                  <w:r>
                    <w:rPr>
                      <w:rFonts w:hint="default" w:ascii="Times New Roman" w:hAnsi="Times New Roman" w:eastAsia="宋体" w:cs="Times New Roman"/>
                      <w:bCs/>
                      <w:color w:val="auto"/>
                      <w:sz w:val="21"/>
                      <w:szCs w:val="21"/>
                      <w:highlight w:val="none"/>
                      <w:lang w:val="en-US" w:eastAsia="zh-CN"/>
                    </w:rPr>
                    <w:t>石家庄市</w:t>
                  </w:r>
                  <w:r>
                    <w:rPr>
                      <w:rFonts w:hint="default" w:ascii="Times New Roman" w:hAnsi="Times New Roman" w:eastAsia="宋体" w:cs="Times New Roman"/>
                      <w:bCs/>
                      <w:color w:val="auto"/>
                      <w:sz w:val="21"/>
                      <w:szCs w:val="21"/>
                      <w:highlight w:val="none"/>
                    </w:rPr>
                    <w:t>生态环境状况公报》</w:t>
                  </w:r>
                  <w:r>
                    <w:rPr>
                      <w:color w:val="auto"/>
                      <w:sz w:val="21"/>
                      <w:szCs w:val="21"/>
                      <w:highlight w:val="none"/>
                      <w:lang w:val="en-US"/>
                    </w:rPr>
                    <w:t>项目所在区域为环境空气质量</w:t>
                  </w:r>
                  <w:r>
                    <w:rPr>
                      <w:rFonts w:hint="eastAsia"/>
                      <w:color w:val="auto"/>
                      <w:sz w:val="21"/>
                      <w:szCs w:val="21"/>
                      <w:highlight w:val="none"/>
                      <w:lang w:val="en-US"/>
                    </w:rPr>
                    <w:t>不</w:t>
                  </w:r>
                  <w:r>
                    <w:rPr>
                      <w:color w:val="auto"/>
                      <w:sz w:val="21"/>
                      <w:szCs w:val="21"/>
                      <w:highlight w:val="none"/>
                      <w:lang w:val="en-US"/>
                    </w:rPr>
                    <w:t>达标区</w:t>
                  </w:r>
                  <w:r>
                    <w:rPr>
                      <w:rFonts w:hint="eastAsia"/>
                      <w:color w:val="auto"/>
                      <w:sz w:val="21"/>
                      <w:szCs w:val="21"/>
                      <w:highlight w:val="none"/>
                      <w:lang w:val="en-US"/>
                    </w:rPr>
                    <w:t>；</w:t>
                  </w:r>
                  <w:r>
                    <w:rPr>
                      <w:color w:val="auto"/>
                      <w:sz w:val="21"/>
                      <w:szCs w:val="21"/>
                      <w:highlight w:val="none"/>
                      <w:lang w:val="en-US"/>
                    </w:rPr>
                    <w:t>项目区域地下水水质较好，是当地居民生活及工农业生产的主要水源，水质可以达到《地下水质量标准》（GB/T14848-2017）Ⅲ类标准；本项目厂界满足《声环境质量标准》（GB3096-2008）</w:t>
                  </w:r>
                  <w:r>
                    <w:rPr>
                      <w:rFonts w:hint="eastAsia"/>
                      <w:color w:val="auto"/>
                      <w:sz w:val="21"/>
                      <w:szCs w:val="21"/>
                      <w:highlight w:val="none"/>
                      <w:lang w:val="en-US" w:eastAsia="zh-CN"/>
                    </w:rPr>
                    <w:t>3</w:t>
                  </w:r>
                  <w:r>
                    <w:rPr>
                      <w:color w:val="auto"/>
                      <w:sz w:val="21"/>
                      <w:szCs w:val="21"/>
                      <w:highlight w:val="none"/>
                      <w:lang w:val="en-US"/>
                    </w:rPr>
                    <w:t>类标准。项目排放的</w:t>
                  </w:r>
                  <w:r>
                    <w:rPr>
                      <w:rFonts w:hint="eastAsia"/>
                      <w:color w:val="auto"/>
                      <w:sz w:val="21"/>
                      <w:szCs w:val="21"/>
                      <w:highlight w:val="none"/>
                      <w:lang w:val="en-US"/>
                    </w:rPr>
                    <w:t>废气</w:t>
                  </w:r>
                  <w:r>
                    <w:rPr>
                      <w:color w:val="auto"/>
                      <w:sz w:val="21"/>
                      <w:szCs w:val="21"/>
                      <w:highlight w:val="none"/>
                      <w:lang w:val="en-US"/>
                    </w:rPr>
                    <w:t>污染物对环境的影响不大，当地环境空气质量可继续维持现状水平；</w:t>
                  </w:r>
                  <w:r>
                    <w:rPr>
                      <w:rFonts w:hint="eastAsia"/>
                      <w:color w:val="auto"/>
                      <w:sz w:val="21"/>
                      <w:szCs w:val="21"/>
                      <w:highlight w:val="none"/>
                      <w:lang w:val="en-US" w:eastAsia="zh-CN"/>
                    </w:rPr>
                    <w:t>固体废物均得到合理处置</w:t>
                  </w:r>
                  <w:r>
                    <w:rPr>
                      <w:color w:val="auto"/>
                      <w:sz w:val="21"/>
                      <w:szCs w:val="21"/>
                      <w:highlight w:val="none"/>
                      <w:lang w:val="en-US"/>
                    </w:rPr>
                    <w:t>。因此，本项目的建设不会触及环境质量底线。</w:t>
                  </w:r>
                </w:p>
              </w:tc>
            </w:tr>
            <w:tr w14:paraId="0DA2FA5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392" w:type="pct"/>
                  <w:noWrap w:val="0"/>
                  <w:vAlign w:val="center"/>
                </w:tcPr>
                <w:p w14:paraId="0A1AFF45">
                  <w:pPr>
                    <w:pStyle w:val="111"/>
                    <w:keepLines w:val="0"/>
                    <w:pageBreakBefore w:val="0"/>
                    <w:widowControl w:val="0"/>
                    <w:kinsoku/>
                    <w:wordWrap/>
                    <w:overflowPunct/>
                    <w:topLinePunct w:val="0"/>
                    <w:bidi w:val="0"/>
                    <w:textAlignment w:val="auto"/>
                    <w:rPr>
                      <w:color w:val="auto"/>
                      <w:szCs w:val="21"/>
                      <w:highlight w:val="none"/>
                      <w:lang w:val="en-US"/>
                    </w:rPr>
                  </w:pPr>
                  <w:r>
                    <w:rPr>
                      <w:color w:val="auto"/>
                      <w:szCs w:val="21"/>
                      <w:highlight w:val="none"/>
                      <w:lang w:val="en-US"/>
                    </w:rPr>
                    <w:t>资源利用上线</w:t>
                  </w:r>
                </w:p>
              </w:tc>
              <w:tc>
                <w:tcPr>
                  <w:tcW w:w="4607" w:type="pct"/>
                  <w:gridSpan w:val="2"/>
                  <w:noWrap w:val="0"/>
                  <w:vAlign w:val="center"/>
                </w:tcPr>
                <w:p w14:paraId="38504844">
                  <w:pPr>
                    <w:pStyle w:val="111"/>
                    <w:keepLines w:val="0"/>
                    <w:pageBreakBefore w:val="0"/>
                    <w:widowControl w:val="0"/>
                    <w:kinsoku/>
                    <w:wordWrap/>
                    <w:overflowPunct/>
                    <w:topLinePunct w:val="0"/>
                    <w:bidi w:val="0"/>
                    <w:jc w:val="left"/>
                    <w:textAlignment w:val="auto"/>
                    <w:rPr>
                      <w:color w:val="auto"/>
                      <w:szCs w:val="21"/>
                      <w:highlight w:val="none"/>
                      <w:lang w:val="en-US"/>
                    </w:rPr>
                  </w:pPr>
                  <w:r>
                    <w:rPr>
                      <w:color w:val="auto"/>
                      <w:szCs w:val="21"/>
                      <w:highlight w:val="none"/>
                    </w:rPr>
                    <w:t>本项目</w:t>
                  </w:r>
                  <w:r>
                    <w:rPr>
                      <w:rFonts w:hint="eastAsia"/>
                      <w:color w:val="auto"/>
                      <w:szCs w:val="21"/>
                      <w:highlight w:val="none"/>
                      <w:lang w:val="en-US"/>
                    </w:rPr>
                    <w:t>利用</w:t>
                  </w:r>
                  <w:r>
                    <w:rPr>
                      <w:color w:val="auto"/>
                      <w:szCs w:val="21"/>
                      <w:highlight w:val="none"/>
                    </w:rPr>
                    <w:t>的资源主要</w:t>
                  </w:r>
                  <w:r>
                    <w:rPr>
                      <w:rFonts w:hint="eastAsia"/>
                      <w:color w:val="auto"/>
                      <w:highlight w:val="none"/>
                      <w:lang w:val="en-US" w:eastAsia="zh-CN"/>
                    </w:rPr>
                    <w:t>为</w:t>
                  </w:r>
                  <w:r>
                    <w:rPr>
                      <w:rFonts w:hint="eastAsia"/>
                      <w:color w:val="auto"/>
                      <w:szCs w:val="21"/>
                      <w:highlight w:val="none"/>
                      <w:lang w:val="en-US"/>
                    </w:rPr>
                    <w:t>土地资源和</w:t>
                  </w:r>
                  <w:r>
                    <w:rPr>
                      <w:color w:val="auto"/>
                      <w:szCs w:val="21"/>
                      <w:highlight w:val="none"/>
                    </w:rPr>
                    <w:t>水资源。项目用水由</w:t>
                  </w:r>
                  <w:r>
                    <w:rPr>
                      <w:rFonts w:hint="eastAsia"/>
                      <w:color w:val="auto"/>
                      <w:szCs w:val="21"/>
                      <w:highlight w:val="none"/>
                      <w:lang w:val="en-US"/>
                    </w:rPr>
                    <w:t>行唐经济开发区自来水管网</w:t>
                  </w:r>
                  <w:r>
                    <w:rPr>
                      <w:color w:val="auto"/>
                      <w:szCs w:val="21"/>
                      <w:highlight w:val="none"/>
                    </w:rPr>
                    <w:t>供给，取水量较小，符合当地的水资源条件、水功能区划以及水资源</w:t>
                  </w:r>
                  <w:r>
                    <w:rPr>
                      <w:rFonts w:hint="eastAsia"/>
                      <w:color w:val="auto"/>
                      <w:szCs w:val="21"/>
                      <w:highlight w:val="none"/>
                      <w:lang w:eastAsia="zh-CN"/>
                    </w:rPr>
                    <w:t>配置</w:t>
                  </w:r>
                  <w:r>
                    <w:rPr>
                      <w:color w:val="auto"/>
                      <w:szCs w:val="21"/>
                      <w:highlight w:val="none"/>
                    </w:rPr>
                    <w:t>的要求。项目</w:t>
                  </w:r>
                  <w:r>
                    <w:rPr>
                      <w:rFonts w:hint="eastAsia"/>
                      <w:color w:val="auto"/>
                      <w:szCs w:val="21"/>
                      <w:highlight w:val="none"/>
                      <w:lang w:val="en-US" w:eastAsia="zh-CN"/>
                    </w:rPr>
                    <w:t>用地</w:t>
                  </w:r>
                  <w:r>
                    <w:rPr>
                      <w:color w:val="auto"/>
                      <w:szCs w:val="21"/>
                      <w:highlight w:val="none"/>
                    </w:rPr>
                    <w:t>符合</w:t>
                  </w:r>
                  <w:r>
                    <w:rPr>
                      <w:rFonts w:hint="eastAsia"/>
                      <w:color w:val="auto"/>
                      <w:szCs w:val="21"/>
                      <w:highlight w:val="none"/>
                      <w:lang w:val="en-US"/>
                    </w:rPr>
                    <w:t>石家庄</w:t>
                  </w:r>
                  <w:r>
                    <w:rPr>
                      <w:color w:val="auto"/>
                      <w:szCs w:val="21"/>
                      <w:highlight w:val="none"/>
                      <w:lang w:val="en-US"/>
                    </w:rPr>
                    <w:t>市</w:t>
                  </w:r>
                  <w:r>
                    <w:rPr>
                      <w:color w:val="auto"/>
                      <w:szCs w:val="21"/>
                      <w:highlight w:val="none"/>
                    </w:rPr>
                    <w:t>土地总体利用规划。因此，本项目符合区域土地资源利用要求</w:t>
                  </w:r>
                  <w:r>
                    <w:rPr>
                      <w:color w:val="auto"/>
                      <w:szCs w:val="21"/>
                      <w:highlight w:val="none"/>
                      <w:lang w:val="en-US"/>
                    </w:rPr>
                    <w:t>。</w:t>
                  </w:r>
                </w:p>
              </w:tc>
            </w:tr>
            <w:tr w14:paraId="7EC55CD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392" w:type="pct"/>
                  <w:vMerge w:val="restart"/>
                  <w:noWrap w:val="0"/>
                  <w:vAlign w:val="center"/>
                </w:tcPr>
                <w:p w14:paraId="5B943AE4">
                  <w:pPr>
                    <w:pStyle w:val="111"/>
                    <w:keepLines w:val="0"/>
                    <w:pageBreakBefore w:val="0"/>
                    <w:widowControl w:val="0"/>
                    <w:kinsoku/>
                    <w:wordWrap/>
                    <w:overflowPunct/>
                    <w:topLinePunct w:val="0"/>
                    <w:bidi w:val="0"/>
                    <w:textAlignment w:val="auto"/>
                    <w:rPr>
                      <w:color w:val="auto"/>
                      <w:szCs w:val="21"/>
                      <w:highlight w:val="none"/>
                      <w:lang w:val="en-US"/>
                    </w:rPr>
                  </w:pPr>
                  <w:r>
                    <w:rPr>
                      <w:rFonts w:hint="eastAsia"/>
                      <w:color w:val="auto"/>
                      <w:szCs w:val="21"/>
                      <w:highlight w:val="none"/>
                      <w:lang w:val="en-US"/>
                    </w:rPr>
                    <w:t>生态环境准入清单</w:t>
                  </w:r>
                </w:p>
              </w:tc>
              <w:tc>
                <w:tcPr>
                  <w:tcW w:w="1899" w:type="pct"/>
                  <w:noWrap w:val="0"/>
                  <w:vAlign w:val="center"/>
                </w:tcPr>
                <w:p w14:paraId="515C4126">
                  <w:pPr>
                    <w:pStyle w:val="111"/>
                    <w:keepLines w:val="0"/>
                    <w:pageBreakBefore w:val="0"/>
                    <w:widowControl w:val="0"/>
                    <w:kinsoku/>
                    <w:wordWrap/>
                    <w:overflowPunct/>
                    <w:topLinePunct w:val="0"/>
                    <w:bidi w:val="0"/>
                    <w:textAlignment w:val="auto"/>
                    <w:rPr>
                      <w:color w:val="auto"/>
                      <w:szCs w:val="21"/>
                      <w:highlight w:val="none"/>
                      <w:lang w:val="en-US"/>
                    </w:rPr>
                  </w:pPr>
                  <w:r>
                    <w:rPr>
                      <w:rFonts w:hint="eastAsia"/>
                      <w:color w:val="auto"/>
                      <w:szCs w:val="21"/>
                      <w:highlight w:val="none"/>
                      <w:lang w:val="en-US"/>
                    </w:rPr>
                    <w:t>石家庄</w:t>
                  </w:r>
                  <w:r>
                    <w:rPr>
                      <w:color w:val="auto"/>
                      <w:szCs w:val="21"/>
                      <w:highlight w:val="none"/>
                      <w:lang w:val="en-US"/>
                    </w:rPr>
                    <w:t>市主体功能区负面清单</w:t>
                  </w:r>
                </w:p>
              </w:tc>
              <w:tc>
                <w:tcPr>
                  <w:tcW w:w="2707" w:type="pct"/>
                  <w:noWrap w:val="0"/>
                  <w:vAlign w:val="center"/>
                </w:tcPr>
                <w:p w14:paraId="7ED1022B">
                  <w:pPr>
                    <w:pStyle w:val="111"/>
                    <w:keepLines w:val="0"/>
                    <w:pageBreakBefore w:val="0"/>
                    <w:widowControl w:val="0"/>
                    <w:kinsoku/>
                    <w:wordWrap/>
                    <w:overflowPunct/>
                    <w:topLinePunct w:val="0"/>
                    <w:bidi w:val="0"/>
                    <w:textAlignment w:val="auto"/>
                    <w:rPr>
                      <w:color w:val="auto"/>
                      <w:szCs w:val="21"/>
                      <w:highlight w:val="none"/>
                      <w:lang w:val="en-US"/>
                    </w:rPr>
                  </w:pPr>
                  <w:r>
                    <w:rPr>
                      <w:color w:val="auto"/>
                      <w:szCs w:val="21"/>
                      <w:highlight w:val="none"/>
                      <w:lang w:val="en-US"/>
                    </w:rPr>
                    <w:t>本项目未列入</w:t>
                  </w:r>
                  <w:r>
                    <w:rPr>
                      <w:rFonts w:hint="eastAsia"/>
                      <w:color w:val="auto"/>
                      <w:szCs w:val="21"/>
                      <w:highlight w:val="none"/>
                      <w:lang w:val="en-US"/>
                    </w:rPr>
                    <w:t>石家庄市</w:t>
                  </w:r>
                  <w:r>
                    <w:rPr>
                      <w:color w:val="auto"/>
                      <w:szCs w:val="21"/>
                      <w:highlight w:val="none"/>
                      <w:lang w:val="en-US"/>
                    </w:rPr>
                    <w:t>主体功能区负面清单</w:t>
                  </w:r>
                </w:p>
              </w:tc>
            </w:tr>
            <w:tr w14:paraId="018BEE7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392" w:type="pct"/>
                  <w:vMerge w:val="continue"/>
                  <w:noWrap w:val="0"/>
                  <w:vAlign w:val="center"/>
                </w:tcPr>
                <w:p w14:paraId="48B53692">
                  <w:pPr>
                    <w:pStyle w:val="111"/>
                    <w:keepLines w:val="0"/>
                    <w:pageBreakBefore w:val="0"/>
                    <w:widowControl w:val="0"/>
                    <w:kinsoku/>
                    <w:wordWrap/>
                    <w:overflowPunct/>
                    <w:topLinePunct w:val="0"/>
                    <w:bidi w:val="0"/>
                    <w:textAlignment w:val="auto"/>
                    <w:rPr>
                      <w:rFonts w:hint="eastAsia"/>
                      <w:color w:val="auto"/>
                      <w:szCs w:val="21"/>
                      <w:highlight w:val="none"/>
                      <w:lang w:val="en-US"/>
                    </w:rPr>
                  </w:pPr>
                </w:p>
              </w:tc>
              <w:tc>
                <w:tcPr>
                  <w:tcW w:w="1899" w:type="pct"/>
                  <w:noWrap w:val="0"/>
                  <w:vAlign w:val="center"/>
                </w:tcPr>
                <w:p w14:paraId="1272F420">
                  <w:pPr>
                    <w:pStyle w:val="111"/>
                    <w:keepLines w:val="0"/>
                    <w:pageBreakBefore w:val="0"/>
                    <w:widowControl w:val="0"/>
                    <w:kinsoku/>
                    <w:wordWrap/>
                    <w:overflowPunct/>
                    <w:topLinePunct w:val="0"/>
                    <w:bidi w:val="0"/>
                    <w:textAlignment w:val="auto"/>
                    <w:rPr>
                      <w:color w:val="auto"/>
                      <w:szCs w:val="21"/>
                      <w:highlight w:val="none"/>
                      <w:lang w:val="en-US"/>
                    </w:rPr>
                  </w:pPr>
                  <w:r>
                    <w:rPr>
                      <w:rFonts w:hint="eastAsia"/>
                      <w:color w:val="auto"/>
                      <w:szCs w:val="21"/>
                      <w:highlight w:val="none"/>
                      <w:lang w:val="en-US" w:eastAsia="zh-CN"/>
                    </w:rPr>
                    <w:t>河北行唐经济开发区</w:t>
                  </w:r>
                  <w:r>
                    <w:rPr>
                      <w:color w:val="auto"/>
                      <w:szCs w:val="21"/>
                      <w:highlight w:val="none"/>
                      <w:lang w:val="en-US"/>
                    </w:rPr>
                    <w:t>环境准入负面清单</w:t>
                  </w:r>
                </w:p>
              </w:tc>
              <w:tc>
                <w:tcPr>
                  <w:tcW w:w="2707" w:type="pct"/>
                  <w:noWrap w:val="0"/>
                  <w:vAlign w:val="center"/>
                </w:tcPr>
                <w:p w14:paraId="4D326E42">
                  <w:pPr>
                    <w:pStyle w:val="111"/>
                    <w:keepLines w:val="0"/>
                    <w:pageBreakBefore w:val="0"/>
                    <w:widowControl w:val="0"/>
                    <w:kinsoku/>
                    <w:wordWrap/>
                    <w:overflowPunct/>
                    <w:topLinePunct w:val="0"/>
                    <w:bidi w:val="0"/>
                    <w:textAlignment w:val="auto"/>
                    <w:rPr>
                      <w:color w:val="auto"/>
                      <w:szCs w:val="21"/>
                      <w:highlight w:val="none"/>
                      <w:lang w:val="en-US"/>
                    </w:rPr>
                  </w:pPr>
                  <w:r>
                    <w:rPr>
                      <w:color w:val="auto"/>
                      <w:szCs w:val="21"/>
                      <w:highlight w:val="none"/>
                      <w:lang w:val="en-US"/>
                    </w:rPr>
                    <w:t>本项目未列入</w:t>
                  </w:r>
                  <w:r>
                    <w:rPr>
                      <w:rFonts w:hint="eastAsia"/>
                      <w:color w:val="auto"/>
                      <w:szCs w:val="21"/>
                      <w:highlight w:val="none"/>
                      <w:lang w:val="en-US" w:eastAsia="zh-CN"/>
                    </w:rPr>
                    <w:t>河北行唐经济开发区</w:t>
                  </w:r>
                  <w:r>
                    <w:rPr>
                      <w:color w:val="auto"/>
                      <w:szCs w:val="21"/>
                      <w:highlight w:val="none"/>
                      <w:lang w:val="en-US"/>
                    </w:rPr>
                    <w:t>环境准入负面清单</w:t>
                  </w:r>
                </w:p>
              </w:tc>
            </w:tr>
          </w:tbl>
          <w:p w14:paraId="173327CF">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hint="eastAsia"/>
                <w:color w:val="auto"/>
                <w:sz w:val="24"/>
                <w:highlight w:val="none"/>
              </w:rPr>
            </w:pPr>
            <w:r>
              <w:rPr>
                <w:rFonts w:hint="eastAsia"/>
                <w:color w:val="auto"/>
                <w:sz w:val="24"/>
                <w:highlight w:val="none"/>
              </w:rPr>
              <w:t>由上表可知，本项目符合《河北省人民政府关于加快实施“三线一单”生态环境分区管控的意见》（冀政字</w:t>
            </w:r>
            <w:r>
              <w:rPr>
                <w:rFonts w:hint="eastAsia"/>
                <w:color w:val="auto"/>
                <w:sz w:val="24"/>
                <w:highlight w:val="none"/>
                <w:lang w:eastAsia="zh-CN"/>
              </w:rPr>
              <w:t>〔2020〕71号</w:t>
            </w:r>
            <w:r>
              <w:rPr>
                <w:rFonts w:hint="eastAsia"/>
                <w:color w:val="auto"/>
                <w:sz w:val="24"/>
                <w:highlight w:val="none"/>
              </w:rPr>
              <w:t>）相关要求。</w:t>
            </w:r>
          </w:p>
          <w:p w14:paraId="5B895802">
            <w:pPr>
              <w:keepNext w:val="0"/>
              <w:keepLines w:val="0"/>
              <w:pageBreakBefore w:val="0"/>
              <w:widowControl w:val="0"/>
              <w:numPr>
                <w:ilvl w:val="0"/>
                <w:numId w:val="8"/>
              </w:numPr>
              <w:kinsoku/>
              <w:wordWrap/>
              <w:overflowPunct/>
              <w:topLinePunct w:val="0"/>
              <w:bidi w:val="0"/>
              <w:spacing w:line="360" w:lineRule="auto"/>
              <w:ind w:firstLine="480" w:firstLineChars="200"/>
              <w:textAlignment w:val="auto"/>
              <w:rPr>
                <w:color w:val="auto"/>
                <w:sz w:val="24"/>
                <w:highlight w:val="none"/>
              </w:rPr>
            </w:pPr>
            <w:r>
              <w:rPr>
                <w:rFonts w:hint="eastAsia"/>
                <w:color w:val="auto"/>
                <w:sz w:val="24"/>
                <w:highlight w:val="none"/>
              </w:rPr>
              <w:t>石家庄市“三线一单”符合性分析</w:t>
            </w:r>
          </w:p>
          <w:p w14:paraId="2262C35D">
            <w:pPr>
              <w:pStyle w:val="126"/>
              <w:keepNext w:val="0"/>
              <w:keepLines w:val="0"/>
              <w:pageBreakBefore w:val="0"/>
              <w:widowControl w:val="0"/>
              <w:kinsoku/>
              <w:wordWrap/>
              <w:overflowPunct/>
              <w:topLinePunct w:val="0"/>
              <w:bidi w:val="0"/>
              <w:spacing w:line="360" w:lineRule="auto"/>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lang w:eastAsia="zh-CN"/>
              </w:rPr>
              <w:t>本项目</w:t>
            </w:r>
            <w:r>
              <w:rPr>
                <w:rFonts w:hint="default" w:ascii="Times New Roman" w:hAnsi="Times New Roman" w:eastAsia="宋体" w:cs="Times New Roman"/>
                <w:color w:val="auto"/>
                <w:highlight w:val="none"/>
              </w:rPr>
              <w:t>位于河北行唐经济开发区，属于《</w:t>
            </w:r>
            <w:r>
              <w:rPr>
                <w:rFonts w:hint="default" w:ascii="Times New Roman" w:hAnsi="Times New Roman" w:eastAsia="宋体" w:cs="Times New Roman"/>
                <w:color w:val="auto"/>
                <w:highlight w:val="none"/>
                <w:lang w:val="en-US" w:eastAsia="zh-CN"/>
              </w:rPr>
              <w:t>石家庄市“三线一单”生态环境准入清单</w:t>
            </w:r>
            <w:r>
              <w:rPr>
                <w:rFonts w:hint="default" w:ascii="Times New Roman" w:hAnsi="Times New Roman" w:eastAsia="宋体" w:cs="Times New Roman"/>
                <w:color w:val="auto"/>
                <w:highlight w:val="none"/>
              </w:rPr>
              <w:t>》（</w:t>
            </w:r>
            <w:r>
              <w:rPr>
                <w:rFonts w:hint="default" w:ascii="Times New Roman" w:hAnsi="Times New Roman" w:eastAsia="宋体" w:cs="Times New Roman"/>
                <w:color w:val="auto"/>
                <w:highlight w:val="none"/>
                <w:lang w:val="en-US" w:eastAsia="zh-CN"/>
              </w:rPr>
              <w:t>2023版</w:t>
            </w:r>
            <w:r>
              <w:rPr>
                <w:rFonts w:hint="default" w:ascii="Times New Roman" w:hAnsi="Times New Roman" w:eastAsia="宋体" w:cs="Times New Roman"/>
                <w:color w:val="auto"/>
                <w:highlight w:val="none"/>
              </w:rPr>
              <w:t>）中的重点管控单元。</w:t>
            </w:r>
            <w:r>
              <w:rPr>
                <w:rFonts w:hint="default" w:ascii="Times New Roman" w:hAnsi="Times New Roman" w:eastAsia="宋体" w:cs="Times New Roman"/>
                <w:color w:val="auto"/>
                <w:sz w:val="24"/>
                <w:szCs w:val="24"/>
              </w:rPr>
              <w:t>本项目与《石家庄市人民政府关于加快实施“三线一单”生态环境分区管控的意见》（石政函〔2021〕40号）、《关于做好2023年生态环境分区管控动态更新成果实施应用工作的通知》（2024年4月28日）及《石家庄市生态环境准入清单（2023年版）》符合性见下表。</w:t>
            </w:r>
          </w:p>
          <w:p w14:paraId="62FDDDEC">
            <w:pPr>
              <w:pStyle w:val="127"/>
              <w:keepLines w:val="0"/>
              <w:pageBreakBefore w:val="0"/>
              <w:widowControl w:val="0"/>
              <w:numPr>
                <w:ilvl w:val="0"/>
                <w:numId w:val="0"/>
              </w:numPr>
              <w:kinsoku/>
              <w:wordWrap/>
              <w:overflowPunct/>
              <w:topLinePunct w:val="0"/>
              <w:bidi w:val="0"/>
              <w:spacing w:line="240" w:lineRule="auto"/>
              <w:ind w:left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color w:val="auto"/>
                <w:kern w:val="2"/>
                <w:sz w:val="24"/>
                <w:szCs w:val="24"/>
                <w:highlight w:val="none"/>
                <w:lang w:val="en-US" w:eastAsia="zh-CN" w:bidi="ar"/>
              </w:rPr>
              <w:t>表1-4 本项目与石家庄市“三线一单”符合</w:t>
            </w:r>
            <w:r>
              <w:rPr>
                <w:rFonts w:hint="default" w:ascii="Times New Roman" w:hAnsi="Times New Roman" w:eastAsia="宋体" w:cs="Times New Roman"/>
                <w:color w:val="auto"/>
                <w:sz w:val="24"/>
                <w:szCs w:val="24"/>
                <w:highlight w:val="none"/>
              </w:rPr>
              <w:t>性一览表</w:t>
            </w:r>
          </w:p>
          <w:tbl>
            <w:tblPr>
              <w:tblStyle w:val="34"/>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458"/>
              <w:gridCol w:w="347"/>
              <w:gridCol w:w="109"/>
              <w:gridCol w:w="239"/>
              <w:gridCol w:w="286"/>
              <w:gridCol w:w="3638"/>
              <w:gridCol w:w="1910"/>
              <w:gridCol w:w="611"/>
            </w:tblGrid>
            <w:tr w14:paraId="70F9374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946" w:type="pct"/>
                  <w:gridSpan w:val="5"/>
                  <w:noWrap w:val="0"/>
                  <w:vAlign w:val="center"/>
                </w:tcPr>
                <w:p w14:paraId="0F51AEB0">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r>
                    <w:rPr>
                      <w:rFonts w:ascii="Times New Roman" w:hAnsi="Times New Roman" w:eastAsia="宋体" w:cs="Times New Roman"/>
                      <w:color w:val="auto"/>
                      <w:szCs w:val="21"/>
                      <w:highlight w:val="none"/>
                      <w:lang w:val="zh-CN" w:bidi="zh-CN"/>
                    </w:rPr>
                    <w:t>项目</w:t>
                  </w:r>
                </w:p>
              </w:tc>
              <w:tc>
                <w:tcPr>
                  <w:tcW w:w="2394" w:type="pct"/>
                  <w:noWrap w:val="0"/>
                  <w:vAlign w:val="center"/>
                </w:tcPr>
                <w:p w14:paraId="4E01A7A2">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r>
                    <w:rPr>
                      <w:rFonts w:ascii="Times New Roman" w:hAnsi="Times New Roman" w:eastAsia="宋体" w:cs="Times New Roman"/>
                      <w:color w:val="auto"/>
                      <w:szCs w:val="21"/>
                      <w:highlight w:val="none"/>
                      <w:lang w:val="zh-CN" w:bidi="zh-CN"/>
                    </w:rPr>
                    <w:t>主要内容</w:t>
                  </w:r>
                </w:p>
              </w:tc>
              <w:tc>
                <w:tcPr>
                  <w:tcW w:w="1256" w:type="pct"/>
                  <w:noWrap w:val="0"/>
                  <w:vAlign w:val="center"/>
                </w:tcPr>
                <w:p w14:paraId="41961EBC">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r>
                    <w:rPr>
                      <w:rFonts w:hint="eastAsia" w:cs="Times New Roman"/>
                      <w:color w:val="auto"/>
                      <w:szCs w:val="21"/>
                      <w:highlight w:val="none"/>
                      <w:lang w:val="zh-CN" w:bidi="zh-CN"/>
                    </w:rPr>
                    <w:t>本项目</w:t>
                  </w:r>
                  <w:r>
                    <w:rPr>
                      <w:rFonts w:ascii="Times New Roman" w:hAnsi="Times New Roman" w:eastAsia="宋体" w:cs="Times New Roman"/>
                      <w:color w:val="auto"/>
                      <w:szCs w:val="21"/>
                      <w:highlight w:val="none"/>
                      <w:lang w:val="zh-CN" w:bidi="zh-CN"/>
                    </w:rPr>
                    <w:t>相关情况</w:t>
                  </w:r>
                </w:p>
              </w:tc>
              <w:tc>
                <w:tcPr>
                  <w:tcW w:w="402" w:type="pct"/>
                  <w:noWrap w:val="0"/>
                  <w:vAlign w:val="center"/>
                </w:tcPr>
                <w:p w14:paraId="3EACA2A4">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r>
                    <w:rPr>
                      <w:rFonts w:ascii="Times New Roman" w:hAnsi="Times New Roman" w:eastAsia="宋体" w:cs="Times New Roman"/>
                      <w:color w:val="auto"/>
                      <w:szCs w:val="21"/>
                      <w:highlight w:val="none"/>
                      <w:lang w:val="zh-CN" w:bidi="zh-CN"/>
                    </w:rPr>
                    <w:t>符合性</w:t>
                  </w:r>
                </w:p>
              </w:tc>
            </w:tr>
            <w:tr w14:paraId="286A60F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87" w:hRule="atLeast"/>
                <w:jc w:val="center"/>
              </w:trPr>
              <w:tc>
                <w:tcPr>
                  <w:tcW w:w="301" w:type="pct"/>
                  <w:vMerge w:val="restart"/>
                  <w:noWrap w:val="0"/>
                  <w:vAlign w:val="center"/>
                </w:tcPr>
                <w:p w14:paraId="3C37B9B5">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全市生态环境准入综合管控要求</w:t>
                  </w:r>
                </w:p>
                <w:p w14:paraId="0F48C80C">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p>
                <w:p w14:paraId="6A8F0A00">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p>
              </w:tc>
              <w:tc>
                <w:tcPr>
                  <w:tcW w:w="645" w:type="pct"/>
                  <w:gridSpan w:val="4"/>
                  <w:noWrap w:val="0"/>
                  <w:vAlign w:val="center"/>
                </w:tcPr>
                <w:p w14:paraId="1334FD79">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r>
                    <w:rPr>
                      <w:rFonts w:hint="eastAsia" w:ascii="Times New Roman" w:hAnsi="Times New Roman" w:eastAsia="宋体" w:cs="Times New Roman"/>
                      <w:color w:val="auto"/>
                      <w:szCs w:val="21"/>
                      <w:highlight w:val="none"/>
                      <w:lang w:val="zh-CN" w:bidi="zh-CN"/>
                    </w:rPr>
                    <w:t>全市域</w:t>
                  </w:r>
                </w:p>
              </w:tc>
              <w:tc>
                <w:tcPr>
                  <w:tcW w:w="2394" w:type="pct"/>
                  <w:noWrap w:val="0"/>
                  <w:vAlign w:val="center"/>
                </w:tcPr>
                <w:p w14:paraId="076C3ED5">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rPr>
                  </w:pPr>
                  <w:r>
                    <w:rPr>
                      <w:rFonts w:hint="eastAsia" w:cs="Times New Roman"/>
                      <w:color w:val="auto"/>
                      <w:szCs w:val="21"/>
                      <w:highlight w:val="none"/>
                      <w:lang w:val="en-US" w:eastAsia="zh-CN"/>
                    </w:rPr>
                    <w:t>1.</w:t>
                  </w:r>
                  <w:r>
                    <w:rPr>
                      <w:rFonts w:hint="eastAsia" w:ascii="Times New Roman" w:hAnsi="Times New Roman" w:eastAsia="宋体" w:cs="Times New Roman"/>
                      <w:color w:val="auto"/>
                      <w:szCs w:val="21"/>
                      <w:highlight w:val="none"/>
                      <w:lang w:val="en-US" w:eastAsia="zh-CN"/>
                    </w:rPr>
                    <w:t>优化产业结构。落实国家、省、市产业政策，严格钢铁、焦化、水泥、建材等产能管控。</w:t>
                  </w:r>
                </w:p>
                <w:p w14:paraId="1AFA5AC1">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bidi="zh-CN"/>
                    </w:rPr>
                  </w:pPr>
                  <w:r>
                    <w:rPr>
                      <w:rFonts w:hint="eastAsia" w:cs="Times New Roman"/>
                      <w:color w:val="auto"/>
                      <w:szCs w:val="21"/>
                      <w:highlight w:val="none"/>
                      <w:lang w:val="en-US" w:eastAsia="zh-CN"/>
                    </w:rPr>
                    <w:t>2.</w:t>
                  </w:r>
                  <w:r>
                    <w:rPr>
                      <w:rFonts w:hint="eastAsia" w:ascii="Times New Roman" w:hAnsi="Times New Roman" w:eastAsia="宋体" w:cs="Times New Roman"/>
                      <w:color w:val="auto"/>
                      <w:szCs w:val="21"/>
                      <w:highlight w:val="none"/>
                      <w:lang w:val="en-US" w:eastAsia="zh-CN"/>
                    </w:rPr>
                    <w:t>强化产业入园。优化园区布局，提升园区规划、环评实效性，提升园区资源利用效率和绿色低碳水平，加强新建项目入园，严格现有分散企业污染管控。</w:t>
                  </w:r>
                </w:p>
              </w:tc>
              <w:tc>
                <w:tcPr>
                  <w:tcW w:w="1256" w:type="pct"/>
                  <w:noWrap w:val="0"/>
                  <w:vAlign w:val="center"/>
                </w:tcPr>
                <w:p w14:paraId="308AD1C9">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Cs w:val="21"/>
                      <w:highlight w:val="none"/>
                      <w:lang w:val="en-US" w:bidi="zh-CN"/>
                    </w:rPr>
                  </w:pPr>
                  <w:r>
                    <w:rPr>
                      <w:rFonts w:hint="eastAsia" w:ascii="Times New Roman" w:hAnsi="Times New Roman" w:eastAsia="宋体" w:cs="Times New Roman"/>
                      <w:color w:val="auto"/>
                      <w:szCs w:val="21"/>
                      <w:highlight w:val="none"/>
                      <w:lang w:val="en-US" w:eastAsia="zh-CN"/>
                    </w:rPr>
                    <w:t>项目</w:t>
                  </w:r>
                  <w:r>
                    <w:rPr>
                      <w:rFonts w:hint="eastAsia" w:cs="Times New Roman"/>
                      <w:color w:val="auto"/>
                      <w:szCs w:val="21"/>
                      <w:highlight w:val="none"/>
                      <w:lang w:val="en-US" w:eastAsia="zh-CN"/>
                    </w:rPr>
                    <w:t>为年产量2万套塑料坐具、20000立方米泡沫板及包装项目，</w:t>
                  </w:r>
                  <w:r>
                    <w:rPr>
                      <w:rFonts w:hint="eastAsia" w:ascii="Times New Roman" w:hAnsi="Times New Roman" w:eastAsia="宋体" w:cs="Times New Roman"/>
                      <w:color w:val="auto"/>
                      <w:szCs w:val="21"/>
                      <w:highlight w:val="none"/>
                      <w:lang w:val="en-US" w:eastAsia="zh-CN"/>
                    </w:rPr>
                    <w:t>位于河北行唐经济开发区，符合国家、地方产业政策。</w:t>
                  </w:r>
                  <w:r>
                    <w:rPr>
                      <w:rFonts w:hint="eastAsia" w:cs="Times New Roman"/>
                      <w:color w:val="auto"/>
                      <w:szCs w:val="21"/>
                      <w:highlight w:val="none"/>
                      <w:lang w:val="en-US" w:eastAsia="zh-CN"/>
                    </w:rPr>
                    <w:t>使用国六汽车或新能源汽车，严格办理各种手续。</w:t>
                  </w:r>
                </w:p>
              </w:tc>
              <w:tc>
                <w:tcPr>
                  <w:tcW w:w="402" w:type="pct"/>
                  <w:vMerge w:val="restart"/>
                  <w:noWrap w:val="0"/>
                  <w:vAlign w:val="center"/>
                </w:tcPr>
                <w:p w14:paraId="14709B1B">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r>
                    <w:rPr>
                      <w:rFonts w:ascii="Times New Roman" w:hAnsi="Times New Roman" w:eastAsia="宋体" w:cs="Times New Roman"/>
                      <w:color w:val="auto"/>
                      <w:szCs w:val="21"/>
                      <w:highlight w:val="none"/>
                      <w:lang w:val="zh-CN" w:bidi="zh-CN"/>
                    </w:rPr>
                    <w:t>符合</w:t>
                  </w:r>
                </w:p>
              </w:tc>
            </w:tr>
            <w:tr w14:paraId="082AA4C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3" w:hRule="atLeast"/>
                <w:jc w:val="center"/>
              </w:trPr>
              <w:tc>
                <w:tcPr>
                  <w:tcW w:w="301" w:type="pct"/>
                  <w:vMerge w:val="continue"/>
                  <w:noWrap w:val="0"/>
                  <w:vAlign w:val="center"/>
                </w:tcPr>
                <w:p w14:paraId="23DACAFA">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p>
              </w:tc>
              <w:tc>
                <w:tcPr>
                  <w:tcW w:w="645" w:type="pct"/>
                  <w:gridSpan w:val="4"/>
                  <w:noWrap w:val="0"/>
                  <w:vAlign w:val="center"/>
                </w:tcPr>
                <w:p w14:paraId="07F1EF92">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color w:val="auto"/>
                      <w:highlight w:val="none"/>
                    </w:rPr>
                  </w:pPr>
                  <w:r>
                    <w:rPr>
                      <w:rFonts w:hint="eastAsia" w:ascii="宋体" w:hAnsi="宋体" w:eastAsia="宋体" w:cs="宋体"/>
                      <w:color w:val="auto"/>
                      <w:kern w:val="0"/>
                      <w:sz w:val="19"/>
                      <w:szCs w:val="19"/>
                      <w:highlight w:val="none"/>
                      <w:lang w:val="en-US" w:eastAsia="zh-CN" w:bidi="ar"/>
                    </w:rPr>
                    <w:t>西部山区</w:t>
                  </w:r>
                </w:p>
                <w:p w14:paraId="5B3D9463">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p>
              </w:tc>
              <w:tc>
                <w:tcPr>
                  <w:tcW w:w="2394" w:type="pct"/>
                  <w:noWrap w:val="0"/>
                  <w:vAlign w:val="center"/>
                </w:tcPr>
                <w:p w14:paraId="5AE9BD9F">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w:t>
                  </w:r>
                  <w:r>
                    <w:rPr>
                      <w:rFonts w:hint="eastAsia" w:ascii="Times New Roman" w:hAnsi="Times New Roman" w:eastAsia="宋体" w:cs="Times New Roman"/>
                      <w:color w:val="auto"/>
                      <w:szCs w:val="21"/>
                      <w:highlight w:val="none"/>
                      <w:lang w:val="en-US" w:eastAsia="zh-CN"/>
                    </w:rPr>
                    <w:t>严格太行山生态涵养区用途管控。加强森林抚育、生态修复等，强化区域水源涵养功能，严格控制城镇开发建设行为。</w:t>
                  </w:r>
                </w:p>
                <w:p w14:paraId="32051908">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2.</w:t>
                  </w:r>
                  <w:r>
                    <w:rPr>
                      <w:rFonts w:hint="eastAsia" w:ascii="Times New Roman" w:hAnsi="Times New Roman" w:eastAsia="宋体" w:cs="Times New Roman"/>
                      <w:color w:val="auto"/>
                      <w:szCs w:val="21"/>
                      <w:highlight w:val="none"/>
                      <w:lang w:val="en-US" w:eastAsia="zh-CN"/>
                    </w:rPr>
                    <w:t>加强西部山区水土保持区的生态修复与保护。</w:t>
                  </w:r>
                </w:p>
              </w:tc>
              <w:tc>
                <w:tcPr>
                  <w:tcW w:w="1256" w:type="pct"/>
                  <w:noWrap w:val="0"/>
                  <w:vAlign w:val="center"/>
                </w:tcPr>
                <w:p w14:paraId="32B4B9C4">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本</w:t>
                  </w:r>
                  <w:r>
                    <w:rPr>
                      <w:rFonts w:hint="eastAsia" w:ascii="Times New Roman" w:hAnsi="Times New Roman" w:eastAsia="宋体" w:cs="Times New Roman"/>
                      <w:color w:val="auto"/>
                      <w:szCs w:val="21"/>
                      <w:highlight w:val="none"/>
                      <w:lang w:val="en-US" w:eastAsia="zh-CN"/>
                    </w:rPr>
                    <w:t>项目位于河北行唐经济开发区，地势缓和，属于局部平原。</w:t>
                  </w:r>
                </w:p>
              </w:tc>
              <w:tc>
                <w:tcPr>
                  <w:tcW w:w="402" w:type="pct"/>
                  <w:vMerge w:val="continue"/>
                  <w:noWrap w:val="0"/>
                  <w:vAlign w:val="center"/>
                </w:tcPr>
                <w:p w14:paraId="19BCD4D8">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p>
              </w:tc>
            </w:tr>
            <w:tr w14:paraId="4B5AA14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1" w:type="pct"/>
                  <w:vMerge w:val="continue"/>
                  <w:noWrap w:val="0"/>
                  <w:vAlign w:val="center"/>
                </w:tcPr>
                <w:p w14:paraId="3913E237">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p>
              </w:tc>
              <w:tc>
                <w:tcPr>
                  <w:tcW w:w="645" w:type="pct"/>
                  <w:gridSpan w:val="4"/>
                  <w:noWrap w:val="0"/>
                  <w:vAlign w:val="center"/>
                </w:tcPr>
                <w:p w14:paraId="3B581E17">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石家庄市划定的高污染燃料</w:t>
                  </w:r>
                </w:p>
                <w:p w14:paraId="45A76ABE">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禁燃区</w:t>
                  </w:r>
                </w:p>
                <w:p w14:paraId="744FC54C">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zh-CN" w:eastAsia="zh-CN"/>
                    </w:rPr>
                  </w:pPr>
                </w:p>
              </w:tc>
              <w:tc>
                <w:tcPr>
                  <w:tcW w:w="2394" w:type="pct"/>
                  <w:noWrap w:val="0"/>
                  <w:vAlign w:val="center"/>
                </w:tcPr>
                <w:p w14:paraId="1AC1E0F5">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w:t>
                  </w:r>
                  <w:r>
                    <w:rPr>
                      <w:rFonts w:hint="eastAsia" w:ascii="Times New Roman" w:hAnsi="Times New Roman" w:eastAsia="宋体" w:cs="Times New Roman"/>
                      <w:color w:val="auto"/>
                      <w:szCs w:val="21"/>
                      <w:highlight w:val="none"/>
                      <w:lang w:val="en-US" w:eastAsia="zh-CN"/>
                    </w:rPr>
                    <w:t>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w:t>
                  </w:r>
                </w:p>
                <w:p w14:paraId="3420D098">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2.</w:t>
                  </w:r>
                  <w:r>
                    <w:rPr>
                      <w:rFonts w:hint="eastAsia" w:ascii="Times New Roman" w:hAnsi="Times New Roman" w:eastAsia="宋体" w:cs="Times New Roman"/>
                      <w:color w:val="auto"/>
                      <w:szCs w:val="21"/>
                      <w:highlight w:val="none"/>
                      <w:lang w:val="en-US" w:eastAsia="zh-CN"/>
                    </w:rPr>
                    <w:t>禁燃区内禁止原煤散烧。</w:t>
                  </w:r>
                </w:p>
                <w:p w14:paraId="737ED6AF">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3.</w:t>
                  </w:r>
                  <w:r>
                    <w:rPr>
                      <w:rFonts w:hint="eastAsia" w:ascii="Times New Roman" w:hAnsi="Times New Roman" w:eastAsia="宋体" w:cs="Times New Roman"/>
                      <w:color w:val="auto"/>
                      <w:szCs w:val="21"/>
                      <w:highlight w:val="none"/>
                      <w:lang w:val="en-US" w:eastAsia="zh-CN"/>
                    </w:rPr>
                    <w:t>禁燃区内禁止销售、使用高</w:t>
                  </w:r>
                  <w:r>
                    <w:rPr>
                      <w:rFonts w:hint="eastAsia" w:cs="Times New Roman"/>
                      <w:color w:val="auto"/>
                      <w:szCs w:val="21"/>
                      <w:highlight w:val="none"/>
                      <w:lang w:val="en-US" w:eastAsia="zh-CN"/>
                    </w:rPr>
                    <w:t>污染</w:t>
                  </w:r>
                  <w:r>
                    <w:rPr>
                      <w:rFonts w:hint="eastAsia" w:ascii="Times New Roman" w:hAnsi="Times New Roman" w:eastAsia="宋体" w:cs="Times New Roman"/>
                      <w:color w:val="auto"/>
                      <w:szCs w:val="21"/>
                      <w:highlight w:val="none"/>
                      <w:lang w:val="en-US" w:eastAsia="zh-CN"/>
                    </w:rPr>
                    <w:t>燃料。</w:t>
                  </w:r>
                </w:p>
              </w:tc>
              <w:tc>
                <w:tcPr>
                  <w:tcW w:w="1256" w:type="pct"/>
                  <w:noWrap w:val="0"/>
                  <w:vAlign w:val="center"/>
                </w:tcPr>
                <w:p w14:paraId="7897EB3A">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本项目位于非禁燃区。项目为年产量2万套塑料坐具、20000立方米泡沫板及包装项目，不使用燃料</w:t>
                  </w:r>
                  <w:r>
                    <w:rPr>
                      <w:rFonts w:hint="eastAsia" w:ascii="Times New Roman" w:hAnsi="Times New Roman" w:eastAsia="宋体" w:cs="Times New Roman"/>
                      <w:color w:val="auto"/>
                      <w:szCs w:val="21"/>
                      <w:highlight w:val="none"/>
                      <w:lang w:val="en-US" w:eastAsia="zh-CN"/>
                    </w:rPr>
                    <w:t>。</w:t>
                  </w:r>
                </w:p>
                <w:p w14:paraId="77BACAFE">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p>
              </w:tc>
              <w:tc>
                <w:tcPr>
                  <w:tcW w:w="402" w:type="pct"/>
                  <w:vMerge w:val="continue"/>
                  <w:noWrap w:val="0"/>
                  <w:vAlign w:val="center"/>
                </w:tcPr>
                <w:p w14:paraId="41D169C9">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p>
              </w:tc>
            </w:tr>
            <w:tr w14:paraId="686F20B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301" w:type="pct"/>
                  <w:vMerge w:val="continue"/>
                  <w:noWrap w:val="0"/>
                  <w:vAlign w:val="center"/>
                </w:tcPr>
                <w:p w14:paraId="1B2E5D59">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p>
              </w:tc>
              <w:tc>
                <w:tcPr>
                  <w:tcW w:w="645" w:type="pct"/>
                  <w:gridSpan w:val="4"/>
                  <w:noWrap w:val="0"/>
                  <w:vAlign w:val="center"/>
                </w:tcPr>
                <w:p w14:paraId="41ECDC92">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地下水重点管控区</w:t>
                  </w:r>
                </w:p>
                <w:p w14:paraId="7C2026E8">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zh-CN" w:eastAsia="zh-CN" w:bidi="ar-SA"/>
                    </w:rPr>
                  </w:pPr>
                </w:p>
              </w:tc>
              <w:tc>
                <w:tcPr>
                  <w:tcW w:w="2394" w:type="pct"/>
                  <w:noWrap w:val="0"/>
                  <w:vAlign w:val="center"/>
                </w:tcPr>
                <w:p w14:paraId="1290344C">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cs="Times New Roman"/>
                      <w:color w:val="auto"/>
                      <w:szCs w:val="21"/>
                      <w:highlight w:val="none"/>
                      <w:lang w:val="en-US" w:eastAsia="zh-CN"/>
                    </w:rPr>
                  </w:pPr>
                  <w:r>
                    <w:rPr>
                      <w:rFonts w:hint="eastAsia" w:cs="Times New Roman"/>
                      <w:color w:val="auto"/>
                      <w:szCs w:val="21"/>
                      <w:highlight w:val="none"/>
                      <w:lang w:val="en-US" w:eastAsia="zh-CN"/>
                    </w:rPr>
                    <w:t>落实最严格水资源管理制度，强化用水监管，优化用水结构，推动城镇农村生活、工业、农业节水，发掘多源供水，缓解地下水超采压力，加强地下水开采重点管控区和生态用水补给区的管控。</w:t>
                  </w:r>
                </w:p>
              </w:tc>
              <w:tc>
                <w:tcPr>
                  <w:tcW w:w="1256" w:type="pct"/>
                  <w:noWrap w:val="0"/>
                  <w:vAlign w:val="center"/>
                </w:tcPr>
                <w:p w14:paraId="4A5EC7E5">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cs="Times New Roman"/>
                      <w:color w:val="auto"/>
                      <w:szCs w:val="21"/>
                      <w:highlight w:val="none"/>
                      <w:lang w:val="en-US" w:eastAsia="zh-CN"/>
                    </w:rPr>
                  </w:pPr>
                  <w:r>
                    <w:rPr>
                      <w:rFonts w:hint="eastAsia" w:cs="Times New Roman"/>
                      <w:color w:val="auto"/>
                      <w:szCs w:val="21"/>
                      <w:highlight w:val="none"/>
                      <w:lang w:val="en-US" w:eastAsia="zh-CN"/>
                    </w:rPr>
                    <w:t>本项目用水主要为冷却塔补水、废气治理喷淋补水、生活用水，水量很小，由园区供水管网提供，不单独开采地下水。</w:t>
                  </w:r>
                </w:p>
              </w:tc>
              <w:tc>
                <w:tcPr>
                  <w:tcW w:w="402" w:type="pct"/>
                  <w:noWrap w:val="0"/>
                  <w:vAlign w:val="center"/>
                </w:tcPr>
                <w:p w14:paraId="3ED29DB8">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r>
                    <w:rPr>
                      <w:rFonts w:ascii="Times New Roman" w:hAnsi="Times New Roman" w:eastAsia="宋体" w:cs="Times New Roman"/>
                      <w:color w:val="auto"/>
                      <w:szCs w:val="21"/>
                      <w:highlight w:val="none"/>
                      <w:lang w:val="zh-CN" w:bidi="zh-CN"/>
                    </w:rPr>
                    <w:t>符合</w:t>
                  </w:r>
                </w:p>
              </w:tc>
            </w:tr>
            <w:tr w14:paraId="68C9051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1" w:type="pct"/>
                  <w:vMerge w:val="restart"/>
                  <w:noWrap w:val="0"/>
                  <w:vAlign w:val="center"/>
                </w:tcPr>
                <w:p w14:paraId="03D76E01">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水环境总体管控要求</w:t>
                  </w:r>
                </w:p>
                <w:p w14:paraId="4CFAF99A">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p>
                <w:p w14:paraId="2B64A815">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zh-CN" w:eastAsia="zh-CN"/>
                    </w:rPr>
                  </w:pPr>
                </w:p>
              </w:tc>
              <w:tc>
                <w:tcPr>
                  <w:tcW w:w="457" w:type="pct"/>
                  <w:gridSpan w:val="3"/>
                  <w:vMerge w:val="restart"/>
                  <w:noWrap w:val="0"/>
                  <w:vAlign w:val="center"/>
                </w:tcPr>
                <w:p w14:paraId="440598C7">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水环境工业污染重点管控区</w:t>
                  </w:r>
                </w:p>
                <w:p w14:paraId="74CDF0EB">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zh-CN" w:eastAsia="zh-CN"/>
                    </w:rPr>
                  </w:pPr>
                </w:p>
              </w:tc>
              <w:tc>
                <w:tcPr>
                  <w:tcW w:w="188" w:type="pct"/>
                  <w:noWrap w:val="0"/>
                  <w:vAlign w:val="center"/>
                </w:tcPr>
                <w:p w14:paraId="3C64AE4F">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空间布局</w:t>
                  </w:r>
                </w:p>
                <w:p w14:paraId="40D32486">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约束</w:t>
                  </w:r>
                </w:p>
                <w:p w14:paraId="6B3AE778">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zh-CN" w:eastAsia="zh-CN"/>
                    </w:rPr>
                  </w:pPr>
                </w:p>
              </w:tc>
              <w:tc>
                <w:tcPr>
                  <w:tcW w:w="2394" w:type="pct"/>
                  <w:noWrap w:val="0"/>
                  <w:vAlign w:val="center"/>
                </w:tcPr>
                <w:p w14:paraId="33C2A392">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w:t>
                  </w:r>
                  <w:r>
                    <w:rPr>
                      <w:rFonts w:hint="eastAsia" w:ascii="Times New Roman" w:hAnsi="Times New Roman" w:eastAsia="宋体" w:cs="Times New Roman"/>
                      <w:color w:val="auto"/>
                      <w:szCs w:val="21"/>
                      <w:highlight w:val="none"/>
                      <w:lang w:val="en-US" w:eastAsia="zh-CN"/>
                    </w:rPr>
                    <w:t>全面落实《产业结构调整指导目录》中淘汰和限制措施。</w:t>
                  </w:r>
                </w:p>
                <w:p w14:paraId="62E3CB6D">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2.</w:t>
                  </w:r>
                  <w:r>
                    <w:rPr>
                      <w:rFonts w:hint="eastAsia" w:ascii="Times New Roman" w:hAnsi="Times New Roman" w:eastAsia="宋体" w:cs="Times New Roman"/>
                      <w:color w:val="auto"/>
                      <w:szCs w:val="21"/>
                      <w:highlight w:val="none"/>
                      <w:lang w:val="en-US" w:eastAsia="zh-CN"/>
                    </w:rPr>
                    <w:t>积极推进工业园区“一园一档</w:t>
                  </w:r>
                  <w:r>
                    <w:rPr>
                      <w:rFonts w:hint="eastAsia" w:cs="Times New Roman"/>
                      <w:color w:val="auto"/>
                      <w:szCs w:val="21"/>
                      <w:highlight w:val="none"/>
                      <w:lang w:val="en-US" w:eastAsia="zh-CN"/>
                    </w:rPr>
                    <w:t>”“</w:t>
                  </w:r>
                  <w:r>
                    <w:rPr>
                      <w:rFonts w:hint="eastAsia" w:ascii="Times New Roman" w:hAnsi="Times New Roman" w:eastAsia="宋体" w:cs="Times New Roman"/>
                      <w:color w:val="auto"/>
                      <w:szCs w:val="21"/>
                      <w:highlight w:val="none"/>
                      <w:lang w:val="en-US" w:eastAsia="zh-CN"/>
                    </w:rPr>
                    <w:t>一企一册”环保管理制度建设，新建、升级工业集聚区应同步规划、建设污水集中处理设施，并安装自动在线监控装置。推进工业园区污染整治、规范企业排水。</w:t>
                  </w:r>
                </w:p>
              </w:tc>
              <w:tc>
                <w:tcPr>
                  <w:tcW w:w="1256" w:type="pct"/>
                  <w:noWrap w:val="0"/>
                  <w:vAlign w:val="center"/>
                </w:tcPr>
                <w:p w14:paraId="131380E9">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olor w:val="auto"/>
                      <w:sz w:val="21"/>
                      <w:szCs w:val="21"/>
                      <w:highlight w:val="none"/>
                      <w:lang w:val="en-US" w:eastAsia="zh-CN"/>
                    </w:rPr>
                    <w:t>本项目为</w:t>
                  </w:r>
                  <w:r>
                    <w:rPr>
                      <w:rFonts w:hint="eastAsia" w:cs="Times New Roman"/>
                      <w:color w:val="auto"/>
                      <w:sz w:val="21"/>
                      <w:szCs w:val="21"/>
                      <w:highlight w:val="none"/>
                      <w:lang w:val="en-US" w:eastAsia="zh-CN"/>
                    </w:rPr>
                    <w:t>年产量2万套塑料坐具、20000立方米泡沫板及包装项目不</w:t>
                  </w:r>
                  <w:r>
                    <w:rPr>
                      <w:rFonts w:hint="eastAsia" w:ascii="Times New Roman" w:hAnsi="Times New Roman" w:eastAsia="宋体" w:cs="Times New Roman"/>
                      <w:color w:val="auto"/>
                      <w:sz w:val="21"/>
                      <w:szCs w:val="21"/>
                      <w:highlight w:val="none"/>
                      <w:lang w:val="en-US" w:eastAsia="zh-CN"/>
                    </w:rPr>
                    <w:t>属于</w:t>
                  </w:r>
                  <w:r>
                    <w:rPr>
                      <w:rFonts w:hint="eastAsia"/>
                      <w:color w:val="auto"/>
                      <w:sz w:val="21"/>
                      <w:szCs w:val="21"/>
                      <w:highlight w:val="none"/>
                      <w:lang w:eastAsia="zh-CN"/>
                    </w:rPr>
                    <w:t>《产业结构调整指导目录（2024年本）》</w:t>
                  </w:r>
                  <w:r>
                    <w:rPr>
                      <w:rFonts w:hint="eastAsia"/>
                      <w:color w:val="auto"/>
                      <w:sz w:val="21"/>
                      <w:szCs w:val="21"/>
                      <w:highlight w:val="none"/>
                      <w:lang w:val="en-US" w:eastAsia="zh-CN"/>
                    </w:rPr>
                    <w:t>中</w:t>
                  </w:r>
                  <w:r>
                    <w:rPr>
                      <w:rFonts w:hint="default" w:ascii="Times New Roman" w:hAnsi="Times New Roman" w:cs="Times New Roman"/>
                      <w:b w:val="0"/>
                      <w:bCs w:val="0"/>
                      <w:color w:val="auto"/>
                      <w:sz w:val="21"/>
                      <w:szCs w:val="21"/>
                      <w:highlight w:val="none"/>
                      <w:lang w:val="en-US" w:eastAsia="zh-CN"/>
                    </w:rPr>
                    <w:t>鼓励类、限制类及淘汰类，属于允许类</w:t>
                  </w:r>
                  <w:r>
                    <w:rPr>
                      <w:rFonts w:hint="default" w:ascii="Times New Roman" w:hAnsi="Times New Roman" w:cs="Times New Roman"/>
                      <w:b w:val="0"/>
                      <w:bCs w:val="0"/>
                      <w:color w:val="auto"/>
                      <w:sz w:val="21"/>
                      <w:szCs w:val="21"/>
                      <w:highlight w:val="none"/>
                    </w:rPr>
                    <w:t>。不属于《市场准入负面清单（202</w:t>
                  </w:r>
                  <w:r>
                    <w:rPr>
                      <w:rFonts w:hint="eastAsia" w:ascii="Times New Roman" w:hAnsi="Times New Roman" w:cs="Times New Roman"/>
                      <w:b w:val="0"/>
                      <w:bCs w:val="0"/>
                      <w:color w:val="auto"/>
                      <w:sz w:val="21"/>
                      <w:szCs w:val="21"/>
                      <w:highlight w:val="none"/>
                      <w:lang w:val="en-US" w:eastAsia="zh-CN"/>
                    </w:rPr>
                    <w:t>5</w:t>
                  </w:r>
                  <w:r>
                    <w:rPr>
                      <w:rFonts w:hint="default" w:ascii="Times New Roman" w:hAnsi="Times New Roman" w:cs="Times New Roman"/>
                      <w:b w:val="0"/>
                      <w:bCs w:val="0"/>
                      <w:color w:val="auto"/>
                      <w:sz w:val="21"/>
                      <w:szCs w:val="21"/>
                      <w:highlight w:val="none"/>
                    </w:rPr>
                    <w:t>年版）》中负面清单</w:t>
                  </w:r>
                  <w:r>
                    <w:rPr>
                      <w:rFonts w:hint="eastAsia" w:ascii="Times New Roman" w:hAnsi="Times New Roman" w:eastAsia="宋体" w:cs="Times New Roman"/>
                      <w:color w:val="auto"/>
                      <w:szCs w:val="21"/>
                      <w:highlight w:val="none"/>
                      <w:lang w:val="en-US" w:eastAsia="zh-CN"/>
                    </w:rPr>
                    <w:t>。</w:t>
                  </w:r>
                  <w:r>
                    <w:rPr>
                      <w:rFonts w:hint="eastAsia" w:ascii="Times New Roman" w:hAnsi="Times New Roman" w:eastAsia="宋体" w:cs="Times New Roman"/>
                      <w:bCs/>
                      <w:color w:val="auto"/>
                      <w:spacing w:val="-11"/>
                      <w:kern w:val="0"/>
                      <w:sz w:val="21"/>
                      <w:szCs w:val="21"/>
                      <w:highlight w:val="none"/>
                      <w:lang w:val="en-US" w:eastAsia="zh-CN" w:bidi="ar"/>
                    </w:rPr>
                    <w:t>项目无生产废水排放，仅职工生活废水。厂区设防渗旱厕，生活污水排入防渗旱厕，定期清掏，不外排。</w:t>
                  </w:r>
                </w:p>
              </w:tc>
              <w:tc>
                <w:tcPr>
                  <w:tcW w:w="402" w:type="pct"/>
                  <w:noWrap w:val="0"/>
                  <w:vAlign w:val="center"/>
                </w:tcPr>
                <w:p w14:paraId="13066D17">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r>
                    <w:rPr>
                      <w:bCs/>
                      <w:color w:val="auto"/>
                      <w:spacing w:val="-11"/>
                      <w:sz w:val="21"/>
                      <w:szCs w:val="21"/>
                      <w:highlight w:val="none"/>
                      <w:lang w:bidi="ar"/>
                    </w:rPr>
                    <w:t>符合</w:t>
                  </w:r>
                </w:p>
              </w:tc>
            </w:tr>
            <w:tr w14:paraId="1B3C5C8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9" w:hRule="atLeast"/>
                <w:jc w:val="center"/>
              </w:trPr>
              <w:tc>
                <w:tcPr>
                  <w:tcW w:w="301" w:type="pct"/>
                  <w:vMerge w:val="continue"/>
                  <w:noWrap w:val="0"/>
                  <w:vAlign w:val="center"/>
                </w:tcPr>
                <w:p w14:paraId="447EBD15">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zh-CN" w:eastAsia="zh-CN"/>
                    </w:rPr>
                  </w:pPr>
                </w:p>
              </w:tc>
              <w:tc>
                <w:tcPr>
                  <w:tcW w:w="457" w:type="pct"/>
                  <w:gridSpan w:val="3"/>
                  <w:vMerge w:val="continue"/>
                  <w:noWrap w:val="0"/>
                  <w:vAlign w:val="center"/>
                </w:tcPr>
                <w:p w14:paraId="6DFDAFE7">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zh-CN" w:eastAsia="zh-CN"/>
                    </w:rPr>
                  </w:pPr>
                </w:p>
              </w:tc>
              <w:tc>
                <w:tcPr>
                  <w:tcW w:w="188" w:type="pct"/>
                  <w:noWrap w:val="0"/>
                  <w:vAlign w:val="center"/>
                </w:tcPr>
                <w:p w14:paraId="70E0CC2E">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污染物排</w:t>
                  </w:r>
                </w:p>
                <w:p w14:paraId="7BFCA3CD">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放管控</w:t>
                  </w:r>
                </w:p>
                <w:p w14:paraId="2130FF0D">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zh-CN" w:eastAsia="zh-CN"/>
                    </w:rPr>
                  </w:pPr>
                </w:p>
              </w:tc>
              <w:tc>
                <w:tcPr>
                  <w:tcW w:w="2394" w:type="pct"/>
                  <w:noWrap w:val="0"/>
                  <w:vAlign w:val="center"/>
                </w:tcPr>
                <w:p w14:paraId="7BF66A89">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w:t>
                  </w:r>
                  <w:r>
                    <w:rPr>
                      <w:rFonts w:hint="eastAsia" w:ascii="Times New Roman" w:hAnsi="Times New Roman" w:eastAsia="宋体" w:cs="Times New Roman"/>
                      <w:color w:val="auto"/>
                      <w:szCs w:val="21"/>
                      <w:highlight w:val="none"/>
                      <w:lang w:val="en-US" w:eastAsia="zh-CN"/>
                    </w:rPr>
                    <w:t>严格控制高污染、高耗水行业新增产能。产能过剩产业实行新增产能等量替代、涉水主要污染物排放同行业倍量替代。对造纸、焦化、氮肥、石油化工、印染、农副食品加工、原料药制造、制革、农药、电镀等重点行业，新建、改建、扩建项目实行新增主要污染物排放倍量替代。</w:t>
                  </w:r>
                </w:p>
                <w:p w14:paraId="416211CB">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2.</w:t>
                  </w:r>
                  <w:r>
                    <w:rPr>
                      <w:rFonts w:hint="eastAsia" w:ascii="Times New Roman" w:hAnsi="Times New Roman" w:eastAsia="宋体" w:cs="Times New Roman"/>
                      <w:color w:val="auto"/>
                      <w:szCs w:val="21"/>
                      <w:highlight w:val="none"/>
                      <w:lang w:val="en-US" w:eastAsia="zh-CN"/>
                    </w:rPr>
                    <w:t>工业园区全部建成污水集中处理设施，并安装自动在线监控装置；有流域特别排放限值要求的地区，执行流域特别排放限值。</w:t>
                  </w:r>
                </w:p>
              </w:tc>
              <w:tc>
                <w:tcPr>
                  <w:tcW w:w="1256" w:type="pct"/>
                  <w:noWrap w:val="0"/>
                  <w:vAlign w:val="center"/>
                </w:tcPr>
                <w:p w14:paraId="62D29BEB">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本</w:t>
                  </w:r>
                  <w:r>
                    <w:rPr>
                      <w:rFonts w:hint="eastAsia" w:ascii="Times New Roman" w:hAnsi="Times New Roman" w:eastAsia="宋体" w:cs="Times New Roman"/>
                      <w:color w:val="auto"/>
                      <w:szCs w:val="21"/>
                      <w:highlight w:val="none"/>
                      <w:lang w:val="en-US" w:eastAsia="zh-CN"/>
                    </w:rPr>
                    <w:t>项目属于</w:t>
                  </w:r>
                  <w:r>
                    <w:rPr>
                      <w:rFonts w:hint="eastAsia" w:cs="Times New Roman"/>
                      <w:color w:val="auto"/>
                      <w:szCs w:val="21"/>
                      <w:highlight w:val="none"/>
                      <w:lang w:val="en-US" w:eastAsia="zh-CN"/>
                    </w:rPr>
                    <w:t>年产量2万套塑料坐具、20000立方米泡沫板及包装项目</w:t>
                  </w:r>
                  <w:r>
                    <w:rPr>
                      <w:rFonts w:hint="eastAsia" w:ascii="Times New Roman" w:hAnsi="Times New Roman" w:eastAsia="宋体" w:cs="Times New Roman"/>
                      <w:color w:val="auto"/>
                      <w:szCs w:val="21"/>
                      <w:highlight w:val="none"/>
                      <w:lang w:val="en-US" w:eastAsia="zh-CN"/>
                    </w:rPr>
                    <w:t>，</w:t>
                  </w:r>
                  <w:r>
                    <w:rPr>
                      <w:rFonts w:hint="eastAsia" w:cs="Times New Roman"/>
                      <w:color w:val="auto"/>
                      <w:szCs w:val="21"/>
                      <w:highlight w:val="none"/>
                      <w:lang w:val="en-US" w:eastAsia="zh-CN"/>
                    </w:rPr>
                    <w:t>不属于产能过剩项目。</w:t>
                  </w:r>
                  <w:r>
                    <w:rPr>
                      <w:rFonts w:hint="eastAsia" w:ascii="Times New Roman" w:hAnsi="Times New Roman" w:eastAsia="宋体" w:cs="Times New Roman"/>
                      <w:bCs/>
                      <w:color w:val="auto"/>
                      <w:spacing w:val="-11"/>
                      <w:kern w:val="0"/>
                      <w:sz w:val="21"/>
                      <w:szCs w:val="21"/>
                      <w:highlight w:val="none"/>
                      <w:lang w:val="en-US" w:eastAsia="zh-CN" w:bidi="ar"/>
                    </w:rPr>
                    <w:t>项目无生产废水排放，仅职工生活废水。厂区设防渗旱厕，生活污水排入防渗旱厕，定期清掏，不外排</w:t>
                  </w:r>
                  <w:r>
                    <w:rPr>
                      <w:rFonts w:hint="eastAsia" w:cs="Times New Roman"/>
                      <w:color w:val="auto"/>
                      <w:szCs w:val="21"/>
                      <w:highlight w:val="none"/>
                      <w:lang w:val="en-US" w:eastAsia="zh-CN"/>
                    </w:rPr>
                    <w:t>。</w:t>
                  </w:r>
                </w:p>
              </w:tc>
              <w:tc>
                <w:tcPr>
                  <w:tcW w:w="402" w:type="pct"/>
                  <w:noWrap w:val="0"/>
                  <w:vAlign w:val="center"/>
                </w:tcPr>
                <w:p w14:paraId="7ED7BD98">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r>
                    <w:rPr>
                      <w:bCs/>
                      <w:color w:val="auto"/>
                      <w:spacing w:val="-11"/>
                      <w:sz w:val="21"/>
                      <w:szCs w:val="21"/>
                      <w:highlight w:val="none"/>
                      <w:lang w:bidi="ar"/>
                    </w:rPr>
                    <w:t>符合</w:t>
                  </w:r>
                </w:p>
              </w:tc>
            </w:tr>
            <w:tr w14:paraId="5C98A3E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07" w:hRule="atLeast"/>
                <w:jc w:val="center"/>
              </w:trPr>
              <w:tc>
                <w:tcPr>
                  <w:tcW w:w="301" w:type="pct"/>
                  <w:vMerge w:val="restart"/>
                  <w:noWrap w:val="0"/>
                  <w:vAlign w:val="center"/>
                </w:tcPr>
                <w:p w14:paraId="119E0362">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color w:val="auto"/>
                      <w:highlight w:val="none"/>
                    </w:rPr>
                  </w:pPr>
                  <w:r>
                    <w:rPr>
                      <w:rFonts w:hint="eastAsia" w:ascii="Times New Roman" w:hAnsi="Times New Roman" w:eastAsia="宋体" w:cs="Times New Roman"/>
                      <w:color w:val="auto"/>
                      <w:szCs w:val="21"/>
                      <w:highlight w:val="none"/>
                      <w:lang w:val="en-US" w:eastAsia="zh-CN"/>
                    </w:rPr>
                    <w:t>大气环境总体管控要求</w:t>
                  </w:r>
                </w:p>
                <w:p w14:paraId="1D6012FC">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zh-CN" w:eastAsia="zh-CN"/>
                    </w:rPr>
                  </w:pPr>
                </w:p>
              </w:tc>
              <w:tc>
                <w:tcPr>
                  <w:tcW w:w="645" w:type="pct"/>
                  <w:gridSpan w:val="4"/>
                  <w:noWrap w:val="0"/>
                  <w:vAlign w:val="center"/>
                </w:tcPr>
                <w:p w14:paraId="382DF6BA">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color w:val="auto"/>
                      <w:highlight w:val="none"/>
                    </w:rPr>
                  </w:pPr>
                  <w:r>
                    <w:rPr>
                      <w:rFonts w:hint="eastAsia" w:ascii="宋体" w:hAnsi="宋体" w:eastAsia="宋体" w:cs="宋体"/>
                      <w:color w:val="auto"/>
                      <w:kern w:val="0"/>
                      <w:sz w:val="19"/>
                      <w:szCs w:val="19"/>
                      <w:highlight w:val="none"/>
                      <w:lang w:val="en-US" w:eastAsia="zh-CN" w:bidi="ar"/>
                    </w:rPr>
                    <w:t>空间布局</w:t>
                  </w:r>
                </w:p>
                <w:p w14:paraId="1BCD5AB9">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color w:val="auto"/>
                      <w:highlight w:val="none"/>
                    </w:rPr>
                  </w:pPr>
                  <w:r>
                    <w:rPr>
                      <w:rFonts w:hint="eastAsia" w:ascii="宋体" w:hAnsi="宋体" w:eastAsia="宋体" w:cs="宋体"/>
                      <w:color w:val="auto"/>
                      <w:kern w:val="0"/>
                      <w:sz w:val="19"/>
                      <w:szCs w:val="19"/>
                      <w:highlight w:val="none"/>
                      <w:lang w:val="en-US" w:eastAsia="zh-CN" w:bidi="ar"/>
                    </w:rPr>
                    <w:t>约束</w:t>
                  </w:r>
                </w:p>
                <w:p w14:paraId="03A5179B">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zh-CN" w:eastAsia="zh-CN"/>
                    </w:rPr>
                  </w:pPr>
                </w:p>
              </w:tc>
              <w:tc>
                <w:tcPr>
                  <w:tcW w:w="2394" w:type="pct"/>
                  <w:noWrap w:val="0"/>
                  <w:vAlign w:val="center"/>
                </w:tcPr>
                <w:p w14:paraId="0AF19B25">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w:t>
                  </w:r>
                  <w:r>
                    <w:rPr>
                      <w:rFonts w:hint="eastAsia" w:ascii="Times New Roman" w:hAnsi="Times New Roman" w:eastAsia="宋体" w:cs="Times New Roman"/>
                      <w:color w:val="auto"/>
                      <w:szCs w:val="21"/>
                      <w:highlight w:val="none"/>
                      <w:lang w:val="en-US" w:eastAsia="zh-CN"/>
                    </w:rPr>
                    <w:t>加大钢铁、焦化等行业结构调整力度，推进化工、石化企业治理改造，优先发展</w:t>
                  </w:r>
                  <w:r>
                    <w:rPr>
                      <w:rFonts w:hint="eastAsia" w:cs="Times New Roman"/>
                      <w:color w:val="auto"/>
                      <w:szCs w:val="21"/>
                      <w:highlight w:val="none"/>
                      <w:lang w:val="en-US" w:eastAsia="zh-CN"/>
                    </w:rPr>
                    <w:t>战略性新兴产业</w:t>
                  </w:r>
                  <w:r>
                    <w:rPr>
                      <w:rFonts w:hint="eastAsia" w:ascii="Times New Roman" w:hAnsi="Times New Roman" w:eastAsia="宋体" w:cs="Times New Roman"/>
                      <w:color w:val="auto"/>
                      <w:szCs w:val="21"/>
                      <w:highlight w:val="none"/>
                      <w:lang w:val="en-US" w:eastAsia="zh-CN"/>
                    </w:rPr>
                    <w:t>和先进制造业，坚决遏制高耗能高排放低水平项目盲目发展。</w:t>
                  </w:r>
                </w:p>
                <w:p w14:paraId="7271679D">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2.</w:t>
                  </w:r>
                  <w:r>
                    <w:rPr>
                      <w:rFonts w:hint="eastAsia" w:ascii="Times New Roman" w:hAnsi="Times New Roman" w:eastAsia="宋体" w:cs="Times New Roman"/>
                      <w:color w:val="auto"/>
                      <w:szCs w:val="21"/>
                      <w:highlight w:val="none"/>
                      <w:lang w:val="en-US" w:eastAsia="zh-CN"/>
                    </w:rPr>
                    <w:t>引导重点行业向环境容量充足、扩散条件较好区域布局。</w:t>
                  </w:r>
                </w:p>
                <w:p w14:paraId="6C81446A">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3.</w:t>
                  </w:r>
                  <w:r>
                    <w:rPr>
                      <w:rFonts w:hint="eastAsia" w:ascii="Times New Roman" w:hAnsi="Times New Roman" w:eastAsia="宋体" w:cs="Times New Roman"/>
                      <w:color w:val="auto"/>
                      <w:szCs w:val="21"/>
                      <w:highlight w:val="none"/>
                      <w:lang w:val="en-US" w:eastAsia="zh-CN"/>
                    </w:rPr>
                    <w:t>大气环境受体敏感重点管控区、大气环境布局敏感重点管控区、大气环境弱扩散重点管控区严格控制水泥、燃煤燃油火电、钢铁等项目。</w:t>
                  </w:r>
                </w:p>
                <w:p w14:paraId="4F59DDD2">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4.</w:t>
                  </w:r>
                  <w:r>
                    <w:rPr>
                      <w:rFonts w:hint="eastAsia" w:ascii="Times New Roman" w:hAnsi="Times New Roman" w:eastAsia="宋体" w:cs="Times New Roman"/>
                      <w:color w:val="auto"/>
                      <w:szCs w:val="21"/>
                      <w:highlight w:val="none"/>
                      <w:lang w:val="en-US" w:eastAsia="zh-CN"/>
                    </w:rPr>
                    <w:t>大气环境受体敏感重点管控区内严格限制新建、扩建生产和使用不能达到标准要求的高挥发性有机物含量溶剂型涂料、油墨、胶粘剂、清洗剂等项目。</w:t>
                  </w:r>
                </w:p>
                <w:p w14:paraId="2FF27C47">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5.</w:t>
                  </w:r>
                  <w:r>
                    <w:rPr>
                      <w:rFonts w:hint="eastAsia" w:ascii="Times New Roman" w:hAnsi="Times New Roman" w:eastAsia="宋体" w:cs="Times New Roman"/>
                      <w:color w:val="auto"/>
                      <w:szCs w:val="21"/>
                      <w:highlight w:val="none"/>
                      <w:lang w:val="en-US" w:eastAsia="zh-CN"/>
                    </w:rPr>
                    <w:t>大气环境受体敏感重点管控区中重点涉气行业企业，除必须依托城市或直接服务于城市的企业外，均应规划退城搬迁。</w:t>
                  </w:r>
                </w:p>
                <w:p w14:paraId="46B1F664">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6.</w:t>
                  </w:r>
                  <w:r>
                    <w:rPr>
                      <w:rFonts w:hint="eastAsia" w:ascii="Times New Roman" w:hAnsi="Times New Roman" w:eastAsia="宋体" w:cs="Times New Roman"/>
                      <w:color w:val="auto"/>
                      <w:szCs w:val="21"/>
                      <w:highlight w:val="none"/>
                      <w:lang w:val="en-US" w:eastAsia="zh-CN"/>
                    </w:rPr>
                    <w:t>大气环境弱扩散重点管控区内严格控制新建、扩建燃煤燃油火电、钢铁，以及除国家、省、市规划外的石化等高污染排放项目。</w:t>
                  </w:r>
                </w:p>
                <w:p w14:paraId="69AA94A8">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7.</w:t>
                  </w:r>
                  <w:r>
                    <w:rPr>
                      <w:rFonts w:hint="eastAsia" w:ascii="Times New Roman" w:hAnsi="Times New Roman" w:eastAsia="宋体" w:cs="Times New Roman"/>
                      <w:color w:val="auto"/>
                      <w:szCs w:val="21"/>
                      <w:highlight w:val="none"/>
                      <w:lang w:val="en-US" w:eastAsia="zh-CN"/>
                    </w:rPr>
                    <w:t>大气重点管控区加大各县（市、区）高污染产业集群的淘汰、转型力度，逐步加大水泥、钢铁、焦化、碳素产能压减力度。</w:t>
                  </w:r>
                </w:p>
                <w:p w14:paraId="0776A189">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8.</w:t>
                  </w:r>
                  <w:r>
                    <w:rPr>
                      <w:rFonts w:hint="eastAsia" w:ascii="Times New Roman" w:hAnsi="Times New Roman" w:eastAsia="宋体" w:cs="Times New Roman"/>
                      <w:color w:val="auto"/>
                      <w:szCs w:val="21"/>
                      <w:highlight w:val="none"/>
                      <w:lang w:val="en-US" w:eastAsia="zh-CN"/>
                    </w:rPr>
                    <w:t>对热效率低下、敞开未封闭，装备简易落后、自动化程度低，布局分散、规模小、无组织排放突出，以及无治理设施或治理设施工艺落后的工业炉窑，依法责令停业关闭。</w:t>
                  </w:r>
                </w:p>
                <w:p w14:paraId="26A00B1A">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9.</w:t>
                  </w:r>
                  <w:r>
                    <w:rPr>
                      <w:rFonts w:hint="eastAsia" w:ascii="Times New Roman" w:hAnsi="Times New Roman" w:eastAsia="宋体" w:cs="Times New Roman"/>
                      <w:color w:val="auto"/>
                      <w:szCs w:val="21"/>
                      <w:highlight w:val="none"/>
                      <w:lang w:val="en-US" w:eastAsia="zh-CN"/>
                    </w:rPr>
                    <w:t>全市禁止新建35蒸吨/小时及以下燃煤锅炉，35蒸吨/小时以上燃煤锅炉要达到超低排放标准。市区和县城建成区禁止新建35蒸吨/小时及以下生物质锅炉，35蒸吨/小时以上的生物质锅炉要达到超低排放标准。</w:t>
                  </w:r>
                </w:p>
                <w:p w14:paraId="0EE5C23D">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10.</w:t>
                  </w:r>
                  <w:r>
                    <w:rPr>
                      <w:rFonts w:hint="eastAsia" w:ascii="Times New Roman" w:hAnsi="Times New Roman" w:eastAsia="宋体" w:cs="Times New Roman"/>
                      <w:color w:val="auto"/>
                      <w:szCs w:val="21"/>
                      <w:highlight w:val="none"/>
                      <w:lang w:val="en-US" w:eastAsia="zh-CN"/>
                    </w:rPr>
                    <w:t>禁燃区内不得新建燃烧煤炭、重油、渣油等高污染燃料的设施，禁止原煤散烧；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tc>
              <w:tc>
                <w:tcPr>
                  <w:tcW w:w="1256" w:type="pct"/>
                  <w:noWrap w:val="0"/>
                  <w:vAlign w:val="center"/>
                </w:tcPr>
                <w:p w14:paraId="056D3737">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cs="Times New Roman"/>
                      <w:color w:val="auto"/>
                      <w:szCs w:val="21"/>
                      <w:highlight w:val="none"/>
                      <w:lang w:val="en-US" w:eastAsia="zh-CN"/>
                    </w:rPr>
                  </w:pPr>
                  <w:r>
                    <w:rPr>
                      <w:rFonts w:hint="eastAsia" w:cs="Times New Roman"/>
                      <w:color w:val="auto"/>
                      <w:szCs w:val="21"/>
                      <w:highlight w:val="none"/>
                      <w:lang w:val="en-US" w:eastAsia="zh-CN"/>
                    </w:rPr>
                    <w:t>1.不涉及；</w:t>
                  </w:r>
                </w:p>
                <w:p w14:paraId="684EBAE4">
                  <w:pPr>
                    <w:keepNext w:val="0"/>
                    <w:keepLines w:val="0"/>
                    <w:pageBreakBefore w:val="0"/>
                    <w:widowControl w:val="0"/>
                    <w:numPr>
                      <w:ilvl w:val="0"/>
                      <w:numId w:val="0"/>
                    </w:numPr>
                    <w:kinsoku/>
                    <w:wordWrap/>
                    <w:overflowPunct/>
                    <w:topLinePunct w:val="0"/>
                    <w:bidi w:val="0"/>
                    <w:adjustRightInd w:val="0"/>
                    <w:snapToGrid w:val="0"/>
                    <w:spacing w:line="240" w:lineRule="auto"/>
                    <w:jc w:val="both"/>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2.项目不属于</w:t>
                  </w:r>
                  <w:r>
                    <w:rPr>
                      <w:rFonts w:hint="eastAsia" w:ascii="Times New Roman" w:hAnsi="Times New Roman" w:eastAsia="宋体" w:cs="Times New Roman"/>
                      <w:color w:val="auto"/>
                      <w:szCs w:val="21"/>
                      <w:highlight w:val="none"/>
                      <w:lang w:val="en-US" w:eastAsia="zh-CN"/>
                    </w:rPr>
                    <w:t>水泥、燃煤燃油火电、钢铁等项目；</w:t>
                  </w:r>
                </w:p>
                <w:p w14:paraId="42430B92">
                  <w:pPr>
                    <w:keepNext w:val="0"/>
                    <w:keepLines w:val="0"/>
                    <w:pageBreakBefore w:val="0"/>
                    <w:widowControl w:val="0"/>
                    <w:numPr>
                      <w:ilvl w:val="0"/>
                      <w:numId w:val="0"/>
                    </w:numPr>
                    <w:kinsoku/>
                    <w:wordWrap/>
                    <w:overflowPunct/>
                    <w:topLinePunct w:val="0"/>
                    <w:bidi w:val="0"/>
                    <w:adjustRightInd w:val="0"/>
                    <w:snapToGrid w:val="0"/>
                    <w:spacing w:line="240" w:lineRule="auto"/>
                    <w:jc w:val="both"/>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3.</w:t>
                  </w:r>
                  <w:r>
                    <w:rPr>
                      <w:rFonts w:hint="eastAsia" w:ascii="Times New Roman" w:hAnsi="Times New Roman" w:eastAsia="宋体" w:cs="Times New Roman"/>
                      <w:color w:val="auto"/>
                      <w:szCs w:val="21"/>
                      <w:highlight w:val="none"/>
                      <w:lang w:val="en-US" w:eastAsia="zh-CN"/>
                    </w:rPr>
                    <w:t>项目不使用不能达到标准要求的高挥发性有机物含量溶剂型涂料、油墨、胶粘剂、清洗剂等项目；</w:t>
                  </w:r>
                </w:p>
                <w:p w14:paraId="2887BC99">
                  <w:pPr>
                    <w:keepNext w:val="0"/>
                    <w:keepLines w:val="0"/>
                    <w:pageBreakBefore w:val="0"/>
                    <w:widowControl w:val="0"/>
                    <w:numPr>
                      <w:ilvl w:val="0"/>
                      <w:numId w:val="0"/>
                    </w:numPr>
                    <w:kinsoku/>
                    <w:wordWrap/>
                    <w:overflowPunct/>
                    <w:topLinePunct w:val="0"/>
                    <w:bidi w:val="0"/>
                    <w:adjustRightInd w:val="0"/>
                    <w:snapToGrid w:val="0"/>
                    <w:spacing w:line="240" w:lineRule="auto"/>
                    <w:jc w:val="both"/>
                    <w:textAlignment w:val="auto"/>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4.</w:t>
                  </w:r>
                  <w:r>
                    <w:rPr>
                      <w:rFonts w:hint="eastAsia" w:ascii="Times New Roman" w:hAnsi="Times New Roman" w:eastAsia="宋体" w:cs="Times New Roman"/>
                      <w:color w:val="auto"/>
                      <w:szCs w:val="21"/>
                      <w:highlight w:val="none"/>
                      <w:lang w:val="en-US" w:eastAsia="zh-CN"/>
                    </w:rPr>
                    <w:t>不涉及；</w:t>
                  </w:r>
                </w:p>
                <w:p w14:paraId="01C85D01">
                  <w:pPr>
                    <w:keepNext w:val="0"/>
                    <w:keepLines w:val="0"/>
                    <w:pageBreakBefore w:val="0"/>
                    <w:widowControl w:val="0"/>
                    <w:numPr>
                      <w:ilvl w:val="0"/>
                      <w:numId w:val="0"/>
                    </w:numPr>
                    <w:kinsoku/>
                    <w:wordWrap/>
                    <w:overflowPunct/>
                    <w:topLinePunct w:val="0"/>
                    <w:bidi w:val="0"/>
                    <w:adjustRightInd w:val="0"/>
                    <w:snapToGrid w:val="0"/>
                    <w:spacing w:line="240" w:lineRule="auto"/>
                    <w:jc w:val="both"/>
                    <w:textAlignment w:val="auto"/>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5.</w:t>
                  </w:r>
                  <w:r>
                    <w:rPr>
                      <w:rFonts w:hint="eastAsia" w:ascii="Times New Roman" w:hAnsi="Times New Roman" w:eastAsia="宋体" w:cs="Times New Roman"/>
                      <w:color w:val="auto"/>
                      <w:szCs w:val="21"/>
                      <w:highlight w:val="none"/>
                      <w:lang w:val="en-US" w:eastAsia="zh-CN"/>
                    </w:rPr>
                    <w:t>项目不属于燃煤燃油火电、钢铁，以及除国家、省、市规划外的石化等高污染排放项目；</w:t>
                  </w:r>
                </w:p>
                <w:p w14:paraId="367FE846">
                  <w:pPr>
                    <w:keepNext w:val="0"/>
                    <w:keepLines w:val="0"/>
                    <w:pageBreakBefore w:val="0"/>
                    <w:widowControl w:val="0"/>
                    <w:numPr>
                      <w:ilvl w:val="0"/>
                      <w:numId w:val="0"/>
                    </w:numPr>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6</w:t>
                  </w:r>
                  <w:r>
                    <w:rPr>
                      <w:rFonts w:hint="eastAsia" w:ascii="Times New Roman" w:hAnsi="Times New Roman" w:eastAsia="宋体" w:cs="Times New Roman"/>
                      <w:color w:val="auto"/>
                      <w:szCs w:val="21"/>
                      <w:highlight w:val="none"/>
                      <w:lang w:val="en-US" w:eastAsia="zh-CN"/>
                    </w:rPr>
                    <w:t>~9</w:t>
                  </w:r>
                  <w:r>
                    <w:rPr>
                      <w:rFonts w:hint="eastAsia" w:cs="Times New Roman"/>
                      <w:color w:val="auto"/>
                      <w:szCs w:val="21"/>
                      <w:highlight w:val="none"/>
                      <w:lang w:val="en-US" w:eastAsia="zh-CN"/>
                    </w:rPr>
                    <w:t>.</w:t>
                  </w:r>
                  <w:r>
                    <w:rPr>
                      <w:rFonts w:hint="eastAsia" w:ascii="Times New Roman" w:hAnsi="Times New Roman" w:eastAsia="宋体" w:cs="Times New Roman"/>
                      <w:color w:val="auto"/>
                      <w:szCs w:val="21"/>
                      <w:highlight w:val="none"/>
                      <w:lang w:val="en-US" w:eastAsia="zh-CN"/>
                    </w:rPr>
                    <w:t>不涉及；</w:t>
                  </w:r>
                </w:p>
                <w:p w14:paraId="10D53F0D">
                  <w:pPr>
                    <w:keepNext w:val="0"/>
                    <w:keepLines w:val="0"/>
                    <w:pageBreakBefore w:val="0"/>
                    <w:widowControl w:val="0"/>
                    <w:numPr>
                      <w:ilvl w:val="0"/>
                      <w:numId w:val="0"/>
                    </w:numPr>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10.</w:t>
                  </w:r>
                  <w:r>
                    <w:rPr>
                      <w:rFonts w:hint="eastAsia" w:ascii="Times New Roman" w:hAnsi="Times New Roman" w:eastAsia="宋体" w:cs="Times New Roman"/>
                      <w:color w:val="auto"/>
                      <w:szCs w:val="21"/>
                      <w:highlight w:val="none"/>
                      <w:lang w:val="en-US" w:eastAsia="zh-CN"/>
                    </w:rPr>
                    <w:t>项目使用石家庄玉晶玻璃有限公司产生的蒸汽作热源。</w:t>
                  </w:r>
                </w:p>
              </w:tc>
              <w:tc>
                <w:tcPr>
                  <w:tcW w:w="402" w:type="pct"/>
                  <w:noWrap w:val="0"/>
                  <w:vAlign w:val="center"/>
                </w:tcPr>
                <w:p w14:paraId="23C11C14">
                  <w:pPr>
                    <w:pStyle w:val="43"/>
                    <w:keepNext w:val="0"/>
                    <w:keepLines w:val="0"/>
                    <w:pageBreakBefore w:val="0"/>
                    <w:widowControl w:val="0"/>
                    <w:kinsoku/>
                    <w:wordWrap/>
                    <w:overflowPunct/>
                    <w:topLinePunct w:val="0"/>
                    <w:bidi w:val="0"/>
                    <w:spacing w:line="240" w:lineRule="auto"/>
                    <w:ind w:left="0" w:leftChars="0" w:firstLine="0" w:firstLineChars="0"/>
                    <w:jc w:val="center"/>
                    <w:textAlignment w:val="auto"/>
                    <w:rPr>
                      <w:color w:val="auto"/>
                      <w:highlight w:val="none"/>
                      <w:lang w:val="zh-CN"/>
                    </w:rPr>
                  </w:pPr>
                  <w:r>
                    <w:rPr>
                      <w:bCs/>
                      <w:color w:val="auto"/>
                      <w:spacing w:val="-11"/>
                      <w:sz w:val="21"/>
                      <w:szCs w:val="21"/>
                      <w:highlight w:val="none"/>
                      <w:lang w:bidi="ar"/>
                    </w:rPr>
                    <w:t>符合</w:t>
                  </w:r>
                </w:p>
              </w:tc>
            </w:tr>
            <w:tr w14:paraId="115A1BE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1" w:type="pct"/>
                  <w:vMerge w:val="continue"/>
                  <w:noWrap w:val="0"/>
                  <w:vAlign w:val="center"/>
                </w:tcPr>
                <w:p w14:paraId="51333EE3">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p>
              </w:tc>
              <w:tc>
                <w:tcPr>
                  <w:tcW w:w="645" w:type="pct"/>
                  <w:gridSpan w:val="4"/>
                  <w:noWrap w:val="0"/>
                  <w:vAlign w:val="center"/>
                </w:tcPr>
                <w:p w14:paraId="7CF94851">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zh-CN" w:eastAsia="zh-CN" w:bidi="ar-SA"/>
                    </w:rPr>
                  </w:pPr>
                </w:p>
              </w:tc>
              <w:tc>
                <w:tcPr>
                  <w:tcW w:w="2394" w:type="pct"/>
                  <w:noWrap w:val="0"/>
                  <w:vAlign w:val="center"/>
                </w:tcPr>
                <w:p w14:paraId="73DB22D4">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ascii="宋体" w:hAnsi="宋体" w:cs="宋体"/>
                      <w:color w:val="auto"/>
                      <w:kern w:val="0"/>
                      <w:sz w:val="19"/>
                      <w:szCs w:val="19"/>
                      <w:highlight w:val="none"/>
                      <w:lang w:val="en-US" w:eastAsia="zh-CN" w:bidi="ar"/>
                    </w:rPr>
                    <w:t>1.</w:t>
                  </w:r>
                  <w:r>
                    <w:rPr>
                      <w:rFonts w:hint="default" w:ascii="Times New Roman" w:hAnsi="Times New Roman" w:eastAsia="宋体" w:cs="Times New Roman"/>
                      <w:color w:val="auto"/>
                      <w:kern w:val="0"/>
                      <w:sz w:val="21"/>
                      <w:szCs w:val="21"/>
                      <w:highlight w:val="none"/>
                      <w:lang w:val="en-US" w:eastAsia="zh-CN" w:bidi="ar"/>
                    </w:rPr>
                    <w:t>严格区域削减要求。严格执行《生态环境部办公厅关于加强重点行业建设项目区域削减措施监督管理的通知》（环办环评〔2020〕36号）相关要求。</w:t>
                  </w:r>
                </w:p>
                <w:p w14:paraId="6355FC1C">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2.</w:t>
                  </w:r>
                  <w:r>
                    <w:rPr>
                      <w:rFonts w:hint="default" w:ascii="Times New Roman" w:hAnsi="Times New Roman" w:eastAsia="宋体" w:cs="Times New Roman"/>
                      <w:color w:val="auto"/>
                      <w:kern w:val="0"/>
                      <w:sz w:val="21"/>
                      <w:szCs w:val="21"/>
                      <w:highlight w:val="none"/>
                      <w:lang w:val="en-US" w:eastAsia="zh-CN" w:bidi="ar"/>
                    </w:rPr>
                    <w:t>对保留的工业炉窑开展环保提标改造，配套建设高效脱硫脱硝除尘设施，确保稳定达标排放，按照《河北省工业炉窑综合治理实施方案》执行。</w:t>
                  </w:r>
                </w:p>
                <w:p w14:paraId="2202C0FA">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3.</w:t>
                  </w:r>
                  <w:r>
                    <w:rPr>
                      <w:rFonts w:hint="default" w:ascii="Times New Roman" w:hAnsi="Times New Roman" w:eastAsia="宋体" w:cs="Times New Roman"/>
                      <w:color w:val="auto"/>
                      <w:kern w:val="0"/>
                      <w:sz w:val="21"/>
                      <w:szCs w:val="21"/>
                      <w:highlight w:val="none"/>
                      <w:lang w:val="en-US" w:eastAsia="zh-CN" w:bidi="ar"/>
                    </w:rPr>
                    <w:t>钢铁行业按照《钢铁工业大气污染物超低排放标准》执行。</w:t>
                  </w:r>
                </w:p>
                <w:p w14:paraId="5231A2EB">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4.</w:t>
                  </w:r>
                  <w:r>
                    <w:rPr>
                      <w:rFonts w:hint="default" w:ascii="Times New Roman" w:hAnsi="Times New Roman" w:eastAsia="宋体" w:cs="Times New Roman"/>
                      <w:color w:val="auto"/>
                      <w:kern w:val="0"/>
                      <w:sz w:val="21"/>
                      <w:szCs w:val="21"/>
                      <w:highlight w:val="none"/>
                      <w:lang w:val="en-US" w:eastAsia="zh-CN" w:bidi="ar"/>
                    </w:rPr>
                    <w:t>平板玻璃行业按照《平板玻璃工业大气污染物超低排放标准》执行。</w:t>
                  </w:r>
                </w:p>
                <w:p w14:paraId="2876BAF5">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5.</w:t>
                  </w:r>
                  <w:r>
                    <w:rPr>
                      <w:rFonts w:hint="default" w:ascii="Times New Roman" w:hAnsi="Times New Roman" w:eastAsia="宋体" w:cs="Times New Roman"/>
                      <w:color w:val="auto"/>
                      <w:kern w:val="0"/>
                      <w:sz w:val="21"/>
                      <w:szCs w:val="21"/>
                      <w:highlight w:val="none"/>
                      <w:lang w:val="en-US" w:eastAsia="zh-CN" w:bidi="ar"/>
                    </w:rPr>
                    <w:t>水泥行业按照《水泥工业大气污染物超低排放标准》执行。</w:t>
                  </w:r>
                </w:p>
                <w:p w14:paraId="3F2FA869">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6.</w:t>
                  </w:r>
                  <w:r>
                    <w:rPr>
                      <w:rFonts w:hint="default" w:ascii="Times New Roman" w:hAnsi="Times New Roman" w:eastAsia="宋体" w:cs="Times New Roman"/>
                      <w:color w:val="auto"/>
                      <w:kern w:val="0"/>
                      <w:sz w:val="21"/>
                      <w:szCs w:val="21"/>
                      <w:highlight w:val="none"/>
                      <w:lang w:val="en-US" w:eastAsia="zh-CN" w:bidi="ar"/>
                    </w:rPr>
                    <w:t>铸造行业污染排放控制按照《铸造工业大气污染物排放标准》执行。</w:t>
                  </w:r>
                </w:p>
                <w:p w14:paraId="03FDD3AB">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7.</w:t>
                  </w:r>
                  <w:r>
                    <w:rPr>
                      <w:rFonts w:hint="default" w:ascii="Times New Roman" w:hAnsi="Times New Roman" w:eastAsia="宋体" w:cs="Times New Roman"/>
                      <w:color w:val="auto"/>
                      <w:kern w:val="0"/>
                      <w:sz w:val="21"/>
                      <w:szCs w:val="21"/>
                      <w:highlight w:val="none"/>
                      <w:lang w:val="en-US" w:eastAsia="zh-CN" w:bidi="ar"/>
                    </w:rPr>
                    <w:t>焦化行业按照《炼焦化学工业大气污染物超低排放标准》执行，推进具备条件的焦化企业实施干熄焦改造。</w:t>
                  </w:r>
                </w:p>
                <w:p w14:paraId="0D2EEEC0">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8.</w:t>
                  </w:r>
                  <w:r>
                    <w:rPr>
                      <w:rFonts w:hint="default" w:ascii="Times New Roman" w:hAnsi="Times New Roman" w:eastAsia="宋体" w:cs="Times New Roman"/>
                      <w:color w:val="auto"/>
                      <w:kern w:val="0"/>
                      <w:sz w:val="21"/>
                      <w:szCs w:val="21"/>
                      <w:highlight w:val="none"/>
                      <w:lang w:val="en-US" w:eastAsia="zh-CN" w:bidi="ar"/>
                    </w:rPr>
                    <w:t>涉挥发性有机物企业排放标准优先执行行业标准，无行业标准的执行《工业企业挥发性有机物排放控制</w:t>
                  </w:r>
                  <w:r>
                    <w:rPr>
                      <w:rFonts w:hint="eastAsia" w:cs="Times New Roman"/>
                      <w:color w:val="auto"/>
                      <w:kern w:val="0"/>
                      <w:sz w:val="21"/>
                      <w:szCs w:val="21"/>
                      <w:highlight w:val="none"/>
                      <w:lang w:val="en-US" w:eastAsia="zh-CN" w:bidi="ar"/>
                    </w:rPr>
                    <w:t>标</w:t>
                  </w:r>
                </w:p>
                <w:p w14:paraId="2A3250C8">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准》（DB13/2322-2016）和《挥发性有机物无组织排放控制标准》（GB37822-2019）。按照《低挥发性有机化合物含量涂料产品技术要求》（GB/T38597-2020），开展低挥发性有机物含量涂料推广替代试点工作，加快推进党政机关单位定点印刷企业率先使用水性油墨、大豆油墨等低挥发性有机物含量油墨和胶粘剂。</w:t>
                  </w:r>
                </w:p>
                <w:p w14:paraId="044CFF0E">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9.</w:t>
                  </w:r>
                  <w:r>
                    <w:rPr>
                      <w:rFonts w:hint="default" w:ascii="Times New Roman" w:hAnsi="Times New Roman" w:eastAsia="宋体" w:cs="Times New Roman"/>
                      <w:color w:val="auto"/>
                      <w:kern w:val="0"/>
                      <w:sz w:val="21"/>
                      <w:szCs w:val="21"/>
                      <w:highlight w:val="none"/>
                      <w:lang w:val="en-US" w:eastAsia="zh-CN" w:bidi="ar"/>
                    </w:rPr>
                    <w:t>加强无组织排放治理，开展钢铁、水泥、燃煤电厂、焦化平板玻璃、陶瓷等行业重点行业无组织排放检查工作，物料存储运输等全部采用</w:t>
                  </w:r>
                  <w:r>
                    <w:rPr>
                      <w:rFonts w:hint="eastAsia" w:ascii="Times New Roman" w:hAnsi="Times New Roman" w:eastAsia="宋体" w:cs="Times New Roman"/>
                      <w:color w:val="auto"/>
                      <w:kern w:val="0"/>
                      <w:sz w:val="21"/>
                      <w:szCs w:val="21"/>
                      <w:highlight w:val="none"/>
                      <w:lang w:val="en-US" w:eastAsia="zh-CN" w:bidi="ar"/>
                    </w:rPr>
                    <w:t>封闭</w:t>
                  </w:r>
                  <w:r>
                    <w:rPr>
                      <w:rFonts w:hint="default" w:ascii="Times New Roman" w:hAnsi="Times New Roman" w:eastAsia="宋体" w:cs="Times New Roman"/>
                      <w:color w:val="auto"/>
                      <w:kern w:val="0"/>
                      <w:sz w:val="21"/>
                      <w:szCs w:val="21"/>
                      <w:highlight w:val="none"/>
                      <w:lang w:val="en-US" w:eastAsia="zh-CN" w:bidi="ar"/>
                    </w:rPr>
                    <w:t>或封闭形式。</w:t>
                  </w:r>
                </w:p>
                <w:p w14:paraId="09416364">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10.</w:t>
                  </w:r>
                  <w:r>
                    <w:rPr>
                      <w:rFonts w:hint="default" w:ascii="Times New Roman" w:hAnsi="Times New Roman" w:eastAsia="宋体" w:cs="Times New Roman"/>
                      <w:color w:val="auto"/>
                      <w:kern w:val="0"/>
                      <w:sz w:val="21"/>
                      <w:szCs w:val="21"/>
                      <w:highlight w:val="none"/>
                      <w:lang w:val="en-US" w:eastAsia="zh-CN" w:bidi="ar"/>
                    </w:rPr>
                    <w:t>加快推进铁路专用线建设，大宗货物及产品年货运量150万吨以上的企业原则上全部修建铁路专用线，达不到的采用清洁能源汽车或国六排放标准汽车代替。2022年底前具备条件的企业基本完成清洁运输改造。</w:t>
                  </w:r>
                </w:p>
                <w:p w14:paraId="105AEEB1">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11.</w:t>
                  </w:r>
                  <w:r>
                    <w:rPr>
                      <w:rFonts w:hint="default" w:ascii="Times New Roman" w:hAnsi="Times New Roman" w:eastAsia="宋体" w:cs="Times New Roman"/>
                      <w:color w:val="auto"/>
                      <w:kern w:val="0"/>
                      <w:sz w:val="21"/>
                      <w:szCs w:val="21"/>
                      <w:highlight w:val="none"/>
                      <w:lang w:val="en-US" w:eastAsia="zh-CN" w:bidi="ar"/>
                    </w:rPr>
                    <w:t>深化建筑施工扬尘专项整治，严格执行《石家庄市建设工程围挡设置和扬尘管理标准》加强道路扬尘综合整治。全市工业企业料堆场全部实现规范管理；对环境敏感区的煤场、料场、渣场实现在线监控和视频监控全覆盖。</w:t>
                  </w:r>
                </w:p>
                <w:p w14:paraId="237D90F1">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12.</w:t>
                  </w:r>
                  <w:r>
                    <w:rPr>
                      <w:rFonts w:hint="default" w:ascii="Times New Roman" w:hAnsi="Times New Roman" w:eastAsia="宋体" w:cs="Times New Roman"/>
                      <w:color w:val="auto"/>
                      <w:kern w:val="0"/>
                      <w:sz w:val="21"/>
                      <w:szCs w:val="21"/>
                      <w:highlight w:val="none"/>
                      <w:lang w:val="en-US" w:eastAsia="zh-CN" w:bidi="ar"/>
                    </w:rPr>
                    <w:t>严禁秸秆、垃圾露天焚烧，实施农村地区的散煤替代及清洁开发利用工程。</w:t>
                  </w:r>
                </w:p>
                <w:p w14:paraId="66A85EE2">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13.</w:t>
                  </w:r>
                  <w:r>
                    <w:rPr>
                      <w:rFonts w:hint="default" w:ascii="Times New Roman" w:hAnsi="Times New Roman" w:eastAsia="宋体" w:cs="Times New Roman"/>
                      <w:color w:val="auto"/>
                      <w:kern w:val="0"/>
                      <w:sz w:val="21"/>
                      <w:szCs w:val="21"/>
                      <w:highlight w:val="none"/>
                      <w:lang w:val="en-US" w:eastAsia="zh-CN" w:bidi="ar"/>
                    </w:rPr>
                    <w:t>合理控制工业领域化石能源消费，改扩建用煤项目实行煤炭消费减（等）量替代。</w:t>
                  </w:r>
                </w:p>
                <w:p w14:paraId="000A4D90">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14.</w:t>
                  </w:r>
                  <w:r>
                    <w:rPr>
                      <w:rFonts w:hint="default" w:ascii="Times New Roman" w:hAnsi="Times New Roman" w:eastAsia="宋体" w:cs="Times New Roman"/>
                      <w:color w:val="auto"/>
                      <w:kern w:val="0"/>
                      <w:sz w:val="21"/>
                      <w:szCs w:val="21"/>
                      <w:highlight w:val="none"/>
                      <w:lang w:val="en-US" w:eastAsia="zh-CN" w:bidi="ar"/>
                    </w:rPr>
                    <w:t>对使用除尘脱硫一体化、简易碱法脱硫、简易氨法</w:t>
                  </w:r>
                  <w:r>
                    <w:rPr>
                      <w:rFonts w:hint="eastAsia" w:cs="Times New Roman"/>
                      <w:color w:val="auto"/>
                      <w:kern w:val="0"/>
                      <w:sz w:val="21"/>
                      <w:szCs w:val="21"/>
                      <w:highlight w:val="none"/>
                      <w:lang w:val="en-US" w:eastAsia="zh-CN" w:bidi="ar"/>
                    </w:rPr>
                    <w:t>脱硫脱硝</w:t>
                  </w:r>
                  <w:r>
                    <w:rPr>
                      <w:rFonts w:hint="default" w:ascii="Times New Roman" w:hAnsi="Times New Roman" w:eastAsia="宋体" w:cs="Times New Roman"/>
                      <w:color w:val="auto"/>
                      <w:kern w:val="0"/>
                      <w:sz w:val="21"/>
                      <w:szCs w:val="21"/>
                      <w:highlight w:val="none"/>
                      <w:lang w:val="en-US" w:eastAsia="zh-CN" w:bidi="ar"/>
                    </w:rPr>
                    <w:t>、湿法脱</w:t>
                  </w:r>
                  <w:r>
                    <w:rPr>
                      <w:rFonts w:hint="eastAsia" w:cs="Times New Roman"/>
                      <w:color w:val="auto"/>
                      <w:kern w:val="0"/>
                      <w:sz w:val="21"/>
                      <w:szCs w:val="21"/>
                      <w:highlight w:val="none"/>
                      <w:lang w:val="en-US" w:eastAsia="zh-CN" w:bidi="ar"/>
                    </w:rPr>
                    <w:t>硝</w:t>
                  </w:r>
                  <w:r>
                    <w:rPr>
                      <w:rFonts w:hint="default" w:ascii="Times New Roman" w:hAnsi="Times New Roman" w:eastAsia="宋体" w:cs="Times New Roman"/>
                      <w:color w:val="auto"/>
                      <w:kern w:val="0"/>
                      <w:sz w:val="21"/>
                      <w:szCs w:val="21"/>
                      <w:highlight w:val="none"/>
                      <w:lang w:val="en-US" w:eastAsia="zh-CN" w:bidi="ar"/>
                    </w:rPr>
                    <w:t>等低效治理技术的企业，通过更换适宜高效的治理工艺、提升现有治理设施工程质量、开展清洁能源替代、依法关停等方式，实施分类整治，切实提升治理水平。</w:t>
                  </w:r>
                </w:p>
                <w:p w14:paraId="677B4D81">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kern w:val="0"/>
                      <w:sz w:val="21"/>
                      <w:szCs w:val="21"/>
                      <w:highlight w:val="none"/>
                      <w:lang w:val="en-US" w:eastAsia="zh-CN" w:bidi="ar"/>
                    </w:rPr>
                    <w:t>15.</w:t>
                  </w:r>
                  <w:r>
                    <w:rPr>
                      <w:rFonts w:hint="default" w:ascii="Times New Roman" w:hAnsi="Times New Roman" w:eastAsia="宋体" w:cs="Times New Roman"/>
                      <w:color w:val="auto"/>
                      <w:kern w:val="0"/>
                      <w:sz w:val="21"/>
                      <w:szCs w:val="21"/>
                      <w:highlight w:val="none"/>
                      <w:lang w:val="en-US" w:eastAsia="zh-CN" w:bidi="ar"/>
                    </w:rPr>
                    <w:t>巩固钢铁、焦化、煤电、水泥、平板玻璃、陶瓷等行业超低排放成效，实施工艺全流程深度治理，全面加强无组织排放管控。</w:t>
                  </w:r>
                </w:p>
                <w:p w14:paraId="5DEE207C">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kern w:val="0"/>
                      <w:sz w:val="21"/>
                      <w:szCs w:val="21"/>
                      <w:highlight w:val="none"/>
                      <w:lang w:val="en-US" w:eastAsia="zh-CN" w:bidi="ar"/>
                    </w:rPr>
                    <w:t>16.</w:t>
                  </w:r>
                  <w:r>
                    <w:rPr>
                      <w:rFonts w:hint="default" w:ascii="Times New Roman" w:hAnsi="Times New Roman" w:eastAsia="宋体" w:cs="Times New Roman"/>
                      <w:color w:val="auto"/>
                      <w:kern w:val="0"/>
                      <w:sz w:val="21"/>
                      <w:szCs w:val="21"/>
                      <w:highlight w:val="none"/>
                      <w:lang w:val="en-US" w:eastAsia="zh-CN" w:bidi="ar"/>
                    </w:rPr>
                    <w:t>对以煤、石油焦、重油等为燃料的工业炉窑，加快使用清洁低碳能源以及利用工厂</w:t>
                  </w:r>
                  <w:r>
                    <w:rPr>
                      <w:rFonts w:hint="eastAsia" w:cs="Times New Roman"/>
                      <w:color w:val="auto"/>
                      <w:kern w:val="0"/>
                      <w:sz w:val="21"/>
                      <w:szCs w:val="21"/>
                      <w:highlight w:val="none"/>
                      <w:lang w:val="en-US" w:eastAsia="zh-CN" w:bidi="ar"/>
                    </w:rPr>
                    <w:t>蒸汽</w:t>
                  </w:r>
                  <w:r>
                    <w:rPr>
                      <w:rFonts w:hint="default" w:ascii="Times New Roman" w:hAnsi="Times New Roman" w:eastAsia="宋体" w:cs="Times New Roman"/>
                      <w:color w:val="auto"/>
                      <w:kern w:val="0"/>
                      <w:sz w:val="21"/>
                      <w:szCs w:val="21"/>
                      <w:highlight w:val="none"/>
                      <w:lang w:val="en-US" w:eastAsia="zh-CN" w:bidi="ar"/>
                    </w:rPr>
                    <w:t>、电厂热力等进行替代，全省禁止掺烧高硫石油焦（硫含量大于3%）。玻璃行业全面禁止掺烧高硫石油焦。</w:t>
                  </w:r>
                </w:p>
              </w:tc>
              <w:tc>
                <w:tcPr>
                  <w:tcW w:w="1256" w:type="pct"/>
                  <w:noWrap w:val="0"/>
                  <w:vAlign w:val="center"/>
                </w:tcPr>
                <w:p w14:paraId="2E198A14">
                  <w:pPr>
                    <w:keepNext w:val="0"/>
                    <w:keepLines w:val="0"/>
                    <w:pageBreakBefore w:val="0"/>
                    <w:widowControl w:val="0"/>
                    <w:numPr>
                      <w:ilvl w:val="0"/>
                      <w:numId w:val="0"/>
                    </w:numPr>
                    <w:kinsoku/>
                    <w:wordWrap/>
                    <w:overflowPunct/>
                    <w:topLinePunct w:val="0"/>
                    <w:bidi w:val="0"/>
                    <w:adjustRightInd w:val="0"/>
                    <w:snapToGrid w:val="0"/>
                    <w:spacing w:line="240" w:lineRule="auto"/>
                    <w:ind w:firstLine="0" w:firstLineChars="0"/>
                    <w:jc w:val="center"/>
                    <w:textAlignment w:val="auto"/>
                    <w:rPr>
                      <w:rFonts w:hint="eastAsia" w:cs="Times New Roman"/>
                      <w:color w:val="auto"/>
                      <w:szCs w:val="21"/>
                      <w:highlight w:val="none"/>
                      <w:lang w:val="en-US" w:bidi="zh-CN"/>
                    </w:rPr>
                  </w:pPr>
                  <w:r>
                    <w:rPr>
                      <w:rFonts w:hint="eastAsia" w:cs="Times New Roman"/>
                      <w:color w:val="auto"/>
                      <w:szCs w:val="21"/>
                      <w:highlight w:val="none"/>
                      <w:lang w:val="en-US" w:bidi="zh-CN"/>
                    </w:rPr>
                    <w:t>1~7</w:t>
                  </w:r>
                  <w:r>
                    <w:rPr>
                      <w:rFonts w:hint="eastAsia" w:ascii="Times New Roman" w:hAnsi="Times New Roman" w:eastAsia="宋体" w:cs="Times New Roman"/>
                      <w:color w:val="auto"/>
                      <w:szCs w:val="21"/>
                      <w:highlight w:val="none"/>
                      <w:lang w:val="en-US" w:bidi="zh-CN"/>
                    </w:rPr>
                    <w:t>不涉及</w:t>
                  </w:r>
                  <w:r>
                    <w:rPr>
                      <w:rFonts w:hint="eastAsia" w:cs="Times New Roman"/>
                      <w:color w:val="auto"/>
                      <w:szCs w:val="21"/>
                      <w:highlight w:val="none"/>
                      <w:lang w:val="en-US" w:bidi="zh-CN"/>
                    </w:rPr>
                    <w:t>；</w:t>
                  </w:r>
                </w:p>
                <w:p w14:paraId="2A99D537">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szCs w:val="21"/>
                      <w:highlight w:val="none"/>
                      <w:lang w:val="en-US" w:bidi="zh-CN"/>
                    </w:rPr>
                    <w:t>8.</w:t>
                  </w:r>
                  <w:r>
                    <w:rPr>
                      <w:rFonts w:hint="eastAsia" w:ascii="Times New Roman" w:hAnsi="Times New Roman" w:eastAsia="宋体" w:cs="Times New Roman"/>
                      <w:color w:val="auto"/>
                      <w:kern w:val="0"/>
                      <w:sz w:val="21"/>
                      <w:szCs w:val="21"/>
                      <w:highlight w:val="none"/>
                      <w:lang w:val="en-US" w:eastAsia="zh-CN" w:bidi="ar"/>
                    </w:rPr>
                    <w:t>项目</w:t>
                  </w:r>
                  <w:r>
                    <w:rPr>
                      <w:rFonts w:hint="default" w:ascii="Times New Roman" w:hAnsi="Times New Roman" w:eastAsia="宋体" w:cs="Times New Roman"/>
                      <w:color w:val="auto"/>
                      <w:kern w:val="0"/>
                      <w:sz w:val="21"/>
                      <w:szCs w:val="21"/>
                      <w:highlight w:val="none"/>
                      <w:lang w:val="en-US" w:eastAsia="zh-CN" w:bidi="ar"/>
                    </w:rPr>
                    <w:t>执行《工业企业挥发性有机物排放控制标准》（DB13/2322-20</w:t>
                  </w:r>
                  <w:r>
                    <w:rPr>
                      <w:rFonts w:hint="eastAsia" w:cs="Times New Roman"/>
                      <w:color w:val="auto"/>
                      <w:kern w:val="0"/>
                      <w:sz w:val="21"/>
                      <w:szCs w:val="21"/>
                      <w:highlight w:val="none"/>
                      <w:lang w:val="en-US" w:eastAsia="zh-CN" w:bidi="ar"/>
                    </w:rPr>
                    <w:t>25</w:t>
                  </w:r>
                  <w:r>
                    <w:rPr>
                      <w:rFonts w:hint="default" w:ascii="Times New Roman" w:hAnsi="Times New Roman" w:eastAsia="宋体" w:cs="Times New Roman"/>
                      <w:color w:val="auto"/>
                      <w:kern w:val="0"/>
                      <w:sz w:val="21"/>
                      <w:szCs w:val="21"/>
                      <w:highlight w:val="none"/>
                      <w:lang w:val="en-US" w:eastAsia="zh-CN" w:bidi="ar"/>
                    </w:rPr>
                    <w:t>）和《合成树脂工业污染物排放标准》（GB31572-2015</w:t>
                  </w:r>
                  <w:r>
                    <w:rPr>
                      <w:rFonts w:hint="eastAsia" w:cs="Times New Roman"/>
                      <w:color w:val="auto"/>
                      <w:kern w:val="0"/>
                      <w:sz w:val="21"/>
                      <w:szCs w:val="21"/>
                      <w:highlight w:val="none"/>
                      <w:lang w:val="en-US" w:eastAsia="zh-CN" w:bidi="ar"/>
                    </w:rPr>
                    <w:t>，含2024年修改单</w:t>
                  </w:r>
                  <w:r>
                    <w:rPr>
                      <w:rFonts w:hint="default" w:ascii="Times New Roman" w:hAnsi="Times New Roman" w:eastAsia="宋体" w:cs="Times New Roman"/>
                      <w:color w:val="auto"/>
                      <w:kern w:val="0"/>
                      <w:sz w:val="21"/>
                      <w:szCs w:val="21"/>
                      <w:highlight w:val="none"/>
                      <w:lang w:val="en-US" w:eastAsia="zh-CN" w:bidi="ar"/>
                    </w:rPr>
                    <w:t>）。</w:t>
                  </w:r>
                </w:p>
                <w:p w14:paraId="74DDFC31">
                  <w:pPr>
                    <w:keepNext w:val="0"/>
                    <w:keepLines w:val="0"/>
                    <w:pageBreakBefore w:val="0"/>
                    <w:widowControl w:val="0"/>
                    <w:numPr>
                      <w:ilvl w:val="0"/>
                      <w:numId w:val="9"/>
                    </w:numPr>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不涉及；</w:t>
                  </w:r>
                </w:p>
                <w:p w14:paraId="674B2E70">
                  <w:pPr>
                    <w:keepNext w:val="0"/>
                    <w:keepLines w:val="0"/>
                    <w:pageBreakBefore w:val="0"/>
                    <w:widowControl w:val="0"/>
                    <w:numPr>
                      <w:ilvl w:val="0"/>
                      <w:numId w:val="9"/>
                    </w:numPr>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不涉及；</w:t>
                  </w:r>
                </w:p>
                <w:p w14:paraId="58CDD810">
                  <w:pPr>
                    <w:keepNext w:val="0"/>
                    <w:keepLines w:val="0"/>
                    <w:pageBreakBefore w:val="0"/>
                    <w:widowControl w:val="0"/>
                    <w:numPr>
                      <w:ilvl w:val="0"/>
                      <w:numId w:val="9"/>
                    </w:numPr>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建设期</w:t>
                  </w:r>
                  <w:r>
                    <w:rPr>
                      <w:rFonts w:hint="default" w:ascii="Times New Roman" w:hAnsi="Times New Roman" w:eastAsia="宋体" w:cs="Times New Roman"/>
                      <w:color w:val="auto"/>
                      <w:kern w:val="0"/>
                      <w:sz w:val="21"/>
                      <w:szCs w:val="21"/>
                      <w:highlight w:val="none"/>
                      <w:lang w:val="en-US" w:eastAsia="zh-CN" w:bidi="ar"/>
                    </w:rPr>
                    <w:t>严格执行《石家庄市建设工程围挡设置和扬尘管理标准》加强扬尘综合整治。</w:t>
                  </w:r>
                </w:p>
                <w:p w14:paraId="052D1A4F">
                  <w:pPr>
                    <w:keepNext w:val="0"/>
                    <w:keepLines w:val="0"/>
                    <w:pageBreakBefore w:val="0"/>
                    <w:widowControl w:val="0"/>
                    <w:numPr>
                      <w:ilvl w:val="0"/>
                      <w:numId w:val="0"/>
                    </w:numPr>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12~16、不涉及</w:t>
                  </w:r>
                </w:p>
              </w:tc>
              <w:tc>
                <w:tcPr>
                  <w:tcW w:w="402" w:type="pct"/>
                  <w:noWrap w:val="0"/>
                  <w:vAlign w:val="center"/>
                </w:tcPr>
                <w:p w14:paraId="17B9F778">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r>
                    <w:rPr>
                      <w:bCs/>
                      <w:color w:val="auto"/>
                      <w:spacing w:val="-11"/>
                      <w:sz w:val="21"/>
                      <w:szCs w:val="21"/>
                      <w:highlight w:val="none"/>
                      <w:lang w:bidi="ar"/>
                    </w:rPr>
                    <w:t>符合</w:t>
                  </w:r>
                </w:p>
              </w:tc>
            </w:tr>
            <w:tr w14:paraId="7381359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1" w:type="pct"/>
                  <w:vMerge w:val="continue"/>
                  <w:noWrap w:val="0"/>
                  <w:vAlign w:val="center"/>
                </w:tcPr>
                <w:p w14:paraId="44B1137F">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p>
              </w:tc>
              <w:tc>
                <w:tcPr>
                  <w:tcW w:w="645" w:type="pct"/>
                  <w:gridSpan w:val="4"/>
                  <w:noWrap w:val="0"/>
                  <w:vAlign w:val="center"/>
                </w:tcPr>
                <w:p w14:paraId="10BD45DD">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color w:val="auto"/>
                      <w:highlight w:val="none"/>
                    </w:rPr>
                  </w:pPr>
                  <w:r>
                    <w:rPr>
                      <w:rFonts w:hint="eastAsia" w:ascii="Times New Roman" w:hAnsi="Times New Roman" w:eastAsia="宋体" w:cs="Times New Roman"/>
                      <w:color w:val="auto"/>
                      <w:kern w:val="0"/>
                      <w:sz w:val="21"/>
                      <w:szCs w:val="21"/>
                      <w:highlight w:val="none"/>
                      <w:lang w:val="en-US" w:eastAsia="zh-CN" w:bidi="ar"/>
                    </w:rPr>
                    <w:t>环境风险防控</w:t>
                  </w:r>
                </w:p>
                <w:p w14:paraId="16311F42">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zh-CN" w:eastAsia="zh-CN" w:bidi="ar-SA"/>
                    </w:rPr>
                  </w:pPr>
                </w:p>
              </w:tc>
              <w:tc>
                <w:tcPr>
                  <w:tcW w:w="2394" w:type="pct"/>
                  <w:noWrap w:val="0"/>
                  <w:vAlign w:val="center"/>
                </w:tcPr>
                <w:p w14:paraId="44A04F0E">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256" w:type="pct"/>
                  <w:noWrap w:val="0"/>
                  <w:vAlign w:val="center"/>
                </w:tcPr>
                <w:p w14:paraId="416C590F">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不属于</w:t>
                  </w:r>
                  <w:r>
                    <w:rPr>
                      <w:rFonts w:hint="eastAsia" w:ascii="Times New Roman" w:hAnsi="Times New Roman" w:eastAsia="宋体" w:cs="Times New Roman"/>
                      <w:color w:val="auto"/>
                      <w:kern w:val="0"/>
                      <w:sz w:val="21"/>
                      <w:szCs w:val="21"/>
                      <w:highlight w:val="none"/>
                      <w:lang w:val="en-US" w:eastAsia="zh-CN" w:bidi="ar"/>
                    </w:rPr>
                    <w:t>国家重点管控新污染物清单及其禁止、限制、限排措施，不属于石油化工、涂料、纺织印染、橡胶、农药、医药等行业。</w:t>
                  </w:r>
                </w:p>
              </w:tc>
              <w:tc>
                <w:tcPr>
                  <w:tcW w:w="402" w:type="pct"/>
                  <w:noWrap w:val="0"/>
                  <w:vAlign w:val="center"/>
                </w:tcPr>
                <w:p w14:paraId="64E71954">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ascii="Times New Roman" w:hAnsi="Times New Roman" w:eastAsia="宋体" w:cs="Times New Roman"/>
                      <w:color w:val="auto"/>
                      <w:szCs w:val="21"/>
                      <w:highlight w:val="none"/>
                      <w:lang w:val="zh-CN" w:bidi="zh-CN"/>
                    </w:rPr>
                  </w:pPr>
                  <w:r>
                    <w:rPr>
                      <w:bCs/>
                      <w:color w:val="auto"/>
                      <w:spacing w:val="-11"/>
                      <w:sz w:val="21"/>
                      <w:szCs w:val="21"/>
                      <w:highlight w:val="none"/>
                      <w:lang w:bidi="ar"/>
                    </w:rPr>
                    <w:t>符合</w:t>
                  </w:r>
                </w:p>
              </w:tc>
            </w:tr>
            <w:tr w14:paraId="067E3C6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1" w:type="pct"/>
                  <w:noWrap w:val="0"/>
                  <w:vAlign w:val="center"/>
                </w:tcPr>
                <w:p w14:paraId="6B3271FA">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土壤环境总体管控要求</w:t>
                  </w:r>
                </w:p>
                <w:p w14:paraId="4E0B80B2">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645" w:type="pct"/>
                  <w:gridSpan w:val="4"/>
                  <w:noWrap w:val="0"/>
                  <w:vAlign w:val="center"/>
                </w:tcPr>
                <w:p w14:paraId="08819F3A">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建设用地风险管控和修复</w:t>
                  </w:r>
                </w:p>
                <w:p w14:paraId="3A00A451">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2394" w:type="pct"/>
                  <w:noWrap w:val="0"/>
                  <w:vAlign w:val="center"/>
                </w:tcPr>
                <w:p w14:paraId="6D3391A3">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w:t>
                  </w:r>
                  <w:r>
                    <w:rPr>
                      <w:rFonts w:hint="eastAsia" w:ascii="Times New Roman" w:hAnsi="Times New Roman" w:eastAsia="宋体" w:cs="Times New Roman"/>
                      <w:color w:val="auto"/>
                      <w:kern w:val="0"/>
                      <w:sz w:val="21"/>
                      <w:szCs w:val="21"/>
                      <w:highlight w:val="none"/>
                      <w:lang w:val="en-US" w:eastAsia="zh-CN" w:bidi="ar"/>
                    </w:rPr>
                    <w:t>依法推进建设用地土壤污染状况调查评估。以用途变更为“一住两公”地块，以及腾退工矿企业用地为重点，依法开展土壤污染状况调查和风险评估。</w:t>
                  </w:r>
                </w:p>
                <w:p w14:paraId="4730FB06">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2.</w:t>
                  </w:r>
                  <w:r>
                    <w:rPr>
                      <w:rFonts w:hint="eastAsia" w:ascii="Times New Roman" w:hAnsi="Times New Roman" w:eastAsia="宋体" w:cs="Times New Roman"/>
                      <w:color w:val="auto"/>
                      <w:kern w:val="0"/>
                      <w:sz w:val="21"/>
                      <w:szCs w:val="21"/>
                      <w:highlight w:val="none"/>
                      <w:lang w:val="en-US" w:eastAsia="zh-CN" w:bidi="ar"/>
                    </w:rPr>
                    <w:t>对土壤污染状况调查报告评审表明污染物含量超过土壤污染风险管控标准的建设用地地块，土壤污染责任人、土地使用权人应当按照国务院生态环境主管部门的规定进行土壤污染风险评估。</w:t>
                  </w:r>
                </w:p>
                <w:p w14:paraId="00B14DC5">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3.</w:t>
                  </w:r>
                  <w:r>
                    <w:rPr>
                      <w:rFonts w:hint="eastAsia" w:ascii="Times New Roman" w:hAnsi="Times New Roman" w:eastAsia="宋体" w:cs="Times New Roman"/>
                      <w:color w:val="auto"/>
                      <w:kern w:val="0"/>
                      <w:sz w:val="21"/>
                      <w:szCs w:val="21"/>
                      <w:highlight w:val="none"/>
                      <w:lang w:val="en-US" w:eastAsia="zh-CN" w:bidi="ar"/>
                    </w:rPr>
                    <w:t>对建设用地土壤污染风险管控和修复名录中需要实施修复的地块，土壤污染责任人应当结合土地利用总体规划和城乡规划编制修复方案，报地方人民政府生态环境主管部门备案并实施。</w:t>
                  </w:r>
                </w:p>
                <w:p w14:paraId="66080BF7">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4.</w:t>
                  </w:r>
                  <w:r>
                    <w:rPr>
                      <w:rFonts w:hint="eastAsia" w:ascii="Times New Roman" w:hAnsi="Times New Roman" w:eastAsia="宋体" w:cs="Times New Roman"/>
                      <w:color w:val="auto"/>
                      <w:kern w:val="0"/>
                      <w:sz w:val="21"/>
                      <w:szCs w:val="21"/>
                      <w:highlight w:val="none"/>
                      <w:lang w:val="en-US" w:eastAsia="zh-CN" w:bidi="ar"/>
                    </w:rPr>
                    <w:t>风险管控、修复活动完成后，需要实施后期管理的，土壤污染责任人应当按照要求实施后期管理。</w:t>
                  </w:r>
                </w:p>
                <w:p w14:paraId="5EED9B64">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5.</w:t>
                  </w:r>
                  <w:r>
                    <w:rPr>
                      <w:rFonts w:hint="eastAsia" w:ascii="Times New Roman" w:hAnsi="Times New Roman" w:eastAsia="宋体" w:cs="Times New Roman"/>
                      <w:color w:val="auto"/>
                      <w:kern w:val="0"/>
                      <w:sz w:val="21"/>
                      <w:szCs w:val="21"/>
                      <w:highlight w:val="none"/>
                      <w:lang w:val="en-US" w:eastAsia="zh-CN" w:bidi="ar"/>
                    </w:rPr>
                    <w:t>各县（市、区）在编制国土空间等相关规划时，充分考虑建设用地土壤污染环境风险，合理确定土地用途。</w:t>
                  </w:r>
                </w:p>
                <w:p w14:paraId="27D6EAFF">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6.</w:t>
                  </w:r>
                  <w:r>
                    <w:rPr>
                      <w:rFonts w:hint="eastAsia" w:ascii="Times New Roman" w:hAnsi="Times New Roman" w:eastAsia="宋体" w:cs="Times New Roman"/>
                      <w:color w:val="auto"/>
                      <w:kern w:val="0"/>
                      <w:sz w:val="21"/>
                      <w:szCs w:val="21"/>
                      <w:highlight w:val="none"/>
                      <w:lang w:val="en-US" w:eastAsia="zh-CN" w:bidi="ar"/>
                    </w:rPr>
                    <w:t>严格落实建设用地土壤污染风险管控和修复名录制度。未达到土壤污染风险评估报告确定的风险管控、修复目标的地块，不得开工建设与风险管控和修复无关的项目。</w:t>
                  </w:r>
                </w:p>
              </w:tc>
              <w:tc>
                <w:tcPr>
                  <w:tcW w:w="1256" w:type="pct"/>
                  <w:noWrap w:val="0"/>
                  <w:vAlign w:val="center"/>
                </w:tcPr>
                <w:p w14:paraId="5ABF62EB">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color w:val="auto"/>
                      <w:highlight w:val="none"/>
                      <w:lang w:val="en-US" w:eastAsia="zh-CN"/>
                    </w:rPr>
                  </w:pPr>
                  <w:r>
                    <w:rPr>
                      <w:rFonts w:hint="eastAsia"/>
                      <w:color w:val="auto"/>
                      <w:highlight w:val="none"/>
                      <w:lang w:val="en-US" w:eastAsia="zh-CN"/>
                    </w:rPr>
                    <w:t>不涉及</w:t>
                  </w:r>
                </w:p>
              </w:tc>
              <w:tc>
                <w:tcPr>
                  <w:tcW w:w="402" w:type="pct"/>
                  <w:noWrap w:val="0"/>
                  <w:vAlign w:val="center"/>
                </w:tcPr>
                <w:p w14:paraId="16341490">
                  <w:pPr>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eastAsia"/>
                      <w:color w:val="auto"/>
                      <w:highlight w:val="none"/>
                      <w:lang w:val="en-US"/>
                    </w:rPr>
                  </w:pPr>
                  <w:r>
                    <w:rPr>
                      <w:rFonts w:hint="eastAsia"/>
                      <w:color w:val="auto"/>
                      <w:highlight w:val="none"/>
                      <w:lang w:val="en-US"/>
                    </w:rPr>
                    <w:t>符合</w:t>
                  </w:r>
                </w:p>
                <w:p w14:paraId="495AD2BC">
                  <w:pPr>
                    <w:pStyle w:val="43"/>
                    <w:keepNext w:val="0"/>
                    <w:keepLines w:val="0"/>
                    <w:pageBreakBefore w:val="0"/>
                    <w:widowControl w:val="0"/>
                    <w:kinsoku/>
                    <w:wordWrap/>
                    <w:overflowPunct/>
                    <w:topLinePunct w:val="0"/>
                    <w:bidi w:val="0"/>
                    <w:spacing w:line="240" w:lineRule="auto"/>
                    <w:ind w:firstLine="0" w:firstLineChars="0"/>
                    <w:jc w:val="center"/>
                    <w:textAlignment w:val="auto"/>
                    <w:rPr>
                      <w:rFonts w:hint="default"/>
                      <w:color w:val="auto"/>
                      <w:highlight w:val="none"/>
                      <w:lang w:val="en-US"/>
                    </w:rPr>
                  </w:pPr>
                </w:p>
              </w:tc>
            </w:tr>
            <w:tr w14:paraId="3F80404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610" w:hRule="atLeast"/>
                <w:jc w:val="center"/>
              </w:trPr>
              <w:tc>
                <w:tcPr>
                  <w:tcW w:w="301" w:type="pct"/>
                  <w:vMerge w:val="restart"/>
                  <w:noWrap w:val="0"/>
                  <w:vAlign w:val="center"/>
                </w:tcPr>
                <w:p w14:paraId="2C8816EA">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资源总体管控要求</w:t>
                  </w:r>
                </w:p>
                <w:p w14:paraId="35DCBBCE">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228" w:type="pct"/>
                  <w:vMerge w:val="restart"/>
                  <w:noWrap w:val="0"/>
                  <w:vAlign w:val="center"/>
                </w:tcPr>
                <w:p w14:paraId="3C3F461D">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水资源</w:t>
                  </w:r>
                </w:p>
                <w:p w14:paraId="65FB161D">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417" w:type="pct"/>
                  <w:gridSpan w:val="3"/>
                  <w:noWrap w:val="0"/>
                  <w:vAlign w:val="center"/>
                </w:tcPr>
                <w:p w14:paraId="2370BEC9">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r>
                    <w:rPr>
                      <w:rFonts w:hint="eastAsia" w:ascii="Times New Roman" w:hAnsi="Times New Roman" w:eastAsia="宋体" w:cs="Times New Roman"/>
                      <w:color w:val="auto"/>
                      <w:kern w:val="0"/>
                      <w:sz w:val="21"/>
                      <w:szCs w:val="21"/>
                      <w:highlight w:val="none"/>
                      <w:lang w:val="en-US" w:eastAsia="zh-CN" w:bidi="ar"/>
                    </w:rPr>
                    <w:t>地下水开采重点管控区（地下水严重超采区）</w:t>
                  </w:r>
                </w:p>
              </w:tc>
              <w:tc>
                <w:tcPr>
                  <w:tcW w:w="2394" w:type="pct"/>
                  <w:noWrap w:val="0"/>
                  <w:vAlign w:val="center"/>
                </w:tcPr>
                <w:p w14:paraId="6044A62F">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w:t>
                  </w:r>
                  <w:r>
                    <w:rPr>
                      <w:rFonts w:hint="eastAsia" w:ascii="Times New Roman" w:hAnsi="Times New Roman" w:eastAsia="宋体" w:cs="Times New Roman"/>
                      <w:color w:val="auto"/>
                      <w:kern w:val="0"/>
                      <w:sz w:val="21"/>
                      <w:szCs w:val="21"/>
                      <w:highlight w:val="none"/>
                      <w:lang w:val="en-US" w:eastAsia="zh-CN" w:bidi="ar"/>
                    </w:rPr>
                    <w:t>地下水禁止开采区，一律禁止开凿新的取水井，对已有的取水井应当制定计划逐步予以关停。</w:t>
                  </w:r>
                </w:p>
                <w:p w14:paraId="0DCEB4C0">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2.</w:t>
                  </w:r>
                  <w:r>
                    <w:rPr>
                      <w:rFonts w:hint="eastAsia" w:ascii="Times New Roman" w:hAnsi="Times New Roman" w:eastAsia="宋体" w:cs="Times New Roman"/>
                      <w:color w:val="auto"/>
                      <w:kern w:val="0"/>
                      <w:sz w:val="21"/>
                      <w:szCs w:val="21"/>
                      <w:highlight w:val="none"/>
                      <w:lang w:val="en-US" w:eastAsia="zh-CN" w:bidi="ar"/>
                    </w:rPr>
                    <w:t>地下水限制开采区，一般不得开凿新的取水井，确需取用地下水的，应按省市要求进行削减。</w:t>
                  </w:r>
                </w:p>
                <w:p w14:paraId="3BCF991A">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p>
              </w:tc>
              <w:tc>
                <w:tcPr>
                  <w:tcW w:w="1256" w:type="pct"/>
                  <w:noWrap w:val="0"/>
                  <w:vAlign w:val="center"/>
                </w:tcPr>
                <w:p w14:paraId="37FCBF05">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项目</w:t>
                  </w:r>
                  <w:r>
                    <w:rPr>
                      <w:rFonts w:hint="eastAsia" w:cs="Times New Roman"/>
                      <w:color w:val="auto"/>
                      <w:kern w:val="0"/>
                      <w:sz w:val="21"/>
                      <w:szCs w:val="21"/>
                      <w:highlight w:val="none"/>
                      <w:lang w:val="en-US" w:eastAsia="zh-CN" w:bidi="ar"/>
                    </w:rPr>
                    <w:t>用水使用园区管网</w:t>
                  </w:r>
                  <w:r>
                    <w:rPr>
                      <w:rFonts w:hint="eastAsia" w:ascii="Times New Roman" w:hAnsi="Times New Roman" w:eastAsia="宋体" w:cs="Times New Roman"/>
                      <w:color w:val="auto"/>
                      <w:kern w:val="0"/>
                      <w:sz w:val="21"/>
                      <w:szCs w:val="21"/>
                      <w:highlight w:val="none"/>
                      <w:lang w:val="en-US" w:eastAsia="zh-CN" w:bidi="ar"/>
                    </w:rPr>
                    <w:t>，不开凿新的取水井。</w:t>
                  </w:r>
                </w:p>
              </w:tc>
              <w:tc>
                <w:tcPr>
                  <w:tcW w:w="402" w:type="pct"/>
                  <w:noWrap w:val="0"/>
                  <w:vAlign w:val="center"/>
                </w:tcPr>
                <w:p w14:paraId="3092A92C">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bCs/>
                      <w:color w:val="auto"/>
                      <w:spacing w:val="-11"/>
                      <w:sz w:val="21"/>
                      <w:szCs w:val="21"/>
                      <w:highlight w:val="none"/>
                      <w:lang w:bidi="ar"/>
                    </w:rPr>
                    <w:t>符合</w:t>
                  </w:r>
                </w:p>
              </w:tc>
            </w:tr>
            <w:tr w14:paraId="3177B7F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040" w:hRule="atLeast"/>
                <w:jc w:val="center"/>
              </w:trPr>
              <w:tc>
                <w:tcPr>
                  <w:tcW w:w="301" w:type="pct"/>
                  <w:vMerge w:val="continue"/>
                  <w:noWrap w:val="0"/>
                  <w:vAlign w:val="center"/>
                </w:tcPr>
                <w:p w14:paraId="6A6581D8">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228" w:type="pct"/>
                  <w:vMerge w:val="continue"/>
                  <w:noWrap w:val="0"/>
                  <w:vAlign w:val="center"/>
                </w:tcPr>
                <w:p w14:paraId="45CF963F">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417" w:type="pct"/>
                  <w:gridSpan w:val="3"/>
                  <w:noWrap w:val="0"/>
                  <w:vAlign w:val="center"/>
                </w:tcPr>
                <w:p w14:paraId="30B36E00">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一般管控区</w:t>
                  </w:r>
                </w:p>
                <w:p w14:paraId="52C54270">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p>
                <w:p w14:paraId="5A067065">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2394" w:type="pct"/>
                  <w:noWrap w:val="0"/>
                  <w:vAlign w:val="center"/>
                </w:tcPr>
                <w:p w14:paraId="430C2F57">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w:t>
                  </w:r>
                  <w:r>
                    <w:rPr>
                      <w:rFonts w:hint="eastAsia" w:ascii="Times New Roman" w:hAnsi="Times New Roman" w:eastAsia="宋体" w:cs="Times New Roman"/>
                      <w:color w:val="auto"/>
                      <w:kern w:val="0"/>
                      <w:sz w:val="21"/>
                      <w:szCs w:val="21"/>
                      <w:highlight w:val="none"/>
                      <w:lang w:val="en-US" w:eastAsia="zh-CN" w:bidi="ar"/>
                    </w:rPr>
                    <w:t>严格执行“最严格水资源管理制度”确定的用水总量控制指标，加强水资源取水论证，严格水资源总量考核管理，同时全面推进节水型社会建设，提高用水效率。</w:t>
                  </w:r>
                </w:p>
                <w:p w14:paraId="438543A2">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2.</w:t>
                  </w:r>
                  <w:r>
                    <w:rPr>
                      <w:rFonts w:hint="eastAsia" w:ascii="Times New Roman" w:hAnsi="Times New Roman" w:eastAsia="宋体" w:cs="Times New Roman"/>
                      <w:color w:val="auto"/>
                      <w:kern w:val="0"/>
                      <w:sz w:val="21"/>
                      <w:szCs w:val="21"/>
                      <w:highlight w:val="none"/>
                      <w:lang w:val="en-US" w:eastAsia="zh-CN" w:bidi="ar"/>
                    </w:rPr>
                    <w:t>地下水开采重点管控区外的地下水超采区按照《华北地区地下水超采综合治理行动方案</w:t>
                  </w:r>
                  <w:r>
                    <w:rPr>
                      <w:rFonts w:hint="eastAsia" w:cs="Times New Roman"/>
                      <w:color w:val="auto"/>
                      <w:kern w:val="0"/>
                      <w:sz w:val="21"/>
                      <w:szCs w:val="21"/>
                      <w:highlight w:val="none"/>
                      <w:lang w:val="en-US" w:eastAsia="zh-CN" w:bidi="ar"/>
                    </w:rPr>
                    <w:t>》《</w:t>
                  </w:r>
                  <w:r>
                    <w:rPr>
                      <w:rFonts w:hint="eastAsia" w:ascii="Times New Roman" w:hAnsi="Times New Roman" w:eastAsia="宋体" w:cs="Times New Roman"/>
                      <w:color w:val="auto"/>
                      <w:kern w:val="0"/>
                      <w:sz w:val="21"/>
                      <w:szCs w:val="21"/>
                      <w:highlight w:val="none"/>
                      <w:lang w:val="en-US" w:eastAsia="zh-CN" w:bidi="ar"/>
                    </w:rPr>
                    <w:t>河北省人民政府关于公布地下水超采区、禁止开采区和限制开采区范围的通知》及《关于地下水超采综合治理实施意见》进行管控。</w:t>
                  </w:r>
                </w:p>
              </w:tc>
              <w:tc>
                <w:tcPr>
                  <w:tcW w:w="1256" w:type="pct"/>
                  <w:noWrap w:val="0"/>
                  <w:vAlign w:val="center"/>
                </w:tcPr>
                <w:p w14:paraId="501F5E4E">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项目使用园区管网供水，不开凿新的取水井。</w:t>
                  </w:r>
                </w:p>
              </w:tc>
              <w:tc>
                <w:tcPr>
                  <w:tcW w:w="402" w:type="pct"/>
                  <w:noWrap w:val="0"/>
                  <w:vAlign w:val="center"/>
                </w:tcPr>
                <w:p w14:paraId="2C204711">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bCs/>
                      <w:color w:val="auto"/>
                      <w:spacing w:val="-11"/>
                      <w:sz w:val="21"/>
                      <w:szCs w:val="21"/>
                      <w:highlight w:val="none"/>
                      <w:lang w:bidi="ar"/>
                    </w:rPr>
                    <w:t>符合</w:t>
                  </w:r>
                </w:p>
              </w:tc>
            </w:tr>
            <w:tr w14:paraId="7628870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86" w:hRule="atLeast"/>
                <w:jc w:val="center"/>
              </w:trPr>
              <w:tc>
                <w:tcPr>
                  <w:tcW w:w="301" w:type="pct"/>
                  <w:vMerge w:val="continue"/>
                  <w:noWrap w:val="0"/>
                  <w:vAlign w:val="center"/>
                </w:tcPr>
                <w:p w14:paraId="131F442B">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228" w:type="pct"/>
                  <w:noWrap w:val="0"/>
                  <w:vAlign w:val="center"/>
                </w:tcPr>
                <w:p w14:paraId="0AF090B9">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r>
                    <w:rPr>
                      <w:rFonts w:hint="eastAsia" w:ascii="Times New Roman" w:hAnsi="Times New Roman" w:eastAsia="宋体" w:cs="Times New Roman"/>
                      <w:color w:val="auto"/>
                      <w:kern w:val="0"/>
                      <w:sz w:val="21"/>
                      <w:szCs w:val="21"/>
                      <w:highlight w:val="none"/>
                      <w:lang w:val="zh-CN" w:eastAsia="zh-CN" w:bidi="ar"/>
                    </w:rPr>
                    <w:t>能源</w:t>
                  </w:r>
                </w:p>
              </w:tc>
              <w:tc>
                <w:tcPr>
                  <w:tcW w:w="417" w:type="pct"/>
                  <w:gridSpan w:val="3"/>
                  <w:noWrap w:val="0"/>
                  <w:vAlign w:val="center"/>
                </w:tcPr>
                <w:p w14:paraId="46E175FB">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高污染燃料禁燃区</w:t>
                  </w:r>
                </w:p>
                <w:p w14:paraId="2CB07DE1">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2394" w:type="pct"/>
                  <w:noWrap w:val="0"/>
                  <w:vAlign w:val="center"/>
                </w:tcPr>
                <w:p w14:paraId="26FAE1D0">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w:t>
                  </w:r>
                  <w:r>
                    <w:rPr>
                      <w:rFonts w:hint="eastAsia" w:ascii="Times New Roman" w:hAnsi="Times New Roman" w:eastAsia="宋体" w:cs="Times New Roman"/>
                      <w:color w:val="auto"/>
                      <w:kern w:val="0"/>
                      <w:sz w:val="21"/>
                      <w:szCs w:val="21"/>
                      <w:highlight w:val="none"/>
                      <w:lang w:val="en-US" w:eastAsia="zh-CN" w:bidi="ar"/>
                    </w:rPr>
                    <w:t>在充分落实全市能源高效利用管控要求的前提下，高污染燃料禁燃区内任何单位不得新建、扩建高污染燃料燃用设施，不得将其他燃料燃用设施改造为高污染燃料燃用设施。高污染燃料销售单位应按照要求逐步取消禁燃区内的销售网点。</w:t>
                  </w:r>
                </w:p>
                <w:p w14:paraId="209F93C1">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2.</w:t>
                  </w:r>
                  <w:r>
                    <w:rPr>
                      <w:rFonts w:hint="eastAsia" w:ascii="Times New Roman" w:hAnsi="Times New Roman" w:eastAsia="宋体" w:cs="Times New Roman"/>
                      <w:color w:val="auto"/>
                      <w:kern w:val="0"/>
                      <w:sz w:val="21"/>
                      <w:szCs w:val="21"/>
                      <w:highlight w:val="none"/>
                      <w:lang w:val="en-US" w:eastAsia="zh-CN" w:bidi="ar"/>
                    </w:rPr>
                    <w:t>禁燃区内禁止使用原（散）煤、煤矸石、粉煤、煤泥、燃料油（煤焦油、重油和渣油等）、各种可燃废物和直接燃用的生物质燃料、不符合标准的洁净颗粒型煤以及其他国家规定的高污染燃料。</w:t>
                  </w:r>
                </w:p>
                <w:p w14:paraId="57243A99">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3.</w:t>
                  </w:r>
                  <w:r>
                    <w:rPr>
                      <w:rFonts w:hint="eastAsia" w:ascii="Times New Roman" w:hAnsi="Times New Roman" w:eastAsia="宋体" w:cs="Times New Roman"/>
                      <w:color w:val="auto"/>
                      <w:kern w:val="0"/>
                      <w:sz w:val="21"/>
                      <w:szCs w:val="21"/>
                      <w:highlight w:val="none"/>
                      <w:lang w:val="en-US" w:eastAsia="zh-CN" w:bidi="ar"/>
                    </w:rPr>
                    <w:t>在完成供热替代后，禁煤区燃煤发电企业逐步关停。</w:t>
                  </w:r>
                </w:p>
              </w:tc>
              <w:tc>
                <w:tcPr>
                  <w:tcW w:w="1256" w:type="pct"/>
                  <w:noWrap w:val="0"/>
                  <w:vAlign w:val="center"/>
                </w:tcPr>
                <w:p w14:paraId="3B886698">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r>
                    <w:rPr>
                      <w:rFonts w:hint="eastAsia" w:ascii="Times New Roman" w:hAnsi="Times New Roman" w:eastAsia="宋体" w:cs="Times New Roman"/>
                      <w:color w:val="auto"/>
                      <w:szCs w:val="21"/>
                      <w:highlight w:val="none"/>
                      <w:lang w:val="en-US" w:eastAsia="zh-CN"/>
                    </w:rPr>
                    <w:t>不涉及</w:t>
                  </w:r>
                </w:p>
                <w:p w14:paraId="41E67D38">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p>
              </w:tc>
              <w:tc>
                <w:tcPr>
                  <w:tcW w:w="402" w:type="pct"/>
                  <w:noWrap w:val="0"/>
                  <w:vAlign w:val="center"/>
                </w:tcPr>
                <w:p w14:paraId="7F12D66F">
                  <w:pPr>
                    <w:pStyle w:val="43"/>
                    <w:keepNext w:val="0"/>
                    <w:keepLines w:val="0"/>
                    <w:pageBreakBefore w:val="0"/>
                    <w:widowControl w:val="0"/>
                    <w:kinsoku/>
                    <w:wordWrap/>
                    <w:overflowPunct/>
                    <w:topLinePunct w:val="0"/>
                    <w:bidi w:val="0"/>
                    <w:spacing w:line="240" w:lineRule="auto"/>
                    <w:ind w:firstLine="0" w:firstLineChars="0"/>
                    <w:jc w:val="center"/>
                    <w:textAlignment w:val="auto"/>
                    <w:rPr>
                      <w:rFonts w:hint="default"/>
                      <w:color w:val="auto"/>
                      <w:highlight w:val="none"/>
                      <w:lang w:val="en-US"/>
                    </w:rPr>
                  </w:pPr>
                  <w:r>
                    <w:rPr>
                      <w:bCs/>
                      <w:color w:val="auto"/>
                      <w:spacing w:val="-11"/>
                      <w:sz w:val="21"/>
                      <w:szCs w:val="21"/>
                      <w:highlight w:val="none"/>
                      <w:lang w:bidi="ar"/>
                    </w:rPr>
                    <w:t>符合</w:t>
                  </w:r>
                </w:p>
              </w:tc>
            </w:tr>
            <w:tr w14:paraId="162D825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7" w:hRule="atLeast"/>
                <w:jc w:val="center"/>
              </w:trPr>
              <w:tc>
                <w:tcPr>
                  <w:tcW w:w="301" w:type="pct"/>
                  <w:vMerge w:val="restart"/>
                  <w:noWrap w:val="0"/>
                  <w:vAlign w:val="center"/>
                </w:tcPr>
                <w:p w14:paraId="093D08F6">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color w:val="auto"/>
                      <w:highlight w:val="none"/>
                    </w:rPr>
                  </w:pPr>
                  <w:r>
                    <w:rPr>
                      <w:rFonts w:hint="eastAsia" w:ascii="Times New Roman" w:hAnsi="Times New Roman" w:eastAsia="宋体" w:cs="Times New Roman"/>
                      <w:color w:val="auto"/>
                      <w:kern w:val="0"/>
                      <w:sz w:val="21"/>
                      <w:szCs w:val="21"/>
                      <w:highlight w:val="none"/>
                      <w:lang w:val="en-US" w:eastAsia="zh-CN" w:bidi="ar"/>
                    </w:rPr>
                    <w:t>产业布局相关总体管控要求</w:t>
                  </w:r>
                </w:p>
                <w:p w14:paraId="6D2DBCE2">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645" w:type="pct"/>
                  <w:gridSpan w:val="4"/>
                  <w:noWrap w:val="0"/>
                  <w:vAlign w:val="center"/>
                </w:tcPr>
                <w:p w14:paraId="344822C3">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color w:val="auto"/>
                      <w:highlight w:val="none"/>
                    </w:rPr>
                  </w:pPr>
                </w:p>
                <w:p w14:paraId="16547502">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产业总</w:t>
                  </w:r>
                </w:p>
                <w:p w14:paraId="3389D4D3">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体布局</w:t>
                  </w:r>
                </w:p>
                <w:p w14:paraId="69A625D5">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color w:val="auto"/>
                      <w:highlight w:val="none"/>
                    </w:rPr>
                  </w:pPr>
                  <w:r>
                    <w:rPr>
                      <w:rFonts w:hint="eastAsia" w:ascii="Times New Roman" w:hAnsi="Times New Roman" w:eastAsia="宋体" w:cs="Times New Roman"/>
                      <w:color w:val="auto"/>
                      <w:kern w:val="0"/>
                      <w:sz w:val="21"/>
                      <w:szCs w:val="21"/>
                      <w:highlight w:val="none"/>
                      <w:lang w:val="en-US" w:eastAsia="zh-CN" w:bidi="ar"/>
                    </w:rPr>
                    <w:t>要求</w:t>
                  </w:r>
                </w:p>
                <w:p w14:paraId="5AA9FCB7">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2394" w:type="pct"/>
                  <w:noWrap w:val="0"/>
                  <w:vAlign w:val="center"/>
                </w:tcPr>
                <w:p w14:paraId="509355EE">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w:t>
                  </w:r>
                  <w:r>
                    <w:rPr>
                      <w:rFonts w:hint="eastAsia" w:ascii="Times New Roman" w:hAnsi="Times New Roman" w:eastAsia="宋体" w:cs="Times New Roman"/>
                      <w:color w:val="auto"/>
                      <w:kern w:val="0"/>
                      <w:sz w:val="21"/>
                      <w:szCs w:val="21"/>
                      <w:highlight w:val="none"/>
                      <w:lang w:val="en-US" w:eastAsia="zh-CN" w:bidi="ar"/>
                    </w:rPr>
                    <w:t>严格建设项目环境准入，新、改、扩建项目的环境影响评价应满足区域、规划环评要求。</w:t>
                  </w:r>
                </w:p>
                <w:p w14:paraId="187CF17D">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2.</w:t>
                  </w:r>
                  <w:r>
                    <w:rPr>
                      <w:rFonts w:hint="eastAsia" w:ascii="Times New Roman" w:hAnsi="Times New Roman" w:eastAsia="宋体" w:cs="Times New Roman"/>
                      <w:color w:val="auto"/>
                      <w:kern w:val="0"/>
                      <w:sz w:val="21"/>
                      <w:szCs w:val="21"/>
                      <w:highlight w:val="none"/>
                      <w:lang w:val="en-US" w:eastAsia="zh-CN" w:bidi="ar"/>
                    </w:rPr>
                    <w:t>新建、改建、扩建用煤项目，应当实行煤炭的等量或者减量替代，煤炭替代实行行业和地区差别政策。</w:t>
                  </w:r>
                </w:p>
                <w:p w14:paraId="5E86FBC8">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3.</w:t>
                  </w:r>
                  <w:r>
                    <w:rPr>
                      <w:rFonts w:hint="eastAsia" w:ascii="Times New Roman" w:hAnsi="Times New Roman" w:eastAsia="宋体" w:cs="Times New Roman"/>
                      <w:color w:val="auto"/>
                      <w:kern w:val="0"/>
                      <w:sz w:val="21"/>
                      <w:szCs w:val="21"/>
                      <w:highlight w:val="none"/>
                      <w:lang w:val="en-US" w:eastAsia="zh-CN" w:bidi="ar"/>
                    </w:rPr>
                    <w:t>严格执行国家《产业结构调整指导目录</w:t>
                  </w:r>
                  <w:r>
                    <w:rPr>
                      <w:rFonts w:hint="eastAsia" w:cs="Times New Roman"/>
                      <w:color w:val="auto"/>
                      <w:kern w:val="0"/>
                      <w:sz w:val="21"/>
                      <w:szCs w:val="21"/>
                      <w:highlight w:val="none"/>
                      <w:lang w:val="en-US" w:eastAsia="zh-CN" w:bidi="ar"/>
                    </w:rPr>
                    <w:t>》《</w:t>
                  </w:r>
                  <w:r>
                    <w:rPr>
                      <w:rFonts w:hint="eastAsia" w:ascii="Times New Roman" w:hAnsi="Times New Roman" w:eastAsia="宋体" w:cs="Times New Roman"/>
                      <w:color w:val="auto"/>
                      <w:kern w:val="0"/>
                      <w:sz w:val="21"/>
                      <w:szCs w:val="21"/>
                      <w:highlight w:val="none"/>
                      <w:lang w:val="en-US" w:eastAsia="zh-CN" w:bidi="ar"/>
                    </w:rPr>
                    <w:t>市场准入负面清单》以及《河北省新增限制和淘汰类产业目录》《河北省禁止投资的产业目录》中准入要求。</w:t>
                  </w:r>
                </w:p>
                <w:p w14:paraId="382D8157">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4.</w:t>
                  </w:r>
                  <w:r>
                    <w:rPr>
                      <w:rFonts w:hint="eastAsia" w:ascii="Times New Roman" w:hAnsi="Times New Roman" w:eastAsia="宋体" w:cs="Times New Roman"/>
                      <w:color w:val="auto"/>
                      <w:kern w:val="0"/>
                      <w:sz w:val="21"/>
                      <w:szCs w:val="21"/>
                      <w:highlight w:val="none"/>
                      <w:lang w:val="en-US" w:eastAsia="zh-CN" w:bidi="ar"/>
                    </w:rPr>
                    <w:t>严格控制《环境保护综合名录》中“高污染、高风险”产品加工项目，城市工业企业退城搬迁改造及产能置换项目除外。</w:t>
                  </w:r>
                </w:p>
                <w:p w14:paraId="4E844C28">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5.</w:t>
                  </w:r>
                  <w:r>
                    <w:rPr>
                      <w:rFonts w:hint="eastAsia" w:ascii="Times New Roman" w:hAnsi="Times New Roman" w:eastAsia="宋体" w:cs="Times New Roman"/>
                      <w:color w:val="auto"/>
                      <w:kern w:val="0"/>
                      <w:sz w:val="21"/>
                      <w:szCs w:val="21"/>
                      <w:highlight w:val="none"/>
                      <w:lang w:val="en-US" w:eastAsia="zh-CN" w:bidi="ar"/>
                    </w:rPr>
                    <w:t>新建项目一律不得违规占用河库管理范围。</w:t>
                  </w:r>
                </w:p>
                <w:p w14:paraId="4311C1E7">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6.</w:t>
                  </w:r>
                  <w:r>
                    <w:rPr>
                      <w:rFonts w:hint="eastAsia" w:ascii="Times New Roman" w:hAnsi="Times New Roman" w:eastAsia="宋体" w:cs="Times New Roman"/>
                      <w:color w:val="auto"/>
                      <w:kern w:val="0"/>
                      <w:sz w:val="21"/>
                      <w:szCs w:val="21"/>
                      <w:highlight w:val="none"/>
                      <w:lang w:val="en-US" w:eastAsia="zh-CN" w:bidi="ar"/>
                    </w:rPr>
                    <w:t>以石化、化工、涂装、医药、包装印刷、油品储运销等行业领域为重点，安全高效推进挥发性有机物（VOCs）综合治理，实施原辅材料和产品源头替代、无组织排放和末端深度治理等提升改造工程。</w:t>
                  </w:r>
                </w:p>
                <w:p w14:paraId="2DB2C5E7">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7.</w:t>
                  </w:r>
                  <w:r>
                    <w:rPr>
                      <w:rFonts w:hint="eastAsia" w:ascii="Times New Roman" w:hAnsi="Times New Roman" w:eastAsia="宋体" w:cs="Times New Roman"/>
                      <w:color w:val="auto"/>
                      <w:kern w:val="0"/>
                      <w:sz w:val="21"/>
                      <w:szCs w:val="21"/>
                      <w:highlight w:val="none"/>
                      <w:lang w:val="en-US" w:eastAsia="zh-CN" w:bidi="ar"/>
                    </w:rPr>
                    <w:t>灵寿县、赞皇县严格执行《灵寿县等22县（区）国家重点生态功能区产业准入负面清单（试行）》（冀发改规划〔2018〕920号）。</w:t>
                  </w:r>
                </w:p>
                <w:p w14:paraId="3B1E4F9C">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8.</w:t>
                  </w:r>
                  <w:r>
                    <w:rPr>
                      <w:rFonts w:hint="eastAsia" w:ascii="Times New Roman" w:hAnsi="Times New Roman" w:eastAsia="宋体" w:cs="Times New Roman"/>
                      <w:color w:val="auto"/>
                      <w:kern w:val="0"/>
                      <w:sz w:val="21"/>
                      <w:szCs w:val="21"/>
                      <w:highlight w:val="none"/>
                      <w:lang w:val="en-US" w:eastAsia="zh-CN" w:bidi="ar"/>
                    </w:rPr>
                    <w:t>锅炉大气污染物排放控制要求、污染物监测要求、达标判定要求按照河北省地标《锅炉大气污染物排放标准》（DB13/5161-2020）执行。</w:t>
                  </w:r>
                </w:p>
                <w:p w14:paraId="12D3BF9B">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9.</w:t>
                  </w:r>
                  <w:r>
                    <w:rPr>
                      <w:rFonts w:hint="eastAsia" w:ascii="Times New Roman" w:hAnsi="Times New Roman" w:eastAsia="宋体" w:cs="Times New Roman"/>
                      <w:color w:val="auto"/>
                      <w:kern w:val="0"/>
                      <w:sz w:val="21"/>
                      <w:szCs w:val="21"/>
                      <w:highlight w:val="none"/>
                      <w:lang w:val="en-US" w:eastAsia="zh-CN" w:bidi="ar"/>
                    </w:rPr>
                    <w:t>禁止在居民区和学校、医院、疗养院、养老院等单位周边新建、改建、扩建有色金属冶炼、石油加工、焦化、化工、电镀、制革等可能造成土壤污染的建设项目。</w:t>
                  </w:r>
                </w:p>
                <w:p w14:paraId="34401D13">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10.</w:t>
                  </w:r>
                  <w:r>
                    <w:rPr>
                      <w:rFonts w:hint="eastAsia" w:ascii="Times New Roman" w:hAnsi="Times New Roman" w:eastAsia="宋体" w:cs="Times New Roman"/>
                      <w:color w:val="auto"/>
                      <w:kern w:val="0"/>
                      <w:sz w:val="21"/>
                      <w:szCs w:val="21"/>
                      <w:highlight w:val="none"/>
                      <w:lang w:val="en-US" w:eastAsia="zh-CN" w:bidi="ar"/>
                    </w:rPr>
                    <w:t>在地下水超采区控制高耗水产业发展。</w:t>
                  </w:r>
                </w:p>
                <w:p w14:paraId="60971E5F">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11.</w:t>
                  </w:r>
                  <w:r>
                    <w:rPr>
                      <w:rFonts w:hint="eastAsia" w:ascii="Times New Roman" w:hAnsi="Times New Roman" w:eastAsia="宋体" w:cs="Times New Roman"/>
                      <w:color w:val="auto"/>
                      <w:kern w:val="0"/>
                      <w:sz w:val="21"/>
                      <w:szCs w:val="21"/>
                      <w:highlight w:val="none"/>
                      <w:lang w:val="en-US" w:eastAsia="zh-CN" w:bidi="ar"/>
                    </w:rPr>
                    <w:t>涉重金属重点行业企业“十四五”期间依法依规至少开展一轮强制性清洁生产审核，到2025年底，涉重金属重点行业企业基本达到国内清洁生产先进水平。</w:t>
                  </w:r>
                </w:p>
                <w:p w14:paraId="07506B6C">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12.</w:t>
                  </w:r>
                  <w:r>
                    <w:rPr>
                      <w:rFonts w:hint="eastAsia" w:ascii="Times New Roman" w:hAnsi="Times New Roman" w:eastAsia="宋体" w:cs="Times New Roman"/>
                      <w:color w:val="auto"/>
                      <w:kern w:val="0"/>
                      <w:sz w:val="21"/>
                      <w:szCs w:val="21"/>
                      <w:highlight w:val="none"/>
                      <w:lang w:val="en-US" w:eastAsia="zh-CN" w:bidi="ar"/>
                    </w:rPr>
                    <w:t>参照《关于进一步加强塑料污染治理的实施方案》要求，石家庄城市建成区和重点领域禁止、限制部分塑色产品，建设绿色工厂，打造绿色供应链，构建绿料制品的生产、销售和使用。</w:t>
                  </w:r>
                </w:p>
                <w:p w14:paraId="1D0FFB11">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color w:val="auto"/>
                      <w:highlight w:val="none"/>
                    </w:rPr>
                  </w:pPr>
                  <w:r>
                    <w:rPr>
                      <w:rFonts w:hint="eastAsia" w:cs="Times New Roman"/>
                      <w:color w:val="auto"/>
                      <w:kern w:val="0"/>
                      <w:sz w:val="21"/>
                      <w:szCs w:val="21"/>
                      <w:highlight w:val="none"/>
                      <w:lang w:val="en-US" w:eastAsia="zh-CN" w:bidi="ar"/>
                    </w:rPr>
                    <w:t>13.</w:t>
                  </w:r>
                  <w:r>
                    <w:rPr>
                      <w:rFonts w:hint="eastAsia" w:ascii="Times New Roman" w:hAnsi="Times New Roman" w:eastAsia="宋体" w:cs="Times New Roman"/>
                      <w:color w:val="auto"/>
                      <w:kern w:val="0"/>
                      <w:sz w:val="21"/>
                      <w:szCs w:val="21"/>
                      <w:highlight w:val="none"/>
                      <w:lang w:val="en-US" w:eastAsia="zh-CN" w:bidi="ar"/>
                    </w:rPr>
                    <w:t>实施制造业绿色改造重点专项，开展制造业绿色发展示范工程，推进生物医药、化工、钢铁等行业工艺技术装备绿色化改造。鼓励企业实施绿色战略、绿色标准、绿色管理和绿色生产，推行“互联网+绿色制造”模式，开发绿色制造体系。大力发展节能环保、清洁生产和清洁能源产业。在钢铁、火电、水泥、化工等重点行业推广低碳节能技术改造，探索开展碳捕集、利用与封存试验示范，控制工业领</w:t>
                  </w:r>
                  <w:r>
                    <w:rPr>
                      <w:rFonts w:hint="eastAsia" w:ascii="宋体" w:hAnsi="宋体" w:eastAsia="宋体" w:cs="宋体"/>
                      <w:color w:val="auto"/>
                      <w:kern w:val="0"/>
                      <w:sz w:val="19"/>
                      <w:szCs w:val="19"/>
                      <w:highlight w:val="none"/>
                      <w:lang w:val="en-US" w:eastAsia="zh-CN" w:bidi="ar"/>
                    </w:rPr>
                    <w:t>域温室气体排放。加快构建绿色低碳的综合交通运输体系，实施一批绿色公路、绿色机场等示范工程。全面推行清洁生产，推进钢铁、石化、建材、纺织、食品等重点行业强制性清洁生产审核。</w:t>
                  </w:r>
                </w:p>
                <w:p w14:paraId="645DAA41">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宋体" w:hAnsi="宋体" w:cs="宋体"/>
                      <w:color w:val="auto"/>
                      <w:kern w:val="0"/>
                      <w:sz w:val="19"/>
                      <w:szCs w:val="19"/>
                      <w:highlight w:val="none"/>
                      <w:lang w:val="en-US" w:eastAsia="zh-CN" w:bidi="ar"/>
                    </w:rPr>
                    <w:t>14.</w:t>
                  </w:r>
                  <w:r>
                    <w:rPr>
                      <w:rFonts w:hint="eastAsia" w:ascii="Times New Roman" w:hAnsi="Times New Roman" w:eastAsia="宋体" w:cs="Times New Roman"/>
                      <w:color w:val="auto"/>
                      <w:kern w:val="0"/>
                      <w:sz w:val="21"/>
                      <w:szCs w:val="21"/>
                      <w:highlight w:val="none"/>
                      <w:lang w:val="en-US" w:eastAsia="zh-CN" w:bidi="ar"/>
                    </w:rPr>
                    <w:t>新建、改建、扩建“两高”项目须符合生态环境保护法律法规和相关法定规划，满足重点污染物排放总量控制、碳排放达峰目标、生态环境准入清单、相关规划环评和相应行业建设项目环境准入条件、环评文件审批原则要求。新增主要污染物排放量的“两高”项目，严格落实生态环境部《关于加强重点行业建设项目区域削减措施监督管理的通知要求》，提出有效区域削减方案，主要污染物实行区域倍量削减，规范削减措施来源，强化建设单位、出让排量排污单位和地方政府责任，确保落实区域削减措施。</w:t>
                  </w:r>
                </w:p>
                <w:p w14:paraId="408F9EDF">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15.</w:t>
                  </w:r>
                  <w:r>
                    <w:rPr>
                      <w:rFonts w:hint="eastAsia" w:ascii="Times New Roman" w:hAnsi="Times New Roman" w:eastAsia="宋体" w:cs="Times New Roman"/>
                      <w:color w:val="auto"/>
                      <w:kern w:val="0"/>
                      <w:sz w:val="21"/>
                      <w:szCs w:val="21"/>
                      <w:highlight w:val="none"/>
                      <w:lang w:val="en-US" w:eastAsia="zh-CN" w:bidi="ar"/>
                    </w:rPr>
                    <w:t>省级人民政府及其有关部门批准设立的经济技术开发区、高新技术产业开发区、旅游度假区等产业园区及市级人民政府批准设立的各类产业园区，在编制开发建设有关规划时，应依法开展规划环评工作，编制环境影响报告书。涉及“一区多园”的产业园区，应整体开展规划环境影响评价（跟踪评价）工作，实现规划环评“一本制</w:t>
                  </w:r>
                  <w:r>
                    <w:rPr>
                      <w:rFonts w:hint="eastAsia" w:cs="Times New Roman"/>
                      <w:color w:val="auto"/>
                      <w:kern w:val="0"/>
                      <w:sz w:val="21"/>
                      <w:szCs w:val="21"/>
                      <w:highlight w:val="none"/>
                      <w:lang w:val="en-US" w:eastAsia="zh-CN" w:bidi="ar"/>
                    </w:rPr>
                    <w:t>”</w:t>
                  </w:r>
                  <w:r>
                    <w:rPr>
                      <w:rFonts w:hint="eastAsia" w:ascii="Times New Roman" w:hAnsi="Times New Roman" w:eastAsia="宋体" w:cs="Times New Roman"/>
                      <w:color w:val="auto"/>
                      <w:kern w:val="0"/>
                      <w:sz w:val="21"/>
                      <w:szCs w:val="21"/>
                      <w:highlight w:val="none"/>
                      <w:lang w:val="en-US" w:eastAsia="zh-CN" w:bidi="ar"/>
                    </w:rPr>
                    <w:t>。</w:t>
                  </w:r>
                </w:p>
              </w:tc>
              <w:tc>
                <w:tcPr>
                  <w:tcW w:w="1256" w:type="pct"/>
                  <w:noWrap w:val="0"/>
                  <w:vAlign w:val="center"/>
                </w:tcPr>
                <w:p w14:paraId="193143B4">
                  <w:pPr>
                    <w:keepNext w:val="0"/>
                    <w:keepLines w:val="0"/>
                    <w:pageBreakBefore w:val="0"/>
                    <w:widowControl w:val="0"/>
                    <w:numPr>
                      <w:ilvl w:val="0"/>
                      <w:numId w:val="10"/>
                    </w:numPr>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项目满足已批复规划环评要求；</w:t>
                  </w:r>
                </w:p>
                <w:p w14:paraId="29329082">
                  <w:pPr>
                    <w:keepNext w:val="0"/>
                    <w:keepLines w:val="0"/>
                    <w:pageBreakBefore w:val="0"/>
                    <w:widowControl w:val="0"/>
                    <w:numPr>
                      <w:ilvl w:val="0"/>
                      <w:numId w:val="10"/>
                    </w:numPr>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不涉及；</w:t>
                  </w:r>
                </w:p>
                <w:p w14:paraId="321EAC9B">
                  <w:pPr>
                    <w:keepNext w:val="0"/>
                    <w:keepLines w:val="0"/>
                    <w:pageBreakBefore w:val="0"/>
                    <w:widowControl w:val="0"/>
                    <w:numPr>
                      <w:ilvl w:val="0"/>
                      <w:numId w:val="10"/>
                    </w:numPr>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本</w:t>
                  </w:r>
                  <w:r>
                    <w:rPr>
                      <w:rFonts w:hint="eastAsia" w:ascii="Times New Roman" w:hAnsi="Times New Roman" w:eastAsia="宋体" w:cs="Times New Roman"/>
                      <w:color w:val="auto"/>
                      <w:kern w:val="0"/>
                      <w:sz w:val="21"/>
                      <w:szCs w:val="21"/>
                      <w:highlight w:val="none"/>
                      <w:lang w:val="en-US" w:eastAsia="zh-CN" w:bidi="ar"/>
                    </w:rPr>
                    <w:t>项目</w:t>
                  </w:r>
                  <w:r>
                    <w:rPr>
                      <w:rFonts w:hint="eastAsia" w:cs="Times New Roman"/>
                      <w:color w:val="auto"/>
                      <w:kern w:val="0"/>
                      <w:sz w:val="21"/>
                      <w:szCs w:val="21"/>
                      <w:highlight w:val="none"/>
                      <w:lang w:val="en-US" w:eastAsia="zh-CN" w:bidi="ar"/>
                    </w:rPr>
                    <w:t>属于</w:t>
                  </w:r>
                  <w:r>
                    <w:rPr>
                      <w:rFonts w:hint="eastAsia" w:ascii="Times New Roman" w:hAnsi="Times New Roman" w:eastAsia="宋体" w:cs="Times New Roman"/>
                      <w:color w:val="auto"/>
                      <w:kern w:val="0"/>
                      <w:sz w:val="21"/>
                      <w:szCs w:val="21"/>
                      <w:highlight w:val="none"/>
                      <w:lang w:val="en-US" w:eastAsia="zh-CN" w:bidi="ar"/>
                    </w:rPr>
                    <w:t>《产业结构调整指导目录</w:t>
                  </w:r>
                  <w:r>
                    <w:rPr>
                      <w:rFonts w:hint="eastAsia" w:ascii="Times New Roman" w:hAnsi="Times New Roman" w:cs="Times New Roman"/>
                      <w:color w:val="auto"/>
                      <w:kern w:val="0"/>
                      <w:sz w:val="21"/>
                      <w:szCs w:val="21"/>
                      <w:highlight w:val="none"/>
                      <w:lang w:val="en-US" w:eastAsia="zh-CN" w:bidi="ar"/>
                    </w:rPr>
                    <w:t>（</w:t>
                  </w:r>
                  <w:r>
                    <w:rPr>
                      <w:rFonts w:hint="eastAsia" w:cs="Times New Roman"/>
                      <w:color w:val="auto"/>
                      <w:kern w:val="0"/>
                      <w:sz w:val="21"/>
                      <w:szCs w:val="21"/>
                      <w:highlight w:val="none"/>
                      <w:lang w:val="en-US" w:eastAsia="zh-CN" w:bidi="ar"/>
                    </w:rPr>
                    <w:t>2024</w:t>
                  </w:r>
                  <w:r>
                    <w:rPr>
                      <w:rFonts w:hint="eastAsia" w:ascii="Times New Roman" w:hAnsi="Times New Roman" w:cs="Times New Roman"/>
                      <w:color w:val="auto"/>
                      <w:kern w:val="0"/>
                      <w:sz w:val="21"/>
                      <w:szCs w:val="21"/>
                      <w:highlight w:val="none"/>
                      <w:lang w:val="en-US" w:eastAsia="zh-CN" w:bidi="ar"/>
                    </w:rPr>
                    <w:t>）</w:t>
                  </w:r>
                  <w:r>
                    <w:rPr>
                      <w:rFonts w:hint="eastAsia" w:ascii="Times New Roman" w:hAnsi="Times New Roman" w:eastAsia="宋体" w:cs="Times New Roman"/>
                      <w:color w:val="auto"/>
                      <w:kern w:val="0"/>
                      <w:sz w:val="21"/>
                      <w:szCs w:val="21"/>
                      <w:highlight w:val="none"/>
                      <w:lang w:val="en-US" w:eastAsia="zh-CN" w:bidi="ar"/>
                    </w:rPr>
                    <w:t>》</w:t>
                  </w:r>
                  <w:r>
                    <w:rPr>
                      <w:rFonts w:hint="eastAsia" w:cs="Times New Roman"/>
                      <w:color w:val="auto"/>
                      <w:kern w:val="0"/>
                      <w:sz w:val="21"/>
                      <w:szCs w:val="21"/>
                      <w:highlight w:val="none"/>
                      <w:lang w:val="en-US" w:eastAsia="zh-CN" w:bidi="ar"/>
                    </w:rPr>
                    <w:t>中允许类</w:t>
                  </w:r>
                  <w:r>
                    <w:rPr>
                      <w:rFonts w:hint="eastAsia" w:ascii="Times New Roman" w:hAnsi="Times New Roman" w:eastAsia="宋体" w:cs="Times New Roman"/>
                      <w:color w:val="auto"/>
                      <w:kern w:val="0"/>
                      <w:sz w:val="21"/>
                      <w:szCs w:val="21"/>
                      <w:highlight w:val="none"/>
                      <w:lang w:val="en-US" w:eastAsia="zh-CN" w:bidi="ar"/>
                    </w:rPr>
                    <w:t>、</w:t>
                  </w:r>
                  <w:r>
                    <w:rPr>
                      <w:rFonts w:hint="eastAsia" w:cs="Times New Roman"/>
                      <w:color w:val="auto"/>
                      <w:kern w:val="0"/>
                      <w:sz w:val="21"/>
                      <w:szCs w:val="21"/>
                      <w:highlight w:val="none"/>
                      <w:lang w:val="en-US" w:eastAsia="zh-CN" w:bidi="ar"/>
                    </w:rPr>
                    <w:t>符合</w:t>
                  </w:r>
                  <w:r>
                    <w:rPr>
                      <w:rFonts w:hint="eastAsia" w:ascii="Times New Roman" w:hAnsi="Times New Roman" w:eastAsia="宋体" w:cs="Times New Roman"/>
                      <w:color w:val="auto"/>
                      <w:kern w:val="0"/>
                      <w:sz w:val="21"/>
                      <w:szCs w:val="21"/>
                      <w:highlight w:val="none"/>
                      <w:lang w:val="en-US" w:eastAsia="zh-CN" w:bidi="ar"/>
                    </w:rPr>
                    <w:t>《市场准入负面清单》的要求；</w:t>
                  </w:r>
                </w:p>
                <w:p w14:paraId="4186FA7F">
                  <w:pPr>
                    <w:keepNext w:val="0"/>
                    <w:keepLines w:val="0"/>
                    <w:pageBreakBefore w:val="0"/>
                    <w:widowControl w:val="0"/>
                    <w:numPr>
                      <w:ilvl w:val="0"/>
                      <w:numId w:val="10"/>
                    </w:numPr>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项目不属于《环境保护综合名录》中产品加工项目；</w:t>
                  </w:r>
                </w:p>
                <w:p w14:paraId="58FB350D">
                  <w:pPr>
                    <w:keepNext w:val="0"/>
                    <w:keepLines w:val="0"/>
                    <w:pageBreakBefore w:val="0"/>
                    <w:widowControl w:val="0"/>
                    <w:numPr>
                      <w:ilvl w:val="0"/>
                      <w:numId w:val="10"/>
                    </w:numPr>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项目位于河北行唐经济开发区，不占用河库管理范围；</w:t>
                  </w:r>
                </w:p>
                <w:p w14:paraId="77589E00">
                  <w:pPr>
                    <w:keepNext w:val="0"/>
                    <w:keepLines w:val="0"/>
                    <w:pageBreakBefore w:val="0"/>
                    <w:widowControl w:val="0"/>
                    <w:numPr>
                      <w:ilvl w:val="0"/>
                      <w:numId w:val="0"/>
                    </w:numPr>
                    <w:suppressLineNumbers w:val="0"/>
                    <w:tabs>
                      <w:tab w:val="center" w:pos="1326"/>
                    </w:tabs>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6~1</w:t>
                  </w:r>
                  <w:r>
                    <w:rPr>
                      <w:rFonts w:hint="eastAsia" w:cs="Times New Roman"/>
                      <w:color w:val="auto"/>
                      <w:kern w:val="0"/>
                      <w:sz w:val="21"/>
                      <w:szCs w:val="21"/>
                      <w:highlight w:val="none"/>
                      <w:lang w:val="en-US" w:eastAsia="zh-CN" w:bidi="ar"/>
                    </w:rPr>
                    <w:t>1</w:t>
                  </w:r>
                  <w:r>
                    <w:rPr>
                      <w:rFonts w:hint="eastAsia" w:ascii="Times New Roman" w:hAnsi="Times New Roman" w:eastAsia="宋体" w:cs="Times New Roman"/>
                      <w:color w:val="auto"/>
                      <w:kern w:val="0"/>
                      <w:sz w:val="21"/>
                      <w:szCs w:val="21"/>
                      <w:highlight w:val="none"/>
                      <w:lang w:val="en-US" w:eastAsia="zh-CN" w:bidi="ar"/>
                    </w:rPr>
                    <w:t>、不涉及；</w:t>
                  </w:r>
                </w:p>
                <w:p w14:paraId="2C6BC27C">
                  <w:pPr>
                    <w:keepNext w:val="0"/>
                    <w:keepLines w:val="0"/>
                    <w:pageBreakBefore w:val="0"/>
                    <w:widowControl w:val="0"/>
                    <w:numPr>
                      <w:ilvl w:val="0"/>
                      <w:numId w:val="9"/>
                    </w:numPr>
                    <w:suppressLineNumbers w:val="0"/>
                    <w:tabs>
                      <w:tab w:val="center" w:pos="1326"/>
                    </w:tabs>
                    <w:kinsoku/>
                    <w:wordWrap/>
                    <w:overflowPunct/>
                    <w:topLinePunct w:val="0"/>
                    <w:bidi w:val="0"/>
                    <w:spacing w:line="240" w:lineRule="auto"/>
                    <w:ind w:left="0" w:leftChars="0"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项目不属于</w:t>
                  </w:r>
                  <w:r>
                    <w:rPr>
                      <w:rFonts w:hint="eastAsia" w:ascii="Times New Roman" w:hAnsi="Times New Roman" w:eastAsia="宋体" w:cs="Times New Roman"/>
                      <w:color w:val="auto"/>
                      <w:kern w:val="0"/>
                      <w:sz w:val="21"/>
                      <w:szCs w:val="21"/>
                      <w:highlight w:val="none"/>
                      <w:lang w:val="en-US" w:eastAsia="zh-CN" w:bidi="ar"/>
                    </w:rPr>
                    <w:t>《关于进一步加强塑料污染治理的实施方案》中禁限制类产品；</w:t>
                  </w:r>
                </w:p>
                <w:p w14:paraId="58AC7486">
                  <w:pPr>
                    <w:keepNext w:val="0"/>
                    <w:keepLines w:val="0"/>
                    <w:pageBreakBefore w:val="0"/>
                    <w:widowControl w:val="0"/>
                    <w:numPr>
                      <w:ilvl w:val="0"/>
                      <w:numId w:val="9"/>
                    </w:numPr>
                    <w:suppressLineNumbers w:val="0"/>
                    <w:tabs>
                      <w:tab w:val="center" w:pos="1326"/>
                    </w:tabs>
                    <w:kinsoku/>
                    <w:wordWrap/>
                    <w:overflowPunct/>
                    <w:topLinePunct w:val="0"/>
                    <w:bidi w:val="0"/>
                    <w:spacing w:line="240" w:lineRule="auto"/>
                    <w:ind w:left="0" w:leftChars="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不涉及；</w:t>
                  </w:r>
                </w:p>
                <w:p w14:paraId="257C3CED">
                  <w:pPr>
                    <w:keepNext w:val="0"/>
                    <w:keepLines w:val="0"/>
                    <w:pageBreakBefore w:val="0"/>
                    <w:widowControl w:val="0"/>
                    <w:numPr>
                      <w:ilvl w:val="0"/>
                      <w:numId w:val="9"/>
                    </w:numPr>
                    <w:suppressLineNumbers w:val="0"/>
                    <w:tabs>
                      <w:tab w:val="center" w:pos="1326"/>
                    </w:tabs>
                    <w:kinsoku/>
                    <w:wordWrap/>
                    <w:overflowPunct/>
                    <w:topLinePunct w:val="0"/>
                    <w:bidi w:val="0"/>
                    <w:spacing w:line="240" w:lineRule="auto"/>
                    <w:ind w:left="0" w:leftChars="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不涉及；</w:t>
                  </w:r>
                </w:p>
                <w:p w14:paraId="0265D027">
                  <w:pPr>
                    <w:keepNext w:val="0"/>
                    <w:keepLines w:val="0"/>
                    <w:pageBreakBefore w:val="0"/>
                    <w:widowControl w:val="0"/>
                    <w:numPr>
                      <w:ilvl w:val="0"/>
                      <w:numId w:val="9"/>
                    </w:numPr>
                    <w:suppressLineNumbers w:val="0"/>
                    <w:tabs>
                      <w:tab w:val="center" w:pos="1326"/>
                    </w:tabs>
                    <w:kinsoku/>
                    <w:wordWrap/>
                    <w:overflowPunct/>
                    <w:topLinePunct w:val="0"/>
                    <w:bidi w:val="0"/>
                    <w:spacing w:line="240" w:lineRule="auto"/>
                    <w:ind w:left="0" w:leftChars="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《河北行唐经济开发区控制性详细规划环境影响报告书》</w:t>
                  </w:r>
                  <w:r>
                    <w:rPr>
                      <w:rFonts w:hint="eastAsia" w:cs="Times New Roman"/>
                      <w:color w:val="auto"/>
                      <w:kern w:val="0"/>
                      <w:sz w:val="21"/>
                      <w:szCs w:val="21"/>
                      <w:highlight w:val="none"/>
                      <w:lang w:val="en-US" w:eastAsia="zh-CN" w:bidi="ar"/>
                    </w:rPr>
                    <w:t>已审批完成</w:t>
                  </w:r>
                </w:p>
              </w:tc>
              <w:tc>
                <w:tcPr>
                  <w:tcW w:w="402" w:type="pct"/>
                  <w:noWrap w:val="0"/>
                  <w:vAlign w:val="center"/>
                </w:tcPr>
                <w:p w14:paraId="29434AB8">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bCs/>
                      <w:color w:val="auto"/>
                      <w:spacing w:val="-11"/>
                      <w:sz w:val="21"/>
                      <w:szCs w:val="21"/>
                      <w:highlight w:val="none"/>
                      <w:lang w:bidi="ar"/>
                    </w:rPr>
                    <w:t>符合</w:t>
                  </w:r>
                </w:p>
              </w:tc>
            </w:tr>
            <w:tr w14:paraId="4E6C2B3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364" w:hRule="atLeast"/>
                <w:jc w:val="center"/>
              </w:trPr>
              <w:tc>
                <w:tcPr>
                  <w:tcW w:w="301" w:type="pct"/>
                  <w:vMerge w:val="continue"/>
                  <w:noWrap w:val="0"/>
                  <w:vAlign w:val="center"/>
                </w:tcPr>
                <w:p w14:paraId="4E1CC116">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645" w:type="pct"/>
                  <w:gridSpan w:val="4"/>
                  <w:noWrap w:val="0"/>
                  <w:vAlign w:val="center"/>
                </w:tcPr>
                <w:p w14:paraId="4B6706A0">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color w:val="auto"/>
                      <w:highlight w:val="none"/>
                    </w:rPr>
                  </w:pPr>
                  <w:r>
                    <w:rPr>
                      <w:rFonts w:hint="eastAsia" w:ascii="Times New Roman" w:hAnsi="Times New Roman" w:eastAsia="宋体" w:cs="Times New Roman"/>
                      <w:color w:val="auto"/>
                      <w:kern w:val="0"/>
                      <w:sz w:val="21"/>
                      <w:szCs w:val="21"/>
                      <w:highlight w:val="none"/>
                      <w:lang w:val="en-US" w:eastAsia="zh-CN" w:bidi="ar"/>
                    </w:rPr>
                    <w:t>项目入园准入要求</w:t>
                  </w:r>
                </w:p>
                <w:p w14:paraId="14FE775B">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2394" w:type="pct"/>
                  <w:noWrap w:val="0"/>
                  <w:vAlign w:val="center"/>
                </w:tcPr>
                <w:p w14:paraId="039789FE">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w:t>
                  </w:r>
                  <w:r>
                    <w:rPr>
                      <w:rFonts w:hint="eastAsia" w:ascii="Times New Roman" w:hAnsi="Times New Roman" w:eastAsia="宋体" w:cs="Times New Roman"/>
                      <w:color w:val="auto"/>
                      <w:kern w:val="0"/>
                      <w:sz w:val="21"/>
                      <w:szCs w:val="21"/>
                      <w:highlight w:val="none"/>
                      <w:lang w:val="en-US" w:eastAsia="zh-CN" w:bidi="ar"/>
                    </w:rPr>
                    <w:t>县级以下原则不再建设新的园区，造纸、焦化、氮肥、有色金属、印染、原料药制造、皮革、农药、电镀、钢铁、石灰、平板玻璃、石化、化工等高污染工业项目必须入园进区。被认定为重点监控点的化工企业，可按照《河北省人民政府办公厅关于印发河北省化工重点监控点认定办法的通知》（冀政办字〔2021〕122号）相关要求执行。</w:t>
                  </w:r>
                </w:p>
                <w:p w14:paraId="3A9907F1">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2.</w:t>
                  </w:r>
                  <w:r>
                    <w:rPr>
                      <w:rFonts w:hint="eastAsia" w:ascii="Times New Roman" w:hAnsi="Times New Roman" w:eastAsia="宋体" w:cs="Times New Roman"/>
                      <w:color w:val="auto"/>
                      <w:kern w:val="0"/>
                      <w:sz w:val="21"/>
                      <w:szCs w:val="21"/>
                      <w:highlight w:val="none"/>
                      <w:lang w:val="en-US" w:eastAsia="zh-CN" w:bidi="ar"/>
                    </w:rPr>
                    <w:t>加强园区规划及环评时效性。现有县市级工</w:t>
                  </w:r>
                  <w:r>
                    <w:rPr>
                      <w:rFonts w:hint="eastAsia" w:cs="Times New Roman"/>
                      <w:color w:val="auto"/>
                      <w:kern w:val="0"/>
                      <w:sz w:val="21"/>
                      <w:szCs w:val="21"/>
                      <w:highlight w:val="none"/>
                      <w:lang w:val="en-US" w:eastAsia="zh-CN" w:bidi="ar"/>
                    </w:rPr>
                    <w:t>业园</w:t>
                  </w:r>
                  <w:r>
                    <w:rPr>
                      <w:rFonts w:hint="eastAsia" w:ascii="Times New Roman" w:hAnsi="Times New Roman" w:eastAsia="宋体" w:cs="Times New Roman"/>
                      <w:color w:val="auto"/>
                      <w:kern w:val="0"/>
                      <w:sz w:val="21"/>
                      <w:szCs w:val="21"/>
                      <w:highlight w:val="none"/>
                      <w:lang w:val="en-US" w:eastAsia="zh-CN" w:bidi="ar"/>
                    </w:rPr>
                    <w:t>区在遵从规划、规划环评及跟踪评价的要求前提下，严格遵循全省、地市及对应单元生态环境准入要求。</w:t>
                  </w:r>
                </w:p>
                <w:p w14:paraId="1A7AE6D2">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3.</w:t>
                  </w:r>
                  <w:r>
                    <w:rPr>
                      <w:rFonts w:hint="eastAsia" w:ascii="Times New Roman" w:hAnsi="Times New Roman" w:eastAsia="宋体" w:cs="Times New Roman"/>
                      <w:color w:val="auto"/>
                      <w:kern w:val="0"/>
                      <w:sz w:val="21"/>
                      <w:szCs w:val="21"/>
                      <w:highlight w:val="none"/>
                      <w:lang w:val="en-US" w:eastAsia="zh-CN" w:bidi="ar"/>
                    </w:rPr>
                    <w:t>对新设立或扩区未开展规划环评的园区，规划定位、范围、布局、结构、规模等发生调整未开展规划环评调整的以及规划实施已超过5年未进行规划环境影响跟踪评价的园区，督促园区管委会抓紧整改。</w:t>
                  </w:r>
                </w:p>
                <w:p w14:paraId="4015C41E">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4.</w:t>
                  </w:r>
                  <w:r>
                    <w:rPr>
                      <w:rFonts w:hint="eastAsia" w:ascii="Times New Roman" w:hAnsi="Times New Roman" w:eastAsia="宋体" w:cs="Times New Roman"/>
                      <w:color w:val="auto"/>
                      <w:kern w:val="0"/>
                      <w:sz w:val="21"/>
                      <w:szCs w:val="21"/>
                      <w:highlight w:val="none"/>
                      <w:lang w:val="en-US" w:eastAsia="zh-CN" w:bidi="ar"/>
                    </w:rPr>
                    <w:t>各级行政审批部门应把规划环评结论及审查意见的符合性作为入园建设项目环评审批的重要依据。严格落实产业园区规划环评对项目环评的指导要求，规划环评提出需要深入论证的，在项目环评审批阶段应重点把关。按要求可以简化内容的项目环评，不再增加相关环评内容要求。</w:t>
                  </w:r>
                </w:p>
              </w:tc>
              <w:tc>
                <w:tcPr>
                  <w:tcW w:w="1256" w:type="pct"/>
                  <w:noWrap w:val="0"/>
                  <w:vAlign w:val="center"/>
                </w:tcPr>
                <w:p w14:paraId="38D80F00">
                  <w:pPr>
                    <w:keepNext w:val="0"/>
                    <w:keepLines w:val="0"/>
                    <w:pageBreakBefore w:val="0"/>
                    <w:widowControl w:val="0"/>
                    <w:numPr>
                      <w:ilvl w:val="0"/>
                      <w:numId w:val="11"/>
                    </w:numPr>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szCs w:val="21"/>
                      <w:highlight w:val="none"/>
                      <w:lang w:val="zh-CN" w:bidi="zh-CN"/>
                    </w:rPr>
                  </w:pPr>
                  <w:r>
                    <w:rPr>
                      <w:rFonts w:hint="eastAsia" w:ascii="Times New Roman" w:hAnsi="Times New Roman" w:eastAsia="宋体" w:cs="Times New Roman"/>
                      <w:color w:val="auto"/>
                      <w:szCs w:val="21"/>
                      <w:highlight w:val="none"/>
                      <w:lang w:val="zh-CN" w:bidi="zh-CN"/>
                    </w:rPr>
                    <w:t>项目位于河北行唐经济开发区；</w:t>
                  </w:r>
                </w:p>
                <w:p w14:paraId="65ADDA96">
                  <w:pPr>
                    <w:keepNext w:val="0"/>
                    <w:keepLines w:val="0"/>
                    <w:pageBreakBefore w:val="0"/>
                    <w:widowControl w:val="0"/>
                    <w:numPr>
                      <w:ilvl w:val="0"/>
                      <w:numId w:val="11"/>
                    </w:numPr>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不涉及；</w:t>
                  </w:r>
                </w:p>
                <w:p w14:paraId="28658B5F">
                  <w:pPr>
                    <w:keepNext w:val="0"/>
                    <w:keepLines w:val="0"/>
                    <w:pageBreakBefore w:val="0"/>
                    <w:widowControl w:val="0"/>
                    <w:numPr>
                      <w:ilvl w:val="0"/>
                      <w:numId w:val="11"/>
                    </w:numPr>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不涉及；</w:t>
                  </w:r>
                </w:p>
                <w:p w14:paraId="6AF75C66">
                  <w:pPr>
                    <w:keepNext w:val="0"/>
                    <w:keepLines w:val="0"/>
                    <w:pageBreakBefore w:val="0"/>
                    <w:widowControl w:val="0"/>
                    <w:numPr>
                      <w:ilvl w:val="0"/>
                      <w:numId w:val="11"/>
                    </w:numPr>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不涉及</w:t>
                  </w:r>
                  <w:r>
                    <w:rPr>
                      <w:rFonts w:hint="eastAsia" w:ascii="Times New Roman" w:hAnsi="Times New Roman" w:eastAsia="宋体" w:cs="Times New Roman"/>
                      <w:color w:val="auto"/>
                      <w:kern w:val="0"/>
                      <w:sz w:val="21"/>
                      <w:szCs w:val="21"/>
                      <w:highlight w:val="none"/>
                      <w:lang w:val="en-US" w:eastAsia="zh-CN" w:bidi="ar"/>
                    </w:rPr>
                    <w:t>。</w:t>
                  </w:r>
                </w:p>
              </w:tc>
              <w:tc>
                <w:tcPr>
                  <w:tcW w:w="402" w:type="pct"/>
                  <w:noWrap w:val="0"/>
                  <w:vAlign w:val="center"/>
                </w:tcPr>
                <w:p w14:paraId="01979E73">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bCs/>
                      <w:color w:val="auto"/>
                      <w:spacing w:val="-11"/>
                      <w:sz w:val="21"/>
                      <w:szCs w:val="21"/>
                      <w:highlight w:val="none"/>
                      <w:lang w:bidi="ar"/>
                    </w:rPr>
                    <w:t>符合</w:t>
                  </w:r>
                </w:p>
              </w:tc>
            </w:tr>
            <w:tr w14:paraId="725949B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315" w:hRule="atLeast"/>
                <w:jc w:val="center"/>
              </w:trPr>
              <w:tc>
                <w:tcPr>
                  <w:tcW w:w="301" w:type="pct"/>
                  <w:vMerge w:val="restart"/>
                  <w:noWrap w:val="0"/>
                  <w:vAlign w:val="center"/>
                </w:tcPr>
                <w:p w14:paraId="2BB12966">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行</w:t>
                  </w:r>
                </w:p>
                <w:p w14:paraId="44BA83C4">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唐</w:t>
                  </w:r>
                </w:p>
                <w:p w14:paraId="577AA9B3">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县</w:t>
                  </w:r>
                </w:p>
                <w:p w14:paraId="76A62A36">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300" w:type="pct"/>
                  <w:gridSpan w:val="2"/>
                  <w:vMerge w:val="restart"/>
                  <w:noWrap w:val="0"/>
                  <w:vAlign w:val="center"/>
                </w:tcPr>
                <w:p w14:paraId="33BC7FFD">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重点管控单</w:t>
                  </w:r>
                </w:p>
                <w:p w14:paraId="4ED6AC06">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元2——河北行唐经济开发区（南区）</w:t>
                  </w:r>
                </w:p>
                <w:p w14:paraId="4D755555">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p>
                <w:p w14:paraId="5DC00552">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345" w:type="pct"/>
                  <w:gridSpan w:val="2"/>
                  <w:noWrap w:val="0"/>
                  <w:vAlign w:val="center"/>
                </w:tcPr>
                <w:p w14:paraId="3BD606A4">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空间布局约束</w:t>
                  </w:r>
                </w:p>
                <w:p w14:paraId="33D27789">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2394" w:type="pct"/>
                  <w:noWrap w:val="0"/>
                  <w:vAlign w:val="center"/>
                </w:tcPr>
                <w:p w14:paraId="23BFA138">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w:t>
                  </w:r>
                  <w:r>
                    <w:rPr>
                      <w:rFonts w:hint="eastAsia" w:ascii="Times New Roman" w:hAnsi="Times New Roman" w:eastAsia="宋体" w:cs="Times New Roman"/>
                      <w:color w:val="auto"/>
                      <w:kern w:val="0"/>
                      <w:sz w:val="21"/>
                      <w:szCs w:val="21"/>
                      <w:highlight w:val="none"/>
                      <w:lang w:val="en-US" w:eastAsia="zh-CN" w:bidi="ar"/>
                    </w:rPr>
                    <w:t>严格落实国家、河北省以及石家庄市最新产业目录准入要求。</w:t>
                  </w:r>
                </w:p>
                <w:p w14:paraId="325D90F2">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2.</w:t>
                  </w:r>
                  <w:r>
                    <w:rPr>
                      <w:rFonts w:hint="eastAsia" w:ascii="Times New Roman" w:hAnsi="Times New Roman" w:eastAsia="宋体" w:cs="Times New Roman"/>
                      <w:color w:val="auto"/>
                      <w:kern w:val="0"/>
                      <w:sz w:val="21"/>
                      <w:szCs w:val="21"/>
                      <w:highlight w:val="none"/>
                      <w:lang w:val="en-US" w:eastAsia="zh-CN" w:bidi="ar"/>
                    </w:rPr>
                    <w:t>严格落实最新规划环评及其批复文件制定的环境准入要求。</w:t>
                  </w:r>
                </w:p>
              </w:tc>
              <w:tc>
                <w:tcPr>
                  <w:tcW w:w="1256" w:type="pct"/>
                  <w:noWrap w:val="0"/>
                  <w:vAlign w:val="center"/>
                </w:tcPr>
                <w:p w14:paraId="4648037F">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本项目</w:t>
                  </w:r>
                  <w:r>
                    <w:rPr>
                      <w:rFonts w:hint="eastAsia" w:ascii="Times New Roman" w:hAnsi="Times New Roman" w:eastAsia="宋体" w:cs="Times New Roman"/>
                      <w:color w:val="auto"/>
                      <w:kern w:val="0"/>
                      <w:sz w:val="21"/>
                      <w:szCs w:val="21"/>
                      <w:highlight w:val="none"/>
                      <w:lang w:val="en-US" w:eastAsia="zh-CN" w:bidi="ar"/>
                    </w:rPr>
                    <w:t>符合国家及地方最新产业目录要求；严格落实最新规划环评及其批复文件制定的环境准入要求。</w:t>
                  </w:r>
                </w:p>
              </w:tc>
              <w:tc>
                <w:tcPr>
                  <w:tcW w:w="402" w:type="pct"/>
                  <w:noWrap w:val="0"/>
                  <w:vAlign w:val="center"/>
                </w:tcPr>
                <w:p w14:paraId="0F5F9AB1">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bCs/>
                      <w:color w:val="auto"/>
                      <w:spacing w:val="-11"/>
                      <w:sz w:val="21"/>
                      <w:szCs w:val="21"/>
                      <w:highlight w:val="none"/>
                      <w:lang w:bidi="ar"/>
                    </w:rPr>
                    <w:t>符合</w:t>
                  </w:r>
                </w:p>
              </w:tc>
            </w:tr>
            <w:tr w14:paraId="42977DC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093" w:hRule="atLeast"/>
                <w:jc w:val="center"/>
              </w:trPr>
              <w:tc>
                <w:tcPr>
                  <w:tcW w:w="301" w:type="pct"/>
                  <w:vMerge w:val="continue"/>
                  <w:noWrap w:val="0"/>
                  <w:vAlign w:val="center"/>
                </w:tcPr>
                <w:p w14:paraId="5410C1FE">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300" w:type="pct"/>
                  <w:gridSpan w:val="2"/>
                  <w:vMerge w:val="continue"/>
                  <w:noWrap w:val="0"/>
                  <w:vAlign w:val="center"/>
                </w:tcPr>
                <w:p w14:paraId="1ED68167">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345" w:type="pct"/>
                  <w:gridSpan w:val="2"/>
                  <w:noWrap w:val="0"/>
                  <w:vAlign w:val="center"/>
                </w:tcPr>
                <w:p w14:paraId="5AEB4256">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污染物排放管</w:t>
                  </w:r>
                </w:p>
                <w:p w14:paraId="773093D8">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r>
                    <w:rPr>
                      <w:rFonts w:hint="eastAsia" w:ascii="Times New Roman" w:hAnsi="Times New Roman" w:eastAsia="宋体" w:cs="Times New Roman"/>
                      <w:color w:val="auto"/>
                      <w:kern w:val="0"/>
                      <w:sz w:val="21"/>
                      <w:szCs w:val="21"/>
                      <w:highlight w:val="none"/>
                      <w:lang w:val="en-US" w:eastAsia="zh-CN" w:bidi="ar"/>
                    </w:rPr>
                    <w:t>控</w:t>
                  </w:r>
                </w:p>
              </w:tc>
              <w:tc>
                <w:tcPr>
                  <w:tcW w:w="2394" w:type="pct"/>
                  <w:noWrap w:val="0"/>
                  <w:vAlign w:val="center"/>
                </w:tcPr>
                <w:p w14:paraId="6DB4BB6D">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w:t>
                  </w:r>
                  <w:r>
                    <w:rPr>
                      <w:rFonts w:hint="eastAsia" w:ascii="Times New Roman" w:hAnsi="Times New Roman" w:eastAsia="宋体" w:cs="Times New Roman"/>
                      <w:color w:val="auto"/>
                      <w:kern w:val="0"/>
                      <w:sz w:val="21"/>
                      <w:szCs w:val="21"/>
                      <w:highlight w:val="none"/>
                      <w:lang w:val="en-US" w:eastAsia="zh-CN" w:bidi="ar"/>
                    </w:rPr>
                    <w:t>行唐县第二污水处理厂出水水质执行《大清河流域水污染物排放标准》重点控制区排污标准。</w:t>
                  </w:r>
                </w:p>
                <w:p w14:paraId="1A90D517">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2.</w:t>
                  </w:r>
                  <w:r>
                    <w:rPr>
                      <w:rFonts w:hint="eastAsia" w:ascii="Times New Roman" w:hAnsi="Times New Roman" w:eastAsia="宋体" w:cs="Times New Roman"/>
                      <w:color w:val="auto"/>
                      <w:kern w:val="0"/>
                      <w:sz w:val="21"/>
                      <w:szCs w:val="21"/>
                      <w:highlight w:val="none"/>
                      <w:lang w:val="en-US" w:eastAsia="zh-CN" w:bidi="ar"/>
                    </w:rPr>
                    <w:t>严格落实规划环评及其批复文件制定的环保措施。</w:t>
                  </w:r>
                </w:p>
                <w:p w14:paraId="192AD141">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3.</w:t>
                  </w:r>
                  <w:r>
                    <w:rPr>
                      <w:rFonts w:hint="eastAsia" w:ascii="Times New Roman" w:hAnsi="Times New Roman" w:eastAsia="宋体" w:cs="Times New Roman"/>
                      <w:color w:val="auto"/>
                      <w:kern w:val="0"/>
                      <w:sz w:val="21"/>
                      <w:szCs w:val="21"/>
                      <w:highlight w:val="none"/>
                      <w:lang w:val="en-US" w:eastAsia="zh-CN" w:bidi="ar"/>
                    </w:rPr>
                    <w:t>完善污水收集处理设施建设，确保区域水环境质量不降</w:t>
                  </w:r>
                </w:p>
              </w:tc>
              <w:tc>
                <w:tcPr>
                  <w:tcW w:w="1256" w:type="pct"/>
                  <w:noWrap w:val="0"/>
                  <w:vAlign w:val="center"/>
                </w:tcPr>
                <w:p w14:paraId="2E8752D2">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已严格落实。</w:t>
                  </w:r>
                </w:p>
              </w:tc>
              <w:tc>
                <w:tcPr>
                  <w:tcW w:w="402" w:type="pct"/>
                  <w:noWrap w:val="0"/>
                  <w:vAlign w:val="center"/>
                </w:tcPr>
                <w:p w14:paraId="53021983">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bCs/>
                      <w:color w:val="auto"/>
                      <w:spacing w:val="-11"/>
                      <w:sz w:val="21"/>
                      <w:szCs w:val="21"/>
                      <w:highlight w:val="none"/>
                      <w:lang w:bidi="ar"/>
                    </w:rPr>
                    <w:t>符合</w:t>
                  </w:r>
                </w:p>
              </w:tc>
            </w:tr>
            <w:tr w14:paraId="56D2D13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376" w:hRule="exact"/>
                <w:jc w:val="center"/>
              </w:trPr>
              <w:tc>
                <w:tcPr>
                  <w:tcW w:w="301" w:type="pct"/>
                  <w:vMerge w:val="continue"/>
                  <w:noWrap w:val="0"/>
                  <w:vAlign w:val="center"/>
                </w:tcPr>
                <w:p w14:paraId="384539E4">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300" w:type="pct"/>
                  <w:gridSpan w:val="2"/>
                  <w:vMerge w:val="continue"/>
                  <w:noWrap w:val="0"/>
                  <w:vAlign w:val="center"/>
                </w:tcPr>
                <w:p w14:paraId="34472CA6">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345" w:type="pct"/>
                  <w:gridSpan w:val="2"/>
                  <w:noWrap w:val="0"/>
                  <w:vAlign w:val="center"/>
                </w:tcPr>
                <w:p w14:paraId="7A0FF754">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环境风险防控</w:t>
                  </w:r>
                </w:p>
                <w:p w14:paraId="2D57DBEB">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2394" w:type="pct"/>
                  <w:noWrap w:val="0"/>
                  <w:vAlign w:val="center"/>
                </w:tcPr>
                <w:p w14:paraId="73D25D56">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w:t>
                  </w:r>
                  <w:r>
                    <w:rPr>
                      <w:rFonts w:hint="eastAsia" w:ascii="Times New Roman" w:hAnsi="Times New Roman" w:eastAsia="宋体" w:cs="Times New Roman"/>
                      <w:color w:val="auto"/>
                      <w:kern w:val="0"/>
                      <w:sz w:val="21"/>
                      <w:szCs w:val="21"/>
                      <w:highlight w:val="none"/>
                      <w:lang w:val="en-US" w:eastAsia="zh-CN" w:bidi="ar"/>
                    </w:rPr>
                    <w:t>园区按照相关要求，建立完善环境风险管理相关制度和有效的事故风险防范体系。</w:t>
                  </w:r>
                </w:p>
              </w:tc>
              <w:tc>
                <w:tcPr>
                  <w:tcW w:w="1256" w:type="pct"/>
                  <w:noWrap w:val="0"/>
                  <w:vAlign w:val="center"/>
                </w:tcPr>
                <w:p w14:paraId="7CC1254C">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河北行唐经济开发区已经建立完善环境风险管理相关制度和有效的事故风险防范体系</w:t>
                  </w:r>
                </w:p>
              </w:tc>
              <w:tc>
                <w:tcPr>
                  <w:tcW w:w="402" w:type="pct"/>
                  <w:noWrap w:val="0"/>
                  <w:vAlign w:val="center"/>
                </w:tcPr>
                <w:p w14:paraId="0BE58F61">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
                    </w:rPr>
                  </w:pPr>
                  <w:r>
                    <w:rPr>
                      <w:bCs/>
                      <w:color w:val="auto"/>
                      <w:spacing w:val="-11"/>
                      <w:sz w:val="21"/>
                      <w:szCs w:val="21"/>
                      <w:highlight w:val="none"/>
                      <w:lang w:bidi="ar"/>
                    </w:rPr>
                    <w:t>符合</w:t>
                  </w:r>
                </w:p>
              </w:tc>
            </w:tr>
            <w:tr w14:paraId="75004F5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673" w:hRule="exact"/>
                <w:jc w:val="center"/>
              </w:trPr>
              <w:tc>
                <w:tcPr>
                  <w:tcW w:w="301" w:type="pct"/>
                  <w:noWrap w:val="0"/>
                  <w:vAlign w:val="center"/>
                </w:tcPr>
                <w:p w14:paraId="1CD5D9EA">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300" w:type="pct"/>
                  <w:gridSpan w:val="2"/>
                  <w:noWrap w:val="0"/>
                  <w:vAlign w:val="center"/>
                </w:tcPr>
                <w:p w14:paraId="28BB709F">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345" w:type="pct"/>
                  <w:gridSpan w:val="2"/>
                  <w:noWrap w:val="0"/>
                  <w:vAlign w:val="center"/>
                </w:tcPr>
                <w:p w14:paraId="3E3C6D2E">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资源利用效率</w:t>
                  </w:r>
                </w:p>
                <w:p w14:paraId="6525416C">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zh-CN" w:eastAsia="zh-CN" w:bidi="ar"/>
                    </w:rPr>
                  </w:pPr>
                </w:p>
              </w:tc>
              <w:tc>
                <w:tcPr>
                  <w:tcW w:w="2394" w:type="pct"/>
                  <w:noWrap w:val="0"/>
                  <w:vAlign w:val="center"/>
                </w:tcPr>
                <w:p w14:paraId="54BDC1FF">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w:t>
                  </w:r>
                  <w:r>
                    <w:rPr>
                      <w:rFonts w:hint="eastAsia" w:ascii="Times New Roman" w:hAnsi="Times New Roman" w:eastAsia="宋体" w:cs="Times New Roman"/>
                      <w:color w:val="auto"/>
                      <w:kern w:val="0"/>
                      <w:sz w:val="21"/>
                      <w:szCs w:val="21"/>
                      <w:highlight w:val="none"/>
                      <w:lang w:val="en-US" w:eastAsia="zh-CN" w:bidi="ar"/>
                    </w:rPr>
                    <w:t>提高中水回用率。</w:t>
                  </w:r>
                </w:p>
                <w:p w14:paraId="1EDAF9CB">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2.</w:t>
                  </w:r>
                  <w:r>
                    <w:rPr>
                      <w:rFonts w:hint="eastAsia" w:ascii="Times New Roman" w:hAnsi="Times New Roman" w:eastAsia="宋体" w:cs="Times New Roman"/>
                      <w:color w:val="auto"/>
                      <w:kern w:val="0"/>
                      <w:sz w:val="21"/>
                      <w:szCs w:val="21"/>
                      <w:highlight w:val="none"/>
                      <w:lang w:val="en-US" w:eastAsia="zh-CN" w:bidi="ar"/>
                    </w:rPr>
                    <w:t>鼓励锅炉、工业炉窑进行</w:t>
                  </w:r>
                  <w:r>
                    <w:rPr>
                      <w:rFonts w:hint="eastAsia" w:cs="Times New Roman"/>
                      <w:color w:val="auto"/>
                      <w:kern w:val="0"/>
                      <w:sz w:val="21"/>
                      <w:szCs w:val="21"/>
                      <w:highlight w:val="none"/>
                      <w:lang w:val="en-US" w:eastAsia="zh-CN" w:bidi="ar"/>
                    </w:rPr>
                    <w:t>蒸汽</w:t>
                  </w:r>
                  <w:r>
                    <w:rPr>
                      <w:rFonts w:hint="eastAsia" w:ascii="Times New Roman" w:hAnsi="Times New Roman" w:eastAsia="宋体" w:cs="Times New Roman"/>
                      <w:color w:val="auto"/>
                      <w:kern w:val="0"/>
                      <w:sz w:val="21"/>
                      <w:szCs w:val="21"/>
                      <w:highlight w:val="none"/>
                      <w:lang w:val="en-US" w:eastAsia="zh-CN" w:bidi="ar"/>
                    </w:rPr>
                    <w:t>利用。</w:t>
                  </w:r>
                </w:p>
                <w:p w14:paraId="0B21CB79">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p>
              </w:tc>
              <w:tc>
                <w:tcPr>
                  <w:tcW w:w="1256" w:type="pct"/>
                  <w:noWrap w:val="0"/>
                  <w:vAlign w:val="center"/>
                </w:tcPr>
                <w:p w14:paraId="609DE6A8">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bCs/>
                      <w:color w:val="auto"/>
                      <w:spacing w:val="-11"/>
                      <w:kern w:val="0"/>
                      <w:sz w:val="21"/>
                      <w:szCs w:val="21"/>
                      <w:highlight w:val="none"/>
                      <w:lang w:val="en-US" w:eastAsia="zh-CN" w:bidi="ar"/>
                    </w:rPr>
                  </w:pPr>
                  <w:r>
                    <w:rPr>
                      <w:rFonts w:hint="eastAsia" w:cs="Times New Roman"/>
                      <w:bCs/>
                      <w:color w:val="auto"/>
                      <w:spacing w:val="-11"/>
                      <w:kern w:val="0"/>
                      <w:sz w:val="21"/>
                      <w:szCs w:val="21"/>
                      <w:highlight w:val="none"/>
                      <w:lang w:val="en-US" w:eastAsia="zh-CN" w:bidi="ar"/>
                    </w:rPr>
                    <w:t>1.</w:t>
                  </w:r>
                  <w:r>
                    <w:rPr>
                      <w:rFonts w:hint="eastAsia" w:ascii="Times New Roman" w:hAnsi="Times New Roman" w:eastAsia="宋体" w:cs="Times New Roman"/>
                      <w:bCs/>
                      <w:color w:val="auto"/>
                      <w:spacing w:val="-11"/>
                      <w:kern w:val="0"/>
                      <w:sz w:val="21"/>
                      <w:szCs w:val="21"/>
                      <w:highlight w:val="none"/>
                      <w:lang w:val="en-US" w:eastAsia="zh-CN" w:bidi="ar"/>
                    </w:rPr>
                    <w:t>项目无生产废水排放，仅职工生活废水。厂区设防渗旱厕，生活污水排入防渗旱厕，定期清掏，不外排。</w:t>
                  </w:r>
                </w:p>
                <w:p w14:paraId="3F431505">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2</w:t>
                  </w:r>
                  <w:r>
                    <w:rPr>
                      <w:rFonts w:hint="eastAsia" w:cs="Times New Roman"/>
                      <w:color w:val="auto"/>
                      <w:kern w:val="0"/>
                      <w:sz w:val="21"/>
                      <w:szCs w:val="21"/>
                      <w:highlight w:val="none"/>
                      <w:lang w:val="en-US" w:eastAsia="zh-CN" w:bidi="ar"/>
                    </w:rPr>
                    <w:t>.</w:t>
                  </w:r>
                  <w:r>
                    <w:rPr>
                      <w:rFonts w:hint="eastAsia" w:ascii="Times New Roman" w:hAnsi="Times New Roman" w:eastAsia="宋体" w:cs="Times New Roman"/>
                      <w:color w:val="auto"/>
                      <w:kern w:val="0"/>
                      <w:sz w:val="21"/>
                      <w:szCs w:val="21"/>
                      <w:highlight w:val="none"/>
                      <w:lang w:val="en-US" w:eastAsia="zh-CN" w:bidi="ar"/>
                    </w:rPr>
                    <w:t>不涉及</w:t>
                  </w:r>
                </w:p>
              </w:tc>
              <w:tc>
                <w:tcPr>
                  <w:tcW w:w="402" w:type="pct"/>
                  <w:noWrap w:val="0"/>
                  <w:vAlign w:val="center"/>
                </w:tcPr>
                <w:p w14:paraId="0052C804">
                  <w:pPr>
                    <w:keepNext w:val="0"/>
                    <w:keepLines w:val="0"/>
                    <w:pageBreakBefore w:val="0"/>
                    <w:widowControl w:val="0"/>
                    <w:suppressLineNumbers w:val="0"/>
                    <w:kinsoku/>
                    <w:wordWrap/>
                    <w:overflowPunct/>
                    <w:topLinePunct w:val="0"/>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none"/>
                      <w:lang w:val="en-US" w:eastAsia="zh-CN" w:bidi="ar"/>
                    </w:rPr>
                  </w:pPr>
                  <w:r>
                    <w:rPr>
                      <w:bCs/>
                      <w:color w:val="auto"/>
                      <w:spacing w:val="-11"/>
                      <w:sz w:val="21"/>
                      <w:szCs w:val="21"/>
                      <w:highlight w:val="none"/>
                      <w:lang w:bidi="ar"/>
                    </w:rPr>
                    <w:t>符合</w:t>
                  </w:r>
                </w:p>
              </w:tc>
            </w:tr>
          </w:tbl>
          <w:p w14:paraId="2B0F4CA0">
            <w:pPr>
              <w:pStyle w:val="127"/>
              <w:keepLines w:val="0"/>
              <w:pageBreakBefore w:val="0"/>
              <w:widowControl w:val="0"/>
              <w:numPr>
                <w:ilvl w:val="0"/>
                <w:numId w:val="0"/>
              </w:numPr>
              <w:kinsoku/>
              <w:wordWrap/>
              <w:overflowPunct/>
              <w:topLinePunct w:val="0"/>
              <w:bidi w:val="0"/>
              <w:jc w:val="center"/>
              <w:textAlignment w:val="auto"/>
              <w:rPr>
                <w:rFonts w:hint="eastAsia" w:eastAsia="宋体"/>
                <w:color w:val="auto"/>
                <w:kern w:val="2"/>
                <w:sz w:val="24"/>
                <w:szCs w:val="24"/>
                <w:highlight w:val="none"/>
                <w:lang w:val="en-US" w:bidi="ar"/>
              </w:rPr>
            </w:pPr>
          </w:p>
          <w:p w14:paraId="10F910DE">
            <w:pPr>
              <w:pStyle w:val="127"/>
              <w:keepLines w:val="0"/>
              <w:pageBreakBefore w:val="0"/>
              <w:widowControl w:val="0"/>
              <w:numPr>
                <w:ilvl w:val="0"/>
                <w:numId w:val="0"/>
              </w:numPr>
              <w:kinsoku/>
              <w:wordWrap/>
              <w:overflowPunct/>
              <w:topLinePunct w:val="0"/>
              <w:bidi w:val="0"/>
              <w:jc w:val="center"/>
              <w:textAlignment w:val="auto"/>
              <w:rPr>
                <w:rFonts w:hint="eastAsia" w:eastAsia="宋体"/>
                <w:color w:val="auto"/>
                <w:kern w:val="2"/>
                <w:sz w:val="24"/>
                <w:szCs w:val="24"/>
                <w:highlight w:val="none"/>
                <w:lang w:val="en-US" w:bidi="ar"/>
              </w:rPr>
            </w:pPr>
            <w:r>
              <w:rPr>
                <w:rFonts w:hint="eastAsia" w:eastAsia="宋体"/>
                <w:color w:val="auto"/>
                <w:kern w:val="2"/>
                <w:sz w:val="24"/>
                <w:szCs w:val="24"/>
                <w:highlight w:val="none"/>
                <w:lang w:val="en-US" w:bidi="ar"/>
              </w:rPr>
              <w:t>表1-</w:t>
            </w:r>
            <w:r>
              <w:rPr>
                <w:rFonts w:hint="eastAsia" w:eastAsia="宋体"/>
                <w:color w:val="auto"/>
                <w:kern w:val="2"/>
                <w:sz w:val="24"/>
                <w:szCs w:val="24"/>
                <w:highlight w:val="none"/>
                <w:lang w:val="en-US" w:eastAsia="zh-CN" w:bidi="ar"/>
              </w:rPr>
              <w:t>5与</w:t>
            </w:r>
            <w:r>
              <w:rPr>
                <w:rFonts w:hint="eastAsia" w:eastAsia="宋体"/>
                <w:color w:val="auto"/>
                <w:kern w:val="2"/>
                <w:sz w:val="24"/>
                <w:szCs w:val="24"/>
                <w:highlight w:val="none"/>
                <w:lang w:val="en-US" w:bidi="ar"/>
              </w:rPr>
              <w:t>河北省生态环境厅</w:t>
            </w:r>
            <w:r>
              <w:rPr>
                <w:rFonts w:hint="eastAsia" w:eastAsia="宋体"/>
                <w:color w:val="auto"/>
                <w:kern w:val="2"/>
                <w:sz w:val="24"/>
                <w:szCs w:val="24"/>
                <w:highlight w:val="none"/>
                <w:lang w:val="en-US" w:eastAsia="zh-CN" w:bidi="ar"/>
              </w:rPr>
              <w:t>、</w:t>
            </w:r>
            <w:r>
              <w:rPr>
                <w:rFonts w:hint="eastAsia" w:eastAsia="宋体"/>
                <w:color w:val="auto"/>
                <w:kern w:val="2"/>
                <w:sz w:val="24"/>
                <w:szCs w:val="24"/>
                <w:highlight w:val="none"/>
                <w:lang w:val="en-US" w:bidi="ar"/>
              </w:rPr>
              <w:t>北京市生态环境局文件</w:t>
            </w:r>
            <w:r>
              <w:rPr>
                <w:rFonts w:hint="eastAsia" w:eastAsia="宋体"/>
                <w:color w:val="auto"/>
                <w:kern w:val="2"/>
                <w:sz w:val="24"/>
                <w:szCs w:val="24"/>
                <w:highlight w:val="none"/>
                <w:lang w:val="en-US" w:eastAsia="zh-CN" w:bidi="ar"/>
              </w:rPr>
              <w:t>、</w:t>
            </w:r>
            <w:r>
              <w:rPr>
                <w:rFonts w:hint="eastAsia" w:eastAsia="宋体"/>
                <w:color w:val="auto"/>
                <w:kern w:val="2"/>
                <w:sz w:val="24"/>
                <w:szCs w:val="24"/>
                <w:highlight w:val="none"/>
                <w:lang w:val="en-US" w:bidi="ar"/>
              </w:rPr>
              <w:t>天津市生态环境局关于深化京津冀生态环境分区管控协同有关工作的</w:t>
            </w:r>
            <w:r>
              <w:rPr>
                <w:rFonts w:hint="eastAsia" w:eastAsia="宋体"/>
                <w:color w:val="auto"/>
                <w:kern w:val="2"/>
                <w:sz w:val="24"/>
                <w:szCs w:val="24"/>
                <w:highlight w:val="none"/>
                <w:lang w:val="en-US" w:eastAsia="zh-CN" w:bidi="ar"/>
              </w:rPr>
              <w:t>通知，冀环环评〔2025〕157号</w:t>
            </w:r>
            <w:r>
              <w:rPr>
                <w:rFonts w:hint="eastAsia" w:eastAsia="宋体"/>
                <w:color w:val="auto"/>
                <w:kern w:val="2"/>
                <w:sz w:val="24"/>
                <w:szCs w:val="24"/>
                <w:highlight w:val="none"/>
                <w:lang w:val="en-US" w:bidi="ar"/>
              </w:rPr>
              <w:t>对比分析一览表</w:t>
            </w:r>
          </w:p>
          <w:tbl>
            <w:tblPr>
              <w:tblStyle w:val="34"/>
              <w:tblW w:w="5000"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27"/>
              <w:gridCol w:w="4592"/>
              <w:gridCol w:w="1549"/>
              <w:gridCol w:w="733"/>
            </w:tblGrid>
            <w:tr w14:paraId="510F618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78" w:type="pct"/>
                  <w:noWrap w:val="0"/>
                  <w:vAlign w:val="center"/>
                </w:tcPr>
                <w:p w14:paraId="53D3C5CE">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eastAsia="宋体"/>
                      <w:bCs/>
                      <w:color w:val="auto"/>
                      <w:spacing w:val="-11"/>
                      <w:sz w:val="21"/>
                      <w:szCs w:val="21"/>
                      <w:highlight w:val="none"/>
                      <w:lang w:val="en-US" w:eastAsia="zh-CN"/>
                    </w:rPr>
                  </w:pPr>
                  <w:r>
                    <w:rPr>
                      <w:rFonts w:hint="eastAsia"/>
                      <w:bCs/>
                      <w:color w:val="auto"/>
                      <w:spacing w:val="-11"/>
                      <w:sz w:val="21"/>
                      <w:szCs w:val="21"/>
                      <w:highlight w:val="none"/>
                      <w:lang w:val="en-US" w:eastAsia="zh-CN"/>
                    </w:rPr>
                    <w:t>清单类型</w:t>
                  </w:r>
                </w:p>
              </w:tc>
              <w:tc>
                <w:tcPr>
                  <w:tcW w:w="3020" w:type="pct"/>
                  <w:noWrap w:val="0"/>
                  <w:vAlign w:val="center"/>
                </w:tcPr>
                <w:p w14:paraId="376B6152">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eastAsia="宋体"/>
                      <w:bCs/>
                      <w:color w:val="auto"/>
                      <w:spacing w:val="-11"/>
                      <w:sz w:val="21"/>
                      <w:szCs w:val="21"/>
                      <w:highlight w:val="none"/>
                      <w:lang w:val="en-US" w:eastAsia="zh-CN"/>
                    </w:rPr>
                  </w:pPr>
                  <w:r>
                    <w:rPr>
                      <w:rFonts w:hint="eastAsia"/>
                      <w:bCs/>
                      <w:color w:val="auto"/>
                      <w:spacing w:val="-11"/>
                      <w:sz w:val="21"/>
                      <w:szCs w:val="21"/>
                      <w:highlight w:val="none"/>
                      <w:lang w:val="en-US" w:eastAsia="zh-CN"/>
                    </w:rPr>
                    <w:t>具体内容</w:t>
                  </w:r>
                </w:p>
              </w:tc>
              <w:tc>
                <w:tcPr>
                  <w:tcW w:w="1018" w:type="pct"/>
                  <w:noWrap w:val="0"/>
                  <w:vAlign w:val="center"/>
                </w:tcPr>
                <w:p w14:paraId="12AE4B8A">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eastAsia="宋体"/>
                      <w:bCs/>
                      <w:color w:val="auto"/>
                      <w:spacing w:val="-11"/>
                      <w:sz w:val="21"/>
                      <w:szCs w:val="21"/>
                      <w:highlight w:val="none"/>
                      <w:lang w:val="en-US" w:eastAsia="zh-CN"/>
                    </w:rPr>
                  </w:pPr>
                  <w:r>
                    <w:rPr>
                      <w:rFonts w:hint="eastAsia"/>
                      <w:bCs/>
                      <w:color w:val="auto"/>
                      <w:spacing w:val="-11"/>
                      <w:sz w:val="21"/>
                      <w:szCs w:val="21"/>
                      <w:highlight w:val="none"/>
                      <w:lang w:val="en-US" w:eastAsia="zh-CN"/>
                    </w:rPr>
                    <w:t>本项目情况</w:t>
                  </w:r>
                </w:p>
              </w:tc>
              <w:tc>
                <w:tcPr>
                  <w:tcW w:w="482" w:type="pct"/>
                  <w:noWrap w:val="0"/>
                  <w:vAlign w:val="center"/>
                </w:tcPr>
                <w:p w14:paraId="3BD5144B">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eastAsia="宋体"/>
                      <w:bCs/>
                      <w:color w:val="auto"/>
                      <w:spacing w:val="-11"/>
                      <w:sz w:val="21"/>
                      <w:szCs w:val="21"/>
                      <w:highlight w:val="none"/>
                      <w:lang w:val="en-US" w:eastAsia="zh-CN"/>
                    </w:rPr>
                  </w:pPr>
                  <w:r>
                    <w:rPr>
                      <w:rFonts w:hint="eastAsia"/>
                      <w:bCs/>
                      <w:color w:val="auto"/>
                      <w:spacing w:val="-11"/>
                      <w:sz w:val="21"/>
                      <w:szCs w:val="21"/>
                      <w:highlight w:val="none"/>
                      <w:lang w:val="en-US" w:eastAsia="zh-CN"/>
                    </w:rPr>
                    <w:t>符合性</w:t>
                  </w:r>
                </w:p>
              </w:tc>
            </w:tr>
            <w:tr w14:paraId="044F0F4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78" w:type="pct"/>
                  <w:noWrap w:val="0"/>
                  <w:vAlign w:val="center"/>
                </w:tcPr>
                <w:p w14:paraId="6C8F7A9C">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jc w:val="both"/>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基本原则</w:t>
                  </w:r>
                </w:p>
                <w:p w14:paraId="694238F1">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bCs/>
                      <w:color w:val="auto"/>
                      <w:spacing w:val="-11"/>
                      <w:sz w:val="21"/>
                      <w:szCs w:val="21"/>
                      <w:highlight w:val="none"/>
                      <w:lang w:val="en-US" w:eastAsia="zh-CN"/>
                    </w:rPr>
                  </w:pPr>
                </w:p>
              </w:tc>
              <w:tc>
                <w:tcPr>
                  <w:tcW w:w="3020" w:type="pct"/>
                  <w:noWrap w:val="0"/>
                  <w:vAlign w:val="center"/>
                </w:tcPr>
                <w:p w14:paraId="6AB4962F">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jc w:val="both"/>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(一）统一目标。严格执行生态保护红线、环境质量底线、资源利用上线硬约束，协同推动生态环境分区管控走深走实，促进区域高质量发展。</w:t>
                  </w:r>
                </w:p>
                <w:p w14:paraId="130CC432">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jc w:val="both"/>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(二）统筹协调。加强京津冀生态环境分区管控制度统筹协调，推进交界地区管控单元划定、管控要求相适应。</w:t>
                  </w:r>
                </w:p>
                <w:p w14:paraId="1D2F1834">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jc w:val="both"/>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(三）强化应用。协同开展管控单元重点攻关，加强生态环境分区管控与环境影响评价的衔接，增强京津冀相邻区域重大项目协商共治。</w:t>
                  </w:r>
                </w:p>
                <w:p w14:paraId="55AFC8A8">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jc w:val="both"/>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四）规范共享。依据《中华人民共和国数据安全法》《政务数据共享条例》《政务信息资源共享管理暂行办法》等法律法规及生态环境部相关要求，加强信息共享、使用全过程管理，切实保障数据安全与合规使用。</w:t>
                  </w:r>
                </w:p>
              </w:tc>
              <w:tc>
                <w:tcPr>
                  <w:tcW w:w="1018" w:type="pct"/>
                  <w:noWrap w:val="0"/>
                  <w:vAlign w:val="center"/>
                </w:tcPr>
                <w:p w14:paraId="7B87D900">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jc w:val="both"/>
                    <w:textAlignment w:val="auto"/>
                    <w:rPr>
                      <w:rFonts w:hint="default"/>
                      <w:bCs/>
                      <w:color w:val="auto"/>
                      <w:spacing w:val="-11"/>
                      <w:sz w:val="21"/>
                      <w:szCs w:val="21"/>
                      <w:highlight w:val="none"/>
                      <w:lang w:val="en-US" w:eastAsia="zh-CN"/>
                    </w:rPr>
                  </w:pPr>
                  <w:r>
                    <w:rPr>
                      <w:rFonts w:hint="eastAsia"/>
                      <w:bCs/>
                      <w:color w:val="auto"/>
                      <w:spacing w:val="-11"/>
                      <w:sz w:val="21"/>
                      <w:szCs w:val="21"/>
                      <w:highlight w:val="none"/>
                      <w:lang w:val="en-US" w:eastAsia="zh-CN"/>
                    </w:rPr>
                    <w:t>项目满足生态保护红线、环境质量底线、资源利用上线要求；项目位于园区内，不属于交界地区；不涉及；不涉及。</w:t>
                  </w:r>
                </w:p>
              </w:tc>
              <w:tc>
                <w:tcPr>
                  <w:tcW w:w="482" w:type="pct"/>
                  <w:noWrap w:val="0"/>
                  <w:vAlign w:val="center"/>
                </w:tcPr>
                <w:p w14:paraId="4B2C5CC3">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eastAsia="宋体"/>
                      <w:bCs/>
                      <w:color w:val="auto"/>
                      <w:spacing w:val="-11"/>
                      <w:sz w:val="21"/>
                      <w:szCs w:val="21"/>
                      <w:highlight w:val="none"/>
                      <w:lang w:val="en-US" w:eastAsia="zh-CN"/>
                    </w:rPr>
                  </w:pPr>
                </w:p>
              </w:tc>
            </w:tr>
            <w:tr w14:paraId="5CB5F0E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609" w:hRule="atLeast"/>
                <w:jc w:val="center"/>
              </w:trPr>
              <w:tc>
                <w:tcPr>
                  <w:tcW w:w="478" w:type="pct"/>
                  <w:noWrap w:val="0"/>
                  <w:vAlign w:val="center"/>
                </w:tcPr>
                <w:p w14:paraId="4D70D2C7">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bCs/>
                      <w:color w:val="auto"/>
                      <w:spacing w:val="-11"/>
                      <w:sz w:val="21"/>
                      <w:szCs w:val="21"/>
                      <w:highlight w:val="none"/>
                      <w:lang w:val="en-US" w:eastAsia="zh-CN"/>
                    </w:rPr>
                  </w:pPr>
                  <w:r>
                    <w:rPr>
                      <w:rFonts w:hint="eastAsia"/>
                      <w:bCs/>
                      <w:color w:val="auto"/>
                      <w:spacing w:val="-11"/>
                      <w:sz w:val="21"/>
                      <w:szCs w:val="21"/>
                      <w:highlight w:val="none"/>
                      <w:lang w:val="en-US" w:eastAsia="zh-CN"/>
                    </w:rPr>
                    <w:t>重点工作</w:t>
                  </w:r>
                </w:p>
              </w:tc>
              <w:tc>
                <w:tcPr>
                  <w:tcW w:w="3020" w:type="pct"/>
                  <w:noWrap w:val="0"/>
                  <w:vAlign w:val="center"/>
                </w:tcPr>
                <w:p w14:paraId="2FBE7D80">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jc w:val="both"/>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(一）协同开展更新调整</w:t>
                  </w:r>
                </w:p>
                <w:p w14:paraId="7A089239">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jc w:val="both"/>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生态环境分区管控动态更新或定期调整过程中，三地生态环境部门组织有关技术团队开展初步成果沟通会商，重点针对交界区域相邻管控单元进行边界校准和管控要求分析，提升成果的科学性、精准性和协调性。</w:t>
                  </w:r>
                </w:p>
                <w:p w14:paraId="3242EBC4">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jc w:val="both"/>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(二）规范数据共享方式</w:t>
                  </w:r>
                </w:p>
                <w:p w14:paraId="0781F7D4">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jc w:val="both"/>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根据需共享的生态环境分区管控成果数据的属性和内容，可通过以下三种方式实现数据共享：通过省级生态环境分区管控信息平台获取交界区域已公开的成果信息，实现信息查询、展示及空间分析；有关数据确有需要但未公开发布的，数据需求省份的生态环境部门应向相关省级生态环境部门书面提出共享数据申请，被申请部门应积极配合并予以明确回复；探索推动三地生态环境分区管控公众应用端实现在京津冀无障碍应用服务。</w:t>
                  </w:r>
                </w:p>
                <w:p w14:paraId="48DF02B0">
                  <w:pPr>
                    <w:keepNext w:val="0"/>
                    <w:keepLines w:val="0"/>
                    <w:pageBreakBefore w:val="0"/>
                    <w:widowControl w:val="0"/>
                    <w:tabs>
                      <w:tab w:val="left" w:pos="5031"/>
                    </w:tabs>
                    <w:kinsoku/>
                    <w:wordWrap/>
                    <w:overflowPunct/>
                    <w:topLinePunct w:val="0"/>
                    <w:autoSpaceDE/>
                    <w:autoSpaceDN/>
                    <w:bidi w:val="0"/>
                    <w:adjustRightInd w:val="0"/>
                    <w:snapToGrid w:val="0"/>
                    <w:jc w:val="both"/>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(三）强化实施应用联动</w:t>
                  </w:r>
                </w:p>
                <w:p w14:paraId="3E0A8356">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加强规划环评审查联动。对环境影响范围涉及其他相邻省市的产业园区及石化、钢铁等重点行业规划，生态环境部门在组织开展规划环境影响报告书审查过程中，应会同相关省市生态环境部门，充分利用生态环境分区管控成果，对相关联的管控单元进行环境影响分析，守住自然生态安全边界和环境质量底线，有力促进产业布局优化和结构升级。</w:t>
                  </w:r>
                </w:p>
                <w:p w14:paraId="211C85A4">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健全项目环评会商机制。深入落实《京津冀地区环境影响评价会商办法(试行）》对环境影响评价范围跨省界的建设项目，在会商过程中注重研究论证与相邻区域生态环境分区管控相关要求的符合性，进一步加强生态环境分区管控在三地环境影响评价会商中的应用。协同开展管控单元重点攻关。三地可从相邻的重要生态功能区域、生态环境质量改善压力大或问题风险突出的区域，精选生态环境管控单元进行重点攻关，优化准入清单，拓展应用场景，带动分区管控效能整体提升。</w:t>
                  </w:r>
                </w:p>
              </w:tc>
              <w:tc>
                <w:tcPr>
                  <w:tcW w:w="1018" w:type="pct"/>
                  <w:noWrap w:val="0"/>
                  <w:vAlign w:val="center"/>
                </w:tcPr>
                <w:p w14:paraId="05780C49">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jc w:val="center"/>
                    <w:textAlignment w:val="auto"/>
                    <w:rPr>
                      <w:rFonts w:hint="default"/>
                      <w:bCs/>
                      <w:color w:val="auto"/>
                      <w:spacing w:val="-11"/>
                      <w:sz w:val="21"/>
                      <w:szCs w:val="21"/>
                      <w:highlight w:val="none"/>
                      <w:lang w:val="en-US" w:eastAsia="zh-CN"/>
                    </w:rPr>
                  </w:pPr>
                  <w:r>
                    <w:rPr>
                      <w:rFonts w:hint="eastAsia"/>
                      <w:bCs/>
                      <w:color w:val="auto"/>
                      <w:spacing w:val="-11"/>
                      <w:sz w:val="21"/>
                      <w:szCs w:val="21"/>
                      <w:highlight w:val="none"/>
                      <w:lang w:val="en-US" w:eastAsia="zh-CN"/>
                    </w:rPr>
                    <w:t>项目位于园区内，不属于交界地区；其余不涉及</w:t>
                  </w:r>
                </w:p>
              </w:tc>
              <w:tc>
                <w:tcPr>
                  <w:tcW w:w="482" w:type="pct"/>
                  <w:noWrap w:val="0"/>
                  <w:vAlign w:val="center"/>
                </w:tcPr>
                <w:p w14:paraId="75B2AFA5">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eastAsia="宋体"/>
                      <w:bCs/>
                      <w:color w:val="auto"/>
                      <w:spacing w:val="-11"/>
                      <w:sz w:val="21"/>
                      <w:szCs w:val="21"/>
                      <w:highlight w:val="none"/>
                      <w:lang w:val="en-US" w:eastAsia="zh-CN"/>
                    </w:rPr>
                  </w:pPr>
                  <w:r>
                    <w:rPr>
                      <w:rFonts w:hint="eastAsia"/>
                      <w:bCs/>
                      <w:color w:val="auto"/>
                      <w:spacing w:val="-11"/>
                      <w:sz w:val="21"/>
                      <w:szCs w:val="21"/>
                      <w:highlight w:val="none"/>
                      <w:lang w:val="en-US" w:eastAsia="zh-CN"/>
                    </w:rPr>
                    <w:t>符合</w:t>
                  </w:r>
                </w:p>
              </w:tc>
            </w:tr>
          </w:tbl>
          <w:p w14:paraId="6D490D21">
            <w:pPr>
              <w:pStyle w:val="127"/>
              <w:keepLines w:val="0"/>
              <w:pageBreakBefore w:val="0"/>
              <w:widowControl w:val="0"/>
              <w:numPr>
                <w:ilvl w:val="0"/>
                <w:numId w:val="0"/>
              </w:numPr>
              <w:kinsoku/>
              <w:wordWrap/>
              <w:overflowPunct/>
              <w:topLinePunct w:val="0"/>
              <w:bidi w:val="0"/>
              <w:jc w:val="center"/>
              <w:textAlignment w:val="auto"/>
              <w:rPr>
                <w:rFonts w:hint="eastAsia" w:eastAsia="宋体"/>
                <w:color w:val="auto"/>
                <w:kern w:val="2"/>
                <w:sz w:val="24"/>
                <w:szCs w:val="24"/>
                <w:highlight w:val="none"/>
                <w:lang w:val="en-US" w:bidi="ar"/>
              </w:rPr>
            </w:pPr>
            <w:r>
              <w:rPr>
                <w:rFonts w:hint="eastAsia" w:eastAsia="宋体"/>
                <w:color w:val="auto"/>
                <w:kern w:val="2"/>
                <w:sz w:val="24"/>
                <w:szCs w:val="24"/>
                <w:highlight w:val="none"/>
                <w:lang w:val="en-US" w:bidi="ar"/>
              </w:rPr>
              <w:t>表1-</w:t>
            </w:r>
            <w:r>
              <w:rPr>
                <w:rFonts w:hint="eastAsia" w:eastAsia="宋体"/>
                <w:color w:val="auto"/>
                <w:kern w:val="2"/>
                <w:sz w:val="24"/>
                <w:szCs w:val="24"/>
                <w:highlight w:val="none"/>
                <w:lang w:val="en-US" w:eastAsia="zh-CN" w:bidi="ar"/>
              </w:rPr>
              <w:t>6行唐县经济开发区</w:t>
            </w:r>
            <w:r>
              <w:rPr>
                <w:rFonts w:hint="eastAsia" w:eastAsia="宋体"/>
                <w:color w:val="auto"/>
                <w:kern w:val="2"/>
                <w:sz w:val="24"/>
                <w:szCs w:val="24"/>
                <w:highlight w:val="none"/>
                <w:lang w:val="en-US" w:bidi="ar"/>
              </w:rPr>
              <w:t>生态空间管制清单对比分析一览表</w:t>
            </w:r>
          </w:p>
          <w:tbl>
            <w:tblPr>
              <w:tblStyle w:val="34"/>
              <w:tblW w:w="5000"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27"/>
              <w:gridCol w:w="4353"/>
              <w:gridCol w:w="1788"/>
              <w:gridCol w:w="733"/>
            </w:tblGrid>
            <w:tr w14:paraId="44A5304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78" w:type="pct"/>
                  <w:noWrap w:val="0"/>
                  <w:vAlign w:val="center"/>
                </w:tcPr>
                <w:p w14:paraId="08A0C1D4">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eastAsia="宋体"/>
                      <w:bCs/>
                      <w:color w:val="auto"/>
                      <w:spacing w:val="-11"/>
                      <w:sz w:val="21"/>
                      <w:szCs w:val="21"/>
                      <w:highlight w:val="none"/>
                      <w:lang w:val="en-US" w:eastAsia="zh-CN"/>
                    </w:rPr>
                  </w:pPr>
                  <w:r>
                    <w:rPr>
                      <w:rFonts w:hint="eastAsia"/>
                      <w:bCs/>
                      <w:color w:val="auto"/>
                      <w:spacing w:val="-11"/>
                      <w:sz w:val="21"/>
                      <w:szCs w:val="21"/>
                      <w:highlight w:val="none"/>
                      <w:lang w:val="en-US" w:eastAsia="zh-CN"/>
                    </w:rPr>
                    <w:t>清单类型</w:t>
                  </w:r>
                </w:p>
              </w:tc>
              <w:tc>
                <w:tcPr>
                  <w:tcW w:w="2862" w:type="pct"/>
                  <w:noWrap w:val="0"/>
                  <w:vAlign w:val="center"/>
                </w:tcPr>
                <w:p w14:paraId="66318DDD">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eastAsia="宋体"/>
                      <w:bCs/>
                      <w:color w:val="auto"/>
                      <w:spacing w:val="-11"/>
                      <w:sz w:val="21"/>
                      <w:szCs w:val="21"/>
                      <w:highlight w:val="none"/>
                      <w:lang w:val="en-US" w:eastAsia="zh-CN"/>
                    </w:rPr>
                  </w:pPr>
                  <w:r>
                    <w:rPr>
                      <w:rFonts w:hint="eastAsia"/>
                      <w:bCs/>
                      <w:color w:val="auto"/>
                      <w:spacing w:val="-11"/>
                      <w:sz w:val="21"/>
                      <w:szCs w:val="21"/>
                      <w:highlight w:val="none"/>
                      <w:lang w:val="en-US" w:eastAsia="zh-CN"/>
                    </w:rPr>
                    <w:t>具体内容</w:t>
                  </w:r>
                </w:p>
              </w:tc>
              <w:tc>
                <w:tcPr>
                  <w:tcW w:w="1176" w:type="pct"/>
                  <w:noWrap w:val="0"/>
                  <w:vAlign w:val="center"/>
                </w:tcPr>
                <w:p w14:paraId="70BDE24F">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eastAsia="宋体"/>
                      <w:bCs/>
                      <w:color w:val="auto"/>
                      <w:spacing w:val="-11"/>
                      <w:sz w:val="21"/>
                      <w:szCs w:val="21"/>
                      <w:highlight w:val="none"/>
                      <w:lang w:val="en-US" w:eastAsia="zh-CN"/>
                    </w:rPr>
                  </w:pPr>
                  <w:r>
                    <w:rPr>
                      <w:rFonts w:hint="eastAsia"/>
                      <w:bCs/>
                      <w:color w:val="auto"/>
                      <w:spacing w:val="-11"/>
                      <w:sz w:val="21"/>
                      <w:szCs w:val="21"/>
                      <w:highlight w:val="none"/>
                      <w:lang w:val="en-US" w:eastAsia="zh-CN"/>
                    </w:rPr>
                    <w:t>本项目情况</w:t>
                  </w:r>
                </w:p>
              </w:tc>
              <w:tc>
                <w:tcPr>
                  <w:tcW w:w="482" w:type="pct"/>
                  <w:noWrap w:val="0"/>
                  <w:vAlign w:val="center"/>
                </w:tcPr>
                <w:p w14:paraId="46BB6D1B">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eastAsia="宋体"/>
                      <w:bCs/>
                      <w:color w:val="auto"/>
                      <w:spacing w:val="-11"/>
                      <w:sz w:val="21"/>
                      <w:szCs w:val="21"/>
                      <w:highlight w:val="none"/>
                      <w:lang w:val="en-US" w:eastAsia="zh-CN"/>
                    </w:rPr>
                  </w:pPr>
                  <w:r>
                    <w:rPr>
                      <w:rFonts w:hint="eastAsia"/>
                      <w:bCs/>
                      <w:color w:val="auto"/>
                      <w:spacing w:val="-11"/>
                      <w:sz w:val="21"/>
                      <w:szCs w:val="21"/>
                      <w:highlight w:val="none"/>
                      <w:lang w:val="en-US" w:eastAsia="zh-CN"/>
                    </w:rPr>
                    <w:t>符合性</w:t>
                  </w:r>
                </w:p>
              </w:tc>
            </w:tr>
            <w:tr w14:paraId="456C554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78" w:type="pct"/>
                  <w:noWrap w:val="0"/>
                  <w:vAlign w:val="center"/>
                </w:tcPr>
                <w:p w14:paraId="47FE3220">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bCs/>
                      <w:color w:val="auto"/>
                      <w:spacing w:val="-11"/>
                      <w:sz w:val="21"/>
                      <w:szCs w:val="21"/>
                      <w:highlight w:val="none"/>
                      <w:lang w:val="en-US" w:eastAsia="zh-CN"/>
                    </w:rPr>
                  </w:pPr>
                  <w:r>
                    <w:rPr>
                      <w:rFonts w:hint="eastAsia"/>
                      <w:bCs/>
                      <w:color w:val="auto"/>
                      <w:spacing w:val="-11"/>
                      <w:sz w:val="21"/>
                      <w:szCs w:val="21"/>
                      <w:highlight w:val="none"/>
                      <w:lang w:val="en-US" w:eastAsia="zh-CN"/>
                    </w:rPr>
                    <w:t>空间布局约束</w:t>
                  </w:r>
                </w:p>
              </w:tc>
              <w:tc>
                <w:tcPr>
                  <w:tcW w:w="2862" w:type="pct"/>
                  <w:noWrap w:val="0"/>
                  <w:vAlign w:val="center"/>
                </w:tcPr>
                <w:p w14:paraId="6A02129F">
                  <w:pPr>
                    <w:keepNext w:val="0"/>
                    <w:keepLines w:val="0"/>
                    <w:pageBreakBefore w:val="0"/>
                    <w:widowControl w:val="0"/>
                    <w:numPr>
                      <w:ilvl w:val="0"/>
                      <w:numId w:val="12"/>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开发区内村庄搬迁前，入区工业项目与现状村庄距离需满足其环评确定的防护距离要求。</w:t>
                  </w:r>
                </w:p>
                <w:p w14:paraId="60C07C54">
                  <w:pPr>
                    <w:keepNext w:val="0"/>
                    <w:keepLines w:val="0"/>
                    <w:pageBreakBefore w:val="0"/>
                    <w:widowControl w:val="0"/>
                    <w:numPr>
                      <w:ilvl w:val="0"/>
                      <w:numId w:val="12"/>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开发区属于中等包气防护性能区，入区项目应按照污染物类型、污染控制难易程度等设置重点防渗区或一般防渗区，并按照要求做好防渗。</w:t>
                  </w:r>
                </w:p>
                <w:p w14:paraId="64A52156">
                  <w:pPr>
                    <w:keepNext w:val="0"/>
                    <w:keepLines w:val="0"/>
                    <w:pageBreakBefore w:val="0"/>
                    <w:widowControl w:val="0"/>
                    <w:numPr>
                      <w:ilvl w:val="0"/>
                      <w:numId w:val="12"/>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涉风险物质企业应在建设项目环评阶段进一步论证其风险状态下的影响范围，新增风险源的大气毒性终点浓度-1范围内不得有常住居民，具体控制距离根据项目环评的风险分析结论确定。</w:t>
                  </w:r>
                </w:p>
                <w:p w14:paraId="72085C0A">
                  <w:pPr>
                    <w:keepNext w:val="0"/>
                    <w:keepLines w:val="0"/>
                    <w:pageBreakBefore w:val="0"/>
                    <w:widowControl w:val="0"/>
                    <w:numPr>
                      <w:ilvl w:val="0"/>
                      <w:numId w:val="12"/>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开发区禁止建设电镀工序，铸造工序禁止建设铅基及铅青铜合金铸造熔炼，家具产业禁止建设磷化工序，轻工产业禁止建设印染工序。</w:t>
                  </w:r>
                </w:p>
                <w:p w14:paraId="46684220">
                  <w:pPr>
                    <w:keepNext w:val="0"/>
                    <w:keepLines w:val="0"/>
                    <w:pageBreakBefore w:val="0"/>
                    <w:widowControl w:val="0"/>
                    <w:numPr>
                      <w:ilvl w:val="0"/>
                      <w:numId w:val="12"/>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开发区北区禁止建设养殖场和养殖小区项目。</w:t>
                  </w:r>
                </w:p>
              </w:tc>
              <w:tc>
                <w:tcPr>
                  <w:tcW w:w="1176" w:type="pct"/>
                  <w:noWrap w:val="0"/>
                  <w:vAlign w:val="center"/>
                </w:tcPr>
                <w:p w14:paraId="1922F9B6">
                  <w:pPr>
                    <w:keepNext w:val="0"/>
                    <w:keepLines w:val="0"/>
                    <w:pageBreakBefore w:val="0"/>
                    <w:widowControl w:val="0"/>
                    <w:numPr>
                      <w:ilvl w:val="0"/>
                      <w:numId w:val="13"/>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满足要求；</w:t>
                  </w:r>
                </w:p>
                <w:p w14:paraId="0C013EE5">
                  <w:pPr>
                    <w:keepNext w:val="0"/>
                    <w:keepLines w:val="0"/>
                    <w:pageBreakBefore w:val="0"/>
                    <w:widowControl w:val="0"/>
                    <w:numPr>
                      <w:ilvl w:val="0"/>
                      <w:numId w:val="13"/>
                    </w:numPr>
                    <w:tabs>
                      <w:tab w:val="left" w:pos="5031"/>
                    </w:tabs>
                    <w:kinsoku/>
                    <w:wordWrap/>
                    <w:overflowPunct/>
                    <w:topLinePunct w:val="0"/>
                    <w:autoSpaceDE/>
                    <w:autoSpaceDN/>
                    <w:bidi w:val="0"/>
                    <w:adjustRightInd w:val="0"/>
                    <w:snapToGrid w:val="0"/>
                    <w:jc w:val="center"/>
                    <w:textAlignment w:val="auto"/>
                    <w:rPr>
                      <w:rFonts w:hint="default"/>
                      <w:bCs/>
                      <w:color w:val="auto"/>
                      <w:spacing w:val="-11"/>
                      <w:sz w:val="21"/>
                      <w:szCs w:val="21"/>
                      <w:highlight w:val="none"/>
                      <w:lang w:val="en-US" w:eastAsia="zh-CN"/>
                    </w:rPr>
                  </w:pPr>
                  <w:r>
                    <w:rPr>
                      <w:rFonts w:hint="eastAsia"/>
                      <w:bCs/>
                      <w:color w:val="auto"/>
                      <w:spacing w:val="-11"/>
                      <w:sz w:val="21"/>
                      <w:szCs w:val="21"/>
                      <w:highlight w:val="none"/>
                      <w:lang w:val="en-US" w:eastAsia="zh-CN"/>
                    </w:rPr>
                    <w:t>项目做好年产量2万套塑料坐具、20000立方米泡沫板及包装项目，生产车间一般防渗进行控制；危险废物暂存间、冷却塔及其循环水池、喷淋塔及其循环水池为重点防渗区。满足要求；</w:t>
                  </w:r>
                </w:p>
                <w:p w14:paraId="006034E8">
                  <w:pPr>
                    <w:keepNext w:val="0"/>
                    <w:keepLines w:val="0"/>
                    <w:pageBreakBefore w:val="0"/>
                    <w:widowControl w:val="0"/>
                    <w:numPr>
                      <w:ilvl w:val="0"/>
                      <w:numId w:val="13"/>
                    </w:numPr>
                    <w:tabs>
                      <w:tab w:val="left" w:pos="5031"/>
                    </w:tabs>
                    <w:kinsoku/>
                    <w:wordWrap/>
                    <w:overflowPunct/>
                    <w:topLinePunct w:val="0"/>
                    <w:autoSpaceDE/>
                    <w:autoSpaceDN/>
                    <w:bidi w:val="0"/>
                    <w:adjustRightInd w:val="0"/>
                    <w:snapToGrid w:val="0"/>
                    <w:jc w:val="center"/>
                    <w:textAlignment w:val="auto"/>
                    <w:rPr>
                      <w:rFonts w:hint="default"/>
                      <w:bCs/>
                      <w:color w:val="auto"/>
                      <w:spacing w:val="-11"/>
                      <w:sz w:val="21"/>
                      <w:szCs w:val="21"/>
                      <w:highlight w:val="none"/>
                      <w:lang w:val="en-US" w:eastAsia="zh-CN"/>
                    </w:rPr>
                  </w:pPr>
                  <w:r>
                    <w:rPr>
                      <w:rFonts w:hint="eastAsia"/>
                      <w:bCs/>
                      <w:color w:val="auto"/>
                      <w:spacing w:val="-11"/>
                      <w:sz w:val="21"/>
                      <w:szCs w:val="21"/>
                      <w:highlight w:val="none"/>
                      <w:lang w:val="en-US" w:eastAsia="zh-CN"/>
                    </w:rPr>
                    <w:t>不涉及；</w:t>
                  </w:r>
                </w:p>
                <w:p w14:paraId="6FC3D7CF">
                  <w:pPr>
                    <w:keepNext w:val="0"/>
                    <w:keepLines w:val="0"/>
                    <w:pageBreakBefore w:val="0"/>
                    <w:widowControl w:val="0"/>
                    <w:numPr>
                      <w:ilvl w:val="0"/>
                      <w:numId w:val="13"/>
                    </w:numPr>
                    <w:tabs>
                      <w:tab w:val="left" w:pos="5031"/>
                    </w:tabs>
                    <w:kinsoku/>
                    <w:wordWrap/>
                    <w:overflowPunct/>
                    <w:topLinePunct w:val="0"/>
                    <w:autoSpaceDE/>
                    <w:autoSpaceDN/>
                    <w:bidi w:val="0"/>
                    <w:adjustRightInd w:val="0"/>
                    <w:snapToGrid w:val="0"/>
                    <w:jc w:val="center"/>
                    <w:textAlignment w:val="auto"/>
                    <w:rPr>
                      <w:rFonts w:hint="default"/>
                      <w:bCs/>
                      <w:color w:val="auto"/>
                      <w:spacing w:val="-11"/>
                      <w:sz w:val="21"/>
                      <w:szCs w:val="21"/>
                      <w:highlight w:val="none"/>
                      <w:lang w:val="en-US" w:eastAsia="zh-CN"/>
                    </w:rPr>
                  </w:pPr>
                  <w:r>
                    <w:rPr>
                      <w:rFonts w:hint="eastAsia"/>
                      <w:bCs/>
                      <w:color w:val="auto"/>
                      <w:spacing w:val="-11"/>
                      <w:sz w:val="21"/>
                      <w:szCs w:val="21"/>
                      <w:highlight w:val="none"/>
                      <w:lang w:val="en-US" w:eastAsia="zh-CN"/>
                    </w:rPr>
                    <w:t>不涉及。</w:t>
                  </w:r>
                </w:p>
              </w:tc>
              <w:tc>
                <w:tcPr>
                  <w:tcW w:w="482" w:type="pct"/>
                  <w:noWrap w:val="0"/>
                  <w:vAlign w:val="center"/>
                </w:tcPr>
                <w:p w14:paraId="4989C128">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eastAsia="宋体"/>
                      <w:bCs/>
                      <w:color w:val="auto"/>
                      <w:spacing w:val="-11"/>
                      <w:sz w:val="21"/>
                      <w:szCs w:val="21"/>
                      <w:highlight w:val="none"/>
                      <w:lang w:val="en-US" w:eastAsia="zh-CN"/>
                    </w:rPr>
                  </w:pPr>
                  <w:r>
                    <w:rPr>
                      <w:rFonts w:hint="eastAsia"/>
                      <w:bCs/>
                      <w:color w:val="auto"/>
                      <w:spacing w:val="-11"/>
                      <w:sz w:val="21"/>
                      <w:szCs w:val="21"/>
                      <w:highlight w:val="none"/>
                      <w:lang w:val="en-US" w:eastAsia="zh-CN"/>
                    </w:rPr>
                    <w:t>符合</w:t>
                  </w:r>
                </w:p>
              </w:tc>
            </w:tr>
            <w:tr w14:paraId="648D021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78" w:type="pct"/>
                  <w:noWrap w:val="0"/>
                  <w:vAlign w:val="center"/>
                </w:tcPr>
                <w:p w14:paraId="3F55486D">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bCs/>
                      <w:color w:val="auto"/>
                      <w:spacing w:val="-11"/>
                      <w:sz w:val="21"/>
                      <w:szCs w:val="21"/>
                      <w:highlight w:val="none"/>
                      <w:lang w:val="en-US" w:eastAsia="zh-CN"/>
                    </w:rPr>
                  </w:pPr>
                  <w:r>
                    <w:rPr>
                      <w:rFonts w:hint="eastAsia"/>
                      <w:bCs/>
                      <w:color w:val="auto"/>
                      <w:spacing w:val="-11"/>
                      <w:sz w:val="21"/>
                      <w:szCs w:val="21"/>
                      <w:highlight w:val="none"/>
                      <w:lang w:val="en-US" w:eastAsia="zh-CN"/>
                    </w:rPr>
                    <w:t>污染物排放管控</w:t>
                  </w:r>
                </w:p>
              </w:tc>
              <w:tc>
                <w:tcPr>
                  <w:tcW w:w="2862" w:type="pct"/>
                  <w:noWrap w:val="0"/>
                  <w:vAlign w:val="center"/>
                </w:tcPr>
                <w:p w14:paraId="7639D137">
                  <w:pPr>
                    <w:keepNext w:val="0"/>
                    <w:keepLines w:val="0"/>
                    <w:pageBreakBefore w:val="0"/>
                    <w:widowControl w:val="0"/>
                    <w:numPr>
                      <w:ilvl w:val="0"/>
                      <w:numId w:val="14"/>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鼓励排污单位实施生产工艺提升改造、治理设施提标改造、清洁能源替代等减排工程。</w:t>
                  </w:r>
                </w:p>
                <w:p w14:paraId="77953AF5">
                  <w:pPr>
                    <w:keepNext w:val="0"/>
                    <w:keepLines w:val="0"/>
                    <w:pageBreakBefore w:val="0"/>
                    <w:widowControl w:val="0"/>
                    <w:numPr>
                      <w:ilvl w:val="0"/>
                      <w:numId w:val="14"/>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入区项目应严格按照相关政策，实施二氧化硫、氮氧化物、颗粒物、挥发性有机物等污染物削减替代。</w:t>
                  </w:r>
                </w:p>
                <w:p w14:paraId="12AA2371">
                  <w:pPr>
                    <w:keepNext w:val="0"/>
                    <w:keepLines w:val="0"/>
                    <w:pageBreakBefore w:val="0"/>
                    <w:widowControl w:val="0"/>
                    <w:numPr>
                      <w:ilvl w:val="0"/>
                      <w:numId w:val="14"/>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以建材、农副食品加工、工业涂装、包装印刷等行业作为当前实施清洁生产审核的重点，全面落实强制性清洁生产审核要求。</w:t>
                  </w:r>
                </w:p>
                <w:p w14:paraId="7D332C40">
                  <w:pPr>
                    <w:keepNext w:val="0"/>
                    <w:keepLines w:val="0"/>
                    <w:pageBreakBefore w:val="0"/>
                    <w:widowControl w:val="0"/>
                    <w:numPr>
                      <w:ilvl w:val="0"/>
                      <w:numId w:val="14"/>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按照重污染天气重点行业应急减排措施相关要求，平板玻璃行业达到A级水平，其他行业达到B级（引领性）及以上水平。</w:t>
                  </w:r>
                </w:p>
                <w:p w14:paraId="1336A9DE">
                  <w:pPr>
                    <w:keepNext w:val="0"/>
                    <w:keepLines w:val="0"/>
                    <w:pageBreakBefore w:val="0"/>
                    <w:widowControl w:val="0"/>
                    <w:numPr>
                      <w:ilvl w:val="0"/>
                      <w:numId w:val="14"/>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涉及含重金属生产废水企业在车间配套建设废水处理措施，处理后作为危废处置或满足回用水标准后回用，禁止含重金属废水排出厂区。</w:t>
                  </w:r>
                </w:p>
                <w:p w14:paraId="3AE4D989">
                  <w:pPr>
                    <w:keepNext w:val="0"/>
                    <w:keepLines w:val="0"/>
                    <w:pageBreakBefore w:val="0"/>
                    <w:widowControl w:val="0"/>
                    <w:numPr>
                      <w:ilvl w:val="0"/>
                      <w:numId w:val="14"/>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到2025年，大宗物料运输采用新能源或国六以上车辆，运输比例不低于80%。</w:t>
                  </w:r>
                </w:p>
              </w:tc>
              <w:tc>
                <w:tcPr>
                  <w:tcW w:w="1176" w:type="pct"/>
                  <w:noWrap w:val="0"/>
                  <w:vAlign w:val="center"/>
                </w:tcPr>
                <w:p w14:paraId="273C0DCD">
                  <w:pPr>
                    <w:keepNext w:val="0"/>
                    <w:keepLines w:val="0"/>
                    <w:pageBreakBefore w:val="0"/>
                    <w:widowControl w:val="0"/>
                    <w:numPr>
                      <w:ilvl w:val="0"/>
                      <w:numId w:val="15"/>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项目为年产量2万套塑料坐具、20000立方米泡沫板及包装项目，生产工艺先进，使用蒸汽作热源；使用国六排放标准汽车和新能源汽车；</w:t>
                  </w:r>
                </w:p>
                <w:p w14:paraId="5E5CD00D">
                  <w:pPr>
                    <w:keepNext w:val="0"/>
                    <w:keepLines w:val="0"/>
                    <w:pageBreakBefore w:val="0"/>
                    <w:widowControl w:val="0"/>
                    <w:numPr>
                      <w:ilvl w:val="0"/>
                      <w:numId w:val="15"/>
                    </w:numPr>
                    <w:tabs>
                      <w:tab w:val="left" w:pos="5031"/>
                    </w:tabs>
                    <w:kinsoku/>
                    <w:wordWrap/>
                    <w:overflowPunct/>
                    <w:topLinePunct w:val="0"/>
                    <w:autoSpaceDE/>
                    <w:autoSpaceDN/>
                    <w:bidi w:val="0"/>
                    <w:adjustRightInd w:val="0"/>
                    <w:snapToGrid w:val="0"/>
                    <w:jc w:val="center"/>
                    <w:textAlignment w:val="auto"/>
                    <w:rPr>
                      <w:rFonts w:hint="default"/>
                      <w:bCs/>
                      <w:color w:val="auto"/>
                      <w:spacing w:val="-11"/>
                      <w:sz w:val="21"/>
                      <w:szCs w:val="21"/>
                      <w:highlight w:val="none"/>
                      <w:lang w:val="en-US" w:eastAsia="zh-CN"/>
                    </w:rPr>
                  </w:pPr>
                  <w:r>
                    <w:rPr>
                      <w:rFonts w:hint="eastAsia"/>
                      <w:color w:val="auto"/>
                      <w:lang w:val="en-US" w:eastAsia="zh-CN"/>
                    </w:rPr>
                    <w:t>非甲烷总烃</w:t>
                  </w:r>
                  <w:r>
                    <w:rPr>
                      <w:rFonts w:hint="eastAsia"/>
                      <w:bCs/>
                      <w:color w:val="auto"/>
                      <w:spacing w:val="-11"/>
                      <w:sz w:val="21"/>
                      <w:szCs w:val="21"/>
                      <w:highlight w:val="none"/>
                      <w:lang w:val="en-US" w:eastAsia="zh-CN"/>
                    </w:rPr>
                    <w:t>批复前落实方案；</w:t>
                  </w:r>
                </w:p>
                <w:p w14:paraId="10E7AB15">
                  <w:pPr>
                    <w:keepNext w:val="0"/>
                    <w:keepLines w:val="0"/>
                    <w:pageBreakBefore w:val="0"/>
                    <w:widowControl w:val="0"/>
                    <w:numPr>
                      <w:ilvl w:val="0"/>
                      <w:numId w:val="15"/>
                    </w:numPr>
                    <w:tabs>
                      <w:tab w:val="left" w:pos="5031"/>
                    </w:tabs>
                    <w:kinsoku/>
                    <w:wordWrap/>
                    <w:overflowPunct/>
                    <w:topLinePunct w:val="0"/>
                    <w:autoSpaceDE/>
                    <w:autoSpaceDN/>
                    <w:bidi w:val="0"/>
                    <w:adjustRightInd w:val="0"/>
                    <w:snapToGrid w:val="0"/>
                    <w:ind w:left="0" w:leftChars="0" w:firstLine="0" w:firstLineChars="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不涉及；4、严格落实B级要求</w:t>
                  </w:r>
                  <w:r>
                    <w:rPr>
                      <w:rFonts w:hint="eastAsia"/>
                      <w:color w:val="auto"/>
                      <w:spacing w:val="-11"/>
                      <w:sz w:val="21"/>
                      <w:szCs w:val="21"/>
                      <w:highlight w:val="none"/>
                      <w:lang w:eastAsia="zh-CN"/>
                    </w:rPr>
                    <w:t>；</w:t>
                  </w:r>
                </w:p>
                <w:p w14:paraId="6D8953A1">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ind w:leftChars="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5.不涉及；</w:t>
                  </w:r>
                </w:p>
                <w:p w14:paraId="091C7B57">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jc w:val="center"/>
                    <w:textAlignment w:val="auto"/>
                    <w:rPr>
                      <w:rFonts w:hint="default"/>
                      <w:bCs/>
                      <w:color w:val="auto"/>
                      <w:spacing w:val="-11"/>
                      <w:sz w:val="21"/>
                      <w:szCs w:val="21"/>
                      <w:highlight w:val="none"/>
                      <w:lang w:val="en-US" w:eastAsia="zh-CN"/>
                    </w:rPr>
                  </w:pPr>
                  <w:r>
                    <w:rPr>
                      <w:rFonts w:hint="eastAsia"/>
                      <w:bCs/>
                      <w:color w:val="auto"/>
                      <w:spacing w:val="-11"/>
                      <w:sz w:val="21"/>
                      <w:szCs w:val="21"/>
                      <w:highlight w:val="none"/>
                      <w:lang w:val="en-US" w:eastAsia="zh-CN"/>
                    </w:rPr>
                    <w:t>6.项目全部采用新能源或国六以上车辆。</w:t>
                  </w:r>
                </w:p>
              </w:tc>
              <w:tc>
                <w:tcPr>
                  <w:tcW w:w="482" w:type="pct"/>
                  <w:noWrap w:val="0"/>
                  <w:vAlign w:val="center"/>
                </w:tcPr>
                <w:p w14:paraId="41C1FB89">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eastAsia="宋体"/>
                      <w:bCs/>
                      <w:color w:val="auto"/>
                      <w:spacing w:val="-11"/>
                      <w:sz w:val="21"/>
                      <w:szCs w:val="21"/>
                      <w:highlight w:val="none"/>
                      <w:lang w:val="en-US" w:eastAsia="zh-CN"/>
                    </w:rPr>
                  </w:pPr>
                  <w:r>
                    <w:rPr>
                      <w:rFonts w:hint="eastAsia"/>
                      <w:bCs/>
                      <w:color w:val="auto"/>
                      <w:spacing w:val="-11"/>
                      <w:sz w:val="21"/>
                      <w:szCs w:val="21"/>
                      <w:highlight w:val="none"/>
                      <w:lang w:val="en-US" w:eastAsia="zh-CN"/>
                    </w:rPr>
                    <w:t>符合</w:t>
                  </w:r>
                </w:p>
              </w:tc>
            </w:tr>
            <w:tr w14:paraId="6E3DD13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78" w:type="pct"/>
                  <w:noWrap w:val="0"/>
                  <w:vAlign w:val="center"/>
                </w:tcPr>
                <w:p w14:paraId="040445FD">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bCs/>
                      <w:color w:val="auto"/>
                      <w:spacing w:val="-11"/>
                      <w:sz w:val="21"/>
                      <w:szCs w:val="21"/>
                      <w:highlight w:val="none"/>
                      <w:lang w:val="en-US" w:eastAsia="zh-CN"/>
                    </w:rPr>
                  </w:pPr>
                  <w:r>
                    <w:rPr>
                      <w:rFonts w:hint="eastAsia"/>
                      <w:bCs/>
                      <w:color w:val="auto"/>
                      <w:spacing w:val="-11"/>
                      <w:sz w:val="21"/>
                      <w:szCs w:val="21"/>
                      <w:highlight w:val="none"/>
                      <w:lang w:val="en-US" w:eastAsia="zh-CN"/>
                    </w:rPr>
                    <w:t>环境风险防控</w:t>
                  </w:r>
                </w:p>
              </w:tc>
              <w:tc>
                <w:tcPr>
                  <w:tcW w:w="2862" w:type="pct"/>
                  <w:noWrap w:val="0"/>
                  <w:vAlign w:val="center"/>
                </w:tcPr>
                <w:p w14:paraId="02EDD789">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1.开发区内“两高”产业为平板玻璃行业，产能上限为2000t/d；禁止新增其他“两高”产业项目。2、加强重大环境风险源监管。涉及有毒有害、易燃易爆物质的新建、改扩建项目，严控准入要求，设置危险品泄漏自动报警系统。涉风险源企业应按要求编制突发环境事件应急预案并进行备案，定期进行演练。</w:t>
                  </w:r>
                </w:p>
                <w:p w14:paraId="69E3D022">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3.涉液氨等危险化学品企业应严格执行《危险化学品重大危险源监督管理暂行规定》的相关要求。</w:t>
                  </w:r>
                </w:p>
                <w:p w14:paraId="292BF9CB">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4.危险废物产生单位应当按照国家有关规定制定危险废物管理计划，建立危险废物管理台账，如实记录危险废物的种类、产生量、流向、贮存、处置等信息，危险废物的种类、产生量、流向、贮存、利用、处置等有关信息应当通过固体废物管理信息系统进行申报，确保实现闭环管理，鼓励采用电子地磅、视频监控、电子标签等集成智能监控手段，推动实现危险废物全过程监控和信息化追溯，做到全过程监管。</w:t>
                  </w:r>
                </w:p>
                <w:p w14:paraId="43800A6F">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5.针对土地使用性质变更地块，按要求开展土壤污染状况调查。</w:t>
                  </w:r>
                </w:p>
              </w:tc>
              <w:tc>
                <w:tcPr>
                  <w:tcW w:w="1176" w:type="pct"/>
                  <w:noWrap w:val="0"/>
                  <w:vAlign w:val="center"/>
                </w:tcPr>
                <w:p w14:paraId="35165ABD">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1.不涉及；</w:t>
                  </w:r>
                </w:p>
                <w:p w14:paraId="189D50CE">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color w:val="auto"/>
                      <w:spacing w:val="-11"/>
                      <w:kern w:val="0"/>
                      <w:sz w:val="21"/>
                      <w:szCs w:val="21"/>
                      <w:highlight w:val="none"/>
                      <w:lang w:eastAsia="zh-CN" w:bidi="ar"/>
                    </w:rPr>
                  </w:pPr>
                  <w:r>
                    <w:rPr>
                      <w:rFonts w:hint="eastAsia"/>
                      <w:bCs/>
                      <w:color w:val="auto"/>
                      <w:spacing w:val="-11"/>
                      <w:sz w:val="21"/>
                      <w:szCs w:val="21"/>
                      <w:highlight w:val="none"/>
                      <w:lang w:val="en-US" w:eastAsia="zh-CN"/>
                    </w:rPr>
                    <w:t>2.项目</w:t>
                  </w:r>
                  <w:r>
                    <w:rPr>
                      <w:rFonts w:hint="eastAsia"/>
                      <w:color w:val="auto"/>
                      <w:spacing w:val="-11"/>
                      <w:kern w:val="0"/>
                      <w:sz w:val="21"/>
                      <w:szCs w:val="21"/>
                      <w:highlight w:val="none"/>
                      <w:lang w:bidi="ar"/>
                    </w:rPr>
                    <w:t>采取了完善的风险防范措施，</w:t>
                  </w:r>
                  <w:r>
                    <w:rPr>
                      <w:rFonts w:hint="eastAsia"/>
                      <w:color w:val="auto"/>
                      <w:spacing w:val="-11"/>
                      <w:kern w:val="0"/>
                      <w:sz w:val="21"/>
                      <w:szCs w:val="21"/>
                      <w:highlight w:val="none"/>
                      <w:lang w:val="en-US" w:eastAsia="zh-CN" w:bidi="ar"/>
                    </w:rPr>
                    <w:t>建成后需</w:t>
                  </w:r>
                  <w:r>
                    <w:rPr>
                      <w:rFonts w:hint="eastAsia"/>
                      <w:color w:val="auto"/>
                      <w:spacing w:val="-11"/>
                      <w:kern w:val="0"/>
                      <w:sz w:val="21"/>
                      <w:szCs w:val="21"/>
                      <w:highlight w:val="none"/>
                      <w:lang w:bidi="ar"/>
                    </w:rPr>
                    <w:t>编制突发环境事件应急预案，加强环境风险防范措施和应急处置</w:t>
                  </w:r>
                  <w:r>
                    <w:rPr>
                      <w:rFonts w:hint="eastAsia"/>
                      <w:color w:val="auto"/>
                      <w:spacing w:val="-11"/>
                      <w:kern w:val="0"/>
                      <w:sz w:val="21"/>
                      <w:szCs w:val="21"/>
                      <w:highlight w:val="none"/>
                      <w:lang w:eastAsia="zh-CN" w:bidi="ar"/>
                    </w:rPr>
                    <w:t>；</w:t>
                  </w:r>
                </w:p>
                <w:p w14:paraId="2F3A413F">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color w:val="auto"/>
                      <w:spacing w:val="-11"/>
                      <w:kern w:val="0"/>
                      <w:sz w:val="21"/>
                      <w:szCs w:val="21"/>
                      <w:highlight w:val="none"/>
                      <w:lang w:val="en-US" w:eastAsia="zh-CN" w:bidi="ar"/>
                    </w:rPr>
                  </w:pPr>
                  <w:r>
                    <w:rPr>
                      <w:rFonts w:hint="eastAsia"/>
                      <w:color w:val="auto"/>
                      <w:spacing w:val="-11"/>
                      <w:kern w:val="0"/>
                      <w:sz w:val="21"/>
                      <w:szCs w:val="21"/>
                      <w:highlight w:val="none"/>
                      <w:lang w:val="en-US" w:eastAsia="zh-CN" w:bidi="ar"/>
                    </w:rPr>
                    <w:t>3.不涉及；</w:t>
                  </w:r>
                </w:p>
                <w:p w14:paraId="751E4915">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color w:val="auto"/>
                      <w:spacing w:val="-11"/>
                      <w:kern w:val="0"/>
                      <w:sz w:val="21"/>
                      <w:szCs w:val="21"/>
                      <w:highlight w:val="none"/>
                      <w:lang w:val="en-US" w:eastAsia="zh-CN" w:bidi="ar"/>
                    </w:rPr>
                  </w:pPr>
                  <w:r>
                    <w:rPr>
                      <w:rFonts w:hint="eastAsia"/>
                      <w:color w:val="auto"/>
                      <w:spacing w:val="-11"/>
                      <w:kern w:val="0"/>
                      <w:sz w:val="21"/>
                      <w:szCs w:val="21"/>
                      <w:highlight w:val="none"/>
                      <w:lang w:val="en-US" w:eastAsia="zh-CN" w:bidi="ar"/>
                    </w:rPr>
                    <w:t>4.建成后严格落实相关要求；</w:t>
                  </w:r>
                </w:p>
                <w:p w14:paraId="3E230788">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eastAsia="宋体"/>
                      <w:bCs/>
                      <w:color w:val="auto"/>
                      <w:spacing w:val="-11"/>
                      <w:sz w:val="21"/>
                      <w:szCs w:val="21"/>
                      <w:highlight w:val="none"/>
                      <w:lang w:val="en-US" w:eastAsia="zh-CN"/>
                    </w:rPr>
                  </w:pPr>
                  <w:r>
                    <w:rPr>
                      <w:rFonts w:hint="eastAsia"/>
                      <w:color w:val="auto"/>
                      <w:spacing w:val="-11"/>
                      <w:kern w:val="0"/>
                      <w:sz w:val="21"/>
                      <w:szCs w:val="21"/>
                      <w:highlight w:val="none"/>
                      <w:lang w:val="en-US" w:eastAsia="zh-CN" w:bidi="ar"/>
                    </w:rPr>
                    <w:t>5.不涉及。</w:t>
                  </w:r>
                </w:p>
              </w:tc>
              <w:tc>
                <w:tcPr>
                  <w:tcW w:w="482" w:type="pct"/>
                  <w:noWrap w:val="0"/>
                  <w:vAlign w:val="center"/>
                </w:tcPr>
                <w:p w14:paraId="600112A9">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eastAsia="宋体"/>
                      <w:bCs/>
                      <w:color w:val="auto"/>
                      <w:spacing w:val="-11"/>
                      <w:sz w:val="21"/>
                      <w:szCs w:val="21"/>
                      <w:highlight w:val="none"/>
                      <w:lang w:val="en-US" w:eastAsia="zh-CN"/>
                    </w:rPr>
                  </w:pPr>
                  <w:r>
                    <w:rPr>
                      <w:rFonts w:hint="eastAsia"/>
                      <w:bCs/>
                      <w:color w:val="auto"/>
                      <w:spacing w:val="-11"/>
                      <w:sz w:val="21"/>
                      <w:szCs w:val="21"/>
                      <w:highlight w:val="none"/>
                      <w:lang w:val="en-US" w:eastAsia="zh-CN"/>
                    </w:rPr>
                    <w:t>符合</w:t>
                  </w:r>
                </w:p>
              </w:tc>
            </w:tr>
            <w:tr w14:paraId="4086AC7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78" w:type="pct"/>
                  <w:noWrap w:val="0"/>
                  <w:vAlign w:val="center"/>
                </w:tcPr>
                <w:p w14:paraId="5D466A63">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default"/>
                      <w:bCs/>
                      <w:color w:val="auto"/>
                      <w:spacing w:val="-11"/>
                      <w:sz w:val="21"/>
                      <w:szCs w:val="21"/>
                      <w:highlight w:val="none"/>
                      <w:lang w:val="en-US" w:eastAsia="zh-CN"/>
                    </w:rPr>
                  </w:pPr>
                  <w:r>
                    <w:rPr>
                      <w:rFonts w:hint="eastAsia"/>
                      <w:bCs/>
                      <w:color w:val="auto"/>
                      <w:spacing w:val="-11"/>
                      <w:sz w:val="21"/>
                      <w:szCs w:val="21"/>
                      <w:highlight w:val="none"/>
                      <w:lang w:val="en-US" w:eastAsia="zh-CN"/>
                    </w:rPr>
                    <w:t>资源开发利用要求</w:t>
                  </w:r>
                </w:p>
              </w:tc>
              <w:tc>
                <w:tcPr>
                  <w:tcW w:w="2862" w:type="pct"/>
                  <w:noWrap w:val="0"/>
                  <w:vAlign w:val="center"/>
                </w:tcPr>
                <w:p w14:paraId="5D650ED8">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1区项目不能突破园区设定的土地资源（南区城市建设用地919.22hm，北区城市建设用地远期456.72hm</w:t>
                  </w:r>
                  <w:r>
                    <w:rPr>
                      <w:rFonts w:hint="eastAsia"/>
                      <w:bCs/>
                      <w:color w:val="auto"/>
                      <w:spacing w:val="-11"/>
                      <w:sz w:val="21"/>
                      <w:szCs w:val="21"/>
                      <w:highlight w:val="none"/>
                      <w:vertAlign w:val="superscript"/>
                      <w:lang w:val="en-US" w:eastAsia="zh-CN"/>
                    </w:rPr>
                    <w:t>2）</w:t>
                  </w:r>
                  <w:r>
                    <w:rPr>
                      <w:rFonts w:hint="eastAsia"/>
                      <w:bCs/>
                      <w:color w:val="auto"/>
                      <w:spacing w:val="-11"/>
                      <w:sz w:val="21"/>
                      <w:szCs w:val="21"/>
                      <w:highlight w:val="none"/>
                      <w:lang w:val="en-US" w:eastAsia="zh-CN"/>
                    </w:rPr>
                    <w:t>水资源（新鲜水320.363万m/a）能源利用上限（天然气2209万m/a煤炭21.01万t/a）。</w:t>
                  </w:r>
                </w:p>
                <w:p w14:paraId="00358B96">
                  <w:pPr>
                    <w:keepNext w:val="0"/>
                    <w:keepLines w:val="0"/>
                    <w:pageBreakBefore w:val="0"/>
                    <w:widowControl w:val="0"/>
                    <w:numPr>
                      <w:ilvl w:val="0"/>
                      <w:numId w:val="16"/>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开发区南区禁止高耗水项目入区（以中水作为水源的除外）。平板玻璃、发电、集中煤制气中心生产用水使用中水。</w:t>
                  </w:r>
                </w:p>
                <w:p w14:paraId="089B5711">
                  <w:pPr>
                    <w:keepNext w:val="0"/>
                    <w:keepLines w:val="0"/>
                    <w:pageBreakBefore w:val="0"/>
                    <w:widowControl w:val="0"/>
                    <w:numPr>
                      <w:ilvl w:val="0"/>
                      <w:numId w:val="16"/>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地下水取用水总量或者地下水水位接近控制指标时，应当限制审批建设项目新增取用地下水取用水总量或者地下水水位已经达到或者超过控制指标时，应当暂停审批建设项目新增取用地下水</w:t>
                  </w:r>
                </w:p>
                <w:p w14:paraId="4C5E7166">
                  <w:pPr>
                    <w:keepNext w:val="0"/>
                    <w:keepLines w:val="0"/>
                    <w:pageBreakBefore w:val="0"/>
                    <w:widowControl w:val="0"/>
                    <w:numPr>
                      <w:ilvl w:val="0"/>
                      <w:numId w:val="16"/>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入区项目采用清洁生产技术、工艺和设备，单位产品能耗、物耗和水耗达到清洁生产先进水平。</w:t>
                  </w:r>
                </w:p>
              </w:tc>
              <w:tc>
                <w:tcPr>
                  <w:tcW w:w="1176" w:type="pct"/>
                  <w:noWrap w:val="0"/>
                  <w:vAlign w:val="center"/>
                </w:tcPr>
                <w:p w14:paraId="1BE0A185">
                  <w:pPr>
                    <w:keepNext w:val="0"/>
                    <w:keepLines w:val="0"/>
                    <w:pageBreakBefore w:val="0"/>
                    <w:widowControl w:val="0"/>
                    <w:numPr>
                      <w:ilvl w:val="0"/>
                      <w:numId w:val="17"/>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本项目在园区内建设。不使用天然气，</w:t>
                  </w:r>
                  <w:r>
                    <w:rPr>
                      <w:rFonts w:hint="eastAsia" w:ascii="Times New Roman" w:hAnsi="Times New Roman" w:eastAsia="宋体" w:cs="Times New Roman"/>
                      <w:bCs/>
                      <w:color w:val="auto"/>
                      <w:spacing w:val="-11"/>
                      <w:kern w:val="0"/>
                      <w:sz w:val="21"/>
                      <w:szCs w:val="21"/>
                      <w:highlight w:val="none"/>
                      <w:lang w:val="en-US" w:eastAsia="zh-CN" w:bidi="ar"/>
                    </w:rPr>
                    <w:t>项目无生产废水排放，仅职工生活废水。厂区设防渗旱厕，生活污水排入防渗旱厕，定期清掏，不外排。</w:t>
                  </w:r>
                </w:p>
                <w:p w14:paraId="7C703405">
                  <w:pPr>
                    <w:keepNext w:val="0"/>
                    <w:keepLines w:val="0"/>
                    <w:pageBreakBefore w:val="0"/>
                    <w:widowControl w:val="0"/>
                    <w:numPr>
                      <w:ilvl w:val="0"/>
                      <w:numId w:val="17"/>
                    </w:numPr>
                    <w:tabs>
                      <w:tab w:val="left" w:pos="5031"/>
                    </w:tabs>
                    <w:kinsoku/>
                    <w:wordWrap/>
                    <w:overflowPunct/>
                    <w:topLinePunct w:val="0"/>
                    <w:autoSpaceDE/>
                    <w:autoSpaceDN/>
                    <w:bidi w:val="0"/>
                    <w:adjustRightInd w:val="0"/>
                    <w:snapToGrid w:val="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本项目不属于高耗水项目；</w:t>
                  </w:r>
                </w:p>
                <w:p w14:paraId="41A1DAD0">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ind w:leftChars="0"/>
                    <w:jc w:val="center"/>
                    <w:textAlignment w:val="auto"/>
                    <w:rPr>
                      <w:rFonts w:hint="eastAsia"/>
                      <w:bCs/>
                      <w:color w:val="auto"/>
                      <w:spacing w:val="-11"/>
                      <w:sz w:val="21"/>
                      <w:szCs w:val="21"/>
                      <w:highlight w:val="none"/>
                      <w:lang w:val="en-US" w:eastAsia="zh-CN"/>
                    </w:rPr>
                  </w:pPr>
                  <w:r>
                    <w:rPr>
                      <w:rFonts w:hint="eastAsia"/>
                      <w:bCs/>
                      <w:color w:val="auto"/>
                      <w:spacing w:val="-11"/>
                      <w:sz w:val="21"/>
                      <w:szCs w:val="21"/>
                      <w:highlight w:val="none"/>
                      <w:lang w:val="en-US" w:eastAsia="zh-CN"/>
                    </w:rPr>
                    <w:t>3.不涉及；</w:t>
                  </w:r>
                </w:p>
                <w:p w14:paraId="6E3DD0E1">
                  <w:pPr>
                    <w:keepNext w:val="0"/>
                    <w:keepLines w:val="0"/>
                    <w:pageBreakBefore w:val="0"/>
                    <w:widowControl w:val="0"/>
                    <w:numPr>
                      <w:ilvl w:val="0"/>
                      <w:numId w:val="0"/>
                    </w:numPr>
                    <w:tabs>
                      <w:tab w:val="left" w:pos="5031"/>
                    </w:tabs>
                    <w:kinsoku/>
                    <w:wordWrap/>
                    <w:overflowPunct/>
                    <w:topLinePunct w:val="0"/>
                    <w:autoSpaceDE/>
                    <w:autoSpaceDN/>
                    <w:bidi w:val="0"/>
                    <w:adjustRightInd w:val="0"/>
                    <w:snapToGrid w:val="0"/>
                    <w:ind w:leftChars="0"/>
                    <w:jc w:val="center"/>
                    <w:textAlignment w:val="auto"/>
                    <w:rPr>
                      <w:rFonts w:hint="default"/>
                      <w:bCs/>
                      <w:color w:val="auto"/>
                      <w:spacing w:val="-11"/>
                      <w:sz w:val="21"/>
                      <w:szCs w:val="21"/>
                      <w:highlight w:val="none"/>
                      <w:lang w:val="en-US" w:eastAsia="zh-CN"/>
                    </w:rPr>
                  </w:pPr>
                  <w:r>
                    <w:rPr>
                      <w:rFonts w:hint="eastAsia"/>
                      <w:bCs/>
                      <w:color w:val="auto"/>
                      <w:spacing w:val="-11"/>
                      <w:sz w:val="21"/>
                      <w:szCs w:val="21"/>
                      <w:highlight w:val="none"/>
                      <w:lang w:val="en-US" w:eastAsia="zh-CN"/>
                    </w:rPr>
                    <w:t>4.项目清洁生产技术、工艺和设备，单位产品能耗、物耗和水耗达到清洁生产先进水平。</w:t>
                  </w:r>
                </w:p>
              </w:tc>
              <w:tc>
                <w:tcPr>
                  <w:tcW w:w="482" w:type="pct"/>
                  <w:noWrap w:val="0"/>
                  <w:vAlign w:val="center"/>
                </w:tcPr>
                <w:p w14:paraId="5BC956BB">
                  <w:pPr>
                    <w:keepNext w:val="0"/>
                    <w:keepLines w:val="0"/>
                    <w:pageBreakBefore w:val="0"/>
                    <w:widowControl w:val="0"/>
                    <w:tabs>
                      <w:tab w:val="left" w:pos="5031"/>
                    </w:tabs>
                    <w:kinsoku/>
                    <w:wordWrap/>
                    <w:overflowPunct/>
                    <w:topLinePunct w:val="0"/>
                    <w:autoSpaceDE/>
                    <w:autoSpaceDN/>
                    <w:bidi w:val="0"/>
                    <w:adjustRightInd w:val="0"/>
                    <w:snapToGrid w:val="0"/>
                    <w:jc w:val="center"/>
                    <w:textAlignment w:val="auto"/>
                    <w:rPr>
                      <w:rFonts w:hint="eastAsia" w:eastAsia="宋体"/>
                      <w:bCs/>
                      <w:color w:val="auto"/>
                      <w:spacing w:val="-11"/>
                      <w:sz w:val="21"/>
                      <w:szCs w:val="21"/>
                      <w:highlight w:val="none"/>
                      <w:lang w:val="en-US" w:eastAsia="zh-CN"/>
                    </w:rPr>
                  </w:pPr>
                  <w:r>
                    <w:rPr>
                      <w:rFonts w:hint="eastAsia"/>
                      <w:bCs/>
                      <w:color w:val="auto"/>
                      <w:spacing w:val="-11"/>
                      <w:sz w:val="21"/>
                      <w:szCs w:val="21"/>
                      <w:highlight w:val="none"/>
                      <w:lang w:val="en-US" w:eastAsia="zh-CN"/>
                    </w:rPr>
                    <w:t>符合</w:t>
                  </w:r>
                </w:p>
              </w:tc>
            </w:tr>
          </w:tbl>
          <w:p w14:paraId="426D2A0C">
            <w:pPr>
              <w:pStyle w:val="11"/>
              <w:keepLines w:val="0"/>
              <w:pageBreakBefore w:val="0"/>
              <w:widowControl w:val="0"/>
              <w:kinsoku/>
              <w:wordWrap/>
              <w:overflowPunct/>
              <w:topLinePunct w:val="0"/>
              <w:bidi w:val="0"/>
              <w:spacing w:line="360" w:lineRule="auto"/>
              <w:ind w:firstLine="480" w:firstLineChars="200"/>
              <w:textAlignment w:val="auto"/>
              <w:rPr>
                <w:b/>
                <w:bCs/>
                <w:color w:val="auto"/>
                <w:szCs w:val="21"/>
                <w:highlight w:val="none"/>
              </w:rPr>
            </w:pPr>
            <w:r>
              <w:rPr>
                <w:rFonts w:hint="eastAsia"/>
                <w:color w:val="auto"/>
                <w:kern w:val="2"/>
                <w:szCs w:val="24"/>
                <w:highlight w:val="none"/>
                <w:lang w:val="en-US" w:eastAsia="zh-CN"/>
              </w:rPr>
              <w:t>二</w:t>
            </w:r>
            <w:r>
              <w:rPr>
                <w:rFonts w:hint="eastAsia"/>
                <w:color w:val="auto"/>
                <w:kern w:val="2"/>
                <w:szCs w:val="24"/>
                <w:highlight w:val="none"/>
              </w:rPr>
              <w:t>、</w:t>
            </w:r>
            <w:r>
              <w:rPr>
                <w:rFonts w:hint="eastAsia"/>
                <w:color w:val="auto"/>
                <w:kern w:val="2"/>
                <w:szCs w:val="24"/>
                <w:highlight w:val="none"/>
                <w:lang w:eastAsia="zh-CN"/>
              </w:rPr>
              <w:t>关于</w:t>
            </w:r>
            <w:r>
              <w:rPr>
                <w:rFonts w:hint="eastAsia"/>
                <w:color w:val="auto"/>
                <w:kern w:val="2"/>
                <w:szCs w:val="24"/>
                <w:highlight w:val="none"/>
              </w:rPr>
              <w:t>生态环境保护法律法</w:t>
            </w:r>
            <w:r>
              <w:rPr>
                <w:rFonts w:hint="eastAsia"/>
                <w:color w:val="auto"/>
                <w:kern w:val="2"/>
                <w:szCs w:val="24"/>
                <w:highlight w:val="none"/>
                <w:lang w:eastAsia="zh-CN"/>
              </w:rPr>
              <w:t>规和</w:t>
            </w:r>
            <w:r>
              <w:rPr>
                <w:rFonts w:hint="eastAsia"/>
                <w:color w:val="auto"/>
                <w:kern w:val="2"/>
                <w:szCs w:val="24"/>
                <w:highlight w:val="none"/>
              </w:rPr>
              <w:t>政策、生态环境保护规划的符合性</w:t>
            </w:r>
          </w:p>
          <w:p w14:paraId="57AD35F8">
            <w:pPr>
              <w:keepLines w:val="0"/>
              <w:pageBreakBefore w:val="0"/>
              <w:widowControl w:val="0"/>
              <w:kinsoku/>
              <w:wordWrap/>
              <w:overflowPunct/>
              <w:topLinePunct w:val="0"/>
              <w:bidi w:val="0"/>
              <w:spacing w:line="360" w:lineRule="auto"/>
              <w:ind w:firstLine="480" w:firstLineChars="200"/>
              <w:jc w:val="both"/>
              <w:textAlignment w:val="auto"/>
              <w:rPr>
                <w:rFonts w:hint="eastAsia" w:ascii="Times New Roman" w:hAnsi="Times New Roman" w:eastAsia="宋体" w:cs="Times New Roman"/>
                <w:b w:val="0"/>
                <w:bCs w:val="0"/>
                <w:color w:val="auto"/>
                <w:sz w:val="24"/>
                <w:highlight w:val="none"/>
              </w:rPr>
            </w:pPr>
            <w:r>
              <w:rPr>
                <w:rFonts w:hint="eastAsia" w:cs="Times New Roman"/>
                <w:color w:val="auto"/>
                <w:sz w:val="24"/>
                <w:highlight w:val="none"/>
                <w:lang w:val="en-US" w:eastAsia="zh-CN"/>
              </w:rPr>
              <w:t>1.</w:t>
            </w:r>
            <w:r>
              <w:rPr>
                <w:rFonts w:hint="eastAsia" w:ascii="Times New Roman" w:hAnsi="Times New Roman" w:eastAsia="宋体" w:cs="Times New Roman"/>
                <w:color w:val="auto"/>
                <w:sz w:val="24"/>
                <w:highlight w:val="none"/>
                <w:lang w:val="en-US" w:eastAsia="zh-CN"/>
              </w:rPr>
              <w:t>项目与</w:t>
            </w:r>
            <w:r>
              <w:rPr>
                <w:rFonts w:hint="eastAsia" w:ascii="Times New Roman" w:hAnsi="Times New Roman" w:eastAsia="宋体" w:cs="Times New Roman"/>
                <w:b w:val="0"/>
                <w:bCs w:val="0"/>
                <w:color w:val="auto"/>
                <w:sz w:val="24"/>
                <w:highlight w:val="none"/>
              </w:rPr>
              <w:t>相关污染防治政策的符合性分析</w:t>
            </w:r>
          </w:p>
          <w:p w14:paraId="32C2BC88">
            <w:pPr>
              <w:keepLines w:val="0"/>
              <w:pageBreakBefore w:val="0"/>
              <w:widowControl w:val="0"/>
              <w:kinsoku/>
              <w:wordWrap/>
              <w:overflowPunct/>
              <w:topLinePunct w:val="0"/>
              <w:bidi w:val="0"/>
              <w:ind w:firstLine="482" w:firstLineChars="200"/>
              <w:jc w:val="center"/>
              <w:textAlignment w:val="auto"/>
              <w:rPr>
                <w:b/>
                <w:bCs/>
                <w:color w:val="auto"/>
                <w:szCs w:val="21"/>
                <w:highlight w:val="none"/>
              </w:rPr>
            </w:pPr>
            <w:r>
              <w:rPr>
                <w:b/>
                <w:bCs/>
                <w:color w:val="auto"/>
                <w:sz w:val="24"/>
                <w:highlight w:val="none"/>
              </w:rPr>
              <w:t>表1</w:t>
            </w:r>
            <w:r>
              <w:rPr>
                <w:rFonts w:hint="eastAsia"/>
                <w:b/>
                <w:bCs/>
                <w:color w:val="auto"/>
                <w:sz w:val="24"/>
                <w:highlight w:val="none"/>
              </w:rPr>
              <w:t>-</w:t>
            </w:r>
            <w:r>
              <w:rPr>
                <w:rFonts w:hint="eastAsia"/>
                <w:b/>
                <w:bCs/>
                <w:color w:val="auto"/>
                <w:sz w:val="24"/>
                <w:highlight w:val="none"/>
                <w:lang w:val="en-US" w:eastAsia="zh-CN"/>
              </w:rPr>
              <w:t>7</w:t>
            </w:r>
            <w:r>
              <w:rPr>
                <w:b/>
                <w:bCs/>
                <w:color w:val="auto"/>
                <w:sz w:val="24"/>
                <w:highlight w:val="none"/>
              </w:rPr>
              <w:t xml:space="preserve">   与相关污染防治政策的符合性分析</w:t>
            </w:r>
          </w:p>
          <w:tbl>
            <w:tblPr>
              <w:tblStyle w:val="34"/>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240"/>
              <w:gridCol w:w="3610"/>
              <w:gridCol w:w="1919"/>
              <w:gridCol w:w="829"/>
            </w:tblGrid>
            <w:tr w14:paraId="633C275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6" w:hRule="atLeast"/>
                <w:jc w:val="center"/>
              </w:trPr>
              <w:tc>
                <w:tcPr>
                  <w:tcW w:w="816" w:type="pct"/>
                  <w:noWrap w:val="0"/>
                  <w:vAlign w:val="center"/>
                </w:tcPr>
                <w:p w14:paraId="1941970C">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环保政策</w:t>
                  </w:r>
                </w:p>
              </w:tc>
              <w:tc>
                <w:tcPr>
                  <w:tcW w:w="2375" w:type="pct"/>
                  <w:noWrap w:val="0"/>
                  <w:vAlign w:val="center"/>
                </w:tcPr>
                <w:p w14:paraId="5802DB2E">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政策要求</w:t>
                  </w:r>
                </w:p>
              </w:tc>
              <w:tc>
                <w:tcPr>
                  <w:tcW w:w="1262" w:type="pct"/>
                  <w:noWrap w:val="0"/>
                  <w:vAlign w:val="center"/>
                </w:tcPr>
                <w:p w14:paraId="2482CFC9">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lang w:eastAsia="zh-CN"/>
                    </w:rPr>
                    <w:t>本项目</w:t>
                  </w:r>
                  <w:r>
                    <w:rPr>
                      <w:rFonts w:hint="default" w:ascii="Times New Roman" w:hAnsi="Times New Roman" w:eastAsia="宋体" w:cs="Times New Roman"/>
                      <w:b w:val="0"/>
                      <w:bCs w:val="0"/>
                      <w:color w:val="auto"/>
                      <w:spacing w:val="-11"/>
                      <w:sz w:val="21"/>
                      <w:szCs w:val="21"/>
                      <w:highlight w:val="none"/>
                    </w:rPr>
                    <w:t>实际</w:t>
                  </w:r>
                </w:p>
              </w:tc>
              <w:tc>
                <w:tcPr>
                  <w:tcW w:w="545" w:type="pct"/>
                  <w:noWrap w:val="0"/>
                  <w:vAlign w:val="center"/>
                </w:tcPr>
                <w:p w14:paraId="21E32A67">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符合性</w:t>
                  </w:r>
                </w:p>
              </w:tc>
            </w:tr>
            <w:tr w14:paraId="4207909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816" w:type="pct"/>
                  <w:vMerge w:val="restart"/>
                  <w:noWrap w:val="0"/>
                  <w:vAlign w:val="center"/>
                </w:tcPr>
                <w:p w14:paraId="501616CA">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z w:val="21"/>
                      <w:szCs w:val="21"/>
                      <w:highlight w:val="none"/>
                    </w:rPr>
                    <w:t>生态环境部《重点行业挥发性有机物综合治理方案》(环大气</w:t>
                  </w:r>
                  <w:r>
                    <w:rPr>
                      <w:rFonts w:hint="eastAsia" w:cs="Times New Roman"/>
                      <w:b w:val="0"/>
                      <w:bCs w:val="0"/>
                      <w:color w:val="auto"/>
                      <w:sz w:val="21"/>
                      <w:szCs w:val="21"/>
                      <w:highlight w:val="none"/>
                      <w:lang w:eastAsia="zh-CN"/>
                    </w:rPr>
                    <w:t>〔2019〕53号）</w:t>
                  </w:r>
                </w:p>
              </w:tc>
              <w:tc>
                <w:tcPr>
                  <w:tcW w:w="2375" w:type="pct"/>
                  <w:noWrap w:val="0"/>
                  <w:vAlign w:val="center"/>
                </w:tcPr>
                <w:p w14:paraId="46FECF48">
                  <w:pPr>
                    <w:pStyle w:val="11"/>
                    <w:keepNext w:val="0"/>
                    <w:keepLines w:val="0"/>
                    <w:pageBreakBefore w:val="0"/>
                    <w:widowControl w:val="0"/>
                    <w:kinsoku/>
                    <w:wordWrap/>
                    <w:overflowPunct/>
                    <w:topLinePunct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z w:val="21"/>
                      <w:szCs w:val="21"/>
                      <w:highlight w:val="none"/>
                    </w:rPr>
                    <w:t>（二）全面加强无组织排放控制。提高废气收集率。遵循“应收尽收、分质收集”的原则，科学设计废气收集系统，将无组织排放转变为有组织排放进行控制。采用全密闭集气罩或密闭空间的，除行业有特殊要求外，应保持微负压状态，并根据相关规范合理设置通风量。采用局部集气罩的，距集气罩开口面最远处的VOCs无组织排放位置，控制风速应不低于0.3米/秒，有行业要求的按相关规定执行。</w:t>
                  </w:r>
                </w:p>
              </w:tc>
              <w:tc>
                <w:tcPr>
                  <w:tcW w:w="1262" w:type="pct"/>
                  <w:noWrap w:val="0"/>
                  <w:vAlign w:val="center"/>
                </w:tcPr>
                <w:p w14:paraId="751F9077">
                  <w:pPr>
                    <w:pStyle w:val="11"/>
                    <w:keepNext w:val="0"/>
                    <w:keepLines w:val="0"/>
                    <w:pageBreakBefore w:val="0"/>
                    <w:widowControl w:val="0"/>
                    <w:kinsoku/>
                    <w:wordWrap/>
                    <w:overflowPunct/>
                    <w:topLinePunct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z w:val="21"/>
                      <w:szCs w:val="21"/>
                      <w:highlight w:val="none"/>
                    </w:rPr>
                    <w:t>本项目遵循“应收尽收、分质收集”的原则，科学设计废气收集系统，各废气产生点均设置集气设施，同时合理设置风机风量，确保车间保持微负压状态。项目设计集气罩开口面最远处的VOCs无组织排放位置控制风速为</w:t>
                  </w:r>
                  <w:r>
                    <w:rPr>
                      <w:rFonts w:hint="eastAsia" w:cs="Times New Roman"/>
                      <w:b w:val="0"/>
                      <w:bCs w:val="0"/>
                      <w:color w:val="auto"/>
                      <w:sz w:val="21"/>
                      <w:szCs w:val="21"/>
                      <w:highlight w:val="none"/>
                      <w:lang w:val="en-US" w:eastAsia="zh-CN"/>
                    </w:rPr>
                    <w:t>1.0</w:t>
                  </w:r>
                  <w:r>
                    <w:rPr>
                      <w:rFonts w:hint="default" w:ascii="Times New Roman" w:hAnsi="Times New Roman" w:eastAsia="宋体" w:cs="Times New Roman"/>
                      <w:b w:val="0"/>
                      <w:bCs w:val="0"/>
                      <w:color w:val="auto"/>
                      <w:sz w:val="21"/>
                      <w:szCs w:val="21"/>
                      <w:highlight w:val="none"/>
                    </w:rPr>
                    <w:t>m/s，可满足控制风速应在0.3米/秒以上要求。</w:t>
                  </w:r>
                </w:p>
              </w:tc>
              <w:tc>
                <w:tcPr>
                  <w:tcW w:w="545" w:type="pct"/>
                  <w:noWrap w:val="0"/>
                  <w:vAlign w:val="center"/>
                </w:tcPr>
                <w:p w14:paraId="24184B6E">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eastAsia" w:ascii="Times New Roman" w:hAnsi="Times New Roman" w:eastAsia="宋体" w:cs="Times New Roman"/>
                      <w:b w:val="0"/>
                      <w:bCs w:val="0"/>
                      <w:color w:val="auto"/>
                      <w:spacing w:val="-11"/>
                      <w:sz w:val="21"/>
                      <w:szCs w:val="21"/>
                      <w:highlight w:val="none"/>
                      <w:lang w:val="en-US" w:eastAsia="zh-CN"/>
                    </w:rPr>
                  </w:pPr>
                  <w:r>
                    <w:rPr>
                      <w:rFonts w:hint="eastAsia" w:cs="Times New Roman"/>
                      <w:b w:val="0"/>
                      <w:bCs w:val="0"/>
                      <w:color w:val="auto"/>
                      <w:spacing w:val="-11"/>
                      <w:sz w:val="21"/>
                      <w:szCs w:val="21"/>
                      <w:highlight w:val="none"/>
                      <w:lang w:val="en-US" w:eastAsia="zh-CN"/>
                    </w:rPr>
                    <w:t>符合</w:t>
                  </w:r>
                </w:p>
              </w:tc>
            </w:tr>
            <w:tr w14:paraId="69AB6A8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816" w:type="pct"/>
                  <w:vMerge w:val="continue"/>
                  <w:noWrap w:val="0"/>
                  <w:vAlign w:val="center"/>
                </w:tcPr>
                <w:p w14:paraId="46851F32">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2375" w:type="pct"/>
                  <w:noWrap w:val="0"/>
                  <w:vAlign w:val="center"/>
                </w:tcPr>
                <w:p w14:paraId="7FEE0732">
                  <w:pPr>
                    <w:pStyle w:val="11"/>
                    <w:keepNext w:val="0"/>
                    <w:keepLines w:val="0"/>
                    <w:pageBreakBefore w:val="0"/>
                    <w:widowControl w:val="0"/>
                    <w:kinsoku/>
                    <w:wordWrap/>
                    <w:overflowPunct/>
                    <w:topLinePunct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spacing w:val="-11"/>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（三）推进建设适宜高效的治污设施。推进建设适宜高效的治污设施，小风量的可采用一次性活性炭吸附等工艺。</w:t>
                  </w:r>
                </w:p>
              </w:tc>
              <w:tc>
                <w:tcPr>
                  <w:tcW w:w="1262" w:type="pct"/>
                  <w:noWrap w:val="0"/>
                  <w:vAlign w:val="center"/>
                </w:tcPr>
                <w:p w14:paraId="04033166">
                  <w:pPr>
                    <w:pStyle w:val="11"/>
                    <w:keepNext w:val="0"/>
                    <w:keepLines w:val="0"/>
                    <w:pageBreakBefore w:val="0"/>
                    <w:widowControl w:val="0"/>
                    <w:kinsoku/>
                    <w:wordWrap/>
                    <w:overflowPunct/>
                    <w:topLinePunct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spacing w:val="-11"/>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本项目配套建设高效的治污设施，采用规范规定的可行技术进行废气治理，确保污染物达标排放。</w:t>
                  </w:r>
                </w:p>
              </w:tc>
              <w:tc>
                <w:tcPr>
                  <w:tcW w:w="545" w:type="pct"/>
                  <w:noWrap w:val="0"/>
                  <w:vAlign w:val="center"/>
                </w:tcPr>
                <w:p w14:paraId="14FC9803">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eastAsia" w:ascii="Times New Roman" w:hAnsi="Times New Roman" w:eastAsia="宋体" w:cs="Times New Roman"/>
                      <w:b w:val="0"/>
                      <w:bCs w:val="0"/>
                      <w:color w:val="auto"/>
                      <w:spacing w:val="-11"/>
                      <w:sz w:val="21"/>
                      <w:szCs w:val="21"/>
                      <w:highlight w:val="none"/>
                      <w:lang w:val="en-US" w:eastAsia="zh-CN"/>
                    </w:rPr>
                  </w:pPr>
                  <w:r>
                    <w:rPr>
                      <w:rFonts w:hint="eastAsia" w:cs="Times New Roman"/>
                      <w:b w:val="0"/>
                      <w:bCs w:val="0"/>
                      <w:color w:val="auto"/>
                      <w:spacing w:val="-11"/>
                      <w:sz w:val="21"/>
                      <w:szCs w:val="21"/>
                      <w:highlight w:val="none"/>
                      <w:lang w:val="en-US" w:eastAsia="zh-CN"/>
                    </w:rPr>
                    <w:t>符合</w:t>
                  </w:r>
                </w:p>
              </w:tc>
            </w:tr>
            <w:tr w14:paraId="3A7AC29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816" w:type="pct"/>
                  <w:noWrap w:val="0"/>
                  <w:vAlign w:val="center"/>
                </w:tcPr>
                <w:p w14:paraId="010E7CD8">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pacing w:val="-11"/>
                      <w:sz w:val="21"/>
                      <w:szCs w:val="21"/>
                      <w:highlight w:val="none"/>
                    </w:rPr>
                    <w:t>《关于进一步加强塑料污染治理的意见》（发改环资〔2020〕80号）</w:t>
                  </w:r>
                </w:p>
              </w:tc>
              <w:tc>
                <w:tcPr>
                  <w:tcW w:w="2375" w:type="pct"/>
                  <w:noWrap w:val="0"/>
                  <w:vAlign w:val="center"/>
                </w:tcPr>
                <w:p w14:paraId="2AD78F1F">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pacing w:val="-11"/>
                      <w:sz w:val="21"/>
                      <w:szCs w:val="21"/>
                      <w:highlight w:val="none"/>
                    </w:rPr>
                    <w:t>全省范围禁止生产、销售厚度小于0.025毫米的超薄塑料购物袋，禁止生产、销售厚度小于0.01毫米的聚乙烯农用地膜。禁止以医疗废物为原料制造塑料制品，加强医疗废物无害化处置能力建设。全面禁止废塑料进口，严格落实《进口废物管理目录》，严禁境外废塑料过境、入境。到2020年底，全省范围禁止生产、销售一次性发泡塑料餐具、一次性塑料棉签；禁止生产含塑料微珠的日化用品。到2022年底，全省范围禁止销售含塑料微珠的日化用品。</w:t>
                  </w:r>
                </w:p>
              </w:tc>
              <w:tc>
                <w:tcPr>
                  <w:tcW w:w="1262" w:type="pct"/>
                  <w:noWrap w:val="0"/>
                  <w:vAlign w:val="center"/>
                </w:tcPr>
                <w:p w14:paraId="00185F4A">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pacing w:val="-11"/>
                      <w:sz w:val="21"/>
                      <w:szCs w:val="21"/>
                      <w:highlight w:val="none"/>
                    </w:rPr>
                    <w:t>项目为</w:t>
                  </w:r>
                  <w:r>
                    <w:rPr>
                      <w:rFonts w:hint="default" w:ascii="Times New Roman" w:hAnsi="Times New Roman" w:eastAsia="宋体" w:cs="Times New Roman"/>
                      <w:b w:val="0"/>
                      <w:bCs w:val="0"/>
                      <w:color w:val="auto"/>
                      <w:spacing w:val="-11"/>
                      <w:sz w:val="21"/>
                      <w:szCs w:val="21"/>
                      <w:highlight w:val="none"/>
                      <w:lang w:val="en-US" w:eastAsia="zh-CN"/>
                    </w:rPr>
                    <w:t>年产量2万套塑料坐具、20000立方米泡沫板及包装项目，其原材料主要为可发性聚苯乙烯为新料，非医疗废物。其产品不属于</w:t>
                  </w:r>
                  <w:r>
                    <w:rPr>
                      <w:rFonts w:hint="default" w:ascii="Times New Roman" w:hAnsi="Times New Roman" w:eastAsia="宋体" w:cs="Times New Roman"/>
                      <w:b w:val="0"/>
                      <w:bCs w:val="0"/>
                      <w:color w:val="auto"/>
                      <w:spacing w:val="-11"/>
                      <w:sz w:val="21"/>
                      <w:szCs w:val="21"/>
                      <w:highlight w:val="none"/>
                    </w:rPr>
                    <w:t>厚度小于0.025毫米的超薄塑料购物袋</w:t>
                  </w:r>
                  <w:r>
                    <w:rPr>
                      <w:rFonts w:hint="default" w:ascii="Times New Roman" w:hAnsi="Times New Roman" w:eastAsia="宋体" w:cs="Times New Roman"/>
                      <w:b w:val="0"/>
                      <w:bCs w:val="0"/>
                      <w:color w:val="auto"/>
                      <w:spacing w:val="-11"/>
                      <w:sz w:val="21"/>
                      <w:szCs w:val="21"/>
                      <w:highlight w:val="none"/>
                      <w:lang w:eastAsia="zh-CN"/>
                    </w:rPr>
                    <w:t>、</w:t>
                  </w:r>
                  <w:r>
                    <w:rPr>
                      <w:rFonts w:hint="default" w:ascii="Times New Roman" w:hAnsi="Times New Roman" w:eastAsia="宋体" w:cs="Times New Roman"/>
                      <w:b w:val="0"/>
                      <w:bCs w:val="0"/>
                      <w:color w:val="auto"/>
                      <w:spacing w:val="-11"/>
                      <w:sz w:val="21"/>
                      <w:szCs w:val="21"/>
                      <w:highlight w:val="none"/>
                    </w:rPr>
                    <w:t>小于0.01毫米的聚乙烯农用地膜</w:t>
                  </w:r>
                  <w:r>
                    <w:rPr>
                      <w:rFonts w:hint="default" w:ascii="Times New Roman" w:hAnsi="Times New Roman" w:eastAsia="宋体" w:cs="Times New Roman"/>
                      <w:b w:val="0"/>
                      <w:bCs w:val="0"/>
                      <w:color w:val="auto"/>
                      <w:spacing w:val="-11"/>
                      <w:sz w:val="21"/>
                      <w:szCs w:val="21"/>
                      <w:highlight w:val="none"/>
                      <w:lang w:eastAsia="zh-CN"/>
                    </w:rPr>
                    <w:t>、</w:t>
                  </w:r>
                  <w:r>
                    <w:rPr>
                      <w:rFonts w:hint="default" w:ascii="Times New Roman" w:hAnsi="Times New Roman" w:eastAsia="宋体" w:cs="Times New Roman"/>
                      <w:b w:val="0"/>
                      <w:bCs w:val="0"/>
                      <w:color w:val="auto"/>
                      <w:spacing w:val="-11"/>
                      <w:sz w:val="21"/>
                      <w:szCs w:val="21"/>
                      <w:highlight w:val="none"/>
                    </w:rPr>
                    <w:t>一次性发泡塑料餐具、一次性塑料棉签</w:t>
                  </w:r>
                  <w:r>
                    <w:rPr>
                      <w:rFonts w:hint="default" w:ascii="Times New Roman" w:hAnsi="Times New Roman" w:eastAsia="宋体" w:cs="Times New Roman"/>
                      <w:b w:val="0"/>
                      <w:bCs w:val="0"/>
                      <w:color w:val="auto"/>
                      <w:spacing w:val="-11"/>
                      <w:sz w:val="21"/>
                      <w:szCs w:val="21"/>
                      <w:highlight w:val="none"/>
                      <w:lang w:eastAsia="zh-CN"/>
                    </w:rPr>
                    <w:t>、</w:t>
                  </w:r>
                  <w:r>
                    <w:rPr>
                      <w:rFonts w:hint="default" w:ascii="Times New Roman" w:hAnsi="Times New Roman" w:eastAsia="宋体" w:cs="Times New Roman"/>
                      <w:b w:val="0"/>
                      <w:bCs w:val="0"/>
                      <w:color w:val="auto"/>
                      <w:spacing w:val="-11"/>
                      <w:sz w:val="21"/>
                      <w:szCs w:val="21"/>
                      <w:highlight w:val="none"/>
                    </w:rPr>
                    <w:t>含塑料微珠的日化用品</w:t>
                  </w:r>
                </w:p>
              </w:tc>
              <w:tc>
                <w:tcPr>
                  <w:tcW w:w="545" w:type="pct"/>
                  <w:noWrap w:val="0"/>
                  <w:vAlign w:val="center"/>
                </w:tcPr>
                <w:p w14:paraId="7BE09E33">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lang w:val="en-US" w:eastAsia="zh-CN"/>
                    </w:rPr>
                    <w:t>符合</w:t>
                  </w:r>
                </w:p>
              </w:tc>
            </w:tr>
            <w:tr w14:paraId="4781792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816" w:type="pct"/>
                  <w:noWrap w:val="0"/>
                  <w:vAlign w:val="center"/>
                </w:tcPr>
                <w:p w14:paraId="6609D6BE">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《土壤污染防治行动计划》</w:t>
                  </w:r>
                  <w:r>
                    <w:rPr>
                      <w:rFonts w:hint="default" w:ascii="Times New Roman" w:hAnsi="Times New Roman" w:eastAsia="宋体" w:cs="Times New Roman"/>
                      <w:b w:val="0"/>
                      <w:bCs w:val="0"/>
                      <w:color w:val="auto"/>
                      <w:spacing w:val="-11"/>
                      <w:sz w:val="21"/>
                      <w:szCs w:val="21"/>
                      <w:highlight w:val="none"/>
                      <w:lang w:eastAsia="zh-CN"/>
                    </w:rPr>
                    <w:t>（</w:t>
                  </w:r>
                  <w:r>
                    <w:rPr>
                      <w:rFonts w:hint="default" w:ascii="Times New Roman" w:hAnsi="Times New Roman" w:eastAsia="宋体" w:cs="Times New Roman"/>
                      <w:b w:val="0"/>
                      <w:bCs w:val="0"/>
                      <w:color w:val="auto"/>
                      <w:spacing w:val="-11"/>
                      <w:sz w:val="21"/>
                      <w:szCs w:val="21"/>
                      <w:highlight w:val="none"/>
                    </w:rPr>
                    <w:t>国发</w:t>
                  </w:r>
                  <w:r>
                    <w:rPr>
                      <w:rFonts w:hint="default" w:ascii="Times New Roman" w:hAnsi="Times New Roman" w:eastAsia="宋体" w:cs="Times New Roman"/>
                      <w:b w:val="0"/>
                      <w:bCs w:val="0"/>
                      <w:color w:val="auto"/>
                      <w:spacing w:val="-11"/>
                      <w:sz w:val="21"/>
                      <w:szCs w:val="21"/>
                      <w:highlight w:val="none"/>
                      <w:lang w:eastAsia="zh-CN"/>
                    </w:rPr>
                    <w:t>〔2016〕31号）</w:t>
                  </w:r>
                </w:p>
              </w:tc>
              <w:tc>
                <w:tcPr>
                  <w:tcW w:w="2375" w:type="pct"/>
                  <w:noWrap w:val="0"/>
                  <w:vAlign w:val="center"/>
                </w:tcPr>
                <w:p w14:paraId="3655A302">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结合区域功能定位和土壤污染防治需要，科学布局生活垃圾处理、危险废物处置、废旧资源再生利用等设施和场所</w:t>
                  </w:r>
                </w:p>
              </w:tc>
              <w:tc>
                <w:tcPr>
                  <w:tcW w:w="1262" w:type="pct"/>
                  <w:noWrap w:val="0"/>
                  <w:vAlign w:val="center"/>
                </w:tcPr>
                <w:p w14:paraId="62F5E5AB">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项目产生的固体废物均妥善处置</w:t>
                  </w:r>
                </w:p>
              </w:tc>
              <w:tc>
                <w:tcPr>
                  <w:tcW w:w="545" w:type="pct"/>
                  <w:noWrap w:val="0"/>
                  <w:vAlign w:val="center"/>
                </w:tcPr>
                <w:p w14:paraId="3C6C4DE6">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符合</w:t>
                  </w:r>
                </w:p>
              </w:tc>
            </w:tr>
            <w:tr w14:paraId="550595B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816" w:type="pct"/>
                  <w:vMerge w:val="restart"/>
                  <w:noWrap w:val="0"/>
                  <w:vAlign w:val="center"/>
                </w:tcPr>
                <w:p w14:paraId="56D6F577">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z w:val="21"/>
                      <w:szCs w:val="21"/>
                    </w:rPr>
                    <w:t>《河北省重点行业挥发性有机物污染控制技术指引》</w:t>
                  </w:r>
                </w:p>
              </w:tc>
              <w:tc>
                <w:tcPr>
                  <w:tcW w:w="2375" w:type="pct"/>
                  <w:noWrap w:val="0"/>
                  <w:vAlign w:val="center"/>
                </w:tcPr>
                <w:p w14:paraId="49E52B85">
                  <w:pPr>
                    <w:pStyle w:val="11"/>
                    <w:keepNext w:val="0"/>
                    <w:keepLines w:val="0"/>
                    <w:pageBreakBefore w:val="0"/>
                    <w:widowControl w:val="0"/>
                    <w:kinsoku/>
                    <w:wordWrap/>
                    <w:overflowPunct/>
                    <w:topLinePunct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大力推进源头替代</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大力推进源头替代。通过使用水性、粉末、高固体分、无溶剂、辐射固化等低VOCs含量的涂料，水性、辐射固化、植物基等低VOCs含量的油墨，水基、热熔、无溶剂、辐射固化、改性、生物降解等低VOCs含量的胶粘剂，以及低VOCs含量、低反应活性的清洗剂等，替代溶剂型涂料、油墨、胶粘剂、清洗剂等，从源头减少VOCs产生。</w:t>
                  </w:r>
                </w:p>
              </w:tc>
              <w:tc>
                <w:tcPr>
                  <w:tcW w:w="1262" w:type="pct"/>
                  <w:noWrap w:val="0"/>
                  <w:vAlign w:val="center"/>
                </w:tcPr>
                <w:p w14:paraId="2BE7BC64">
                  <w:pPr>
                    <w:keepNext w:val="0"/>
                    <w:keepLines w:val="0"/>
                    <w:pageBreakBefore w:val="0"/>
                    <w:widowControl w:val="0"/>
                    <w:kinsoku/>
                    <w:wordWrap/>
                    <w:overflowPunct/>
                    <w:topLinePunct w:val="0"/>
                    <w:autoSpaceDE w:val="0"/>
                    <w:autoSpaceDN w:val="0"/>
                    <w:bidi w:val="0"/>
                    <w:adjustRightInd w:val="0"/>
                    <w:spacing w:line="240" w:lineRule="auto"/>
                    <w:jc w:val="left"/>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本项目</w:t>
                  </w:r>
                  <w:r>
                    <w:rPr>
                      <w:rFonts w:hint="default" w:ascii="Times New Roman" w:hAnsi="Times New Roman" w:eastAsia="宋体" w:cs="Times New Roman"/>
                      <w:b w:val="0"/>
                      <w:bCs w:val="0"/>
                      <w:color w:val="auto"/>
                      <w:sz w:val="21"/>
                      <w:szCs w:val="21"/>
                      <w:highlight w:val="none"/>
                      <w:lang w:val="en-US" w:eastAsia="zh-CN"/>
                    </w:rPr>
                    <w:t>不使用此类原辅料</w:t>
                  </w:r>
                </w:p>
              </w:tc>
              <w:tc>
                <w:tcPr>
                  <w:tcW w:w="545" w:type="pct"/>
                  <w:noWrap w:val="0"/>
                  <w:vAlign w:val="center"/>
                </w:tcPr>
                <w:p w14:paraId="4F9CCB27">
                  <w:pPr>
                    <w:keepNext w:val="0"/>
                    <w:keepLines w:val="0"/>
                    <w:pageBreakBefore w:val="0"/>
                    <w:widowControl w:val="0"/>
                    <w:kinsoku/>
                    <w:wordWrap/>
                    <w:overflowPunct/>
                    <w:topLinePunct w:val="0"/>
                    <w:bidi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snapToGrid w:val="0"/>
                      <w:color w:val="auto"/>
                      <w:spacing w:val="-10"/>
                      <w:sz w:val="21"/>
                      <w:szCs w:val="21"/>
                      <w:highlight w:val="none"/>
                    </w:rPr>
                    <w:t>符合</w:t>
                  </w:r>
                </w:p>
              </w:tc>
            </w:tr>
            <w:tr w14:paraId="01AD50B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77" w:hRule="atLeast"/>
                <w:jc w:val="center"/>
              </w:trPr>
              <w:tc>
                <w:tcPr>
                  <w:tcW w:w="816" w:type="pct"/>
                  <w:vMerge w:val="continue"/>
                  <w:noWrap w:val="0"/>
                  <w:vAlign w:val="center"/>
                </w:tcPr>
                <w:p w14:paraId="4CCF431A">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z w:val="21"/>
                      <w:szCs w:val="21"/>
                    </w:rPr>
                  </w:pPr>
                </w:p>
              </w:tc>
              <w:tc>
                <w:tcPr>
                  <w:tcW w:w="2375" w:type="pct"/>
                  <w:noWrap w:val="0"/>
                  <w:vAlign w:val="center"/>
                </w:tcPr>
                <w:p w14:paraId="5AB1DCD9">
                  <w:pPr>
                    <w:pStyle w:val="11"/>
                    <w:keepNext w:val="0"/>
                    <w:keepLines w:val="0"/>
                    <w:pageBreakBefore w:val="0"/>
                    <w:widowControl w:val="0"/>
                    <w:kinsoku/>
                    <w:wordWrap/>
                    <w:overflowPunct/>
                    <w:topLinePunct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spacing w:val="-10"/>
                      <w:kern w:val="0"/>
                      <w:sz w:val="21"/>
                      <w:szCs w:val="21"/>
                      <w:highlight w:val="none"/>
                      <w:lang w:eastAsia="zh-CN"/>
                    </w:rPr>
                  </w:pPr>
                  <w:r>
                    <w:rPr>
                      <w:rFonts w:hint="default" w:ascii="Times New Roman" w:hAnsi="Times New Roman" w:eastAsia="宋体" w:cs="Times New Roman"/>
                      <w:b w:val="0"/>
                      <w:bCs w:val="0"/>
                      <w:color w:val="auto"/>
                      <w:spacing w:val="-10"/>
                      <w:kern w:val="0"/>
                      <w:sz w:val="21"/>
                      <w:szCs w:val="21"/>
                      <w:highlight w:val="none"/>
                    </w:rPr>
                    <w:t>全面加强无组织排放控制</w:t>
                  </w:r>
                  <w:r>
                    <w:rPr>
                      <w:rFonts w:hint="default" w:ascii="Times New Roman" w:hAnsi="Times New Roman" w:eastAsia="宋体" w:cs="Times New Roman"/>
                      <w:b w:val="0"/>
                      <w:bCs w:val="0"/>
                      <w:color w:val="auto"/>
                      <w:spacing w:val="-10"/>
                      <w:kern w:val="0"/>
                      <w:sz w:val="21"/>
                      <w:szCs w:val="21"/>
                      <w:highlight w:val="none"/>
                      <w:lang w:eastAsia="zh-CN"/>
                    </w:rPr>
                    <w:t>：</w:t>
                  </w:r>
                </w:p>
                <w:p w14:paraId="71D5D0D3">
                  <w:pPr>
                    <w:pStyle w:val="11"/>
                    <w:keepNext w:val="0"/>
                    <w:keepLines w:val="0"/>
                    <w:pageBreakBefore w:val="0"/>
                    <w:widowControl w:val="0"/>
                    <w:kinsoku/>
                    <w:wordWrap/>
                    <w:overflowPunct/>
                    <w:topLinePunct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spacing w:val="-10"/>
                      <w:kern w:val="0"/>
                      <w:sz w:val="21"/>
                      <w:szCs w:val="21"/>
                      <w:highlight w:val="none"/>
                      <w:lang w:eastAsia="zh-CN"/>
                    </w:rPr>
                  </w:pPr>
                  <w:r>
                    <w:rPr>
                      <w:rFonts w:hint="default" w:ascii="Times New Roman" w:hAnsi="Times New Roman" w:eastAsia="宋体" w:cs="Times New Roman"/>
                      <w:b w:val="0"/>
                      <w:bCs w:val="0"/>
                      <w:color w:val="auto"/>
                      <w:spacing w:val="-10"/>
                      <w:kern w:val="0"/>
                      <w:sz w:val="21"/>
                      <w:szCs w:val="21"/>
                      <w:highlight w:val="none"/>
                      <w:lang w:eastAsia="zh-CN"/>
                    </w:rPr>
                    <w:t>推进使用先进生产工艺。通过采用全密闭、连续化、自动化等生产技术，以及高效工艺与设备等，减少工艺过程无组织排放；</w:t>
                  </w:r>
                </w:p>
                <w:p w14:paraId="17DA8B05">
                  <w:pPr>
                    <w:pStyle w:val="11"/>
                    <w:keepNext w:val="0"/>
                    <w:keepLines w:val="0"/>
                    <w:pageBreakBefore w:val="0"/>
                    <w:widowControl w:val="0"/>
                    <w:kinsoku/>
                    <w:wordWrap/>
                    <w:overflowPunct/>
                    <w:topLinePunct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pacing w:val="-10"/>
                      <w:kern w:val="0"/>
                      <w:sz w:val="21"/>
                      <w:szCs w:val="21"/>
                      <w:highlight w:val="none"/>
                      <w:lang w:eastAsia="zh-CN"/>
                    </w:rPr>
                    <w:t>提高废气收集率。遵循“应收尽收、分质收集”的原则，科学设计废气收集系统，将无组织排放转变为有组织排放进行控制。采用全密闭集气罩或密闭空间的，除行业有特殊要求外，应保持微负压状态，并根据相关规范合理设置通风量。采用局部集气罩的，距集气罩开口面最远处的VOCs无组织排放位置，控制风速应不低于0.3米/秒，有行业要求的按相关规定执行。</w:t>
                  </w:r>
                </w:p>
              </w:tc>
              <w:tc>
                <w:tcPr>
                  <w:tcW w:w="1262" w:type="pct"/>
                  <w:noWrap w:val="0"/>
                  <w:vAlign w:val="center"/>
                </w:tcPr>
                <w:p w14:paraId="3902576D">
                  <w:pPr>
                    <w:pStyle w:val="11"/>
                    <w:keepNext w:val="0"/>
                    <w:keepLines w:val="0"/>
                    <w:pageBreakBefore w:val="0"/>
                    <w:widowControl w:val="0"/>
                    <w:kinsoku/>
                    <w:wordWrap/>
                    <w:overflowPunct/>
                    <w:topLinePunct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本项目采用连续化、自动化等生产技术，以及高效工艺与设备等，在生产过</w:t>
                  </w:r>
                  <w:r>
                    <w:rPr>
                      <w:rFonts w:hint="eastAsia" w:cs="Times New Roman"/>
                      <w:b w:val="0"/>
                      <w:bCs w:val="0"/>
                      <w:color w:val="auto"/>
                      <w:sz w:val="21"/>
                      <w:szCs w:val="21"/>
                      <w:highlight w:val="none"/>
                      <w:lang w:eastAsia="zh-CN"/>
                    </w:rPr>
                    <w:t>程中</w:t>
                  </w:r>
                  <w:r>
                    <w:rPr>
                      <w:rFonts w:hint="default" w:ascii="Times New Roman" w:hAnsi="Times New Roman" w:eastAsia="宋体" w:cs="Times New Roman"/>
                      <w:b w:val="0"/>
                      <w:bCs w:val="0"/>
                      <w:color w:val="auto"/>
                      <w:sz w:val="21"/>
                      <w:szCs w:val="21"/>
                      <w:highlight w:val="none"/>
                    </w:rPr>
                    <w:t>减少工艺过程无组织排放</w:t>
                  </w:r>
                  <w:r>
                    <w:rPr>
                      <w:rFonts w:hint="default" w:ascii="Times New Roman" w:hAnsi="Times New Roman" w:eastAsia="宋体" w:cs="Times New Roman"/>
                      <w:b w:val="0"/>
                      <w:bCs w:val="0"/>
                      <w:color w:val="auto"/>
                      <w:sz w:val="21"/>
                      <w:szCs w:val="21"/>
                      <w:highlight w:val="none"/>
                      <w:lang w:eastAsia="zh-CN"/>
                    </w:rPr>
                    <w:t>；</w:t>
                  </w:r>
                </w:p>
                <w:p w14:paraId="7EAF99BF">
                  <w:pPr>
                    <w:pStyle w:val="11"/>
                    <w:keepNext w:val="0"/>
                    <w:keepLines w:val="0"/>
                    <w:pageBreakBefore w:val="0"/>
                    <w:widowControl w:val="0"/>
                    <w:kinsoku/>
                    <w:wordWrap/>
                    <w:overflowPunct/>
                    <w:topLinePunct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本项目遵循“应收尽收、分质收集”的原则，本项目有机废气设置集气罩收集，集气控制风速为</w:t>
                  </w:r>
                  <w:r>
                    <w:rPr>
                      <w:rFonts w:hint="eastAsia" w:cs="Times New Roman"/>
                      <w:b w:val="0"/>
                      <w:bCs w:val="0"/>
                      <w:color w:val="auto"/>
                      <w:sz w:val="21"/>
                      <w:szCs w:val="21"/>
                      <w:highlight w:val="none"/>
                      <w:lang w:val="en-US" w:eastAsia="zh-CN"/>
                    </w:rPr>
                    <w:t>1.0</w:t>
                  </w:r>
                  <w:r>
                    <w:rPr>
                      <w:rFonts w:hint="default" w:ascii="Times New Roman" w:hAnsi="Times New Roman" w:eastAsia="宋体" w:cs="Times New Roman"/>
                      <w:b w:val="0"/>
                      <w:bCs w:val="0"/>
                      <w:color w:val="auto"/>
                      <w:sz w:val="21"/>
                      <w:szCs w:val="21"/>
                      <w:highlight w:val="none"/>
                    </w:rPr>
                    <w:t>m/s，</w:t>
                  </w:r>
                  <w:r>
                    <w:rPr>
                      <w:rFonts w:hint="eastAsia" w:cs="Times New Roman"/>
                      <w:b w:val="0"/>
                      <w:bCs w:val="0"/>
                      <w:color w:val="auto"/>
                      <w:sz w:val="21"/>
                      <w:szCs w:val="21"/>
                      <w:highlight w:val="none"/>
                      <w:lang w:eastAsia="zh-CN"/>
                    </w:rPr>
                    <w:t>进而</w:t>
                  </w:r>
                  <w:r>
                    <w:rPr>
                      <w:rFonts w:hint="default" w:ascii="Times New Roman" w:hAnsi="Times New Roman" w:eastAsia="宋体" w:cs="Times New Roman"/>
                      <w:b w:val="0"/>
                      <w:bCs w:val="0"/>
                      <w:color w:val="auto"/>
                      <w:sz w:val="21"/>
                      <w:szCs w:val="21"/>
                      <w:highlight w:val="none"/>
                    </w:rPr>
                    <w:t>满足提高废气收集率要求。</w:t>
                  </w:r>
                </w:p>
              </w:tc>
              <w:tc>
                <w:tcPr>
                  <w:tcW w:w="545" w:type="pct"/>
                  <w:noWrap w:val="0"/>
                  <w:vAlign w:val="center"/>
                </w:tcPr>
                <w:p w14:paraId="62C54F16">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eastAsia" w:ascii="Times New Roman" w:hAnsi="Times New Roman" w:eastAsia="宋体" w:cs="Times New Roman"/>
                      <w:b w:val="0"/>
                      <w:bCs w:val="0"/>
                      <w:color w:val="auto"/>
                      <w:spacing w:val="-11"/>
                      <w:sz w:val="21"/>
                      <w:szCs w:val="21"/>
                      <w:highlight w:val="none"/>
                      <w:lang w:val="en-US" w:eastAsia="zh-CN"/>
                    </w:rPr>
                  </w:pPr>
                  <w:r>
                    <w:rPr>
                      <w:rFonts w:hint="eastAsia" w:cs="Times New Roman"/>
                      <w:b w:val="0"/>
                      <w:bCs w:val="0"/>
                      <w:color w:val="auto"/>
                      <w:spacing w:val="-11"/>
                      <w:sz w:val="21"/>
                      <w:szCs w:val="21"/>
                      <w:highlight w:val="none"/>
                      <w:lang w:val="en-US" w:eastAsia="zh-CN"/>
                    </w:rPr>
                    <w:t>符合</w:t>
                  </w:r>
                </w:p>
              </w:tc>
            </w:tr>
            <w:tr w14:paraId="636243D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816" w:type="pct"/>
                  <w:vMerge w:val="continue"/>
                  <w:noWrap w:val="0"/>
                  <w:vAlign w:val="center"/>
                </w:tcPr>
                <w:p w14:paraId="7B497F73">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z w:val="21"/>
                      <w:szCs w:val="21"/>
                    </w:rPr>
                  </w:pPr>
                </w:p>
              </w:tc>
              <w:tc>
                <w:tcPr>
                  <w:tcW w:w="2375" w:type="pct"/>
                  <w:noWrap w:val="0"/>
                  <w:vAlign w:val="center"/>
                </w:tcPr>
                <w:p w14:paraId="44048F96">
                  <w:pPr>
                    <w:pStyle w:val="11"/>
                    <w:keepNext w:val="0"/>
                    <w:keepLines w:val="0"/>
                    <w:pageBreakBefore w:val="0"/>
                    <w:widowControl w:val="0"/>
                    <w:kinsoku/>
                    <w:wordWrap/>
                    <w:overflowPunct/>
                    <w:topLinePunct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spacing w:val="-10"/>
                      <w:kern w:val="0"/>
                      <w:sz w:val="21"/>
                      <w:szCs w:val="21"/>
                      <w:highlight w:val="none"/>
                      <w:lang w:eastAsia="zh-CN"/>
                    </w:rPr>
                  </w:pPr>
                  <w:r>
                    <w:rPr>
                      <w:rFonts w:hint="default" w:ascii="Times New Roman" w:hAnsi="Times New Roman" w:eastAsia="宋体" w:cs="Times New Roman"/>
                      <w:b w:val="0"/>
                      <w:bCs w:val="0"/>
                      <w:color w:val="auto"/>
                      <w:spacing w:val="-10"/>
                      <w:kern w:val="0"/>
                      <w:sz w:val="21"/>
                      <w:szCs w:val="21"/>
                      <w:highlight w:val="none"/>
                    </w:rPr>
                    <w:t>推进建设适宜高效的治污设施</w:t>
                  </w:r>
                  <w:r>
                    <w:rPr>
                      <w:rFonts w:hint="default" w:ascii="Times New Roman" w:hAnsi="Times New Roman" w:eastAsia="宋体" w:cs="Times New Roman"/>
                      <w:b w:val="0"/>
                      <w:bCs w:val="0"/>
                      <w:color w:val="auto"/>
                      <w:spacing w:val="-10"/>
                      <w:kern w:val="0"/>
                      <w:sz w:val="21"/>
                      <w:szCs w:val="21"/>
                      <w:highlight w:val="none"/>
                      <w:lang w:eastAsia="zh-CN"/>
                    </w:rPr>
                    <w:t>：企业新建治污设施或对现有治污设施实施改造，应依据排放废气的浓度、组分、风量，温度、湿度、压力，以及生产工况等，合理选择治理技术。鼓励企业采用多种技术的组合工艺，提高VOCs治理效率。低浓度、大风量废气，宜采用沸石转轮吸附、活性炭吸附、减风增浓等浓缩技术，提高VOCs浓度后净化处理；高浓度废气，优先进行溶剂回收，难以回收的，宜采用高温焚烧、催化燃烧等技术。油气(溶剂</w:t>
                  </w:r>
                  <w:r>
                    <w:rPr>
                      <w:rFonts w:hint="eastAsia" w:cs="Times New Roman"/>
                      <w:b w:val="0"/>
                      <w:bCs w:val="0"/>
                      <w:color w:val="auto"/>
                      <w:spacing w:val="-10"/>
                      <w:kern w:val="0"/>
                      <w:sz w:val="21"/>
                      <w:szCs w:val="21"/>
                      <w:highlight w:val="none"/>
                      <w:lang w:eastAsia="zh-CN"/>
                    </w:rPr>
                    <w:t>）</w:t>
                  </w:r>
                  <w:r>
                    <w:rPr>
                      <w:rFonts w:hint="default" w:ascii="Times New Roman" w:hAnsi="Times New Roman" w:eastAsia="宋体" w:cs="Times New Roman"/>
                      <w:b w:val="0"/>
                      <w:bCs w:val="0"/>
                      <w:color w:val="auto"/>
                      <w:spacing w:val="-10"/>
                      <w:kern w:val="0"/>
                      <w:sz w:val="21"/>
                      <w:szCs w:val="21"/>
                      <w:highlight w:val="none"/>
                      <w:lang w:eastAsia="zh-CN"/>
                    </w:rPr>
                    <w:t>回收宜采用冷凝+吸附、吸附+吸收、膜分离+吸附等技术。低温等离子、光催化、光氧化技术主要适用于恶臭异味等治理；生物法主要适用于低浓度VOCs废气治理和恶臭异味治理。非水溶性的VOCs废气禁止采用水或水溶液喷淋吸收处理。采用一次性活性炭吸附技术的，应定期更换活性炭，废旧活性炭应再生或处理处置。</w:t>
                  </w:r>
                </w:p>
                <w:p w14:paraId="7A761629">
                  <w:pPr>
                    <w:pStyle w:val="11"/>
                    <w:keepNext w:val="0"/>
                    <w:keepLines w:val="0"/>
                    <w:pageBreakBefore w:val="0"/>
                    <w:widowControl w:val="0"/>
                    <w:kinsoku/>
                    <w:wordWrap/>
                    <w:overflowPunct/>
                    <w:topLinePunct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spacing w:val="-10"/>
                      <w:kern w:val="0"/>
                      <w:sz w:val="21"/>
                      <w:szCs w:val="21"/>
                      <w:highlight w:val="none"/>
                      <w:lang w:eastAsia="zh-CN"/>
                    </w:rPr>
                  </w:pPr>
                  <w:r>
                    <w:rPr>
                      <w:rFonts w:hint="default" w:ascii="Times New Roman" w:hAnsi="Times New Roman" w:eastAsia="宋体" w:cs="Times New Roman"/>
                      <w:b w:val="0"/>
                      <w:bCs w:val="0"/>
                      <w:color w:val="auto"/>
                      <w:spacing w:val="-10"/>
                      <w:kern w:val="0"/>
                      <w:sz w:val="21"/>
                      <w:szCs w:val="21"/>
                      <w:highlight w:val="none"/>
                      <w:lang w:eastAsia="zh-CN"/>
                    </w:rPr>
                    <w:t>实行重点排放源排放浓度与去除效率双重控制。车间或生产设施收集排放的废气，VOCs初始排放速率大于等于3千克/小时、重点区域大于等于2千克/小时的，应加大控制力度，除确保排放浓度稳定达标外，还应实行去除效率控制，去除效率不低于80%；采用的原辅材料符合国家有关低VOCs含量产品规定的除外，有行业排放标准的按其相关规定执行。</w:t>
                  </w:r>
                </w:p>
              </w:tc>
              <w:tc>
                <w:tcPr>
                  <w:tcW w:w="1262" w:type="pct"/>
                  <w:noWrap w:val="0"/>
                  <w:vAlign w:val="center"/>
                </w:tcPr>
                <w:p w14:paraId="0D4FDA7A">
                  <w:pPr>
                    <w:pStyle w:val="11"/>
                    <w:keepNext w:val="0"/>
                    <w:keepLines w:val="0"/>
                    <w:pageBreakBefore w:val="0"/>
                    <w:widowControl w:val="0"/>
                    <w:kinsoku/>
                    <w:wordWrap/>
                    <w:overflowPunct/>
                    <w:topLinePunct w:val="0"/>
                    <w:bidi w:val="0"/>
                    <w:adjustRightInd w:val="0"/>
                    <w:snapToGrid w:val="0"/>
                    <w:spacing w:line="240" w:lineRule="auto"/>
                    <w:ind w:firstLine="0" w:firstLineChars="0"/>
                    <w:jc w:val="both"/>
                    <w:textAlignment w:val="auto"/>
                    <w:rPr>
                      <w:rFonts w:hint="eastAsia"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本项目有机废气属于低浓度、大风量废气，因此采用组合工艺对挥发性有机物进行处理，设计的处理工艺为“</w:t>
                  </w:r>
                  <w:r>
                    <w:rPr>
                      <w:rFonts w:hint="eastAsia" w:cs="Times New Roman"/>
                      <w:b w:val="0"/>
                      <w:bCs w:val="0"/>
                      <w:color w:val="auto"/>
                      <w:sz w:val="21"/>
                      <w:szCs w:val="21"/>
                      <w:highlight w:val="none"/>
                      <w:lang w:val="en-US" w:eastAsia="zh-CN"/>
                    </w:rPr>
                    <w:t>活</w:t>
                  </w:r>
                  <w:r>
                    <w:rPr>
                      <w:rFonts w:hint="default" w:ascii="Times New Roman" w:hAnsi="Times New Roman" w:eastAsia="宋体" w:cs="Times New Roman"/>
                      <w:b w:val="0"/>
                      <w:bCs w:val="0"/>
                      <w:color w:val="auto"/>
                      <w:sz w:val="21"/>
                      <w:szCs w:val="21"/>
                      <w:highlight w:val="none"/>
                    </w:rPr>
                    <w:t>性炭吸附</w:t>
                  </w:r>
                  <w:r>
                    <w:rPr>
                      <w:rFonts w:hint="eastAsia" w:cs="Times New Roman"/>
                      <w:b w:val="0"/>
                      <w:bCs w:val="0"/>
                      <w:color w:val="auto"/>
                      <w:sz w:val="21"/>
                      <w:szCs w:val="21"/>
                      <w:highlight w:val="none"/>
                      <w:lang w:val="en-US" w:eastAsia="zh-CN"/>
                    </w:rPr>
                    <w:t>/脱附-催化燃烧</w:t>
                  </w:r>
                  <w:r>
                    <w:rPr>
                      <w:rFonts w:hint="default" w:ascii="Times New Roman" w:hAnsi="Times New Roman" w:eastAsia="宋体" w:cs="Times New Roman"/>
                      <w:b w:val="0"/>
                      <w:bCs w:val="0"/>
                      <w:color w:val="auto"/>
                      <w:sz w:val="21"/>
                      <w:szCs w:val="21"/>
                      <w:highlight w:val="none"/>
                    </w:rPr>
                    <w:t>装置”处理技术，属于高效的治污设施</w:t>
                  </w:r>
                  <w:r>
                    <w:rPr>
                      <w:rFonts w:hint="eastAsia" w:cs="Times New Roman"/>
                      <w:b w:val="0"/>
                      <w:bCs w:val="0"/>
                      <w:color w:val="auto"/>
                      <w:sz w:val="21"/>
                      <w:szCs w:val="21"/>
                      <w:highlight w:val="none"/>
                      <w:lang w:eastAsia="zh-CN"/>
                    </w:rPr>
                    <w:t>，</w:t>
                  </w:r>
                  <w:r>
                    <w:rPr>
                      <w:rFonts w:hint="eastAsia" w:cs="Times New Roman"/>
                      <w:b w:val="0"/>
                      <w:bCs w:val="0"/>
                      <w:color w:val="auto"/>
                      <w:sz w:val="21"/>
                      <w:szCs w:val="21"/>
                      <w:highlight w:val="none"/>
                      <w:lang w:val="en-US" w:eastAsia="zh-CN"/>
                    </w:rPr>
                    <w:t>活性炭</w:t>
                  </w:r>
                  <w:r>
                    <w:rPr>
                      <w:rFonts w:hint="default" w:ascii="Times New Roman" w:hAnsi="Times New Roman" w:eastAsia="宋体" w:cs="Times New Roman"/>
                      <w:b w:val="0"/>
                      <w:bCs w:val="0"/>
                      <w:color w:val="auto"/>
                      <w:sz w:val="21"/>
                      <w:szCs w:val="21"/>
                      <w:highlight w:val="none"/>
                    </w:rPr>
                    <w:t>废气治理措施去除效率为</w:t>
                  </w:r>
                  <w:r>
                    <w:rPr>
                      <w:rFonts w:hint="eastAsia" w:cs="Times New Roman"/>
                      <w:b w:val="0"/>
                      <w:bCs w:val="0"/>
                      <w:color w:val="auto"/>
                      <w:sz w:val="21"/>
                      <w:szCs w:val="21"/>
                      <w:highlight w:val="none"/>
                      <w:lang w:val="en-US" w:eastAsia="zh-CN"/>
                    </w:rPr>
                    <w:t>90</w:t>
                  </w:r>
                  <w:r>
                    <w:rPr>
                      <w:rFonts w:hint="default" w:ascii="Times New Roman" w:hAnsi="Times New Roman" w:eastAsia="宋体" w:cs="Times New Roman"/>
                      <w:b w:val="0"/>
                      <w:bCs w:val="0"/>
                      <w:color w:val="auto"/>
                      <w:sz w:val="21"/>
                      <w:szCs w:val="21"/>
                      <w:highlight w:val="none"/>
                    </w:rPr>
                    <w:t>%</w:t>
                  </w:r>
                  <w:r>
                    <w:rPr>
                      <w:rFonts w:hint="eastAsia" w:cs="Times New Roman"/>
                      <w:b w:val="0"/>
                      <w:bCs w:val="0"/>
                      <w:color w:val="auto"/>
                      <w:sz w:val="21"/>
                      <w:szCs w:val="21"/>
                      <w:highlight w:val="none"/>
                      <w:lang w:eastAsia="zh-CN"/>
                    </w:rPr>
                    <w:t>、</w:t>
                  </w:r>
                  <w:r>
                    <w:rPr>
                      <w:rFonts w:hint="eastAsia" w:cs="Times New Roman"/>
                      <w:b w:val="0"/>
                      <w:bCs w:val="0"/>
                      <w:color w:val="auto"/>
                      <w:sz w:val="21"/>
                      <w:szCs w:val="21"/>
                      <w:highlight w:val="none"/>
                      <w:lang w:val="en-US" w:eastAsia="zh-CN"/>
                    </w:rPr>
                    <w:t>催化燃烧为99.5%，均</w:t>
                  </w:r>
                  <w:r>
                    <w:rPr>
                      <w:rFonts w:hint="default" w:ascii="Times New Roman" w:hAnsi="Times New Roman" w:eastAsia="宋体" w:cs="Times New Roman"/>
                      <w:b w:val="0"/>
                      <w:bCs w:val="0"/>
                      <w:color w:val="auto"/>
                      <w:sz w:val="21"/>
                      <w:szCs w:val="21"/>
                      <w:highlight w:val="none"/>
                    </w:rPr>
                    <w:t>可达到80%以上</w:t>
                  </w:r>
                  <w:r>
                    <w:rPr>
                      <w:rFonts w:hint="eastAsia" w:cs="Times New Roman"/>
                      <w:b w:val="0"/>
                      <w:bCs w:val="0"/>
                      <w:color w:val="auto"/>
                      <w:sz w:val="21"/>
                      <w:szCs w:val="21"/>
                      <w:highlight w:val="none"/>
                      <w:lang w:eastAsia="zh-CN"/>
                    </w:rPr>
                    <w:t>。</w:t>
                  </w:r>
                </w:p>
              </w:tc>
              <w:tc>
                <w:tcPr>
                  <w:tcW w:w="545" w:type="pct"/>
                  <w:noWrap w:val="0"/>
                  <w:vAlign w:val="center"/>
                </w:tcPr>
                <w:p w14:paraId="6D750096">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eastAsia" w:ascii="Times New Roman" w:hAnsi="Times New Roman" w:eastAsia="宋体" w:cs="Times New Roman"/>
                      <w:b w:val="0"/>
                      <w:bCs w:val="0"/>
                      <w:color w:val="auto"/>
                      <w:spacing w:val="-11"/>
                      <w:sz w:val="21"/>
                      <w:szCs w:val="21"/>
                      <w:highlight w:val="none"/>
                      <w:lang w:val="en-US" w:eastAsia="zh-CN"/>
                    </w:rPr>
                  </w:pPr>
                  <w:r>
                    <w:rPr>
                      <w:rFonts w:hint="eastAsia" w:cs="Times New Roman"/>
                      <w:b w:val="0"/>
                      <w:bCs w:val="0"/>
                      <w:color w:val="auto"/>
                      <w:spacing w:val="-11"/>
                      <w:sz w:val="21"/>
                      <w:szCs w:val="21"/>
                      <w:highlight w:val="none"/>
                      <w:lang w:val="en-US" w:eastAsia="zh-CN"/>
                    </w:rPr>
                    <w:t>符合</w:t>
                  </w:r>
                </w:p>
              </w:tc>
            </w:tr>
            <w:tr w14:paraId="26FD4F0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816" w:type="pct"/>
                  <w:noWrap w:val="0"/>
                  <w:vAlign w:val="center"/>
                </w:tcPr>
                <w:p w14:paraId="59DFFB2E">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《石家庄生态局关于深入开展涉VOCs企业无组织排放治理工作的通知》</w:t>
                  </w:r>
                </w:p>
              </w:tc>
              <w:tc>
                <w:tcPr>
                  <w:tcW w:w="2375" w:type="pct"/>
                  <w:noWrap w:val="0"/>
                  <w:vAlign w:val="center"/>
                </w:tcPr>
                <w:p w14:paraId="603B09D1">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一）在确保安全生产的前提下，涉VOCs原辅储存车间、涉VOCs工序生产车间、涉VOCs固废及危废存放间等进行密闭化改造，保持车间负压。门窗在非必要时应随时保持关闭状态，无其他裂隙、开口（安全生产设计要求的排风口除外），车间与室外负压压差应不小于5pa</w:t>
                  </w:r>
                </w:p>
              </w:tc>
              <w:tc>
                <w:tcPr>
                  <w:tcW w:w="1262" w:type="pct"/>
                  <w:noWrap w:val="0"/>
                  <w:vAlign w:val="center"/>
                </w:tcPr>
                <w:p w14:paraId="610FD622">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本项目涉及VOCs的车间为</w:t>
                  </w:r>
                  <w:r>
                    <w:rPr>
                      <w:rFonts w:hint="default" w:ascii="Times New Roman" w:hAnsi="Times New Roman" w:eastAsia="宋体" w:cs="Times New Roman"/>
                      <w:b w:val="0"/>
                      <w:bCs w:val="0"/>
                      <w:color w:val="auto"/>
                      <w:sz w:val="21"/>
                      <w:szCs w:val="21"/>
                      <w:highlight w:val="none"/>
                      <w:lang w:val="en-US" w:eastAsia="zh-CN"/>
                    </w:rPr>
                    <w:t>生产车间</w:t>
                  </w: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lang w:val="en-US" w:eastAsia="zh-CN"/>
                    </w:rPr>
                    <w:t>生产过程中产生</w:t>
                  </w:r>
                  <w:r>
                    <w:rPr>
                      <w:rFonts w:hint="default" w:ascii="Times New Roman" w:hAnsi="Times New Roman" w:eastAsia="宋体" w:cs="Times New Roman"/>
                      <w:b w:val="0"/>
                      <w:bCs w:val="0"/>
                      <w:color w:val="auto"/>
                      <w:sz w:val="21"/>
                      <w:szCs w:val="21"/>
                      <w:highlight w:val="none"/>
                    </w:rPr>
                    <w:t>VOCs</w:t>
                  </w:r>
                  <w:r>
                    <w:rPr>
                      <w:rFonts w:hint="default" w:ascii="Times New Roman" w:hAnsi="Times New Roman" w:eastAsia="宋体" w:cs="Times New Roman"/>
                      <w:b w:val="0"/>
                      <w:bCs w:val="0"/>
                      <w:color w:val="auto"/>
                      <w:sz w:val="21"/>
                      <w:szCs w:val="21"/>
                      <w:highlight w:val="none"/>
                      <w:lang w:val="en-US" w:eastAsia="zh-CN"/>
                    </w:rPr>
                    <w:t>的工序为</w:t>
                  </w:r>
                  <w:r>
                    <w:rPr>
                      <w:rFonts w:hint="eastAsia" w:ascii="Times New Roman" w:hAnsi="Times New Roman" w:eastAsia="宋体" w:cs="Times New Roman"/>
                      <w:b w:val="0"/>
                      <w:bCs w:val="0"/>
                      <w:color w:val="auto"/>
                      <w:sz w:val="21"/>
                      <w:szCs w:val="21"/>
                      <w:highlight w:val="none"/>
                      <w:lang w:val="en-US" w:eastAsia="zh-CN"/>
                    </w:rPr>
                    <w:t>发泡、成型及切割</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lang w:val="en-US" w:eastAsia="zh-CN"/>
                    </w:rPr>
                    <w:t>本项目选用设备为成套设套，废气产生工段均在密闭车间内。</w:t>
                  </w:r>
                  <w:r>
                    <w:rPr>
                      <w:rFonts w:hint="default" w:ascii="Times New Roman" w:hAnsi="Times New Roman" w:eastAsia="宋体" w:cs="Times New Roman"/>
                      <w:b w:val="0"/>
                      <w:bCs w:val="0"/>
                      <w:color w:val="auto"/>
                      <w:sz w:val="21"/>
                      <w:szCs w:val="21"/>
                      <w:highlight w:val="none"/>
                    </w:rPr>
                    <w:t>厂区通过优化设计风机风量，强化管理，通过密闭车间且保证车间微负压运行；项目投产后，门窗保持密闭状态，车间与室外负压压差在5Pa以上</w:t>
                  </w:r>
                </w:p>
              </w:tc>
              <w:tc>
                <w:tcPr>
                  <w:tcW w:w="545" w:type="pct"/>
                  <w:noWrap w:val="0"/>
                  <w:vAlign w:val="center"/>
                </w:tcPr>
                <w:p w14:paraId="5E6BFF5E">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eastAsia" w:ascii="Times New Roman" w:hAnsi="Times New Roman" w:eastAsia="宋体" w:cs="Times New Roman"/>
                      <w:b w:val="0"/>
                      <w:bCs w:val="0"/>
                      <w:color w:val="auto"/>
                      <w:spacing w:val="-11"/>
                      <w:sz w:val="21"/>
                      <w:szCs w:val="21"/>
                      <w:highlight w:val="none"/>
                      <w:lang w:val="en-US" w:eastAsia="zh-CN"/>
                    </w:rPr>
                  </w:pPr>
                  <w:r>
                    <w:rPr>
                      <w:rFonts w:hint="eastAsia" w:cs="Times New Roman"/>
                      <w:b w:val="0"/>
                      <w:bCs w:val="0"/>
                      <w:color w:val="auto"/>
                      <w:spacing w:val="-11"/>
                      <w:sz w:val="21"/>
                      <w:szCs w:val="21"/>
                      <w:highlight w:val="none"/>
                      <w:lang w:val="en-US" w:eastAsia="zh-CN"/>
                    </w:rPr>
                    <w:t>符合</w:t>
                  </w:r>
                </w:p>
              </w:tc>
            </w:tr>
            <w:tr w14:paraId="39ABAA1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816" w:type="pct"/>
                  <w:vMerge w:val="restart"/>
                  <w:noWrap w:val="0"/>
                  <w:vAlign w:val="center"/>
                </w:tcPr>
                <w:p w14:paraId="535AD2BA">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《石家庄市涉VOCs企业活性炭吸附脱附技术指南文件》符合性分析</w:t>
                  </w:r>
                </w:p>
              </w:tc>
              <w:tc>
                <w:tcPr>
                  <w:tcW w:w="2375" w:type="pct"/>
                  <w:noWrap w:val="0"/>
                  <w:vAlign w:val="center"/>
                </w:tcPr>
                <w:p w14:paraId="69DCA4C9">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排放风机宜安装在设备后端，使设备形成负压，在设备密封性能良好情况下允许前置风机，尽量保证无污染气体泄露到设备箱罐体体外风机选型时应考虑收集及环保设施阻力。</w:t>
                  </w:r>
                </w:p>
              </w:tc>
              <w:tc>
                <w:tcPr>
                  <w:tcW w:w="1262" w:type="pct"/>
                  <w:noWrap w:val="0"/>
                  <w:vAlign w:val="center"/>
                </w:tcPr>
                <w:p w14:paraId="0AE84343">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排风机安装在设备后端，使得设备形成负压</w:t>
                  </w:r>
                </w:p>
              </w:tc>
              <w:tc>
                <w:tcPr>
                  <w:tcW w:w="545" w:type="pct"/>
                  <w:noWrap w:val="0"/>
                  <w:vAlign w:val="center"/>
                </w:tcPr>
                <w:p w14:paraId="66AA5624">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z w:val="21"/>
                      <w:szCs w:val="21"/>
                    </w:rPr>
                    <w:t>符合</w:t>
                  </w:r>
                </w:p>
              </w:tc>
            </w:tr>
            <w:tr w14:paraId="4A3CBE0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816" w:type="pct"/>
                  <w:vMerge w:val="continue"/>
                  <w:noWrap w:val="0"/>
                  <w:vAlign w:val="center"/>
                </w:tcPr>
                <w:p w14:paraId="77FE0A4E">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p>
              </w:tc>
              <w:tc>
                <w:tcPr>
                  <w:tcW w:w="2375" w:type="pct"/>
                  <w:noWrap w:val="0"/>
                  <w:vAlign w:val="center"/>
                </w:tcPr>
                <w:p w14:paraId="64562659">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活性炭相关技术设施前应安装过滤处理系统，企业应制定定期更换过滤材料的设备运行维护规程，保障活性炭在低颗粒物、低含水率条件下使用。</w:t>
                  </w:r>
                </w:p>
              </w:tc>
              <w:tc>
                <w:tcPr>
                  <w:tcW w:w="1262" w:type="pct"/>
                  <w:noWrap w:val="0"/>
                  <w:vAlign w:val="center"/>
                </w:tcPr>
                <w:p w14:paraId="4DB8C948">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不涉及颗粒物，无需安装过滤棉</w:t>
                  </w:r>
                </w:p>
              </w:tc>
              <w:tc>
                <w:tcPr>
                  <w:tcW w:w="545" w:type="pct"/>
                  <w:noWrap w:val="0"/>
                  <w:vAlign w:val="center"/>
                </w:tcPr>
                <w:p w14:paraId="1050A851">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z w:val="21"/>
                      <w:szCs w:val="21"/>
                    </w:rPr>
                    <w:t>符合</w:t>
                  </w:r>
                </w:p>
              </w:tc>
            </w:tr>
            <w:tr w14:paraId="7AC6D81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816" w:type="pct"/>
                  <w:vMerge w:val="continue"/>
                  <w:noWrap w:val="0"/>
                  <w:vAlign w:val="center"/>
                </w:tcPr>
                <w:p w14:paraId="0F7362BA">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p>
              </w:tc>
              <w:tc>
                <w:tcPr>
                  <w:tcW w:w="2375" w:type="pct"/>
                  <w:noWrap w:val="0"/>
                  <w:vAlign w:val="center"/>
                </w:tcPr>
                <w:p w14:paraId="4AC080A1">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活性炭吸附装置应在设备进气口和出气管道上设置气体采样口，应符合《环境保护产品技术要求工业废气吸附净化装置HJT3862007》要求，当出气口废气浓度≥排放限值的70%时，应及时更换活性炭，并做好相应台账更换记录及危废入库记录</w:t>
                  </w:r>
                </w:p>
              </w:tc>
              <w:tc>
                <w:tcPr>
                  <w:tcW w:w="1262" w:type="pct"/>
                  <w:noWrap w:val="0"/>
                  <w:vAlign w:val="center"/>
                </w:tcPr>
                <w:p w14:paraId="552E7E03">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企业将在</w:t>
                  </w:r>
                  <w:r>
                    <w:rPr>
                      <w:rFonts w:hint="default" w:ascii="Times New Roman" w:hAnsi="Times New Roman" w:eastAsia="宋体" w:cs="Times New Roman"/>
                      <w:b w:val="0"/>
                      <w:bCs w:val="0"/>
                      <w:color w:val="auto"/>
                      <w:sz w:val="21"/>
                      <w:szCs w:val="21"/>
                      <w:highlight w:val="none"/>
                      <w:lang w:val="en-US" w:eastAsia="zh-CN"/>
                    </w:rPr>
                    <w:t>活性炭吸附装置进口及出口上设置气体采样口，</w:t>
                  </w:r>
                  <w:r>
                    <w:rPr>
                      <w:rFonts w:hint="default" w:ascii="Times New Roman" w:hAnsi="Times New Roman" w:eastAsia="宋体" w:cs="Times New Roman"/>
                      <w:b w:val="0"/>
                      <w:bCs w:val="0"/>
                      <w:color w:val="auto"/>
                      <w:sz w:val="21"/>
                      <w:szCs w:val="21"/>
                      <w:highlight w:val="none"/>
                    </w:rPr>
                    <w:t>及时更换活性炭，并做好台账及入库记录</w:t>
                  </w:r>
                </w:p>
              </w:tc>
              <w:tc>
                <w:tcPr>
                  <w:tcW w:w="545" w:type="pct"/>
                  <w:noWrap w:val="0"/>
                  <w:vAlign w:val="center"/>
                </w:tcPr>
                <w:p w14:paraId="75FFC672">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z w:val="21"/>
                      <w:szCs w:val="21"/>
                    </w:rPr>
                    <w:t>符合</w:t>
                  </w:r>
                </w:p>
              </w:tc>
            </w:tr>
            <w:tr w14:paraId="499B9A2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6" w:type="pct"/>
                  <w:vMerge w:val="continue"/>
                  <w:noWrap w:val="0"/>
                  <w:vAlign w:val="center"/>
                </w:tcPr>
                <w:p w14:paraId="6BE0A018">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b w:val="0"/>
                      <w:bCs w:val="0"/>
                      <w:color w:val="auto"/>
                      <w:spacing w:val="-11"/>
                      <w:sz w:val="21"/>
                      <w:szCs w:val="21"/>
                      <w:highlight w:val="none"/>
                    </w:rPr>
                  </w:pPr>
                </w:p>
              </w:tc>
              <w:tc>
                <w:tcPr>
                  <w:tcW w:w="2375" w:type="pct"/>
                  <w:noWrap w:val="0"/>
                  <w:vAlign w:val="center"/>
                </w:tcPr>
                <w:p w14:paraId="6CEE4785">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处理装置的末端排放速率及浓度满足《河北省工业挥发性有机物排放标准》（DB13/2322-2016）《挥发性有机物无组织控制标准》（GB37822-2019）《大气污染物综合排放标准》（GB16297-1996）等相关标准及规定要求</w:t>
                  </w:r>
                </w:p>
              </w:tc>
              <w:tc>
                <w:tcPr>
                  <w:tcW w:w="1262" w:type="pct"/>
                  <w:noWrap w:val="0"/>
                  <w:vAlign w:val="center"/>
                </w:tcPr>
                <w:p w14:paraId="06A0286D">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本项目非甲烷总烃排放</w:t>
                  </w:r>
                  <w:r>
                    <w:rPr>
                      <w:rFonts w:hint="eastAsia" w:ascii="Times New Roman" w:hAnsi="Times New Roman" w:eastAsia="宋体" w:cs="Times New Roman"/>
                      <w:b w:val="0"/>
                      <w:bCs w:val="0"/>
                      <w:color w:val="auto"/>
                      <w:sz w:val="21"/>
                      <w:szCs w:val="21"/>
                      <w:highlight w:val="none"/>
                      <w:lang w:val="en-US" w:eastAsia="zh-CN"/>
                    </w:rPr>
                    <w:t>满足</w:t>
                  </w:r>
                  <w:r>
                    <w:rPr>
                      <w:rFonts w:hint="default" w:ascii="Times New Roman" w:hAnsi="Times New Roman" w:eastAsia="宋体" w:cs="Times New Roman"/>
                      <w:b w:val="0"/>
                      <w:bCs w:val="0"/>
                      <w:color w:val="auto"/>
                      <w:sz w:val="21"/>
                      <w:szCs w:val="21"/>
                      <w:highlight w:val="none"/>
                    </w:rPr>
                    <w:t>《工业企业挥发性有机物排放控制标准》（DB13/2322-20</w:t>
                  </w:r>
                  <w:r>
                    <w:rPr>
                      <w:rFonts w:hint="eastAsia" w:ascii="Times New Roman" w:hAnsi="Times New Roman" w:eastAsia="宋体" w:cs="Times New Roman"/>
                      <w:b w:val="0"/>
                      <w:bCs w:val="0"/>
                      <w:color w:val="auto"/>
                      <w:sz w:val="21"/>
                      <w:szCs w:val="21"/>
                      <w:highlight w:val="none"/>
                      <w:lang w:val="en-US" w:eastAsia="zh-CN"/>
                    </w:rPr>
                    <w:t>25</w:t>
                  </w:r>
                  <w:r>
                    <w:rPr>
                      <w:rFonts w:hint="eastAsia" w:cs="Times New Roman"/>
                      <w:b w:val="0"/>
                      <w:bCs w:val="0"/>
                      <w:color w:val="auto"/>
                      <w:sz w:val="21"/>
                      <w:szCs w:val="21"/>
                      <w:highlight w:val="none"/>
                      <w:lang w:val="en-US" w:eastAsia="zh-CN"/>
                    </w:rPr>
                    <w:t>）和</w:t>
                  </w:r>
                  <w:r>
                    <w:rPr>
                      <w:rFonts w:hint="default" w:ascii="Times New Roman" w:hAnsi="Times New Roman" w:eastAsia="宋体" w:cs="Times New Roman"/>
                      <w:b w:val="0"/>
                      <w:bCs w:val="0"/>
                      <w:color w:val="auto"/>
                      <w:sz w:val="21"/>
                      <w:szCs w:val="21"/>
                      <w:highlight w:val="none"/>
                    </w:rPr>
                    <w:t>《合成树脂工业污染物排放标准》（GB31572-2015</w:t>
                  </w:r>
                  <w:r>
                    <w:rPr>
                      <w:rFonts w:hint="eastAsia" w:cs="Times New Roman"/>
                      <w:b w:val="0"/>
                      <w:bCs w:val="0"/>
                      <w:color w:val="auto"/>
                      <w:sz w:val="21"/>
                      <w:szCs w:val="21"/>
                      <w:highlight w:val="none"/>
                      <w:lang w:eastAsia="zh-CN"/>
                    </w:rPr>
                    <w:t>，</w:t>
                  </w:r>
                  <w:r>
                    <w:rPr>
                      <w:rFonts w:hint="eastAsia" w:cs="Times New Roman"/>
                      <w:b w:val="0"/>
                      <w:bCs w:val="0"/>
                      <w:color w:val="auto"/>
                      <w:sz w:val="21"/>
                      <w:szCs w:val="21"/>
                      <w:highlight w:val="none"/>
                      <w:lang w:val="en-US" w:eastAsia="zh-CN"/>
                    </w:rPr>
                    <w:t>含2024年修改单</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lang w:val="en-US" w:eastAsia="zh-CN"/>
                    </w:rPr>
                    <w:t>标准</w:t>
                  </w:r>
                  <w:r>
                    <w:rPr>
                      <w:rFonts w:hint="default" w:ascii="Times New Roman" w:hAnsi="Times New Roman" w:eastAsia="宋体" w:cs="Times New Roman"/>
                      <w:b w:val="0"/>
                      <w:bCs w:val="0"/>
                      <w:color w:val="auto"/>
                      <w:sz w:val="21"/>
                      <w:szCs w:val="21"/>
                      <w:highlight w:val="none"/>
                    </w:rPr>
                    <w:t>等相关标准及规定要求</w:t>
                  </w:r>
                </w:p>
              </w:tc>
              <w:tc>
                <w:tcPr>
                  <w:tcW w:w="545" w:type="pct"/>
                  <w:noWrap w:val="0"/>
                  <w:vAlign w:val="center"/>
                </w:tcPr>
                <w:p w14:paraId="5BE26353">
                  <w:pPr>
                    <w:pStyle w:val="11"/>
                    <w:keepNext w:val="0"/>
                    <w:keepLines w:val="0"/>
                    <w:pageBreakBefore w:val="0"/>
                    <w:widowControl w:val="0"/>
                    <w:kinsoku/>
                    <w:wordWrap/>
                    <w:overflowPunct/>
                    <w:topLinePunct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z w:val="21"/>
                      <w:szCs w:val="21"/>
                    </w:rPr>
                    <w:t>符合</w:t>
                  </w:r>
                </w:p>
              </w:tc>
            </w:tr>
          </w:tbl>
          <w:p w14:paraId="50BA445C">
            <w:pPr>
              <w:pStyle w:val="95"/>
              <w:keepNext w:val="0"/>
              <w:keepLines w:val="0"/>
              <w:pageBreakBefore w:val="0"/>
              <w:widowControl w:val="0"/>
              <w:kinsoku/>
              <w:wordWrap/>
              <w:overflowPunct/>
              <w:topLinePunct w:val="0"/>
              <w:bidi w:val="0"/>
              <w:adjustRightInd w:val="0"/>
              <w:snapToGrid w:val="0"/>
              <w:spacing w:line="360" w:lineRule="auto"/>
              <w:ind w:left="0" w:firstLine="482" w:firstLineChars="200"/>
              <w:jc w:val="left"/>
              <w:textAlignment w:val="auto"/>
              <w:rPr>
                <w:rFonts w:ascii="Times New Roman" w:hAnsi="Times New Roman" w:cs="Times New Roman"/>
                <w:b/>
                <w:color w:val="auto"/>
                <w:sz w:val="24"/>
                <w:highlight w:val="none"/>
              </w:rPr>
            </w:pPr>
            <w:r>
              <w:rPr>
                <w:rFonts w:hint="eastAsia" w:cs="Times New Roman"/>
                <w:b/>
                <w:bCs/>
                <w:color w:val="auto"/>
                <w:kern w:val="0"/>
                <w:sz w:val="24"/>
                <w:highlight w:val="none"/>
                <w:lang w:val="en-US" w:eastAsia="zh-CN"/>
              </w:rPr>
              <w:t>2.</w:t>
            </w:r>
            <w:r>
              <w:rPr>
                <w:rFonts w:ascii="Times New Roman" w:hAnsi="Times New Roman" w:cs="Times New Roman"/>
                <w:b/>
                <w:color w:val="auto"/>
                <w:sz w:val="24"/>
                <w:highlight w:val="none"/>
              </w:rPr>
              <w:t>绩效评级的符合性</w:t>
            </w:r>
          </w:p>
          <w:p w14:paraId="202A8D22">
            <w:pPr>
              <w:keepNext w:val="0"/>
              <w:keepLines w:val="0"/>
              <w:pageBreakBefore w:val="0"/>
              <w:widowControl w:val="0"/>
              <w:kinsoku/>
              <w:wordWrap/>
              <w:overflowPunct/>
              <w:topLinePunct w:val="0"/>
              <w:autoSpaceDE w:val="0"/>
              <w:autoSpaceDN w:val="0"/>
              <w:bidi w:val="0"/>
              <w:adjustRightInd w:val="0"/>
              <w:snapToGrid w:val="0"/>
              <w:spacing w:line="360" w:lineRule="auto"/>
              <w:ind w:left="0" w:firstLine="480" w:firstLineChars="200"/>
              <w:jc w:val="left"/>
              <w:textAlignment w:val="auto"/>
              <w:rPr>
                <w:rFonts w:ascii="Times New Roman" w:hAnsi="Times New Roman" w:eastAsia="宋体" w:cs="Times New Roman"/>
                <w:b/>
                <w:color w:val="auto"/>
                <w:kern w:val="0"/>
                <w:sz w:val="24"/>
                <w:szCs w:val="32"/>
                <w:highlight w:val="none"/>
              </w:rPr>
            </w:pPr>
            <w:r>
              <w:rPr>
                <w:rFonts w:ascii="Times New Roman" w:hAnsi="Times New Roman" w:eastAsia="宋体" w:cs="Times New Roman"/>
                <w:color w:val="auto"/>
                <w:sz w:val="24"/>
                <w:highlight w:val="none"/>
              </w:rPr>
              <w:t>参照</w:t>
            </w:r>
            <w:r>
              <w:rPr>
                <w:rFonts w:hint="eastAsia" w:cs="Times New Roman"/>
                <w:color w:val="auto"/>
                <w:sz w:val="24"/>
                <w:highlight w:val="none"/>
                <w:lang w:eastAsia="zh-CN"/>
              </w:rPr>
              <w:t>《河北省十一个行业重污染天气应急减排措施技术指南（试行）》</w:t>
            </w:r>
            <w:r>
              <w:rPr>
                <w:rFonts w:ascii="Times New Roman" w:hAnsi="Times New Roman" w:eastAsia="宋体" w:cs="Times New Roman"/>
                <w:color w:val="auto"/>
                <w:sz w:val="24"/>
                <w:highlight w:val="none"/>
              </w:rPr>
              <w:t>表1-2塑料制品行业分级管控绩效中B级企业，本项目管控要求见表1-</w:t>
            </w:r>
            <w:r>
              <w:rPr>
                <w:rFonts w:hint="eastAsia" w:cs="Times New Roman"/>
                <w:color w:val="auto"/>
                <w:sz w:val="24"/>
                <w:highlight w:val="none"/>
                <w:lang w:val="en-US" w:eastAsia="zh-CN"/>
              </w:rPr>
              <w:t>8</w:t>
            </w:r>
            <w:r>
              <w:rPr>
                <w:rFonts w:ascii="Times New Roman" w:hAnsi="Times New Roman" w:eastAsia="宋体" w:cs="Times New Roman"/>
                <w:color w:val="auto"/>
                <w:sz w:val="24"/>
                <w:highlight w:val="none"/>
              </w:rPr>
              <w:t>。</w:t>
            </w:r>
          </w:p>
          <w:p w14:paraId="5E3C5EED">
            <w:pPr>
              <w:keepLines w:val="0"/>
              <w:pageBreakBefore w:val="0"/>
              <w:widowControl w:val="0"/>
              <w:kinsoku/>
              <w:wordWrap/>
              <w:overflowPunct/>
              <w:topLinePunct w:val="0"/>
              <w:autoSpaceDE w:val="0"/>
              <w:autoSpaceDN w:val="0"/>
              <w:bidi w:val="0"/>
              <w:adjustRightInd w:val="0"/>
              <w:spacing w:line="240" w:lineRule="auto"/>
              <w:jc w:val="center"/>
              <w:textAlignment w:val="auto"/>
              <w:rPr>
                <w:rFonts w:ascii="Times New Roman" w:hAnsi="Times New Roman" w:eastAsia="宋体" w:cs="Times New Roman"/>
                <w:b/>
                <w:color w:val="auto"/>
                <w:kern w:val="0"/>
                <w:sz w:val="24"/>
                <w:szCs w:val="32"/>
                <w:highlight w:val="none"/>
              </w:rPr>
            </w:pPr>
            <w:r>
              <w:rPr>
                <w:rFonts w:ascii="Times New Roman" w:hAnsi="Times New Roman" w:eastAsia="宋体" w:cs="Times New Roman"/>
                <w:b/>
                <w:color w:val="auto"/>
                <w:kern w:val="0"/>
                <w:sz w:val="24"/>
                <w:szCs w:val="32"/>
                <w:highlight w:val="none"/>
              </w:rPr>
              <w:t>表1-</w:t>
            </w:r>
            <w:r>
              <w:rPr>
                <w:rFonts w:hint="eastAsia" w:cs="Times New Roman"/>
                <w:b/>
                <w:color w:val="auto"/>
                <w:kern w:val="0"/>
                <w:sz w:val="24"/>
                <w:szCs w:val="32"/>
                <w:highlight w:val="none"/>
                <w:lang w:val="en-US" w:eastAsia="zh-CN"/>
              </w:rPr>
              <w:t>8</w:t>
            </w:r>
            <w:r>
              <w:rPr>
                <w:rFonts w:ascii="Times New Roman" w:hAnsi="Times New Roman" w:eastAsia="宋体" w:cs="Times New Roman"/>
                <w:b/>
                <w:color w:val="auto"/>
                <w:kern w:val="0"/>
                <w:sz w:val="24"/>
                <w:szCs w:val="32"/>
                <w:highlight w:val="none"/>
              </w:rPr>
              <w:t xml:space="preserve">  </w:t>
            </w:r>
            <w:r>
              <w:rPr>
                <w:rFonts w:ascii="Times New Roman" w:hAnsi="Times New Roman" w:eastAsia="宋体" w:cs="Times New Roman"/>
                <w:b/>
                <w:color w:val="auto"/>
                <w:sz w:val="24"/>
                <w:highlight w:val="none"/>
              </w:rPr>
              <w:t>塑料制品行业分级管控绩效</w:t>
            </w:r>
          </w:p>
          <w:tbl>
            <w:tblPr>
              <w:tblStyle w:val="35"/>
              <w:tblW w:w="4998" w:type="pct"/>
              <w:tblInd w:w="5"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90"/>
              <w:gridCol w:w="3444"/>
              <w:gridCol w:w="2573"/>
              <w:gridCol w:w="891"/>
            </w:tblGrid>
            <w:tr w14:paraId="0C26E9F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719" w:type="pct"/>
                  <w:gridSpan w:val="2"/>
                  <w:noWrap w:val="0"/>
                  <w:vAlign w:val="center"/>
                </w:tcPr>
                <w:p w14:paraId="5F012B2D">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b/>
                      <w:bCs/>
                      <w:color w:val="auto"/>
                      <w:spacing w:val="-10"/>
                      <w:kern w:val="0"/>
                      <w:szCs w:val="21"/>
                      <w:highlight w:val="none"/>
                    </w:rPr>
                  </w:pPr>
                  <w:r>
                    <w:rPr>
                      <w:rFonts w:ascii="Times New Roman" w:hAnsi="Times New Roman" w:eastAsia="宋体" w:cs="Times New Roman"/>
                      <w:b/>
                      <w:bCs/>
                      <w:color w:val="auto"/>
                      <w:spacing w:val="-10"/>
                      <w:kern w:val="0"/>
                      <w:szCs w:val="21"/>
                      <w:highlight w:val="none"/>
                    </w:rPr>
                    <w:t>分级管控绩效B级企业文件要求</w:t>
                  </w:r>
                </w:p>
              </w:tc>
              <w:tc>
                <w:tcPr>
                  <w:tcW w:w="1693" w:type="pct"/>
                  <w:noWrap w:val="0"/>
                  <w:vAlign w:val="center"/>
                </w:tcPr>
                <w:p w14:paraId="1B5FDEF8">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b/>
                      <w:bCs/>
                      <w:color w:val="auto"/>
                      <w:spacing w:val="-10"/>
                      <w:kern w:val="0"/>
                      <w:szCs w:val="21"/>
                      <w:highlight w:val="none"/>
                    </w:rPr>
                  </w:pPr>
                  <w:r>
                    <w:rPr>
                      <w:rFonts w:ascii="Times New Roman" w:hAnsi="Times New Roman" w:eastAsia="宋体" w:cs="Times New Roman"/>
                      <w:b/>
                      <w:bCs/>
                      <w:color w:val="auto"/>
                      <w:spacing w:val="-10"/>
                      <w:kern w:val="0"/>
                      <w:szCs w:val="21"/>
                      <w:highlight w:val="none"/>
                    </w:rPr>
                    <w:t>项目情况</w:t>
                  </w:r>
                </w:p>
              </w:tc>
              <w:tc>
                <w:tcPr>
                  <w:tcW w:w="586" w:type="pct"/>
                  <w:noWrap w:val="0"/>
                  <w:vAlign w:val="center"/>
                </w:tcPr>
                <w:p w14:paraId="48E60510">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b/>
                      <w:bCs/>
                      <w:color w:val="auto"/>
                      <w:spacing w:val="-10"/>
                      <w:kern w:val="0"/>
                      <w:szCs w:val="21"/>
                      <w:highlight w:val="none"/>
                    </w:rPr>
                  </w:pPr>
                  <w:r>
                    <w:rPr>
                      <w:rFonts w:ascii="Times New Roman" w:hAnsi="Times New Roman" w:eastAsia="宋体" w:cs="Times New Roman"/>
                      <w:b/>
                      <w:bCs/>
                      <w:color w:val="auto"/>
                      <w:spacing w:val="-10"/>
                      <w:kern w:val="0"/>
                      <w:szCs w:val="21"/>
                      <w:highlight w:val="none"/>
                    </w:rPr>
                    <w:t>符合性</w:t>
                  </w:r>
                </w:p>
              </w:tc>
            </w:tr>
            <w:tr w14:paraId="42103A1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54" w:type="pct"/>
                  <w:noWrap w:val="0"/>
                  <w:vAlign w:val="top"/>
                </w:tcPr>
                <w:p w14:paraId="3E13D1D6">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原料、能源类型</w:t>
                  </w:r>
                </w:p>
              </w:tc>
              <w:tc>
                <w:tcPr>
                  <w:tcW w:w="2265" w:type="pct"/>
                  <w:noWrap w:val="0"/>
                  <w:vAlign w:val="center"/>
                </w:tcPr>
                <w:p w14:paraId="4C640D8C">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原料非再生料使用比例≥80%</w:t>
                  </w:r>
                </w:p>
                <w:p w14:paraId="199368E1">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能源使用电、天然气、液化石油气等能源</w:t>
                  </w:r>
                </w:p>
              </w:tc>
              <w:tc>
                <w:tcPr>
                  <w:tcW w:w="1693" w:type="pct"/>
                  <w:noWrap w:val="0"/>
                  <w:vAlign w:val="center"/>
                </w:tcPr>
                <w:p w14:paraId="7C3230A5">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hint="default" w:ascii="Times New Roman" w:hAnsi="Times New Roman" w:eastAsia="宋体" w:cs="Times New Roman"/>
                      <w:color w:val="auto"/>
                      <w:spacing w:val="-10"/>
                      <w:kern w:val="0"/>
                      <w:szCs w:val="21"/>
                      <w:highlight w:val="none"/>
                      <w:lang w:val="en-US" w:eastAsia="zh-CN"/>
                    </w:rPr>
                  </w:pPr>
                  <w:r>
                    <w:rPr>
                      <w:rFonts w:ascii="Times New Roman" w:hAnsi="Times New Roman" w:eastAsia="宋体" w:cs="Times New Roman"/>
                      <w:color w:val="auto"/>
                      <w:spacing w:val="-10"/>
                      <w:kern w:val="0"/>
                      <w:szCs w:val="21"/>
                      <w:highlight w:val="none"/>
                    </w:rPr>
                    <w:t>本项目原料全部使用非再生料；能源使用电能</w:t>
                  </w:r>
                  <w:r>
                    <w:rPr>
                      <w:rFonts w:hint="eastAsia" w:cs="Times New Roman"/>
                      <w:color w:val="auto"/>
                      <w:spacing w:val="-10"/>
                      <w:kern w:val="0"/>
                      <w:szCs w:val="21"/>
                      <w:highlight w:val="none"/>
                      <w:lang w:val="en-US" w:eastAsia="zh-CN"/>
                    </w:rPr>
                    <w:t>和蒸汽</w:t>
                  </w:r>
                </w:p>
              </w:tc>
              <w:tc>
                <w:tcPr>
                  <w:tcW w:w="586" w:type="pct"/>
                  <w:noWrap w:val="0"/>
                  <w:vAlign w:val="center"/>
                </w:tcPr>
                <w:p w14:paraId="1857FBE5">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符合</w:t>
                  </w:r>
                </w:p>
              </w:tc>
            </w:tr>
            <w:tr w14:paraId="33CEB81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54" w:type="pct"/>
                  <w:noWrap w:val="0"/>
                  <w:vAlign w:val="center"/>
                </w:tcPr>
                <w:p w14:paraId="4DD26BB3">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kern w:val="0"/>
                      <w:szCs w:val="21"/>
                      <w:highlight w:val="none"/>
                    </w:rPr>
                  </w:pPr>
                  <w:r>
                    <w:rPr>
                      <w:rFonts w:ascii="Times New Roman" w:hAnsi="Times New Roman" w:eastAsia="宋体" w:cs="Times New Roman"/>
                      <w:color w:val="auto"/>
                      <w:spacing w:val="-10"/>
                      <w:kern w:val="0"/>
                      <w:szCs w:val="21"/>
                      <w:highlight w:val="none"/>
                    </w:rPr>
                    <w:t>污染治理技术</w:t>
                  </w:r>
                </w:p>
              </w:tc>
              <w:tc>
                <w:tcPr>
                  <w:tcW w:w="2265" w:type="pct"/>
                  <w:noWrap w:val="0"/>
                  <w:vAlign w:val="center"/>
                </w:tcPr>
                <w:p w14:paraId="57F31F1B">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kern w:val="0"/>
                      <w:szCs w:val="21"/>
                      <w:highlight w:val="none"/>
                    </w:rPr>
                  </w:pPr>
                  <w:r>
                    <w:rPr>
                      <w:rFonts w:ascii="Times New Roman" w:hAnsi="Times New Roman" w:eastAsia="宋体" w:cs="Times New Roman"/>
                      <w:color w:val="auto"/>
                      <w:spacing w:val="-10"/>
                      <w:kern w:val="0"/>
                      <w:szCs w:val="21"/>
                      <w:highlight w:val="none"/>
                    </w:rPr>
                    <w:t>1.投料、挤塑、注塑、滚塑、吹塑、压延、挤出、热定型、冷却、发泡、熟化、干燥等产生的VOCs环节有效收集，废气排至VOCs废气收集处理系统；距集气罩开口面最远处的VOCs无组织排放位置，控制风速不低于0.3米/秒；生产工艺产生的VOCs采用燃烧方式或喷淋、吸附、生物法等二级及以上组合工艺处理，采用活性炭吸附的，按照生态环境部《挥发性有机物治理突出问题排查整治工作要求》中碘值的相关要求执行，且按活性炭最大吸附量的90%计算更换周期。废气中含有油烟或颗粒物的，应在VOCs治理设施前端加装高效除尘设施或油烟净化装置；2.粉状、粒状物料采用自动投料器投加和配混，投加和混配工序在封闭车间内进行，颗粒物有效收集，采用布袋、滤筒等高效除尘技术；3.NOx治理采用低氮燃烧、SNCR/SCR等适宜技术；4.废吸附剂应在密闭的包装袋或容器储存、转运，并建立储存、处置台账。</w:t>
                  </w:r>
                </w:p>
              </w:tc>
              <w:tc>
                <w:tcPr>
                  <w:tcW w:w="1693" w:type="pct"/>
                  <w:noWrap w:val="0"/>
                  <w:vAlign w:val="center"/>
                </w:tcPr>
                <w:p w14:paraId="6570DD62">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hint="default" w:cs="Times New Roman"/>
                      <w:color w:val="auto"/>
                      <w:sz w:val="21"/>
                      <w:szCs w:val="21"/>
                      <w:highlight w:val="none"/>
                      <w:lang w:val="en-US" w:eastAsia="zh-CN"/>
                    </w:rPr>
                    <w:t>发泡机及成型机密闭，出料口设置集气罩；切割工序在操作工序上方设置集气罩。集气罩四周均设置软帘收集；真空泵废气管道收集；发泡废气经</w:t>
                  </w:r>
                  <w:r>
                    <w:rPr>
                      <w:rFonts w:hint="eastAsia" w:cs="Times New Roman"/>
                      <w:color w:val="auto"/>
                      <w:sz w:val="21"/>
                      <w:szCs w:val="21"/>
                      <w:highlight w:val="none"/>
                      <w:lang w:val="en-US" w:eastAsia="zh-CN"/>
                    </w:rPr>
                    <w:t>气液分离</w:t>
                  </w:r>
                  <w:r>
                    <w:rPr>
                      <w:rFonts w:hint="default" w:cs="Times New Roman"/>
                      <w:color w:val="auto"/>
                      <w:sz w:val="21"/>
                      <w:szCs w:val="21"/>
                      <w:highlight w:val="none"/>
                      <w:lang w:val="en-US" w:eastAsia="zh-CN"/>
                    </w:rPr>
                    <w:t>预处理后与其他废气采用“活性炭吸附</w:t>
                  </w:r>
                  <w:r>
                    <w:rPr>
                      <w:rFonts w:hint="eastAsia" w:cs="Times New Roman"/>
                      <w:color w:val="auto"/>
                      <w:sz w:val="21"/>
                      <w:szCs w:val="21"/>
                      <w:highlight w:val="none"/>
                      <w:lang w:val="en-US" w:eastAsia="zh-CN"/>
                    </w:rPr>
                    <w:t>/脱附</w:t>
                  </w:r>
                  <w:r>
                    <w:rPr>
                      <w:rFonts w:hint="default" w:cs="Times New Roman"/>
                      <w:color w:val="auto"/>
                      <w:sz w:val="21"/>
                      <w:szCs w:val="21"/>
                      <w:highlight w:val="none"/>
                      <w:lang w:val="en-US" w:eastAsia="zh-CN"/>
                    </w:rPr>
                    <w:t>TA001</w:t>
                  </w:r>
                  <w:r>
                    <w:rPr>
                      <w:rFonts w:hint="eastAsia" w:cs="Times New Roman"/>
                      <w:color w:val="auto"/>
                      <w:sz w:val="21"/>
                      <w:szCs w:val="21"/>
                      <w:highlight w:val="none"/>
                      <w:lang w:val="en-US" w:eastAsia="zh-CN"/>
                    </w:rPr>
                    <w:t>-催化燃烧</w:t>
                  </w:r>
                  <w:r>
                    <w:rPr>
                      <w:rFonts w:hint="default" w:cs="Times New Roman"/>
                      <w:color w:val="auto"/>
                      <w:sz w:val="21"/>
                      <w:szCs w:val="21"/>
                      <w:highlight w:val="none"/>
                      <w:lang w:val="en-US" w:eastAsia="zh-CN"/>
                    </w:rPr>
                    <w:t>TA00</w:t>
                  </w:r>
                  <w:r>
                    <w:rPr>
                      <w:rFonts w:hint="eastAsia" w:cs="Times New Roman"/>
                      <w:color w:val="auto"/>
                      <w:sz w:val="21"/>
                      <w:szCs w:val="21"/>
                      <w:highlight w:val="none"/>
                      <w:lang w:val="en-US" w:eastAsia="zh-CN"/>
                    </w:rPr>
                    <w:t>2</w:t>
                  </w:r>
                  <w:r>
                    <w:rPr>
                      <w:rFonts w:hint="default" w:cs="Times New Roman"/>
                      <w:color w:val="auto"/>
                      <w:sz w:val="21"/>
                      <w:szCs w:val="21"/>
                      <w:highlight w:val="none"/>
                      <w:lang w:val="en-US" w:eastAsia="zh-CN"/>
                    </w:rPr>
                    <w:t>”处理后经15m高排气筒DA001排放</w:t>
                  </w:r>
                  <w:r>
                    <w:rPr>
                      <w:rFonts w:ascii="Times New Roman" w:hAnsi="Times New Roman" w:eastAsia="宋体" w:cs="Times New Roman"/>
                      <w:color w:val="auto"/>
                      <w:spacing w:val="-10"/>
                      <w:kern w:val="0"/>
                      <w:szCs w:val="21"/>
                      <w:highlight w:val="none"/>
                    </w:rPr>
                    <w:t>，且满足距集气罩开口面最远处的VOCs无组织排放位置，控制风速</w:t>
                  </w:r>
                  <w:r>
                    <w:rPr>
                      <w:rFonts w:hint="eastAsia" w:cs="Times New Roman"/>
                      <w:color w:val="auto"/>
                      <w:spacing w:val="-10"/>
                      <w:kern w:val="0"/>
                      <w:szCs w:val="21"/>
                      <w:highlight w:val="none"/>
                      <w:lang w:val="en-US" w:eastAsia="zh-CN"/>
                    </w:rPr>
                    <w:t>为1.0</w:t>
                  </w:r>
                  <w:r>
                    <w:rPr>
                      <w:rFonts w:ascii="Times New Roman" w:hAnsi="Times New Roman" w:eastAsia="宋体" w:cs="Times New Roman"/>
                      <w:color w:val="auto"/>
                      <w:spacing w:val="-10"/>
                      <w:kern w:val="0"/>
                      <w:szCs w:val="21"/>
                      <w:highlight w:val="none"/>
                    </w:rPr>
                    <w:t>米/秒；本项目选择使用碘值不低于800毫克/克的活性炭，且定期进行活性炭更换，废活性炭采用密闭桶装，暂存于危废间，并建立储存、处置台账；</w:t>
                  </w:r>
                </w:p>
                <w:p w14:paraId="7CFFC201">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2.项目所用固体物料为粒</w:t>
                  </w:r>
                  <w:r>
                    <w:rPr>
                      <w:rFonts w:hint="eastAsia" w:ascii="Times New Roman" w:hAnsi="Times New Roman" w:eastAsia="宋体" w:cs="Times New Roman"/>
                      <w:color w:val="auto"/>
                      <w:spacing w:val="-10"/>
                      <w:kern w:val="0"/>
                      <w:szCs w:val="21"/>
                      <w:highlight w:val="none"/>
                      <w:lang w:val="en-US" w:eastAsia="zh-CN"/>
                    </w:rPr>
                    <w:t>状</w:t>
                  </w:r>
                  <w:r>
                    <w:rPr>
                      <w:rFonts w:hint="eastAsia" w:ascii="Times New Roman" w:hAnsi="Times New Roman" w:eastAsia="宋体" w:cs="Times New Roman"/>
                      <w:color w:val="auto"/>
                      <w:spacing w:val="-10"/>
                      <w:kern w:val="0"/>
                      <w:szCs w:val="21"/>
                      <w:highlight w:val="none"/>
                      <w:lang w:eastAsia="zh-CN"/>
                    </w:rPr>
                    <w:t>，</w:t>
                  </w:r>
                  <w:r>
                    <w:rPr>
                      <w:rFonts w:ascii="Times New Roman" w:hAnsi="Times New Roman" w:eastAsia="宋体" w:cs="Times New Roman"/>
                      <w:color w:val="auto"/>
                      <w:spacing w:val="-10"/>
                      <w:kern w:val="0"/>
                      <w:szCs w:val="21"/>
                      <w:highlight w:val="none"/>
                    </w:rPr>
                    <w:t>粉尘</w:t>
                  </w:r>
                  <w:r>
                    <w:rPr>
                      <w:rFonts w:hint="eastAsia" w:cs="Times New Roman"/>
                      <w:color w:val="auto"/>
                      <w:spacing w:val="-10"/>
                      <w:kern w:val="0"/>
                      <w:szCs w:val="21"/>
                      <w:highlight w:val="none"/>
                      <w:lang w:val="en-US" w:eastAsia="zh-CN"/>
                    </w:rPr>
                    <w:t>量很少</w:t>
                  </w:r>
                  <w:r>
                    <w:rPr>
                      <w:rFonts w:ascii="Times New Roman" w:hAnsi="Times New Roman" w:eastAsia="宋体" w:cs="Times New Roman"/>
                      <w:color w:val="auto"/>
                      <w:spacing w:val="-10"/>
                      <w:kern w:val="0"/>
                      <w:szCs w:val="21"/>
                      <w:highlight w:val="none"/>
                    </w:rPr>
                    <w:t>产生。</w:t>
                  </w:r>
                </w:p>
                <w:p w14:paraId="3C512964">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hint="eastAsia" w:ascii="Times New Roman" w:hAnsi="Times New Roman" w:eastAsia="宋体" w:cs="Times New Roman"/>
                      <w:color w:val="auto"/>
                      <w:spacing w:val="-10"/>
                      <w:kern w:val="0"/>
                      <w:szCs w:val="21"/>
                      <w:highlight w:val="none"/>
                      <w:lang w:eastAsia="zh-CN"/>
                    </w:rPr>
                  </w:pPr>
                  <w:r>
                    <w:rPr>
                      <w:rFonts w:ascii="Times New Roman" w:hAnsi="Times New Roman" w:eastAsia="宋体" w:cs="Times New Roman"/>
                      <w:color w:val="auto"/>
                      <w:spacing w:val="-10"/>
                      <w:kern w:val="0"/>
                      <w:szCs w:val="21"/>
                      <w:highlight w:val="none"/>
                    </w:rPr>
                    <w:t>3.</w:t>
                  </w:r>
                  <w:r>
                    <w:rPr>
                      <w:rFonts w:hint="eastAsia" w:cs="Times New Roman"/>
                      <w:color w:val="auto"/>
                      <w:spacing w:val="-10"/>
                      <w:kern w:val="0"/>
                      <w:szCs w:val="21"/>
                      <w:highlight w:val="none"/>
                      <w:lang w:val="en-US" w:eastAsia="zh-CN"/>
                    </w:rPr>
                    <w:t>不涉及</w:t>
                  </w:r>
                </w:p>
                <w:p w14:paraId="3D325354">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4.运营期</w:t>
                  </w:r>
                  <w:r>
                    <w:rPr>
                      <w:rFonts w:hint="eastAsia" w:ascii="Times New Roman" w:hAnsi="Times New Roman" w:eastAsia="宋体" w:cs="Times New Roman"/>
                      <w:color w:val="auto"/>
                      <w:spacing w:val="-10"/>
                      <w:kern w:val="0"/>
                      <w:szCs w:val="21"/>
                      <w:highlight w:val="none"/>
                      <w:lang w:val="en-US" w:eastAsia="zh-CN"/>
                    </w:rPr>
                    <w:t>废活性炭</w:t>
                  </w:r>
                  <w:r>
                    <w:rPr>
                      <w:rFonts w:ascii="Times New Roman" w:hAnsi="Times New Roman" w:eastAsia="宋体" w:cs="Times New Roman"/>
                      <w:color w:val="auto"/>
                      <w:spacing w:val="-10"/>
                      <w:kern w:val="0"/>
                      <w:szCs w:val="21"/>
                      <w:highlight w:val="none"/>
                    </w:rPr>
                    <w:t>在密闭的包装袋或容器储存、转运，并建立了储存、处置台账</w:t>
                  </w:r>
                </w:p>
              </w:tc>
              <w:tc>
                <w:tcPr>
                  <w:tcW w:w="586" w:type="pct"/>
                  <w:noWrap w:val="0"/>
                  <w:vAlign w:val="center"/>
                </w:tcPr>
                <w:p w14:paraId="3E53B53A">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符合</w:t>
                  </w:r>
                </w:p>
              </w:tc>
            </w:tr>
            <w:tr w14:paraId="7025024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54" w:type="pct"/>
                  <w:noWrap w:val="0"/>
                  <w:vAlign w:val="center"/>
                </w:tcPr>
                <w:p w14:paraId="0EC7AA67">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排放限值</w:t>
                  </w:r>
                </w:p>
              </w:tc>
              <w:tc>
                <w:tcPr>
                  <w:tcW w:w="2265" w:type="pct"/>
                  <w:noWrap w:val="0"/>
                  <w:vAlign w:val="center"/>
                </w:tcPr>
                <w:p w14:paraId="01E3CB90">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hint="eastAsia" w:cs="Times New Roman"/>
                      <w:color w:val="auto"/>
                      <w:spacing w:val="-10"/>
                      <w:kern w:val="0"/>
                      <w:szCs w:val="21"/>
                      <w:highlight w:val="none"/>
                      <w:lang w:eastAsia="zh-CN"/>
                    </w:rPr>
                    <w:t>1.</w:t>
                  </w:r>
                  <w:r>
                    <w:rPr>
                      <w:rFonts w:ascii="Times New Roman" w:hAnsi="Times New Roman" w:eastAsia="宋体" w:cs="Times New Roman"/>
                      <w:color w:val="auto"/>
                      <w:spacing w:val="-10"/>
                      <w:kern w:val="0"/>
                      <w:szCs w:val="21"/>
                      <w:highlight w:val="none"/>
                    </w:rPr>
                    <w:t>车间或生产设施排气筒非甲烷总烃浓度低于30mg/m</w:t>
                  </w:r>
                  <w:r>
                    <w:rPr>
                      <w:rFonts w:ascii="Times New Roman" w:hAnsi="Times New Roman" w:eastAsia="宋体" w:cs="Times New Roman"/>
                      <w:color w:val="auto"/>
                      <w:spacing w:val="-10"/>
                      <w:kern w:val="0"/>
                      <w:szCs w:val="21"/>
                      <w:highlight w:val="none"/>
                      <w:vertAlign w:val="superscript"/>
                    </w:rPr>
                    <w:t>3</w:t>
                  </w:r>
                  <w:r>
                    <w:rPr>
                      <w:rFonts w:ascii="Times New Roman" w:hAnsi="Times New Roman" w:eastAsia="宋体" w:cs="Times New Roman"/>
                      <w:color w:val="auto"/>
                      <w:spacing w:val="-10"/>
                      <w:kern w:val="0"/>
                      <w:szCs w:val="21"/>
                      <w:highlight w:val="none"/>
                    </w:rPr>
                    <w:t>；</w:t>
                  </w:r>
                </w:p>
                <w:p w14:paraId="0898909C">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hint="eastAsia" w:cs="Times New Roman"/>
                      <w:color w:val="auto"/>
                      <w:spacing w:val="-10"/>
                      <w:kern w:val="0"/>
                      <w:szCs w:val="21"/>
                      <w:highlight w:val="none"/>
                      <w:lang w:eastAsia="zh-CN"/>
                    </w:rPr>
                    <w:t>2.</w:t>
                  </w:r>
                  <w:r>
                    <w:rPr>
                      <w:rFonts w:ascii="Times New Roman" w:hAnsi="Times New Roman" w:eastAsia="宋体" w:cs="Times New Roman"/>
                      <w:color w:val="auto"/>
                      <w:spacing w:val="-10"/>
                      <w:kern w:val="0"/>
                      <w:szCs w:val="21"/>
                      <w:highlight w:val="none"/>
                    </w:rPr>
                    <w:t>VOCs治理设施去除效率需达到80%，若去除效率达不到相应规定，生产车间或生产设备的无组织排放监控点非甲烷总烃浓度低于4mg/m</w:t>
                  </w:r>
                  <w:r>
                    <w:rPr>
                      <w:rFonts w:ascii="Times New Roman" w:hAnsi="Times New Roman" w:eastAsia="宋体" w:cs="Times New Roman"/>
                      <w:color w:val="auto"/>
                      <w:spacing w:val="-10"/>
                      <w:kern w:val="0"/>
                      <w:szCs w:val="21"/>
                      <w:highlight w:val="none"/>
                      <w:vertAlign w:val="superscript"/>
                    </w:rPr>
                    <w:t>3</w:t>
                  </w:r>
                  <w:r>
                    <w:rPr>
                      <w:rFonts w:ascii="Times New Roman" w:hAnsi="Times New Roman" w:eastAsia="宋体" w:cs="Times New Roman"/>
                      <w:color w:val="auto"/>
                      <w:spacing w:val="-10"/>
                      <w:kern w:val="0"/>
                      <w:szCs w:val="21"/>
                      <w:highlight w:val="none"/>
                    </w:rPr>
                    <w:t>，企业边界1h非甲烷总烃平均浓度低于2mg/m</w:t>
                  </w:r>
                  <w:r>
                    <w:rPr>
                      <w:rFonts w:ascii="Times New Roman" w:hAnsi="Times New Roman" w:eastAsia="宋体" w:cs="Times New Roman"/>
                      <w:color w:val="auto"/>
                      <w:spacing w:val="-10"/>
                      <w:kern w:val="0"/>
                      <w:szCs w:val="21"/>
                      <w:highlight w:val="none"/>
                      <w:vertAlign w:val="superscript"/>
                    </w:rPr>
                    <w:t>3</w:t>
                  </w:r>
                  <w:r>
                    <w:rPr>
                      <w:rFonts w:ascii="Times New Roman" w:hAnsi="Times New Roman" w:eastAsia="宋体" w:cs="Times New Roman"/>
                      <w:color w:val="auto"/>
                      <w:spacing w:val="-10"/>
                      <w:kern w:val="0"/>
                      <w:szCs w:val="21"/>
                      <w:highlight w:val="none"/>
                    </w:rPr>
                    <w:t>；</w:t>
                  </w:r>
                </w:p>
                <w:p w14:paraId="7FAF568A">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hint="eastAsia" w:cs="Times New Roman"/>
                      <w:color w:val="auto"/>
                      <w:spacing w:val="-10"/>
                      <w:kern w:val="0"/>
                      <w:szCs w:val="21"/>
                      <w:highlight w:val="none"/>
                      <w:lang w:eastAsia="zh-CN"/>
                    </w:rPr>
                    <w:t>3.</w:t>
                  </w:r>
                  <w:r>
                    <w:rPr>
                      <w:rFonts w:ascii="Times New Roman" w:hAnsi="Times New Roman" w:eastAsia="宋体" w:cs="Times New Roman"/>
                      <w:color w:val="auto"/>
                      <w:spacing w:val="-10"/>
                      <w:kern w:val="0"/>
                      <w:szCs w:val="21"/>
                      <w:highlight w:val="none"/>
                    </w:rPr>
                    <w:t>颗粒物排放浓度不高于15mg/m</w:t>
                  </w:r>
                  <w:r>
                    <w:rPr>
                      <w:rFonts w:ascii="Times New Roman" w:hAnsi="Times New Roman" w:eastAsia="宋体" w:cs="Times New Roman"/>
                      <w:color w:val="auto"/>
                      <w:spacing w:val="-10"/>
                      <w:kern w:val="0"/>
                      <w:szCs w:val="21"/>
                      <w:highlight w:val="none"/>
                      <w:vertAlign w:val="superscript"/>
                    </w:rPr>
                    <w:t>3</w:t>
                  </w:r>
                </w:p>
              </w:tc>
              <w:tc>
                <w:tcPr>
                  <w:tcW w:w="1693" w:type="pct"/>
                  <w:noWrap w:val="0"/>
                  <w:vAlign w:val="center"/>
                </w:tcPr>
                <w:p w14:paraId="6058CE94">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hint="eastAsia" w:cs="Times New Roman"/>
                      <w:color w:val="auto"/>
                      <w:spacing w:val="-10"/>
                      <w:kern w:val="0"/>
                      <w:szCs w:val="21"/>
                      <w:highlight w:val="none"/>
                      <w:vertAlign w:val="baseline"/>
                      <w:lang w:val="en-US" w:eastAsia="zh-CN"/>
                    </w:rPr>
                  </w:pPr>
                  <w:r>
                    <w:rPr>
                      <w:rFonts w:ascii="Times New Roman" w:hAnsi="Times New Roman" w:eastAsia="宋体" w:cs="Times New Roman"/>
                      <w:color w:val="auto"/>
                      <w:spacing w:val="-10"/>
                      <w:kern w:val="0"/>
                      <w:szCs w:val="21"/>
                      <w:highlight w:val="none"/>
                    </w:rPr>
                    <w:t>1.根据工程分析可知，非甲烷总烃有组织排放浓度</w:t>
                  </w:r>
                  <w:r>
                    <w:rPr>
                      <w:rFonts w:hint="eastAsia" w:cs="Times New Roman"/>
                      <w:color w:val="auto"/>
                      <w:spacing w:val="-10"/>
                      <w:kern w:val="0"/>
                      <w:szCs w:val="21"/>
                      <w:highlight w:val="none"/>
                      <w:lang w:val="en-US" w:eastAsia="zh-CN"/>
                    </w:rPr>
                    <w:t>21.675</w:t>
                  </w:r>
                  <w:r>
                    <w:rPr>
                      <w:rFonts w:ascii="Times New Roman" w:hAnsi="Times New Roman" w:eastAsia="宋体" w:cs="Times New Roman"/>
                      <w:color w:val="auto"/>
                      <w:spacing w:val="-10"/>
                      <w:kern w:val="0"/>
                      <w:szCs w:val="21"/>
                      <w:highlight w:val="none"/>
                    </w:rPr>
                    <w:t>mg/m</w:t>
                  </w:r>
                  <w:r>
                    <w:rPr>
                      <w:rFonts w:ascii="Times New Roman" w:hAnsi="Times New Roman" w:eastAsia="宋体" w:cs="Times New Roman"/>
                      <w:color w:val="auto"/>
                      <w:spacing w:val="-10"/>
                      <w:kern w:val="0"/>
                      <w:szCs w:val="21"/>
                      <w:highlight w:val="none"/>
                      <w:vertAlign w:val="superscript"/>
                    </w:rPr>
                    <w:t>3</w:t>
                  </w:r>
                  <w:r>
                    <w:rPr>
                      <w:rFonts w:hint="eastAsia" w:cs="Times New Roman"/>
                      <w:color w:val="auto"/>
                      <w:spacing w:val="-10"/>
                      <w:kern w:val="0"/>
                      <w:szCs w:val="21"/>
                      <w:highlight w:val="none"/>
                      <w:vertAlign w:val="baseline"/>
                      <w:lang w:val="en-US" w:eastAsia="zh-CN"/>
                    </w:rPr>
                    <w:t>和19.508</w:t>
                  </w:r>
                  <w:r>
                    <w:rPr>
                      <w:rFonts w:ascii="Times New Roman" w:hAnsi="Times New Roman" w:eastAsia="宋体" w:cs="Times New Roman"/>
                      <w:color w:val="auto"/>
                      <w:spacing w:val="-10"/>
                      <w:kern w:val="0"/>
                      <w:szCs w:val="21"/>
                      <w:highlight w:val="none"/>
                    </w:rPr>
                    <w:t>mg/m</w:t>
                  </w:r>
                  <w:r>
                    <w:rPr>
                      <w:rFonts w:ascii="Times New Roman" w:hAnsi="Times New Roman" w:eastAsia="宋体" w:cs="Times New Roman"/>
                      <w:color w:val="auto"/>
                      <w:spacing w:val="-10"/>
                      <w:kern w:val="0"/>
                      <w:szCs w:val="21"/>
                      <w:highlight w:val="none"/>
                      <w:vertAlign w:val="superscript"/>
                    </w:rPr>
                    <w:t>3</w:t>
                  </w:r>
                </w:p>
                <w:p w14:paraId="11109B09">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2.</w:t>
                  </w:r>
                  <w:r>
                    <w:rPr>
                      <w:rFonts w:hint="eastAsia" w:cs="Times New Roman"/>
                      <w:color w:val="auto"/>
                      <w:spacing w:val="-10"/>
                      <w:kern w:val="0"/>
                      <w:szCs w:val="21"/>
                      <w:highlight w:val="none"/>
                      <w:lang w:val="en-US" w:eastAsia="zh-CN"/>
                    </w:rPr>
                    <w:t>项目运营期开展生</w:t>
                  </w:r>
                  <w:r>
                    <w:rPr>
                      <w:rFonts w:ascii="Times New Roman" w:hAnsi="Times New Roman" w:eastAsia="宋体" w:cs="Times New Roman"/>
                      <w:color w:val="auto"/>
                      <w:spacing w:val="-10"/>
                      <w:kern w:val="0"/>
                      <w:szCs w:val="21"/>
                      <w:highlight w:val="none"/>
                    </w:rPr>
                    <w:t>产车间或生产设备的无组织排放监控点非甲烷总烃浓度低于4mg/m</w:t>
                  </w:r>
                  <w:r>
                    <w:rPr>
                      <w:rFonts w:ascii="Times New Roman" w:hAnsi="Times New Roman" w:eastAsia="宋体" w:cs="Times New Roman"/>
                      <w:color w:val="auto"/>
                      <w:spacing w:val="-10"/>
                      <w:kern w:val="0"/>
                      <w:szCs w:val="21"/>
                      <w:highlight w:val="none"/>
                      <w:vertAlign w:val="superscript"/>
                    </w:rPr>
                    <w:t>3</w:t>
                  </w:r>
                  <w:r>
                    <w:rPr>
                      <w:rFonts w:ascii="Times New Roman" w:hAnsi="Times New Roman" w:eastAsia="宋体" w:cs="Times New Roman"/>
                      <w:color w:val="auto"/>
                      <w:spacing w:val="-10"/>
                      <w:kern w:val="0"/>
                      <w:szCs w:val="21"/>
                      <w:highlight w:val="none"/>
                    </w:rPr>
                    <w:t>，企业边界1h非甲烷总烃平均浓度低于2mg/m</w:t>
                  </w:r>
                  <w:r>
                    <w:rPr>
                      <w:rFonts w:ascii="Times New Roman" w:hAnsi="Times New Roman" w:eastAsia="宋体" w:cs="Times New Roman"/>
                      <w:color w:val="auto"/>
                      <w:spacing w:val="-10"/>
                      <w:kern w:val="0"/>
                      <w:szCs w:val="21"/>
                      <w:highlight w:val="none"/>
                      <w:vertAlign w:val="superscript"/>
                    </w:rPr>
                    <w:t>3</w:t>
                  </w:r>
                  <w:r>
                    <w:rPr>
                      <w:rFonts w:ascii="Times New Roman" w:hAnsi="Times New Roman" w:eastAsia="宋体" w:cs="Times New Roman"/>
                      <w:color w:val="auto"/>
                      <w:spacing w:val="-10"/>
                      <w:kern w:val="0"/>
                      <w:szCs w:val="21"/>
                      <w:highlight w:val="none"/>
                    </w:rPr>
                    <w:t>；</w:t>
                  </w:r>
                </w:p>
                <w:p w14:paraId="39644959">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hint="eastAsia" w:ascii="Times New Roman" w:hAnsi="Times New Roman" w:eastAsia="宋体" w:cs="Times New Roman"/>
                      <w:color w:val="auto"/>
                      <w:spacing w:val="-10"/>
                      <w:kern w:val="0"/>
                      <w:szCs w:val="21"/>
                      <w:highlight w:val="none"/>
                      <w:lang w:eastAsia="zh-CN"/>
                    </w:rPr>
                  </w:pPr>
                  <w:r>
                    <w:rPr>
                      <w:rFonts w:ascii="Times New Roman" w:hAnsi="Times New Roman" w:eastAsia="宋体" w:cs="Times New Roman"/>
                      <w:color w:val="auto"/>
                      <w:spacing w:val="-10"/>
                      <w:kern w:val="0"/>
                      <w:szCs w:val="21"/>
                      <w:highlight w:val="none"/>
                    </w:rPr>
                    <w:t>3.</w:t>
                  </w:r>
                  <w:r>
                    <w:rPr>
                      <w:rFonts w:hint="eastAsia" w:cs="Times New Roman"/>
                      <w:color w:val="auto"/>
                      <w:spacing w:val="-10"/>
                      <w:kern w:val="0"/>
                      <w:szCs w:val="21"/>
                      <w:highlight w:val="none"/>
                      <w:lang w:val="en-US" w:eastAsia="zh-CN"/>
                    </w:rPr>
                    <w:t>不涉及</w:t>
                  </w:r>
                  <w:r>
                    <w:rPr>
                      <w:rFonts w:hint="eastAsia" w:ascii="Times New Roman" w:hAnsi="Times New Roman" w:eastAsia="宋体" w:cs="Times New Roman"/>
                      <w:color w:val="auto"/>
                      <w:spacing w:val="-10"/>
                      <w:kern w:val="0"/>
                      <w:szCs w:val="21"/>
                      <w:highlight w:val="none"/>
                    </w:rPr>
                    <w:t>。</w:t>
                  </w:r>
                </w:p>
              </w:tc>
              <w:tc>
                <w:tcPr>
                  <w:tcW w:w="586" w:type="pct"/>
                  <w:noWrap w:val="0"/>
                  <w:vAlign w:val="center"/>
                </w:tcPr>
                <w:p w14:paraId="31A93820">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符合</w:t>
                  </w:r>
                </w:p>
              </w:tc>
            </w:tr>
            <w:tr w14:paraId="78FE609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54" w:type="pct"/>
                  <w:noWrap w:val="0"/>
                  <w:vAlign w:val="center"/>
                </w:tcPr>
                <w:p w14:paraId="45C280E5">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无组织管控要求</w:t>
                  </w:r>
                </w:p>
              </w:tc>
              <w:tc>
                <w:tcPr>
                  <w:tcW w:w="2265" w:type="pct"/>
                  <w:noWrap w:val="0"/>
                  <w:vAlign w:val="center"/>
                </w:tcPr>
                <w:p w14:paraId="5D7A7FDF">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1.VOCs物料存储于密闭的容器、包装袋、储罐、储库、料仓中；盛装VOCs原料的容器或包装袋存放于室内；盛装VOCs物料的容器或包装袋在非取用状态时应加盖、封口，保持密闭；2.颗粒状、粉状VOCs物料应采用气力输送设备、管状带式输送机、螺旋输送机等密闭输送，或采用密闭的包装袋、容器或罐车进行物料转移；3.液态VOCs物料采用密闭管道输送，或者采用密闭容器或罐车输送；4.产生VOCs的生产工序和装置应设置集气装置并引至VOCs末端处理设施。5.厂区道路及车间地面硬化，车间地面、墙壁、设备顶部无明显积尘；车间、厂区无明显异味，厂容厂貌整洁有序</w:t>
                  </w:r>
                </w:p>
              </w:tc>
              <w:tc>
                <w:tcPr>
                  <w:tcW w:w="1693" w:type="pct"/>
                  <w:noWrap w:val="0"/>
                  <w:vAlign w:val="center"/>
                </w:tcPr>
                <w:p w14:paraId="12221679">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1.项目原材料均存储于密闭包装内，并放于密闭车间内；</w:t>
                  </w:r>
                </w:p>
                <w:p w14:paraId="1CD62FBE">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2.本项目不涉及粉状物料，颗粒</w:t>
                  </w:r>
                  <w:r>
                    <w:rPr>
                      <w:rFonts w:hint="eastAsia" w:ascii="Times New Roman" w:hAnsi="Times New Roman" w:eastAsia="宋体" w:cs="Times New Roman"/>
                      <w:color w:val="auto"/>
                      <w:spacing w:val="-10"/>
                      <w:kern w:val="0"/>
                      <w:szCs w:val="21"/>
                      <w:highlight w:val="none"/>
                      <w:lang w:val="en-US" w:eastAsia="zh-CN"/>
                    </w:rPr>
                    <w:t>物</w:t>
                  </w:r>
                  <w:r>
                    <w:rPr>
                      <w:rFonts w:ascii="Times New Roman" w:hAnsi="Times New Roman" w:eastAsia="宋体" w:cs="Times New Roman"/>
                      <w:color w:val="auto"/>
                      <w:spacing w:val="-10"/>
                      <w:kern w:val="0"/>
                      <w:szCs w:val="21"/>
                      <w:highlight w:val="none"/>
                    </w:rPr>
                    <w:t>采用密闭输送设备输送；</w:t>
                  </w:r>
                </w:p>
                <w:p w14:paraId="00576EC7">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3.本项目不涉及液态VOCs物料；</w:t>
                  </w:r>
                </w:p>
                <w:p w14:paraId="7F7200DA">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4.废气采用集气罩</w:t>
                  </w:r>
                  <w:r>
                    <w:rPr>
                      <w:rFonts w:hint="eastAsia" w:cs="Times New Roman"/>
                      <w:color w:val="auto"/>
                      <w:spacing w:val="-10"/>
                      <w:kern w:val="0"/>
                      <w:szCs w:val="21"/>
                      <w:highlight w:val="none"/>
                      <w:lang w:val="en-US" w:eastAsia="zh-CN"/>
                    </w:rPr>
                    <w:t>并设置软帘加强收集效率，</w:t>
                  </w:r>
                  <w:r>
                    <w:rPr>
                      <w:rFonts w:ascii="Times New Roman" w:hAnsi="Times New Roman" w:eastAsia="宋体" w:cs="Times New Roman"/>
                      <w:color w:val="auto"/>
                      <w:spacing w:val="-10"/>
                      <w:kern w:val="0"/>
                      <w:szCs w:val="21"/>
                      <w:highlight w:val="none"/>
                    </w:rPr>
                    <w:t>收集后</w:t>
                  </w:r>
                  <w:r>
                    <w:rPr>
                      <w:rFonts w:hint="eastAsia" w:ascii="Times New Roman" w:hAnsi="Times New Roman" w:eastAsia="宋体" w:cs="Times New Roman"/>
                      <w:color w:val="auto"/>
                      <w:spacing w:val="-10"/>
                      <w:kern w:val="0"/>
                      <w:szCs w:val="21"/>
                      <w:highlight w:val="none"/>
                      <w:lang w:val="en-US" w:eastAsia="zh-CN"/>
                    </w:rPr>
                    <w:t>采用活性炭装置</w:t>
                  </w:r>
                  <w:r>
                    <w:rPr>
                      <w:rFonts w:hint="eastAsia" w:cs="Times New Roman"/>
                      <w:color w:val="auto"/>
                      <w:spacing w:val="-10"/>
                      <w:kern w:val="0"/>
                      <w:szCs w:val="21"/>
                      <w:highlight w:val="none"/>
                      <w:lang w:val="en-US" w:eastAsia="zh-CN"/>
                    </w:rPr>
                    <w:t>、脱附催化燃烧</w:t>
                  </w:r>
                  <w:r>
                    <w:rPr>
                      <w:rFonts w:hint="eastAsia" w:ascii="Times New Roman" w:hAnsi="Times New Roman" w:eastAsia="宋体" w:cs="Times New Roman"/>
                      <w:color w:val="auto"/>
                      <w:spacing w:val="-10"/>
                      <w:kern w:val="0"/>
                      <w:szCs w:val="21"/>
                      <w:highlight w:val="none"/>
                      <w:lang w:val="en-US" w:eastAsia="zh-CN"/>
                    </w:rPr>
                    <w:t>处理</w:t>
                  </w:r>
                  <w:r>
                    <w:rPr>
                      <w:rFonts w:ascii="Times New Roman" w:hAnsi="Times New Roman" w:eastAsia="宋体" w:cs="Times New Roman"/>
                      <w:color w:val="auto"/>
                      <w:spacing w:val="-10"/>
                      <w:kern w:val="0"/>
                      <w:szCs w:val="21"/>
                      <w:highlight w:val="none"/>
                    </w:rPr>
                    <w:t>；</w:t>
                  </w:r>
                </w:p>
                <w:p w14:paraId="7F021F36">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5.厂区道路及车间地面硬化，定期清扫，保持厂区干净；车间内无明显异味，厂区整洁有序。</w:t>
                  </w:r>
                </w:p>
              </w:tc>
              <w:tc>
                <w:tcPr>
                  <w:tcW w:w="586" w:type="pct"/>
                  <w:noWrap w:val="0"/>
                  <w:vAlign w:val="center"/>
                </w:tcPr>
                <w:p w14:paraId="78F775EC">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符合</w:t>
                  </w:r>
                </w:p>
              </w:tc>
            </w:tr>
            <w:tr w14:paraId="3BB8020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54" w:type="pct"/>
                  <w:noWrap w:val="0"/>
                  <w:vAlign w:val="center"/>
                </w:tcPr>
                <w:p w14:paraId="269171FE">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环境管理水平</w:t>
                  </w:r>
                </w:p>
              </w:tc>
              <w:tc>
                <w:tcPr>
                  <w:tcW w:w="2265" w:type="pct"/>
                  <w:noWrap w:val="0"/>
                  <w:vAlign w:val="center"/>
                </w:tcPr>
                <w:p w14:paraId="40865611">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1.环保档案：</w:t>
                  </w:r>
                  <w:r>
                    <w:rPr>
                      <w:rFonts w:hint="eastAsia" w:ascii="宋体" w:hAnsi="宋体" w:eastAsia="宋体" w:cs="宋体"/>
                      <w:color w:val="auto"/>
                      <w:spacing w:val="-10"/>
                      <w:kern w:val="0"/>
                      <w:szCs w:val="21"/>
                      <w:highlight w:val="none"/>
                    </w:rPr>
                    <w:t>①</w:t>
                  </w:r>
                  <w:r>
                    <w:rPr>
                      <w:rFonts w:ascii="Times New Roman" w:hAnsi="Times New Roman" w:eastAsia="宋体" w:cs="Times New Roman"/>
                      <w:color w:val="auto"/>
                      <w:spacing w:val="-10"/>
                      <w:kern w:val="0"/>
                      <w:szCs w:val="21"/>
                      <w:highlight w:val="none"/>
                    </w:rPr>
                    <w:t>环评批复文件和竣工环保验收文件或环境现状评估备案证明；</w:t>
                  </w:r>
                  <w:r>
                    <w:rPr>
                      <w:rFonts w:hint="eastAsia" w:ascii="宋体" w:hAnsi="宋体" w:eastAsia="宋体" w:cs="宋体"/>
                      <w:color w:val="auto"/>
                      <w:spacing w:val="-10"/>
                      <w:kern w:val="0"/>
                      <w:szCs w:val="21"/>
                      <w:highlight w:val="none"/>
                    </w:rPr>
                    <w:t>②</w:t>
                  </w:r>
                  <w:r>
                    <w:rPr>
                      <w:rFonts w:ascii="Times New Roman" w:hAnsi="Times New Roman" w:eastAsia="宋体" w:cs="Times New Roman"/>
                      <w:color w:val="auto"/>
                      <w:spacing w:val="-10"/>
                      <w:kern w:val="0"/>
                      <w:szCs w:val="21"/>
                      <w:highlight w:val="none"/>
                    </w:rPr>
                    <w:t>排污许可证及季度、年度执行报告；</w:t>
                  </w:r>
                  <w:r>
                    <w:rPr>
                      <w:rFonts w:hint="eastAsia" w:ascii="宋体" w:hAnsi="宋体" w:eastAsia="宋体" w:cs="宋体"/>
                      <w:color w:val="auto"/>
                      <w:spacing w:val="-10"/>
                      <w:kern w:val="0"/>
                      <w:szCs w:val="21"/>
                      <w:highlight w:val="none"/>
                    </w:rPr>
                    <w:t>③</w:t>
                  </w:r>
                  <w:r>
                    <w:rPr>
                      <w:rFonts w:ascii="Times New Roman" w:hAnsi="Times New Roman" w:eastAsia="宋体" w:cs="Times New Roman"/>
                      <w:color w:val="auto"/>
                      <w:spacing w:val="-10"/>
                      <w:kern w:val="0"/>
                      <w:szCs w:val="21"/>
                      <w:highlight w:val="none"/>
                    </w:rPr>
                    <w:t>环境管理制度（主要包括岗位责任制度、定期巡查维护制度、环保奖惩制度等）；</w:t>
                  </w:r>
                  <w:r>
                    <w:rPr>
                      <w:rFonts w:hint="eastAsia" w:ascii="宋体" w:hAnsi="宋体" w:eastAsia="宋体" w:cs="宋体"/>
                      <w:color w:val="auto"/>
                      <w:spacing w:val="-10"/>
                      <w:kern w:val="0"/>
                      <w:szCs w:val="21"/>
                      <w:highlight w:val="none"/>
                    </w:rPr>
                    <w:t>④</w:t>
                  </w:r>
                  <w:r>
                    <w:rPr>
                      <w:rFonts w:ascii="Times New Roman" w:hAnsi="Times New Roman" w:eastAsia="宋体" w:cs="Times New Roman"/>
                      <w:color w:val="auto"/>
                      <w:spacing w:val="-10"/>
                      <w:kern w:val="0"/>
                      <w:szCs w:val="21"/>
                      <w:highlight w:val="none"/>
                    </w:rPr>
                    <w:t>废气治理设施运行管理规程；</w:t>
                  </w:r>
                  <w:r>
                    <w:rPr>
                      <w:rFonts w:hint="eastAsia" w:ascii="宋体" w:hAnsi="宋体" w:eastAsia="宋体" w:cs="宋体"/>
                      <w:color w:val="auto"/>
                      <w:spacing w:val="-10"/>
                      <w:kern w:val="0"/>
                      <w:szCs w:val="21"/>
                      <w:highlight w:val="none"/>
                    </w:rPr>
                    <w:t>⑤</w:t>
                  </w:r>
                  <w:r>
                    <w:rPr>
                      <w:rFonts w:ascii="Times New Roman" w:hAnsi="Times New Roman" w:eastAsia="宋体" w:cs="Times New Roman"/>
                      <w:color w:val="auto"/>
                      <w:spacing w:val="-10"/>
                      <w:kern w:val="0"/>
                      <w:szCs w:val="21"/>
                      <w:highlight w:val="none"/>
                    </w:rPr>
                    <w:t>一年内废气监测报告（符合排污许可证监测项目及频次要求）。2.台账记录：（1）生产设施运行管理信息（生产时间、运行负荷、产品产量等）；（2）污染控制设备为冷凝装置，应每月记录冷凝剂液量；污染控制设备为吸附装置，应记录吸附剂种类、更换/再生周期、更换量；污染控制设备为催化燃烧装置，应记录催化燃烧剂、催化剂更换日期；其他污染控制设备，应记录保养维护事项；（3）主要原辅材料消耗记录；以上记录至少需保存一年。3.配备专职环保人员，并具备相应的环境管理能力。</w:t>
                  </w:r>
                </w:p>
              </w:tc>
              <w:tc>
                <w:tcPr>
                  <w:tcW w:w="1693" w:type="pct"/>
                  <w:noWrap w:val="0"/>
                  <w:vAlign w:val="center"/>
                </w:tcPr>
                <w:p w14:paraId="02D55F8C">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1.项目建成后企业应设有环保档案；</w:t>
                  </w:r>
                </w:p>
                <w:p w14:paraId="48A55C26">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2.项目建成后企业应设有生产</w:t>
                  </w:r>
                  <w:r>
                    <w:rPr>
                      <w:rFonts w:hint="eastAsia" w:cs="Times New Roman"/>
                      <w:color w:val="auto"/>
                      <w:spacing w:val="-10"/>
                      <w:kern w:val="0"/>
                      <w:szCs w:val="21"/>
                      <w:highlight w:val="none"/>
                      <w:lang w:eastAsia="zh-CN"/>
                    </w:rPr>
                    <w:t>台账记录</w:t>
                  </w:r>
                  <w:r>
                    <w:rPr>
                      <w:rFonts w:ascii="Times New Roman" w:hAnsi="Times New Roman" w:eastAsia="宋体" w:cs="Times New Roman"/>
                      <w:color w:val="auto"/>
                      <w:spacing w:val="-10"/>
                      <w:kern w:val="0"/>
                      <w:szCs w:val="21"/>
                      <w:highlight w:val="none"/>
                    </w:rPr>
                    <w:t>；</w:t>
                  </w:r>
                </w:p>
                <w:p w14:paraId="51670608">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3.厂内配备专职的环保人员，并具有相应的环境管理能力；要求设有活性炭更换</w:t>
                  </w:r>
                  <w:r>
                    <w:rPr>
                      <w:rFonts w:hint="eastAsia" w:cs="Times New Roman"/>
                      <w:color w:val="auto"/>
                      <w:spacing w:val="-10"/>
                      <w:kern w:val="0"/>
                      <w:szCs w:val="21"/>
                      <w:highlight w:val="none"/>
                      <w:lang w:eastAsia="zh-CN"/>
                    </w:rPr>
                    <w:t>台账</w:t>
                  </w:r>
                  <w:r>
                    <w:rPr>
                      <w:rFonts w:ascii="Times New Roman" w:hAnsi="Times New Roman" w:eastAsia="宋体" w:cs="Times New Roman"/>
                      <w:color w:val="auto"/>
                      <w:spacing w:val="-10"/>
                      <w:kern w:val="0"/>
                      <w:szCs w:val="21"/>
                      <w:highlight w:val="none"/>
                    </w:rPr>
                    <w:t>，并明确更换日期、更换量；环保设备设有维护保养</w:t>
                  </w:r>
                  <w:r>
                    <w:rPr>
                      <w:rFonts w:hint="eastAsia" w:cs="Times New Roman"/>
                      <w:color w:val="auto"/>
                      <w:spacing w:val="-10"/>
                      <w:kern w:val="0"/>
                      <w:szCs w:val="21"/>
                      <w:highlight w:val="none"/>
                      <w:lang w:eastAsia="zh-CN"/>
                    </w:rPr>
                    <w:t>台账</w:t>
                  </w:r>
                </w:p>
              </w:tc>
              <w:tc>
                <w:tcPr>
                  <w:tcW w:w="586" w:type="pct"/>
                  <w:noWrap w:val="0"/>
                  <w:vAlign w:val="center"/>
                </w:tcPr>
                <w:p w14:paraId="2526E02E">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符合</w:t>
                  </w:r>
                </w:p>
              </w:tc>
            </w:tr>
            <w:tr w14:paraId="40B0C9B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54" w:type="pct"/>
                  <w:noWrap w:val="0"/>
                  <w:vAlign w:val="center"/>
                </w:tcPr>
                <w:p w14:paraId="206E5228">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运输方式</w:t>
                  </w:r>
                </w:p>
              </w:tc>
              <w:tc>
                <w:tcPr>
                  <w:tcW w:w="2265" w:type="pct"/>
                  <w:noWrap w:val="0"/>
                  <w:vAlign w:val="center"/>
                </w:tcPr>
                <w:p w14:paraId="34FE8442">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1.物料、产品全部使用国五及以上重型载货车辆或者其他清洁的运输方式；2.厂内3吨以下非道路移动机械全部使用纯电动，其他非道路移动机械达到国三及以上标准或使用新能源机械。</w:t>
                  </w:r>
                </w:p>
              </w:tc>
              <w:tc>
                <w:tcPr>
                  <w:tcW w:w="1693" w:type="pct"/>
                  <w:noWrap w:val="0"/>
                  <w:vAlign w:val="center"/>
                </w:tcPr>
                <w:p w14:paraId="039F8564">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企业要求原料进厂车为国五的；厂内非道路移动机械现为国三以上标准</w:t>
                  </w:r>
                </w:p>
              </w:tc>
              <w:tc>
                <w:tcPr>
                  <w:tcW w:w="586" w:type="pct"/>
                  <w:noWrap w:val="0"/>
                  <w:vAlign w:val="center"/>
                </w:tcPr>
                <w:p w14:paraId="0983D080">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符合</w:t>
                  </w:r>
                </w:p>
              </w:tc>
            </w:tr>
            <w:tr w14:paraId="56E447A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54" w:type="pct"/>
                  <w:noWrap w:val="0"/>
                  <w:vAlign w:val="center"/>
                </w:tcPr>
                <w:p w14:paraId="5E1F0D93">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运输监管</w:t>
                  </w:r>
                </w:p>
              </w:tc>
              <w:tc>
                <w:tcPr>
                  <w:tcW w:w="2265" w:type="pct"/>
                  <w:noWrap w:val="0"/>
                  <w:vAlign w:val="center"/>
                </w:tcPr>
                <w:p w14:paraId="60A660B3">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参照《重污染天气重点行业移动源应急管理技术指南》建立门禁视频监控系统和电子台账</w:t>
                  </w:r>
                </w:p>
              </w:tc>
              <w:tc>
                <w:tcPr>
                  <w:tcW w:w="1693" w:type="pct"/>
                  <w:noWrap w:val="0"/>
                  <w:vAlign w:val="center"/>
                </w:tcPr>
                <w:p w14:paraId="5E55036E">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企业应建立运输管理电子台账</w:t>
                  </w:r>
                </w:p>
              </w:tc>
              <w:tc>
                <w:tcPr>
                  <w:tcW w:w="586" w:type="pct"/>
                  <w:noWrap w:val="0"/>
                  <w:vAlign w:val="center"/>
                </w:tcPr>
                <w:p w14:paraId="09525AB7">
                  <w:pPr>
                    <w:keepNext w:val="0"/>
                    <w:keepLines w:val="0"/>
                    <w:pageBreakBefore w:val="0"/>
                    <w:widowControl w:val="0"/>
                    <w:kinsoku/>
                    <w:wordWrap/>
                    <w:overflowPunct/>
                    <w:topLinePunct w:val="0"/>
                    <w:autoSpaceDE w:val="0"/>
                    <w:autoSpaceDN w:val="0"/>
                    <w:bidi w:val="0"/>
                    <w:adjustRightInd w:val="0"/>
                    <w:snapToGrid/>
                    <w:spacing w:line="240" w:lineRule="auto"/>
                    <w:ind w:left="-42" w:leftChars="-20" w:right="-42" w:rightChars="-20"/>
                    <w:jc w:val="center"/>
                    <w:textAlignment w:val="auto"/>
                    <w:rPr>
                      <w:rFonts w:ascii="Times New Roman" w:hAnsi="Times New Roman" w:eastAsia="宋体" w:cs="Times New Roman"/>
                      <w:color w:val="auto"/>
                      <w:spacing w:val="-10"/>
                      <w:kern w:val="0"/>
                      <w:szCs w:val="21"/>
                      <w:highlight w:val="none"/>
                    </w:rPr>
                  </w:pPr>
                  <w:r>
                    <w:rPr>
                      <w:rFonts w:ascii="Times New Roman" w:hAnsi="Times New Roman" w:eastAsia="宋体" w:cs="Times New Roman"/>
                      <w:color w:val="auto"/>
                      <w:spacing w:val="-10"/>
                      <w:kern w:val="0"/>
                      <w:szCs w:val="21"/>
                      <w:highlight w:val="none"/>
                    </w:rPr>
                    <w:t>符合</w:t>
                  </w:r>
                </w:p>
              </w:tc>
            </w:tr>
          </w:tbl>
          <w:p w14:paraId="040EFF9A">
            <w:pPr>
              <w:pStyle w:val="109"/>
              <w:keepLines w:val="0"/>
              <w:pageBreakBefore w:val="0"/>
              <w:widowControl w:val="0"/>
              <w:kinsoku/>
              <w:wordWrap/>
              <w:overflowPunct/>
              <w:topLinePunct w:val="0"/>
              <w:bidi w:val="0"/>
              <w:spacing w:before="48"/>
              <w:ind w:firstLine="480"/>
              <w:textAlignment w:val="auto"/>
              <w:rPr>
                <w:rFonts w:hint="eastAsia" w:ascii="Times New Roman" w:hAnsi="Times New Roman" w:eastAsia="宋体" w:cs="Times New Roman"/>
                <w:color w:val="auto"/>
                <w:kern w:val="2"/>
                <w:sz w:val="24"/>
                <w:szCs w:val="24"/>
                <w:highlight w:val="none"/>
              </w:rPr>
            </w:pPr>
            <w:r>
              <w:rPr>
                <w:rFonts w:hint="eastAsia" w:cs="Times New Roman"/>
                <w:color w:val="auto"/>
                <w:kern w:val="2"/>
                <w:sz w:val="24"/>
                <w:szCs w:val="24"/>
                <w:highlight w:val="none"/>
                <w:lang w:val="en-US" w:eastAsia="zh-CN"/>
              </w:rPr>
              <w:t>2.</w:t>
            </w:r>
            <w:r>
              <w:rPr>
                <w:rFonts w:hint="eastAsia" w:ascii="Times New Roman" w:hAnsi="Times New Roman" w:eastAsia="宋体" w:cs="Times New Roman"/>
                <w:color w:val="auto"/>
                <w:kern w:val="2"/>
                <w:sz w:val="24"/>
                <w:szCs w:val="24"/>
                <w:highlight w:val="none"/>
              </w:rPr>
              <w:t>项目选址符合性分析</w:t>
            </w:r>
          </w:p>
          <w:p w14:paraId="66568246">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firstLine="480"/>
              <w:textAlignment w:val="auto"/>
              <w:rPr>
                <w:rFonts w:hint="eastAsia" w:cs="Times New Roman"/>
                <w:bCs w:val="0"/>
                <w:color w:val="auto"/>
                <w:sz w:val="24"/>
                <w:szCs w:val="24"/>
                <w:highlight w:val="none"/>
                <w:lang w:val="en-US" w:eastAsia="zh-CN"/>
              </w:rPr>
            </w:pPr>
            <w:r>
              <w:rPr>
                <w:rFonts w:hint="eastAsia" w:cs="Times New Roman"/>
                <w:bCs w:val="0"/>
                <w:color w:val="auto"/>
                <w:sz w:val="24"/>
                <w:szCs w:val="24"/>
                <w:highlight w:val="none"/>
                <w:lang w:val="en-US" w:eastAsia="zh-CN"/>
              </w:rPr>
              <w:t>石家庄迎宏塑料制品有限公司年产量2万套塑料坐具、20000立方米泡沫板及包装项目</w:t>
            </w:r>
            <w:r>
              <w:rPr>
                <w:rFonts w:hint="eastAsia" w:ascii="Times New Roman" w:hAnsi="Times New Roman" w:eastAsia="宋体" w:cs="Times New Roman"/>
                <w:bCs w:val="0"/>
                <w:color w:val="auto"/>
                <w:sz w:val="24"/>
                <w:szCs w:val="24"/>
                <w:highlight w:val="none"/>
              </w:rPr>
              <w:t>位于</w:t>
            </w:r>
            <w:r>
              <w:rPr>
                <w:rFonts w:hint="eastAsia" w:cs="Times New Roman"/>
                <w:bCs w:val="0"/>
                <w:color w:val="auto"/>
                <w:sz w:val="24"/>
                <w:szCs w:val="24"/>
                <w:highlight w:val="none"/>
                <w:lang w:eastAsia="zh-CN"/>
              </w:rPr>
              <w:t>河北省石家庄市</w:t>
            </w:r>
            <w:r>
              <w:rPr>
                <w:rFonts w:hint="eastAsia" w:cs="Times New Roman"/>
                <w:color w:val="auto"/>
                <w:sz w:val="24"/>
                <w:highlight w:val="none"/>
                <w:lang w:val="en-US" w:eastAsia="zh-CN"/>
              </w:rPr>
              <w:t>行唐县经济开发区科技大街东段（隆泰家具2号车间）</w:t>
            </w:r>
            <w:r>
              <w:rPr>
                <w:rFonts w:hint="eastAsia" w:cs="Times New Roman"/>
                <w:bCs w:val="0"/>
                <w:color w:val="auto"/>
                <w:kern w:val="2"/>
                <w:sz w:val="24"/>
                <w:szCs w:val="24"/>
                <w:highlight w:val="none"/>
                <w:lang w:eastAsia="zh-CN"/>
              </w:rPr>
              <w:t>，</w:t>
            </w:r>
            <w:r>
              <w:rPr>
                <w:rFonts w:hint="eastAsia"/>
                <w:color w:val="auto"/>
                <w:sz w:val="24"/>
                <w:szCs w:val="24"/>
                <w:highlight w:val="none"/>
                <w:lang w:val="en-US" w:eastAsia="zh-CN"/>
              </w:rPr>
              <w:t>北侧隔空地为河北净浩再生资源回收有限公司，西侧为河北顺昌装饰材料有限公司</w:t>
            </w:r>
            <w:r>
              <w:rPr>
                <w:rFonts w:hint="default"/>
                <w:color w:val="auto"/>
                <w:sz w:val="24"/>
                <w:szCs w:val="24"/>
                <w:highlight w:val="none"/>
                <w:lang w:val="en-US" w:eastAsia="zh-CN"/>
              </w:rPr>
              <w:t>；</w:t>
            </w:r>
            <w:r>
              <w:rPr>
                <w:rFonts w:hint="eastAsia"/>
                <w:color w:val="auto"/>
                <w:sz w:val="24"/>
                <w:szCs w:val="24"/>
                <w:highlight w:val="none"/>
                <w:lang w:val="en-US" w:eastAsia="zh-CN"/>
              </w:rPr>
              <w:t>东侧隔</w:t>
            </w:r>
            <w:r>
              <w:rPr>
                <w:rFonts w:hint="eastAsia"/>
                <w:bCs/>
                <w:color w:val="auto"/>
                <w:kern w:val="0"/>
                <w:sz w:val="24"/>
                <w:highlight w:val="none"/>
                <w:lang w:val="en-US" w:eastAsia="zh-CN"/>
              </w:rPr>
              <w:t>隆泰家具车间为石家庄玉晶玻璃有限公司-北区</w:t>
            </w:r>
            <w:r>
              <w:rPr>
                <w:rFonts w:hint="eastAsia"/>
                <w:color w:val="auto"/>
                <w:sz w:val="24"/>
                <w:szCs w:val="24"/>
                <w:highlight w:val="none"/>
                <w:lang w:val="en-US" w:eastAsia="zh-CN"/>
              </w:rPr>
              <w:t>和河北圣国家具制造有限公司</w:t>
            </w:r>
            <w:r>
              <w:rPr>
                <w:rFonts w:hint="eastAsia" w:ascii="Times New Roman" w:hAnsi="Times New Roman" w:eastAsia="宋体" w:cs="Times New Roman"/>
                <w:color w:val="auto"/>
                <w:sz w:val="24"/>
                <w:szCs w:val="24"/>
                <w:highlight w:val="none"/>
                <w:lang w:eastAsia="zh-CN"/>
              </w:rPr>
              <w:t>。</w:t>
            </w:r>
            <w:r>
              <w:rPr>
                <w:rFonts w:hint="eastAsia" w:ascii="Times New Roman" w:hAnsi="Times New Roman" w:eastAsia="宋体" w:cs="Times New Roman"/>
                <w:color w:val="auto"/>
                <w:sz w:val="24"/>
                <w:szCs w:val="24"/>
                <w:highlight w:val="none"/>
                <w:lang w:val="en-US" w:eastAsia="zh-CN"/>
              </w:rPr>
              <w:t>依据“</w:t>
            </w:r>
            <w:r>
              <w:rPr>
                <w:rFonts w:hint="eastAsia" w:ascii="Times New Roman" w:hAnsi="Times New Roman" w:eastAsia="宋体" w:cs="Times New Roman"/>
                <w:bCs w:val="0"/>
                <w:color w:val="auto"/>
                <w:sz w:val="24"/>
                <w:szCs w:val="24"/>
                <w:highlight w:val="none"/>
                <w:lang w:val="en-US" w:eastAsia="zh-CN"/>
              </w:rPr>
              <w:t>河北行唐经济开发区控制性详细规划南区用地布局规划图</w:t>
            </w:r>
            <w:r>
              <w:rPr>
                <w:rFonts w:hint="eastAsia" w:ascii="Times New Roman" w:hAnsi="Times New Roman" w:eastAsia="宋体" w:cs="Times New Roman"/>
                <w:color w:val="auto"/>
                <w:sz w:val="24"/>
                <w:szCs w:val="24"/>
                <w:highlight w:val="none"/>
                <w:lang w:val="en-US" w:eastAsia="zh-CN"/>
              </w:rPr>
              <w:t>”</w:t>
            </w:r>
            <w:r>
              <w:rPr>
                <w:rFonts w:hint="eastAsia" w:ascii="Times New Roman" w:hAnsi="Times New Roman" w:eastAsia="宋体" w:cs="Times New Roman"/>
                <w:bCs w:val="0"/>
                <w:color w:val="auto"/>
                <w:sz w:val="24"/>
                <w:szCs w:val="24"/>
                <w:highlight w:val="none"/>
                <w:lang w:val="en-US" w:eastAsia="zh-CN"/>
              </w:rPr>
              <w:t>占地类型为二类工业用地</w:t>
            </w:r>
            <w:r>
              <w:rPr>
                <w:rFonts w:hint="eastAsia" w:cs="Times New Roman"/>
                <w:bCs w:val="0"/>
                <w:color w:val="auto"/>
                <w:sz w:val="24"/>
                <w:szCs w:val="24"/>
                <w:highlight w:val="none"/>
                <w:lang w:val="en-US" w:eastAsia="zh-CN"/>
              </w:rPr>
              <w:t>。</w:t>
            </w:r>
          </w:p>
          <w:p w14:paraId="56728AB2">
            <w:pPr>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hint="eastAsia"/>
                <w:bCs/>
                <w:color w:val="auto"/>
                <w:kern w:val="0"/>
                <w:sz w:val="24"/>
                <w:highlight w:val="none"/>
                <w:lang w:val="en-US" w:eastAsia="zh-CN"/>
              </w:rPr>
            </w:pPr>
            <w:r>
              <w:rPr>
                <w:rFonts w:hint="eastAsia"/>
                <w:bCs/>
                <w:color w:val="auto"/>
                <w:kern w:val="0"/>
                <w:sz w:val="24"/>
                <w:highlight w:val="none"/>
                <w:lang w:val="en-US" w:eastAsia="zh-CN"/>
              </w:rPr>
              <w:t>项目位于家具制造产业园内。项目</w:t>
            </w:r>
            <w:r>
              <w:rPr>
                <w:rFonts w:hint="eastAsia" w:cs="Times New Roman"/>
                <w:color w:val="auto"/>
                <w:sz w:val="24"/>
                <w:szCs w:val="24"/>
                <w:highlight w:val="none"/>
                <w:lang w:eastAsia="zh-CN"/>
              </w:rPr>
              <w:t>年产量2万套塑料坐具</w:t>
            </w:r>
            <w:r>
              <w:rPr>
                <w:rFonts w:hint="eastAsia" w:cs="Times New Roman"/>
                <w:color w:val="auto"/>
                <w:sz w:val="24"/>
                <w:szCs w:val="24"/>
                <w:highlight w:val="none"/>
                <w:lang w:val="en-US" w:eastAsia="zh-CN"/>
              </w:rPr>
              <w:t>属于家具制造C214塑料家具制造，</w:t>
            </w:r>
            <w:r>
              <w:rPr>
                <w:rFonts w:hint="eastAsia"/>
                <w:bCs/>
                <w:color w:val="auto"/>
                <w:kern w:val="0"/>
                <w:sz w:val="24"/>
                <w:highlight w:val="none"/>
                <w:lang w:val="en-US" w:eastAsia="zh-CN"/>
              </w:rPr>
              <w:t>符合园区产业规划，河北行唐经济开发区管理委员会已出具关于年产量2万套塑料坐具、20000立方米泡沫板及包装项目</w:t>
            </w:r>
            <w:r>
              <w:rPr>
                <w:rFonts w:hint="eastAsia"/>
                <w:bCs/>
                <w:color w:val="auto"/>
                <w:kern w:val="0"/>
                <w:sz w:val="24"/>
                <w:highlight w:val="none"/>
              </w:rPr>
              <w:t>的</w:t>
            </w:r>
            <w:r>
              <w:rPr>
                <w:rFonts w:hint="eastAsia"/>
                <w:bCs/>
                <w:color w:val="auto"/>
                <w:kern w:val="0"/>
                <w:sz w:val="24"/>
                <w:highlight w:val="none"/>
                <w:lang w:eastAsia="zh-CN"/>
              </w:rPr>
              <w:t>入园证明</w:t>
            </w:r>
            <w:r>
              <w:rPr>
                <w:rFonts w:hint="eastAsia"/>
                <w:bCs/>
                <w:color w:val="auto"/>
                <w:kern w:val="0"/>
                <w:sz w:val="24"/>
                <w:highlight w:val="none"/>
              </w:rPr>
              <w:t>，</w:t>
            </w:r>
            <w:r>
              <w:rPr>
                <w:rFonts w:hint="eastAsia"/>
                <w:bCs/>
                <w:color w:val="auto"/>
                <w:kern w:val="0"/>
                <w:sz w:val="24"/>
                <w:highlight w:val="none"/>
                <w:lang w:val="en-US" w:eastAsia="zh-CN"/>
              </w:rPr>
              <w:t>证明本项目符合河北行唐经济开发区用地规划和产业定位规划（详见附件）。</w:t>
            </w:r>
          </w:p>
          <w:p w14:paraId="155BD081">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firstLine="480"/>
              <w:textAlignment w:val="auto"/>
              <w:rPr>
                <w:rFonts w:hint="eastAsia" w:ascii="Times New Roman" w:hAnsi="Times New Roman" w:eastAsia="宋体" w:cs="Times New Roman"/>
                <w:bCs w:val="0"/>
                <w:color w:val="auto"/>
                <w:sz w:val="24"/>
                <w:szCs w:val="24"/>
                <w:highlight w:val="none"/>
              </w:rPr>
            </w:pPr>
            <w:r>
              <w:rPr>
                <w:rFonts w:hint="eastAsia" w:ascii="Times New Roman" w:hAnsi="Times New Roman" w:eastAsia="宋体" w:cs="Times New Roman"/>
                <w:bCs w:val="0"/>
                <w:color w:val="auto"/>
                <w:sz w:val="24"/>
                <w:szCs w:val="24"/>
                <w:highlight w:val="none"/>
              </w:rPr>
              <w:t>综合上述，项目选址合理。</w:t>
            </w:r>
          </w:p>
          <w:p w14:paraId="207DDB9A">
            <w:pPr>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hint="default" w:ascii="Times New Roman" w:hAnsi="Times New Roman" w:eastAsia="宋体" w:cs="Times New Roman"/>
                <w:bCs/>
                <w:color w:val="auto"/>
                <w:kern w:val="0"/>
                <w:sz w:val="24"/>
                <w:szCs w:val="21"/>
                <w:highlight w:val="none"/>
                <w:lang w:val="en-US" w:eastAsia="zh-CN" w:bidi="ar-SA"/>
              </w:rPr>
            </w:pPr>
            <w:r>
              <w:rPr>
                <w:rFonts w:hint="eastAsia" w:ascii="Times New Roman" w:hAnsi="Times New Roman" w:eastAsia="宋体" w:cs="Times New Roman"/>
                <w:bCs/>
                <w:color w:val="auto"/>
                <w:kern w:val="0"/>
                <w:sz w:val="24"/>
                <w:szCs w:val="21"/>
                <w:highlight w:val="none"/>
                <w:lang w:val="en-US" w:eastAsia="zh-CN" w:bidi="ar-SA"/>
              </w:rPr>
              <w:t>三、项目与</w:t>
            </w:r>
            <w:r>
              <w:rPr>
                <w:rFonts w:hint="default" w:ascii="Times New Roman" w:hAnsi="Times New Roman" w:eastAsia="宋体" w:cs="Times New Roman"/>
                <w:bCs/>
                <w:color w:val="auto"/>
                <w:kern w:val="0"/>
                <w:sz w:val="24"/>
                <w:szCs w:val="21"/>
                <w:highlight w:val="none"/>
                <w:lang w:val="en-US" w:eastAsia="zh-CN" w:bidi="ar-SA"/>
              </w:rPr>
              <w:t>《河北省生态环境厅办公室关于进一步做好沙区建设项目环境影响评价工作的通知》（冀环办字函</w:t>
            </w:r>
            <w:r>
              <w:rPr>
                <w:rFonts w:hint="eastAsia" w:cs="Times New Roman"/>
                <w:bCs/>
                <w:color w:val="auto"/>
                <w:kern w:val="0"/>
                <w:sz w:val="24"/>
                <w:szCs w:val="21"/>
                <w:highlight w:val="none"/>
                <w:lang w:val="en-US" w:eastAsia="zh-CN" w:bidi="ar-SA"/>
              </w:rPr>
              <w:t>〔2023〕326号</w:t>
            </w:r>
            <w:r>
              <w:rPr>
                <w:rFonts w:hint="default" w:ascii="Times New Roman" w:hAnsi="Times New Roman" w:eastAsia="宋体" w:cs="Times New Roman"/>
                <w:bCs/>
                <w:color w:val="auto"/>
                <w:kern w:val="0"/>
                <w:sz w:val="24"/>
                <w:szCs w:val="21"/>
                <w:highlight w:val="none"/>
                <w:lang w:val="en-US" w:eastAsia="zh-CN" w:bidi="ar-SA"/>
              </w:rPr>
              <w:t>）符合性分析</w:t>
            </w:r>
          </w:p>
          <w:p w14:paraId="71A3F012">
            <w:pPr>
              <w:pStyle w:val="43"/>
              <w:keepLines w:val="0"/>
              <w:pageBreakBefore w:val="0"/>
              <w:widowControl w:val="0"/>
              <w:kinsoku/>
              <w:wordWrap/>
              <w:overflowPunct/>
              <w:topLinePunct w:val="0"/>
              <w:bidi w:val="0"/>
              <w:spacing w:line="360" w:lineRule="auto"/>
              <w:ind w:firstLine="480" w:firstLineChars="200"/>
              <w:textAlignment w:val="auto"/>
              <w:rPr>
                <w:rFonts w:hint="default"/>
                <w:color w:val="auto"/>
                <w:highlight w:val="none"/>
                <w:lang w:val="en-US" w:eastAsia="zh-CN"/>
              </w:rPr>
            </w:pPr>
            <w:r>
              <w:rPr>
                <w:rFonts w:hint="eastAsia" w:ascii="Times New Roman" w:hAnsi="Times New Roman" w:eastAsia="宋体" w:cs="Times New Roman"/>
                <w:bCs/>
                <w:color w:val="auto"/>
                <w:kern w:val="0"/>
                <w:sz w:val="24"/>
                <w:szCs w:val="21"/>
                <w:highlight w:val="none"/>
                <w:lang w:val="en-US" w:eastAsia="zh-CN" w:bidi="ar-SA"/>
              </w:rPr>
              <w:t>经查，</w:t>
            </w:r>
            <w:r>
              <w:rPr>
                <w:rFonts w:hint="default" w:ascii="Times New Roman" w:hAnsi="Times New Roman" w:eastAsia="宋体" w:cs="Times New Roman"/>
                <w:bCs/>
                <w:color w:val="auto"/>
                <w:kern w:val="0"/>
                <w:sz w:val="24"/>
                <w:szCs w:val="21"/>
                <w:highlight w:val="none"/>
                <w:lang w:val="en-US" w:eastAsia="zh-CN" w:bidi="ar-SA"/>
              </w:rPr>
              <w:t>本项目</w:t>
            </w:r>
            <w:r>
              <w:rPr>
                <w:rFonts w:hint="eastAsia" w:ascii="Times New Roman" w:hAnsi="Times New Roman" w:cs="Times New Roman"/>
                <w:bCs/>
                <w:color w:val="auto"/>
                <w:kern w:val="0"/>
                <w:sz w:val="24"/>
                <w:szCs w:val="21"/>
                <w:highlight w:val="none"/>
                <w:lang w:val="en-US" w:eastAsia="zh-CN" w:bidi="ar-SA"/>
              </w:rPr>
              <w:t>不属于</w:t>
            </w:r>
            <w:r>
              <w:rPr>
                <w:rFonts w:hint="default" w:ascii="Times New Roman" w:hAnsi="Times New Roman" w:eastAsia="宋体" w:cs="Times New Roman"/>
                <w:bCs/>
                <w:color w:val="auto"/>
                <w:kern w:val="0"/>
                <w:sz w:val="24"/>
                <w:szCs w:val="21"/>
                <w:highlight w:val="none"/>
                <w:lang w:val="en-US" w:eastAsia="zh-CN" w:bidi="ar-SA"/>
              </w:rPr>
              <w:t>《河北省生态环境厅办公室关于进一步做好沙区建设项目环境影响评价工作的通知》（冀环办字函</w:t>
            </w:r>
            <w:r>
              <w:rPr>
                <w:rFonts w:hint="eastAsia" w:ascii="Times New Roman" w:hAnsi="Times New Roman" w:cs="Times New Roman"/>
                <w:bCs/>
                <w:color w:val="auto"/>
                <w:kern w:val="0"/>
                <w:sz w:val="24"/>
                <w:szCs w:val="21"/>
                <w:highlight w:val="none"/>
                <w:lang w:val="en-US" w:eastAsia="zh-CN" w:bidi="ar-SA"/>
              </w:rPr>
              <w:t>〔2023〕326号</w:t>
            </w:r>
            <w:r>
              <w:rPr>
                <w:rFonts w:hint="default" w:ascii="Times New Roman" w:hAnsi="Times New Roman" w:eastAsia="宋体" w:cs="Times New Roman"/>
                <w:bCs/>
                <w:color w:val="auto"/>
                <w:kern w:val="0"/>
                <w:sz w:val="24"/>
                <w:szCs w:val="21"/>
                <w:highlight w:val="none"/>
                <w:lang w:val="en-US" w:eastAsia="zh-CN" w:bidi="ar-SA"/>
              </w:rPr>
              <w:t>）</w:t>
            </w:r>
            <w:r>
              <w:rPr>
                <w:rFonts w:hint="eastAsia" w:ascii="Times New Roman" w:hAnsi="Times New Roman" w:eastAsia="宋体" w:cs="Times New Roman"/>
                <w:bCs/>
                <w:color w:val="auto"/>
                <w:kern w:val="0"/>
                <w:sz w:val="24"/>
                <w:szCs w:val="21"/>
                <w:highlight w:val="none"/>
                <w:lang w:val="en-US" w:eastAsia="zh-CN" w:bidi="ar-SA"/>
              </w:rPr>
              <w:t>划定的沙区内，详见</w:t>
            </w:r>
            <w:r>
              <w:rPr>
                <w:rFonts w:hint="default" w:ascii="Times New Roman" w:hAnsi="Times New Roman" w:eastAsia="宋体" w:cs="Times New Roman"/>
                <w:bCs/>
                <w:color w:val="auto"/>
                <w:kern w:val="0"/>
                <w:sz w:val="24"/>
                <w:szCs w:val="21"/>
                <w:highlight w:val="none"/>
                <w:lang w:val="en-US" w:eastAsia="zh-CN" w:bidi="ar-SA"/>
              </w:rPr>
              <w:t>附图</w:t>
            </w:r>
            <w:r>
              <w:rPr>
                <w:rFonts w:hint="eastAsia" w:ascii="Times New Roman" w:hAnsi="Times New Roman" w:cs="Times New Roman"/>
                <w:color w:val="auto"/>
                <w:lang w:val="en-US" w:eastAsia="zh-CN"/>
              </w:rPr>
              <w:t>7</w:t>
            </w:r>
            <w:r>
              <w:rPr>
                <w:rFonts w:hint="eastAsia" w:ascii="Times New Roman" w:hAnsi="Times New Roman" w:eastAsia="宋体" w:cs="Times New Roman"/>
                <w:bCs/>
                <w:color w:val="auto"/>
                <w:kern w:val="0"/>
                <w:sz w:val="24"/>
                <w:szCs w:val="21"/>
                <w:highlight w:val="none"/>
                <w:lang w:val="en-US" w:eastAsia="zh-CN" w:bidi="ar-SA"/>
              </w:rPr>
              <w:t>。</w:t>
            </w:r>
          </w:p>
          <w:p w14:paraId="66273088">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firstLine="480"/>
              <w:textAlignment w:val="auto"/>
              <w:rPr>
                <w:rFonts w:hint="eastAsia" w:ascii="Times New Roman" w:hAnsi="Times New Roman" w:eastAsia="宋体" w:cs="Times New Roman"/>
                <w:bCs w:val="0"/>
                <w:color w:val="auto"/>
                <w:sz w:val="24"/>
                <w:szCs w:val="24"/>
                <w:highlight w:val="none"/>
              </w:rPr>
            </w:pPr>
            <w:r>
              <w:rPr>
                <w:rFonts w:hint="eastAsia" w:ascii="Times New Roman" w:hAnsi="Times New Roman" w:eastAsia="宋体" w:cs="Times New Roman"/>
                <w:b w:val="0"/>
                <w:bCs w:val="0"/>
                <w:color w:val="auto"/>
                <w:kern w:val="0"/>
                <w:sz w:val="24"/>
                <w:szCs w:val="24"/>
                <w:highlight w:val="none"/>
                <w:lang w:val="en-US" w:eastAsia="zh-CN" w:bidi="ar-SA"/>
              </w:rPr>
              <w:t>项目利用现有车间为主要生产区，并新增建构筑物面积约</w:t>
            </w:r>
            <w:r>
              <w:rPr>
                <w:rFonts w:hint="eastAsia" w:cs="Times New Roman"/>
                <w:b w:val="0"/>
                <w:bCs w:val="0"/>
                <w:color w:val="auto"/>
                <w:kern w:val="0"/>
                <w:sz w:val="24"/>
                <w:szCs w:val="24"/>
                <w:highlight w:val="none"/>
                <w:lang w:val="en-US" w:eastAsia="zh-CN" w:bidi="ar-SA"/>
              </w:rPr>
              <w:t>53</w:t>
            </w:r>
            <w:r>
              <w:rPr>
                <w:rFonts w:hint="default" w:ascii="Times New Roman" w:hAnsi="Times New Roman" w:eastAsia="宋体" w:cs="Times New Roman"/>
                <w:b w:val="0"/>
                <w:bCs w:val="0"/>
                <w:color w:val="auto"/>
                <w:kern w:val="0"/>
                <w:sz w:val="24"/>
                <w:szCs w:val="24"/>
                <w:highlight w:val="none"/>
                <w:lang w:val="en-US" w:eastAsia="zh-CN" w:bidi="ar-SA"/>
              </w:rPr>
              <w:t>m</w:t>
            </w:r>
            <w:r>
              <w:rPr>
                <w:rFonts w:hint="default" w:ascii="Times New Roman" w:hAnsi="Times New Roman" w:eastAsia="宋体" w:cs="Times New Roman"/>
                <w:b w:val="0"/>
                <w:bCs w:val="0"/>
                <w:color w:val="auto"/>
                <w:kern w:val="0"/>
                <w:sz w:val="24"/>
                <w:szCs w:val="24"/>
                <w:highlight w:val="none"/>
                <w:vertAlign w:val="superscript"/>
                <w:lang w:val="en-US" w:eastAsia="zh-CN" w:bidi="ar-SA"/>
              </w:rPr>
              <w:t>2</w:t>
            </w:r>
            <w:r>
              <w:rPr>
                <w:rFonts w:hint="eastAsia" w:ascii="Times New Roman" w:hAnsi="Times New Roman" w:eastAsia="宋体" w:cs="Times New Roman"/>
                <w:b w:val="0"/>
                <w:bCs w:val="0"/>
                <w:color w:val="auto"/>
                <w:kern w:val="0"/>
                <w:sz w:val="24"/>
                <w:szCs w:val="24"/>
                <w:highlight w:val="none"/>
                <w:lang w:val="en-US" w:eastAsia="zh-CN" w:bidi="ar-SA"/>
              </w:rPr>
              <w:t>的辅助用房。项目仅为设备的安装和车间外危废间、循环水池、原料库房等辅助用房的建设。辅助用房采用彩钢结构，不涉及大规模的土建工程。</w:t>
            </w:r>
          </w:p>
          <w:p w14:paraId="1E0D1250">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firstLine="480"/>
              <w:textAlignment w:val="auto"/>
              <w:rPr>
                <w:rFonts w:hint="eastAsia" w:ascii="Times New Roman" w:hAnsi="Times New Roman" w:eastAsia="宋体" w:cs="Times New Roman"/>
                <w:bCs w:val="0"/>
                <w:color w:val="auto"/>
                <w:sz w:val="24"/>
                <w:szCs w:val="24"/>
                <w:highlight w:val="none"/>
              </w:rPr>
            </w:pPr>
          </w:p>
          <w:p w14:paraId="0D7C471F">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557C33B8">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532085D0">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4C45F20D">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05485473">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47EF2C04">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365679CD">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0CEC145A">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3EC0636F">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068835C2">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6F31CF04">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24FF714F">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753FA462">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53E923DF">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0EA66149">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02992CFD">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488510EA">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062DB2B2">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277C83EF">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701DC597">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233160ED">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708D8C18">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p w14:paraId="7F1B4442">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left="0" w:leftChars="0" w:firstLine="0" w:firstLineChars="0"/>
              <w:textAlignment w:val="auto"/>
              <w:rPr>
                <w:rFonts w:hint="eastAsia" w:ascii="Times New Roman" w:hAnsi="Times New Roman" w:eastAsia="宋体" w:cs="Times New Roman"/>
                <w:bCs w:val="0"/>
                <w:color w:val="auto"/>
                <w:sz w:val="24"/>
                <w:szCs w:val="24"/>
                <w:highlight w:val="none"/>
                <w:lang w:val="en-US" w:eastAsia="zh-CN"/>
              </w:rPr>
            </w:pPr>
          </w:p>
        </w:tc>
      </w:tr>
    </w:tbl>
    <w:p w14:paraId="5AFB8C09">
      <w:pPr>
        <w:spacing w:line="360" w:lineRule="auto"/>
        <w:outlineLvl w:val="9"/>
        <w:rPr>
          <w:rFonts w:eastAsia="黑体"/>
          <w:color w:val="auto"/>
          <w:sz w:val="30"/>
          <w:highlight w:val="none"/>
        </w:rPr>
        <w:sectPr>
          <w:footerReference r:id="rId8" w:type="default"/>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p>
    <w:p w14:paraId="7086565E">
      <w:pPr>
        <w:pStyle w:val="30"/>
        <w:keepNext w:val="0"/>
        <w:keepLines w:val="0"/>
        <w:pageBreakBefore w:val="0"/>
        <w:widowControl/>
        <w:kinsoku/>
        <w:wordWrap/>
        <w:overflowPunct/>
        <w:topLinePunct w:val="0"/>
        <w:autoSpaceDE/>
        <w:autoSpaceDN/>
        <w:bidi w:val="0"/>
        <w:adjustRightInd/>
        <w:snapToGrid/>
        <w:jc w:val="center"/>
        <w:textAlignment w:val="auto"/>
        <w:outlineLvl w:val="0"/>
        <w:rPr>
          <w:rFonts w:ascii="Times New Roman" w:hAnsi="Times New Roman" w:eastAsia="黑体"/>
          <w:snapToGrid w:val="0"/>
          <w:color w:val="auto"/>
          <w:sz w:val="30"/>
          <w:szCs w:val="30"/>
          <w:highlight w:val="none"/>
        </w:rPr>
      </w:pPr>
      <w:bookmarkStart w:id="4" w:name="_Toc20495"/>
      <w:r>
        <w:rPr>
          <w:rFonts w:ascii="Times New Roman" w:hAnsi="Times New Roman" w:eastAsia="黑体"/>
          <w:snapToGrid w:val="0"/>
          <w:color w:val="auto"/>
          <w:sz w:val="30"/>
          <w:szCs w:val="30"/>
          <w:highlight w:val="none"/>
        </w:rPr>
        <w:t>二、建设项目工程分析</w:t>
      </w:r>
      <w:bookmarkEnd w:id="4"/>
    </w:p>
    <w:tbl>
      <w:tblPr>
        <w:tblStyle w:val="34"/>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46"/>
        <w:gridCol w:w="8338"/>
      </w:tblGrid>
      <w:tr w14:paraId="12B506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46" w:type="dxa"/>
            <w:noWrap w:val="0"/>
            <w:vAlign w:val="center"/>
          </w:tcPr>
          <w:p w14:paraId="7EA7F991">
            <w:pPr>
              <w:pStyle w:val="30"/>
              <w:adjustRightInd w:val="0"/>
              <w:snapToGrid w:val="0"/>
              <w:spacing w:before="0" w:beforeAutospacing="0" w:after="0" w:afterAutospacing="0"/>
              <w:jc w:val="center"/>
              <w:rPr>
                <w:rFonts w:ascii="Times New Roman" w:hAnsi="Times New Roman"/>
                <w:color w:val="auto"/>
                <w:szCs w:val="24"/>
                <w:highlight w:val="none"/>
              </w:rPr>
            </w:pPr>
            <w:r>
              <w:rPr>
                <w:rFonts w:ascii="Times New Roman" w:hAnsi="Times New Roman"/>
                <w:color w:val="auto"/>
                <w:szCs w:val="24"/>
                <w:highlight w:val="none"/>
              </w:rPr>
              <w:t>建设内容</w:t>
            </w:r>
          </w:p>
        </w:tc>
        <w:tc>
          <w:tcPr>
            <w:tcW w:w="8338" w:type="dxa"/>
            <w:tcBorders>
              <w:top w:val="single" w:color="auto" w:sz="4" w:space="0"/>
              <w:right w:val="single" w:color="auto" w:sz="4" w:space="0"/>
            </w:tcBorders>
            <w:noWrap w:val="0"/>
            <w:vAlign w:val="top"/>
          </w:tcPr>
          <w:p w14:paraId="7CD6A64D">
            <w:pPr>
              <w:keepNext w:val="0"/>
              <w:keepLines w:val="0"/>
              <w:pageBreakBefore w:val="0"/>
              <w:numPr>
                <w:ilvl w:val="0"/>
                <w:numId w:val="18"/>
              </w:numPr>
              <w:kinsoku/>
              <w:wordWrap/>
              <w:overflowPunct/>
              <w:topLinePunct w:val="0"/>
              <w:autoSpaceDE/>
              <w:autoSpaceDN/>
              <w:bidi w:val="0"/>
              <w:spacing w:line="360" w:lineRule="auto"/>
              <w:ind w:left="0" w:leftChars="0"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项目由来</w:t>
            </w:r>
          </w:p>
          <w:p w14:paraId="218A6775">
            <w:pPr>
              <w:keepNext w:val="0"/>
              <w:keepLines w:val="0"/>
              <w:pageBreakBefore w:val="0"/>
              <w:widowControl/>
              <w:kinsoku/>
              <w:wordWrap/>
              <w:overflowPunct/>
              <w:topLinePunct w:val="0"/>
              <w:autoSpaceDE/>
              <w:autoSpaceDN/>
              <w:bidi w:val="0"/>
              <w:adjustRightInd/>
              <w:snapToGrid/>
              <w:spacing w:line="360" w:lineRule="auto"/>
              <w:ind w:left="0" w:firstLine="480" w:firstLineChars="200"/>
              <w:jc w:val="both"/>
              <w:textAlignment w:val="auto"/>
              <w:rPr>
                <w:rFonts w:hint="eastAsia" w:eastAsia="宋体"/>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近年来，我国国民经济持续稳定发展，对轻质、环保、耐用的塑料制品需求日益增长。塑料家具凭借其轻量化、耐腐蚀、易清洁、性价比高的优势，广泛应用于家庭、办公、餐饮、户外等多个场景，市场需求持续攀升；泡沫板（主要为聚苯乙烯泡沫板等）作为优质的保温隔热、防震缓冲材料，在建筑节能、包装防护、冷链运输等领域应用前景广阔，尤其在国家大力推广绿色建筑、倡导节能减排的政策导向下，行业发展空间显著扩大。在此市场背景下，</w:t>
            </w:r>
            <w:r>
              <w:rPr>
                <w:rFonts w:hint="eastAsia"/>
                <w:color w:val="auto"/>
                <w:sz w:val="24"/>
                <w:szCs w:val="24"/>
                <w:highlight w:val="none"/>
                <w:lang w:val="en-US" w:eastAsia="zh-CN"/>
              </w:rPr>
              <w:t>石家庄迎宏塑料制品有限公司拟投资3000万元在河北省石家庄市行唐县经济开发区科技大街东段（隆泰家具2号车间）建设</w:t>
            </w:r>
            <w:r>
              <w:rPr>
                <w:rFonts w:hint="eastAsia" w:cs="Times New Roman"/>
                <w:color w:val="auto"/>
                <w:sz w:val="24"/>
                <w:szCs w:val="24"/>
                <w:highlight w:val="none"/>
                <w:lang w:eastAsia="zh-CN"/>
              </w:rPr>
              <w:t>年产量2万套塑料坐具、20000立方米泡沫板及包装项目</w:t>
            </w:r>
            <w:r>
              <w:rPr>
                <w:rFonts w:hint="eastAsia" w:cs="Times New Roman"/>
                <w:color w:val="auto"/>
                <w:sz w:val="24"/>
                <w:szCs w:val="24"/>
                <w:highlight w:val="none"/>
                <w:lang w:val="en-US" w:eastAsia="zh-CN"/>
              </w:rPr>
              <w:t>。该项目于2025年12月15日取得</w:t>
            </w:r>
            <w:r>
              <w:rPr>
                <w:rFonts w:hint="eastAsia" w:cs="Times New Roman"/>
                <w:color w:val="auto"/>
                <w:sz w:val="24"/>
                <w:highlight w:val="none"/>
                <w:lang w:val="en-US" w:eastAsia="zh-CN"/>
              </w:rPr>
              <w:t>行唐数据和政务服务局取得企业投资项目备案信息：</w:t>
            </w:r>
            <w:r>
              <w:rPr>
                <w:rFonts w:hint="eastAsia" w:cs="Times New Roman"/>
                <w:b w:val="0"/>
                <w:bCs w:val="0"/>
                <w:color w:val="auto"/>
                <w:sz w:val="24"/>
                <w:szCs w:val="24"/>
                <w:highlight w:val="none"/>
                <w:lang w:val="en-US" w:eastAsia="zh-CN"/>
              </w:rPr>
              <w:t>行数政备字〔2025〕243号</w:t>
            </w:r>
            <w:r>
              <w:rPr>
                <w:rFonts w:hint="eastAsia" w:ascii="Times New Roman" w:hAnsi="Times New Roman" w:eastAsia="宋体" w:cs="Times New Roman"/>
                <w:b w:val="0"/>
                <w:bCs w:val="0"/>
                <w:color w:val="auto"/>
                <w:sz w:val="24"/>
                <w:szCs w:val="24"/>
                <w:highlight w:val="none"/>
                <w:lang w:eastAsia="zh-CN"/>
              </w:rPr>
              <w:t>。</w:t>
            </w:r>
          </w:p>
          <w:p w14:paraId="432D8866">
            <w:pPr>
              <w:keepNext w:val="0"/>
              <w:keepLines w:val="0"/>
              <w:pageBreakBefore w:val="0"/>
              <w:widowControl/>
              <w:kinsoku/>
              <w:wordWrap/>
              <w:overflowPunct/>
              <w:topLinePunct w:val="0"/>
              <w:autoSpaceDE/>
              <w:autoSpaceDN/>
              <w:bidi w:val="0"/>
              <w:adjustRightInd/>
              <w:snapToGrid/>
              <w:spacing w:line="360" w:lineRule="auto"/>
              <w:ind w:firstLine="480" w:firstLineChars="200"/>
              <w:jc w:val="both"/>
              <w:textAlignment w:val="auto"/>
              <w:rPr>
                <w:rFonts w:hint="eastAsia"/>
                <w:color w:val="auto"/>
                <w:sz w:val="24"/>
                <w:szCs w:val="24"/>
                <w:highlight w:val="none"/>
              </w:rPr>
            </w:pPr>
            <w:r>
              <w:rPr>
                <w:rFonts w:hint="eastAsia"/>
                <w:color w:val="auto"/>
                <w:sz w:val="24"/>
                <w:szCs w:val="24"/>
                <w:highlight w:val="none"/>
                <w:lang w:val="en-US" w:eastAsia="zh-CN"/>
              </w:rPr>
              <w:t>根据《中华人民共和国环境影响评价法》（2018年修正本）和《建设项目环境保护管理条例》等有关规定，本项目应进行环境影响评价工作。本项目属于《建设项目环境保护分类管理名录》（2021年版）中“十八、家具制造21 36木质家具制造211*；竹、藤家具制造212*；金属家具制造213*；塑料家具制造214*；其他家具制造219*其他（仅分割、组装的除外；年用非溶剂型低VOCs含量涂料10吨以下的除外）”“</w:t>
            </w:r>
            <w:r>
              <w:rPr>
                <w:rFonts w:hint="default"/>
                <w:color w:val="auto"/>
                <w:sz w:val="24"/>
                <w:szCs w:val="24"/>
                <w:highlight w:val="none"/>
                <w:lang w:val="en-US" w:eastAsia="zh-CN"/>
              </w:rPr>
              <w:t>二十六、橡胶和塑料制品业29</w:t>
            </w:r>
            <w:r>
              <w:rPr>
                <w:rFonts w:hint="eastAsia"/>
                <w:color w:val="auto"/>
                <w:sz w:val="24"/>
                <w:szCs w:val="24"/>
                <w:highlight w:val="none"/>
                <w:lang w:val="en-US" w:eastAsia="zh-CN"/>
              </w:rPr>
              <w:t xml:space="preserve"> 53塑料制品业”中“292其他（年用非溶剂型低VOCs含量涂料10吨以下的除外）”</w:t>
            </w:r>
            <w:r>
              <w:rPr>
                <w:rFonts w:hint="eastAsia" w:ascii="Times New Roman" w:hAnsi="Times New Roman" w:eastAsia="宋体" w:cs="Times New Roman"/>
                <w:color w:val="auto"/>
                <w:sz w:val="24"/>
                <w:szCs w:val="24"/>
                <w:highlight w:val="none"/>
                <w:lang w:val="en-US" w:eastAsia="zh-CN"/>
              </w:rPr>
              <w:t>，</w:t>
            </w:r>
            <w:r>
              <w:rPr>
                <w:rFonts w:hint="eastAsia"/>
                <w:color w:val="auto"/>
                <w:sz w:val="24"/>
                <w:szCs w:val="24"/>
                <w:highlight w:val="none"/>
                <w:lang w:val="en-US" w:eastAsia="zh-CN"/>
              </w:rPr>
              <w:t>应编制环境影响报告表。为此，石家庄迎宏塑料制品有限公司委</w:t>
            </w:r>
            <w:r>
              <w:rPr>
                <w:rFonts w:hint="eastAsia"/>
                <w:color w:val="auto"/>
                <w:sz w:val="24"/>
                <w:szCs w:val="24"/>
                <w:highlight w:val="none"/>
              </w:rPr>
              <w:t>托</w:t>
            </w:r>
            <w:r>
              <w:rPr>
                <w:rFonts w:hint="eastAsia"/>
                <w:color w:val="auto"/>
                <w:sz w:val="24"/>
                <w:szCs w:val="24"/>
                <w:highlight w:val="none"/>
                <w:lang w:val="en-US" w:eastAsia="zh-CN"/>
              </w:rPr>
              <w:t>冀之润（河北）河北科技有限公司</w:t>
            </w:r>
            <w:r>
              <w:rPr>
                <w:rFonts w:hint="eastAsia"/>
                <w:color w:val="auto"/>
                <w:sz w:val="24"/>
                <w:szCs w:val="24"/>
                <w:highlight w:val="none"/>
              </w:rPr>
              <w:t>承担本报告表的编制工作，我单位接受委托后立即组织技术人员进行了现场踏勘、资料收集与调研，并按</w:t>
            </w:r>
            <w:r>
              <w:rPr>
                <w:rFonts w:hint="eastAsia"/>
                <w:color w:val="auto"/>
                <w:sz w:val="24"/>
                <w:szCs w:val="24"/>
                <w:highlight w:val="none"/>
                <w:lang w:eastAsia="zh-CN"/>
              </w:rPr>
              <w:t>相关</w:t>
            </w:r>
            <w:r>
              <w:rPr>
                <w:rFonts w:hint="eastAsia"/>
                <w:color w:val="auto"/>
                <w:sz w:val="24"/>
                <w:szCs w:val="24"/>
                <w:highlight w:val="none"/>
              </w:rPr>
              <w:t>要求编写完成</w:t>
            </w:r>
            <w:r>
              <w:rPr>
                <w:rFonts w:hint="eastAsia"/>
                <w:color w:val="auto"/>
                <w:sz w:val="24"/>
                <w:szCs w:val="24"/>
                <w:highlight w:val="none"/>
                <w:lang w:eastAsia="zh-CN"/>
              </w:rPr>
              <w:t>项目</w:t>
            </w:r>
            <w:r>
              <w:rPr>
                <w:rFonts w:hint="eastAsia"/>
                <w:color w:val="auto"/>
                <w:sz w:val="24"/>
                <w:szCs w:val="24"/>
                <w:highlight w:val="none"/>
              </w:rPr>
              <w:t>环境影响报告表。</w:t>
            </w:r>
          </w:p>
          <w:p w14:paraId="67F2DD93">
            <w:pPr>
              <w:keepNext w:val="0"/>
              <w:keepLines w:val="0"/>
              <w:pageBreakBefore w:val="0"/>
              <w:numPr>
                <w:ilvl w:val="0"/>
                <w:numId w:val="18"/>
              </w:numPr>
              <w:kinsoku/>
              <w:wordWrap/>
              <w:overflowPunct/>
              <w:topLinePunct w:val="0"/>
              <w:autoSpaceDE/>
              <w:autoSpaceDN/>
              <w:bidi w:val="0"/>
              <w:spacing w:line="360" w:lineRule="auto"/>
              <w:ind w:left="0" w:leftChars="0"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建设内容</w:t>
            </w:r>
          </w:p>
          <w:p w14:paraId="7A514B7F">
            <w:pPr>
              <w:keepNext w:val="0"/>
              <w:keepLines w:val="0"/>
              <w:pageBreakBefore w:val="0"/>
              <w:widowControl/>
              <w:kinsoku/>
              <w:wordWrap/>
              <w:overflowPunct/>
              <w:topLinePunct w:val="0"/>
              <w:autoSpaceDE/>
              <w:autoSpaceDN/>
              <w:bidi w:val="0"/>
              <w:spacing w:line="360" w:lineRule="auto"/>
              <w:ind w:left="0" w:firstLine="480" w:firstLineChars="200"/>
              <w:jc w:val="left"/>
              <w:textAlignment w:val="auto"/>
              <w:rPr>
                <w:rFonts w:hint="eastAsia"/>
                <w:color w:val="auto"/>
                <w:sz w:val="24"/>
                <w:szCs w:val="24"/>
                <w:highlight w:val="none"/>
                <w:lang w:eastAsia="zh-CN"/>
              </w:rPr>
            </w:pPr>
            <w:r>
              <w:rPr>
                <w:rFonts w:hint="eastAsia"/>
                <w:color w:val="auto"/>
                <w:sz w:val="24"/>
                <w:szCs w:val="24"/>
                <w:highlight w:val="none"/>
                <w:lang w:val="en-US" w:eastAsia="zh-CN"/>
              </w:rPr>
              <w:t>1.项目名称：</w:t>
            </w:r>
            <w:r>
              <w:rPr>
                <w:rFonts w:hint="eastAsia"/>
                <w:color w:val="auto"/>
                <w:sz w:val="24"/>
                <w:szCs w:val="24"/>
                <w:highlight w:val="none"/>
                <w:lang w:eastAsia="zh-CN"/>
              </w:rPr>
              <w:t>年产量2万套塑料坐具、20000立方米泡沫板及包装项目</w:t>
            </w:r>
          </w:p>
          <w:p w14:paraId="124827DF">
            <w:pPr>
              <w:keepNext w:val="0"/>
              <w:keepLines w:val="0"/>
              <w:pageBreakBefore w:val="0"/>
              <w:widowControl/>
              <w:kinsoku/>
              <w:wordWrap/>
              <w:overflowPunct/>
              <w:topLinePunct w:val="0"/>
              <w:autoSpaceDE/>
              <w:autoSpaceDN/>
              <w:bidi w:val="0"/>
              <w:spacing w:line="360" w:lineRule="auto"/>
              <w:ind w:left="0" w:firstLine="480" w:firstLineChars="200"/>
              <w:jc w:val="left"/>
              <w:textAlignment w:val="auto"/>
              <w:rPr>
                <w:rFonts w:hint="default"/>
                <w:color w:val="auto"/>
                <w:sz w:val="24"/>
                <w:szCs w:val="24"/>
                <w:highlight w:val="none"/>
                <w:lang w:val="en-US" w:eastAsia="zh-CN"/>
              </w:rPr>
            </w:pPr>
            <w:r>
              <w:rPr>
                <w:rFonts w:hint="eastAsia"/>
                <w:color w:val="auto"/>
                <w:sz w:val="24"/>
                <w:szCs w:val="24"/>
                <w:highlight w:val="none"/>
                <w:lang w:val="en-US" w:eastAsia="zh-CN"/>
              </w:rPr>
              <w:t>2.建设单位：</w:t>
            </w:r>
            <w:r>
              <w:rPr>
                <w:rFonts w:hint="eastAsia"/>
                <w:color w:val="auto"/>
                <w:sz w:val="24"/>
                <w:szCs w:val="24"/>
                <w:highlight w:val="none"/>
                <w:lang w:eastAsia="zh-CN"/>
              </w:rPr>
              <w:t>石家庄迎宏塑料制品有限公司</w:t>
            </w:r>
          </w:p>
          <w:p w14:paraId="01D4C6F3">
            <w:pPr>
              <w:keepNext w:val="0"/>
              <w:keepLines w:val="0"/>
              <w:pageBreakBefore w:val="0"/>
              <w:kinsoku/>
              <w:wordWrap/>
              <w:overflowPunct/>
              <w:topLinePunct w:val="0"/>
              <w:autoSpaceDE/>
              <w:autoSpaceDN/>
              <w:bidi w:val="0"/>
              <w:adjustRightInd w:val="0"/>
              <w:snapToGrid w:val="0"/>
              <w:spacing w:line="360" w:lineRule="auto"/>
              <w:ind w:left="0"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3.建设地点及四邻：项目位于河北省石家庄市</w:t>
            </w:r>
            <w:r>
              <w:rPr>
                <w:rFonts w:hint="eastAsia" w:cs="Times New Roman"/>
                <w:color w:val="auto"/>
                <w:sz w:val="24"/>
                <w:highlight w:val="none"/>
                <w:lang w:val="en-US" w:eastAsia="zh-CN"/>
              </w:rPr>
              <w:t>行唐县经济开发区科技大街东段（隆泰家具2号车间）</w:t>
            </w:r>
            <w:r>
              <w:rPr>
                <w:rFonts w:hint="eastAsia"/>
                <w:color w:val="auto"/>
                <w:sz w:val="24"/>
                <w:szCs w:val="24"/>
                <w:highlight w:val="none"/>
                <w:lang w:val="en-US" w:eastAsia="zh-CN"/>
              </w:rPr>
              <w:t>。项目厂址中心地理坐标：</w:t>
            </w:r>
            <w:r>
              <w:rPr>
                <w:rFonts w:hint="eastAsia" w:cs="Times New Roman"/>
                <w:color w:val="auto"/>
                <w:sz w:val="24"/>
                <w:highlight w:val="none"/>
                <w:lang w:val="en-US" w:eastAsia="zh-CN"/>
              </w:rPr>
              <w:t>东经</w:t>
            </w:r>
            <w:r>
              <w:rPr>
                <w:rFonts w:hint="default" w:cs="Times New Roman"/>
                <w:color w:val="auto"/>
                <w:sz w:val="24"/>
                <w:highlight w:val="none"/>
                <w:lang w:val="en-US" w:eastAsia="zh-CN"/>
              </w:rPr>
              <w:t>114</w:t>
            </w:r>
            <w:r>
              <w:rPr>
                <w:rFonts w:hint="eastAsia" w:cs="Times New Roman"/>
                <w:color w:val="auto"/>
                <w:sz w:val="24"/>
                <w:highlight w:val="none"/>
                <w:lang w:val="en-US" w:eastAsia="zh-CN"/>
              </w:rPr>
              <w:t>度30分25.142秒，北纬</w:t>
            </w:r>
            <w:r>
              <w:rPr>
                <w:rFonts w:hint="default" w:cs="Times New Roman"/>
                <w:color w:val="auto"/>
                <w:sz w:val="24"/>
                <w:highlight w:val="none"/>
                <w:lang w:val="en-US" w:eastAsia="zh-CN"/>
              </w:rPr>
              <w:t>38</w:t>
            </w:r>
            <w:r>
              <w:rPr>
                <w:rFonts w:hint="eastAsia" w:cs="Times New Roman"/>
                <w:color w:val="auto"/>
                <w:sz w:val="24"/>
                <w:highlight w:val="none"/>
                <w:lang w:val="en-US" w:eastAsia="zh-CN"/>
              </w:rPr>
              <w:t>度23分23.614秒</w:t>
            </w:r>
            <w:r>
              <w:rPr>
                <w:rFonts w:hint="eastAsia"/>
                <w:color w:val="auto"/>
                <w:sz w:val="24"/>
                <w:szCs w:val="24"/>
                <w:highlight w:val="none"/>
                <w:lang w:val="en-US" w:eastAsia="zh-CN"/>
              </w:rPr>
              <w:t>。北侧隔空地为河北净浩再生资源回收有限公司，西侧为河北顺昌装饰材料有限公司</w:t>
            </w:r>
            <w:r>
              <w:rPr>
                <w:rFonts w:hint="default"/>
                <w:color w:val="auto"/>
                <w:sz w:val="24"/>
                <w:szCs w:val="24"/>
                <w:highlight w:val="none"/>
                <w:lang w:val="en-US" w:eastAsia="zh-CN"/>
              </w:rPr>
              <w:t>；</w:t>
            </w:r>
            <w:r>
              <w:rPr>
                <w:rFonts w:hint="eastAsia"/>
                <w:color w:val="auto"/>
                <w:sz w:val="24"/>
                <w:szCs w:val="24"/>
                <w:highlight w:val="none"/>
                <w:lang w:val="en-US" w:eastAsia="zh-CN"/>
              </w:rPr>
              <w:t>东侧隔</w:t>
            </w:r>
            <w:r>
              <w:rPr>
                <w:rFonts w:hint="eastAsia"/>
                <w:bCs/>
                <w:color w:val="auto"/>
                <w:kern w:val="0"/>
                <w:sz w:val="24"/>
                <w:highlight w:val="none"/>
                <w:lang w:val="en-US" w:eastAsia="zh-CN"/>
              </w:rPr>
              <w:t>隆泰家具车间为石家庄玉晶玻璃有限公司-北区、</w:t>
            </w:r>
            <w:r>
              <w:rPr>
                <w:rFonts w:hint="eastAsia"/>
                <w:color w:val="auto"/>
                <w:sz w:val="24"/>
                <w:szCs w:val="24"/>
                <w:highlight w:val="none"/>
                <w:lang w:val="en-US" w:eastAsia="zh-CN"/>
              </w:rPr>
              <w:t>河北圣国家具制造有限公司。距离项目最近的敏感点为东北429m处岳霍口村。</w:t>
            </w:r>
          </w:p>
          <w:p w14:paraId="7AEEE991">
            <w:pPr>
              <w:keepNext w:val="0"/>
              <w:keepLines w:val="0"/>
              <w:pageBreakBefore w:val="0"/>
              <w:widowControl/>
              <w:kinsoku/>
              <w:wordWrap/>
              <w:overflowPunct/>
              <w:topLinePunct w:val="0"/>
              <w:autoSpaceDE/>
              <w:autoSpaceDN/>
              <w:bidi w:val="0"/>
              <w:spacing w:line="360" w:lineRule="auto"/>
              <w:ind w:left="0" w:firstLine="480" w:firstLineChars="200"/>
              <w:jc w:val="left"/>
              <w:textAlignment w:val="auto"/>
              <w:rPr>
                <w:rFonts w:hint="eastAsia"/>
                <w:color w:val="auto"/>
                <w:sz w:val="24"/>
                <w:szCs w:val="24"/>
                <w:highlight w:val="none"/>
                <w:lang w:val="en-US" w:eastAsia="zh-CN"/>
              </w:rPr>
            </w:pPr>
            <w:r>
              <w:rPr>
                <w:rFonts w:hint="eastAsia"/>
                <w:color w:val="auto"/>
                <w:sz w:val="24"/>
                <w:szCs w:val="24"/>
                <w:highlight w:val="none"/>
                <w:lang w:val="en-US" w:eastAsia="zh-CN"/>
              </w:rPr>
              <w:t>4.项目建设内容及工程组成</w:t>
            </w:r>
          </w:p>
          <w:p w14:paraId="003CCD14">
            <w:pPr>
              <w:keepNext w:val="0"/>
              <w:keepLines w:val="0"/>
              <w:pageBreakBefore w:val="0"/>
              <w:widowControl/>
              <w:kinsoku/>
              <w:wordWrap/>
              <w:overflowPunct/>
              <w:topLinePunct w:val="0"/>
              <w:autoSpaceDE/>
              <w:autoSpaceDN/>
              <w:bidi w:val="0"/>
              <w:spacing w:line="360" w:lineRule="auto"/>
              <w:ind w:left="0" w:firstLine="480" w:firstLineChars="200"/>
              <w:jc w:val="left"/>
              <w:textAlignment w:val="auto"/>
              <w:rPr>
                <w:rFonts w:hint="eastAsia"/>
                <w:color w:val="auto"/>
                <w:sz w:val="24"/>
                <w:szCs w:val="24"/>
                <w:highlight w:val="none"/>
                <w:lang w:val="en-US" w:eastAsia="zh-CN"/>
              </w:rPr>
            </w:pPr>
            <w:r>
              <w:rPr>
                <w:rFonts w:hint="eastAsia"/>
                <w:color w:val="auto"/>
                <w:sz w:val="24"/>
                <w:szCs w:val="24"/>
                <w:highlight w:val="none"/>
                <w:lang w:val="en-US" w:eastAsia="zh-CN"/>
              </w:rPr>
              <w:t>租赁河北隆泰家具有限公司闲置厂房4300平方米及办公楼，主要建设生产车间及其他附属设施。主要购置塑料座具生产设备、发泡机、模具成型机、</w:t>
            </w:r>
          </w:p>
          <w:p w14:paraId="0D523EFC">
            <w:pPr>
              <w:keepNext w:val="0"/>
              <w:keepLines w:val="0"/>
              <w:pageBreakBefore w:val="0"/>
              <w:widowControl/>
              <w:kinsoku/>
              <w:wordWrap/>
              <w:overflowPunct/>
              <w:topLinePunct w:val="0"/>
              <w:autoSpaceDE/>
              <w:autoSpaceDN/>
              <w:bidi w:val="0"/>
              <w:spacing w:line="360" w:lineRule="auto"/>
              <w:jc w:val="left"/>
              <w:textAlignment w:val="auto"/>
              <w:rPr>
                <w:rFonts w:hint="eastAsia"/>
                <w:color w:val="auto"/>
                <w:sz w:val="24"/>
                <w:szCs w:val="24"/>
                <w:highlight w:val="none"/>
                <w:lang w:val="en-US" w:eastAsia="zh-CN"/>
              </w:rPr>
            </w:pPr>
            <w:r>
              <w:rPr>
                <w:rFonts w:hint="eastAsia"/>
                <w:color w:val="auto"/>
                <w:sz w:val="24"/>
                <w:szCs w:val="24"/>
                <w:highlight w:val="none"/>
                <w:lang w:val="en-US" w:eastAsia="zh-CN"/>
              </w:rPr>
              <w:t>切板机等生产设备及配套设施。</w:t>
            </w:r>
          </w:p>
          <w:p w14:paraId="2FC262D0">
            <w:pPr>
              <w:keepNext w:val="0"/>
              <w:keepLines w:val="0"/>
              <w:pageBreakBefore w:val="0"/>
              <w:widowControl/>
              <w:kinsoku/>
              <w:wordWrap/>
              <w:overflowPunct/>
              <w:topLinePunct w:val="0"/>
              <w:autoSpaceDE/>
              <w:autoSpaceDN/>
              <w:bidi w:val="0"/>
              <w:spacing w:line="360" w:lineRule="auto"/>
              <w:ind w:left="0" w:firstLine="480" w:firstLineChars="200"/>
              <w:jc w:val="left"/>
              <w:textAlignment w:val="auto"/>
              <w:rPr>
                <w:rFonts w:hint="eastAsia"/>
                <w:color w:val="auto"/>
                <w:sz w:val="24"/>
                <w:szCs w:val="24"/>
                <w:highlight w:val="none"/>
                <w:lang w:val="en-US" w:eastAsia="zh-CN"/>
              </w:rPr>
            </w:pPr>
            <w:r>
              <w:rPr>
                <w:rFonts w:hint="eastAsia" w:cs="Times New Roman"/>
                <w:color w:val="auto"/>
                <w:sz w:val="24"/>
                <w:highlight w:val="none"/>
                <w:lang w:val="en-US" w:eastAsia="zh-CN"/>
              </w:rPr>
              <w:t>车间内建设发泡、成型、烘干、切割等工序，</w:t>
            </w:r>
            <w:r>
              <w:rPr>
                <w:rFonts w:hint="eastAsia" w:cs="Times New Roman"/>
                <w:color w:val="auto"/>
                <w:kern w:val="2"/>
                <w:sz w:val="24"/>
                <w:szCs w:val="24"/>
                <w:highlight w:val="none"/>
                <w:lang w:val="en-US" w:eastAsia="zh-CN" w:bidi="ar-SA"/>
              </w:rPr>
              <w:t>车间外配套建设蒸汽储罐、空气储罐、冷却系统、环保系统、原料库房、危废间等辅助设施。</w:t>
            </w:r>
            <w:r>
              <w:rPr>
                <w:rFonts w:hint="eastAsia" w:cs="Times New Roman"/>
                <w:color w:val="auto"/>
                <w:sz w:val="24"/>
                <w:highlight w:val="none"/>
                <w:lang w:val="en-US" w:eastAsia="zh-CN"/>
              </w:rPr>
              <w:t>车间内</w:t>
            </w:r>
            <w:r>
              <w:rPr>
                <w:rFonts w:hint="eastAsia"/>
                <w:color w:val="auto"/>
                <w:sz w:val="24"/>
                <w:szCs w:val="24"/>
                <w:highlight w:val="none"/>
                <w:lang w:val="en-US" w:eastAsia="zh-CN"/>
              </w:rPr>
              <w:t>主要建设</w:t>
            </w:r>
            <w:r>
              <w:rPr>
                <w:rFonts w:hint="eastAsia"/>
                <w:color w:val="auto"/>
                <w:sz w:val="24"/>
                <w:szCs w:val="24"/>
                <w:highlight w:val="none"/>
                <w:lang w:eastAsia="zh-CN"/>
              </w:rPr>
              <w:t>塑料坐具</w:t>
            </w:r>
            <w:r>
              <w:rPr>
                <w:rFonts w:hint="eastAsia"/>
                <w:color w:val="auto"/>
                <w:sz w:val="24"/>
                <w:szCs w:val="24"/>
                <w:highlight w:val="none"/>
                <w:lang w:val="en-US" w:eastAsia="zh-CN"/>
              </w:rPr>
              <w:t>及</w:t>
            </w:r>
            <w:r>
              <w:rPr>
                <w:rFonts w:hint="eastAsia"/>
                <w:color w:val="auto"/>
                <w:sz w:val="24"/>
                <w:szCs w:val="24"/>
                <w:highlight w:val="none"/>
                <w:lang w:eastAsia="zh-CN"/>
              </w:rPr>
              <w:t>泡沫板</w:t>
            </w:r>
            <w:r>
              <w:rPr>
                <w:rFonts w:hint="eastAsia"/>
                <w:color w:val="auto"/>
                <w:sz w:val="24"/>
                <w:szCs w:val="24"/>
                <w:highlight w:val="none"/>
                <w:lang w:val="en-US" w:eastAsia="zh-CN"/>
              </w:rPr>
              <w:t>生产线及其配套设备设施。本项目主要建设内容如下表。</w:t>
            </w:r>
          </w:p>
          <w:p w14:paraId="448ABA4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eastAsia="宋体" w:cs="Times New Roman"/>
                <w:b/>
                <w:bCs/>
                <w:color w:val="auto"/>
                <w:sz w:val="24"/>
                <w:szCs w:val="24"/>
                <w:highlight w:val="none"/>
                <w:lang w:val="en-US" w:eastAsia="zh-CN"/>
              </w:rPr>
              <w:t>表2-</w:t>
            </w:r>
            <w:r>
              <w:rPr>
                <w:rFonts w:hint="eastAsia" w:cs="Times New Roman"/>
                <w:b/>
                <w:bCs/>
                <w:color w:val="auto"/>
                <w:sz w:val="24"/>
                <w:szCs w:val="24"/>
                <w:highlight w:val="none"/>
                <w:lang w:val="en-US" w:eastAsia="zh-CN"/>
              </w:rPr>
              <w:t>1</w:t>
            </w:r>
            <w:r>
              <w:rPr>
                <w:rFonts w:hint="eastAsia" w:ascii="Times New Roman" w:hAnsi="Times New Roman" w:eastAsia="宋体" w:cs="Times New Roman"/>
                <w:b/>
                <w:bCs/>
                <w:color w:val="auto"/>
                <w:sz w:val="24"/>
                <w:szCs w:val="24"/>
                <w:highlight w:val="none"/>
                <w:lang w:val="en-US" w:eastAsia="zh-CN"/>
              </w:rPr>
              <w:t xml:space="preserve"> 工程组成</w:t>
            </w:r>
          </w:p>
          <w:tbl>
            <w:tblPr>
              <w:tblStyle w:val="34"/>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43"/>
              <w:gridCol w:w="1094"/>
              <w:gridCol w:w="5071"/>
              <w:gridCol w:w="1311"/>
            </w:tblGrid>
            <w:tr w14:paraId="0B83A6D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tblHeader/>
                <w:jc w:val="center"/>
              </w:trPr>
              <w:tc>
                <w:tcPr>
                  <w:tcW w:w="395" w:type="pct"/>
                  <w:noWrap w:val="0"/>
                  <w:vAlign w:val="center"/>
                </w:tcPr>
                <w:p w14:paraId="59A31444">
                  <w:pPr>
                    <w:pStyle w:val="32"/>
                    <w:keepNext w:val="0"/>
                    <w:keepLines w:val="0"/>
                    <w:pageBreakBefore w:val="0"/>
                    <w:widowControl w:val="0"/>
                    <w:kinsoku/>
                    <w:wordWrap/>
                    <w:overflowPunct/>
                    <w:topLinePunct w:val="0"/>
                    <w:autoSpaceDE/>
                    <w:autoSpaceDN/>
                    <w:bidi w:val="0"/>
                    <w:adjustRightInd w:val="0"/>
                    <w:snapToGrid w:val="0"/>
                    <w:spacing w:before="0" w:after="0" w:line="240" w:lineRule="auto"/>
                    <w:ind w:left="0" w:leftChars="0" w:right="0" w:rightChars="0" w:firstLine="0" w:firstLineChars="0"/>
                    <w:jc w:val="center"/>
                    <w:textAlignment w:val="auto"/>
                    <w:outlineLvl w:val="9"/>
                    <w:rPr>
                      <w:rFonts w:hint="default"/>
                      <w:b/>
                      <w:bCs/>
                      <w:color w:val="auto"/>
                      <w:sz w:val="21"/>
                      <w:szCs w:val="21"/>
                      <w:highlight w:val="none"/>
                    </w:rPr>
                  </w:pPr>
                  <w:r>
                    <w:rPr>
                      <w:rFonts w:hint="default"/>
                      <w:b/>
                      <w:bCs/>
                      <w:color w:val="auto"/>
                      <w:sz w:val="21"/>
                      <w:szCs w:val="21"/>
                      <w:highlight w:val="none"/>
                    </w:rPr>
                    <w:t>项目组成</w:t>
                  </w:r>
                </w:p>
              </w:tc>
              <w:tc>
                <w:tcPr>
                  <w:tcW w:w="3796" w:type="pct"/>
                  <w:gridSpan w:val="2"/>
                  <w:noWrap w:val="0"/>
                  <w:vAlign w:val="center"/>
                </w:tcPr>
                <w:p w14:paraId="47E6C02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outlineLvl w:val="9"/>
                    <w:rPr>
                      <w:rFonts w:hint="default"/>
                      <w:b/>
                      <w:bCs/>
                      <w:color w:val="auto"/>
                      <w:sz w:val="21"/>
                      <w:szCs w:val="21"/>
                      <w:highlight w:val="none"/>
                    </w:rPr>
                  </w:pPr>
                  <w:r>
                    <w:rPr>
                      <w:rFonts w:hint="default"/>
                      <w:b/>
                      <w:bCs/>
                      <w:color w:val="auto"/>
                      <w:sz w:val="21"/>
                      <w:szCs w:val="21"/>
                      <w:highlight w:val="none"/>
                      <w:lang w:eastAsia="zh-CN"/>
                    </w:rPr>
                    <w:t>建设内容</w:t>
                  </w:r>
                </w:p>
              </w:tc>
              <w:tc>
                <w:tcPr>
                  <w:tcW w:w="807" w:type="pct"/>
                  <w:noWrap w:val="0"/>
                  <w:vAlign w:val="center"/>
                </w:tcPr>
                <w:p w14:paraId="720F40F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outlineLvl w:val="9"/>
                    <w:rPr>
                      <w:rFonts w:hint="default"/>
                      <w:b/>
                      <w:bCs/>
                      <w:color w:val="auto"/>
                      <w:sz w:val="21"/>
                      <w:szCs w:val="21"/>
                      <w:highlight w:val="none"/>
                      <w:lang w:val="en-US" w:eastAsia="zh-CN"/>
                    </w:rPr>
                  </w:pPr>
                  <w:r>
                    <w:rPr>
                      <w:rFonts w:hint="eastAsia"/>
                      <w:b/>
                      <w:bCs/>
                      <w:color w:val="auto"/>
                      <w:sz w:val="21"/>
                      <w:szCs w:val="21"/>
                      <w:highlight w:val="none"/>
                      <w:lang w:val="en-US" w:eastAsia="zh-CN"/>
                    </w:rPr>
                    <w:t>备注</w:t>
                  </w:r>
                </w:p>
              </w:tc>
            </w:tr>
            <w:tr w14:paraId="7DDBE08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noWrap w:val="0"/>
                  <w:vAlign w:val="center"/>
                </w:tcPr>
                <w:p w14:paraId="7CFECFC3">
                  <w:pPr>
                    <w:pStyle w:val="32"/>
                    <w:keepNext w:val="0"/>
                    <w:keepLines w:val="0"/>
                    <w:pageBreakBefore w:val="0"/>
                    <w:widowControl w:val="0"/>
                    <w:kinsoku/>
                    <w:wordWrap/>
                    <w:overflowPunct/>
                    <w:topLinePunct w:val="0"/>
                    <w:autoSpaceDE/>
                    <w:autoSpaceDN/>
                    <w:bidi w:val="0"/>
                    <w:adjustRightInd w:val="0"/>
                    <w:snapToGrid w:val="0"/>
                    <w:spacing w:before="0" w:after="0" w:line="240" w:lineRule="auto"/>
                    <w:ind w:left="0" w:leftChars="0" w:right="0" w:rightChars="0" w:firstLine="0" w:firstLineChars="0"/>
                    <w:jc w:val="center"/>
                    <w:textAlignment w:val="auto"/>
                    <w:outlineLvl w:val="9"/>
                    <w:rPr>
                      <w:rFonts w:hint="eastAsia"/>
                      <w:color w:val="auto"/>
                      <w:sz w:val="21"/>
                      <w:szCs w:val="21"/>
                      <w:highlight w:val="none"/>
                      <w:lang w:val="en-US" w:eastAsia="zh-CN"/>
                    </w:rPr>
                  </w:pPr>
                  <w:r>
                    <w:rPr>
                      <w:rFonts w:hint="default"/>
                      <w:color w:val="auto"/>
                      <w:sz w:val="21"/>
                      <w:szCs w:val="21"/>
                      <w:highlight w:val="none"/>
                    </w:rPr>
                    <w:t>主体工程</w:t>
                  </w:r>
                </w:p>
              </w:tc>
              <w:tc>
                <w:tcPr>
                  <w:tcW w:w="3796" w:type="pct"/>
                  <w:gridSpan w:val="2"/>
                  <w:noWrap w:val="0"/>
                  <w:vAlign w:val="center"/>
                </w:tcPr>
                <w:p w14:paraId="348A9E49">
                  <w:pPr>
                    <w:keepNext w:val="0"/>
                    <w:keepLines w:val="0"/>
                    <w:pageBreakBefore w:val="0"/>
                    <w:widowControl/>
                    <w:numPr>
                      <w:ilvl w:val="0"/>
                      <w:numId w:val="0"/>
                    </w:numPr>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生产车间：建筑面积4200m</w:t>
                  </w:r>
                  <w:r>
                    <w:rPr>
                      <w:rFonts w:hint="eastAsia"/>
                      <w:color w:val="auto"/>
                      <w:sz w:val="21"/>
                      <w:szCs w:val="21"/>
                      <w:highlight w:val="none"/>
                      <w:vertAlign w:val="superscript"/>
                      <w:lang w:val="en-US" w:eastAsia="zh-CN"/>
                    </w:rPr>
                    <w:t>2</w:t>
                  </w:r>
                  <w:r>
                    <w:rPr>
                      <w:rFonts w:hint="eastAsia"/>
                      <w:color w:val="auto"/>
                      <w:sz w:val="21"/>
                      <w:szCs w:val="21"/>
                      <w:highlight w:val="none"/>
                      <w:lang w:val="en-US" w:eastAsia="zh-CN"/>
                    </w:rPr>
                    <w:t>，84m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50m，有效高度8m。主要放置生产区、成品区；生产区内设置发泡机、切割机、成型机、包装机及烘干房（烘干房上方是料仓）。15m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25m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3.3m、8m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35m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3m</w:t>
                  </w:r>
                </w:p>
              </w:tc>
              <w:tc>
                <w:tcPr>
                  <w:tcW w:w="807" w:type="pct"/>
                  <w:noWrap w:val="0"/>
                  <w:vAlign w:val="center"/>
                </w:tcPr>
                <w:p w14:paraId="69A5DD5E">
                  <w:pPr>
                    <w:pStyle w:val="111"/>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租赁已建成厂房</w:t>
                  </w:r>
                </w:p>
              </w:tc>
            </w:tr>
            <w:tr w14:paraId="421CEF5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restart"/>
                  <w:noWrap w:val="0"/>
                  <w:vAlign w:val="center"/>
                </w:tcPr>
                <w:p w14:paraId="2DDDAD63">
                  <w:pPr>
                    <w:pStyle w:val="32"/>
                    <w:keepNext w:val="0"/>
                    <w:keepLines w:val="0"/>
                    <w:pageBreakBefore w:val="0"/>
                    <w:widowControl w:val="0"/>
                    <w:kinsoku/>
                    <w:wordWrap/>
                    <w:overflowPunct/>
                    <w:topLinePunct w:val="0"/>
                    <w:autoSpaceDE/>
                    <w:autoSpaceDN/>
                    <w:bidi w:val="0"/>
                    <w:adjustRightInd w:val="0"/>
                    <w:snapToGrid w:val="0"/>
                    <w:spacing w:before="0" w:after="0" w:line="240" w:lineRule="auto"/>
                    <w:ind w:left="0" w:leftChars="0" w:right="0" w:rightChars="0" w:firstLine="0" w:firstLineChars="0"/>
                    <w:jc w:val="center"/>
                    <w:textAlignment w:val="auto"/>
                    <w:outlineLvl w:val="9"/>
                    <w:rPr>
                      <w:rFonts w:hint="default"/>
                      <w:color w:val="auto"/>
                      <w:sz w:val="21"/>
                      <w:szCs w:val="21"/>
                      <w:highlight w:val="none"/>
                    </w:rPr>
                  </w:pPr>
                  <w:r>
                    <w:rPr>
                      <w:rFonts w:hint="default"/>
                      <w:color w:val="auto"/>
                      <w:sz w:val="21"/>
                      <w:szCs w:val="21"/>
                      <w:highlight w:val="none"/>
                      <w:lang w:eastAsia="zh-CN"/>
                    </w:rPr>
                    <w:t>辅助工程</w:t>
                  </w:r>
                </w:p>
              </w:tc>
              <w:tc>
                <w:tcPr>
                  <w:tcW w:w="3796" w:type="pct"/>
                  <w:gridSpan w:val="2"/>
                  <w:noWrap w:val="0"/>
                  <w:vAlign w:val="center"/>
                </w:tcPr>
                <w:p w14:paraId="73E6DD14">
                  <w:pPr>
                    <w:keepNext w:val="0"/>
                    <w:keepLines w:val="0"/>
                    <w:pageBreakBefore w:val="0"/>
                    <w:widowControl/>
                    <w:numPr>
                      <w:ilvl w:val="0"/>
                      <w:numId w:val="0"/>
                    </w:numPr>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default"/>
                      <w:color w:val="auto"/>
                      <w:highlight w:val="none"/>
                      <w:lang w:val="en-US" w:eastAsia="zh-CN"/>
                    </w:rPr>
                  </w:pPr>
                  <w:r>
                    <w:rPr>
                      <w:rFonts w:hint="eastAsia"/>
                      <w:color w:val="auto"/>
                      <w:sz w:val="21"/>
                      <w:szCs w:val="21"/>
                      <w:highlight w:val="none"/>
                      <w:lang w:val="en-US" w:eastAsia="zh-CN"/>
                    </w:rPr>
                    <w:t>空压机房：位于车间南侧，建筑面积3m</w:t>
                  </w:r>
                  <w:r>
                    <w:rPr>
                      <w:rFonts w:hint="eastAsia"/>
                      <w:color w:val="auto"/>
                      <w:sz w:val="21"/>
                      <w:szCs w:val="21"/>
                      <w:highlight w:val="none"/>
                      <w:vertAlign w:val="superscript"/>
                      <w:lang w:val="en-US" w:eastAsia="zh-CN"/>
                    </w:rPr>
                    <w:t>2</w:t>
                  </w:r>
                  <w:r>
                    <w:rPr>
                      <w:rFonts w:hint="eastAsia"/>
                      <w:color w:val="auto"/>
                      <w:sz w:val="21"/>
                      <w:szCs w:val="21"/>
                      <w:highlight w:val="none"/>
                      <w:lang w:val="en-US" w:eastAsia="zh-CN"/>
                    </w:rPr>
                    <w:t>，3m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1m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3m主要放置四台空压机</w:t>
                  </w:r>
                </w:p>
              </w:tc>
              <w:tc>
                <w:tcPr>
                  <w:tcW w:w="807" w:type="pct"/>
                  <w:noWrap w:val="0"/>
                  <w:vAlign w:val="center"/>
                </w:tcPr>
                <w:p w14:paraId="57BC9F4C">
                  <w:pPr>
                    <w:pStyle w:val="111"/>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新建</w:t>
                  </w:r>
                </w:p>
              </w:tc>
            </w:tr>
            <w:tr w14:paraId="631CD01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continue"/>
                  <w:noWrap w:val="0"/>
                  <w:vAlign w:val="center"/>
                </w:tcPr>
                <w:p w14:paraId="123E652F">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color w:val="auto"/>
                      <w:highlight w:val="none"/>
                    </w:rPr>
                  </w:pPr>
                </w:p>
              </w:tc>
              <w:tc>
                <w:tcPr>
                  <w:tcW w:w="3796" w:type="pct"/>
                  <w:gridSpan w:val="2"/>
                  <w:noWrap w:val="0"/>
                  <w:vAlign w:val="center"/>
                </w:tcPr>
                <w:p w14:paraId="617F8AFC">
                  <w:pPr>
                    <w:keepNext w:val="0"/>
                    <w:keepLines w:val="0"/>
                    <w:pageBreakBefore w:val="0"/>
                    <w:widowControl/>
                    <w:numPr>
                      <w:ilvl w:val="0"/>
                      <w:numId w:val="0"/>
                    </w:numPr>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default"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lang w:val="en-US" w:eastAsia="zh-CN"/>
                    </w:rPr>
                    <w:t>循环水池：2个，容积为9m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，均为3m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1.5m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2m，用于冷却</w:t>
                  </w:r>
                </w:p>
              </w:tc>
              <w:tc>
                <w:tcPr>
                  <w:tcW w:w="807" w:type="pct"/>
                  <w:noWrap w:val="0"/>
                  <w:vAlign w:val="center"/>
                </w:tcPr>
                <w:p w14:paraId="1CAAE559">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eastAsia"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lang w:val="en-US" w:eastAsia="zh-CN"/>
                    </w:rPr>
                    <w:t>外购成品</w:t>
                  </w:r>
                </w:p>
              </w:tc>
            </w:tr>
            <w:tr w14:paraId="56EC07D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continue"/>
                  <w:noWrap w:val="0"/>
                  <w:vAlign w:val="center"/>
                </w:tcPr>
                <w:p w14:paraId="475EBEDD">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color w:val="auto"/>
                      <w:highlight w:val="none"/>
                    </w:rPr>
                  </w:pPr>
                </w:p>
              </w:tc>
              <w:tc>
                <w:tcPr>
                  <w:tcW w:w="3796" w:type="pct"/>
                  <w:gridSpan w:val="2"/>
                  <w:noWrap w:val="0"/>
                  <w:vAlign w:val="center"/>
                </w:tcPr>
                <w:p w14:paraId="4089DC77">
                  <w:pPr>
                    <w:keepNext w:val="0"/>
                    <w:keepLines w:val="0"/>
                    <w:pageBreakBefore w:val="0"/>
                    <w:widowControl/>
                    <w:numPr>
                      <w:ilvl w:val="0"/>
                      <w:numId w:val="0"/>
                    </w:numPr>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eastAsia"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lang w:val="en-US" w:eastAsia="zh-CN"/>
                    </w:rPr>
                    <w:t>水箱+冷却塔：3个，容积为20m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、25m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、30m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，用于冷却</w:t>
                  </w:r>
                </w:p>
              </w:tc>
              <w:tc>
                <w:tcPr>
                  <w:tcW w:w="807" w:type="pct"/>
                  <w:noWrap w:val="0"/>
                  <w:vAlign w:val="center"/>
                </w:tcPr>
                <w:p w14:paraId="11DA366B">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eastAsia"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lang w:val="en-US" w:eastAsia="zh-CN"/>
                    </w:rPr>
                    <w:t>外购成品</w:t>
                  </w:r>
                </w:p>
              </w:tc>
            </w:tr>
            <w:tr w14:paraId="4D66E0E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continue"/>
                  <w:noWrap w:val="0"/>
                  <w:vAlign w:val="center"/>
                </w:tcPr>
                <w:p w14:paraId="505F4D75">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color w:val="auto"/>
                      <w:highlight w:val="none"/>
                    </w:rPr>
                  </w:pPr>
                </w:p>
              </w:tc>
              <w:tc>
                <w:tcPr>
                  <w:tcW w:w="3796" w:type="pct"/>
                  <w:gridSpan w:val="2"/>
                  <w:noWrap w:val="0"/>
                  <w:vAlign w:val="center"/>
                </w:tcPr>
                <w:p w14:paraId="69F5F375">
                  <w:pPr>
                    <w:keepNext w:val="0"/>
                    <w:keepLines w:val="0"/>
                    <w:pageBreakBefore w:val="0"/>
                    <w:widowControl/>
                    <w:numPr>
                      <w:ilvl w:val="0"/>
                      <w:numId w:val="0"/>
                    </w:numPr>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真空设施：用于冷却</w:t>
                  </w:r>
                </w:p>
              </w:tc>
              <w:tc>
                <w:tcPr>
                  <w:tcW w:w="807" w:type="pct"/>
                  <w:noWrap w:val="0"/>
                  <w:vAlign w:val="center"/>
                </w:tcPr>
                <w:p w14:paraId="56ABFF45">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w:t>
                  </w:r>
                </w:p>
              </w:tc>
            </w:tr>
            <w:tr w14:paraId="58460A3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continue"/>
                  <w:noWrap w:val="0"/>
                  <w:vAlign w:val="center"/>
                </w:tcPr>
                <w:p w14:paraId="1FCA3650">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color w:val="auto"/>
                      <w:highlight w:val="none"/>
                    </w:rPr>
                  </w:pPr>
                </w:p>
              </w:tc>
              <w:tc>
                <w:tcPr>
                  <w:tcW w:w="3796" w:type="pct"/>
                  <w:gridSpan w:val="2"/>
                  <w:noWrap w:val="0"/>
                  <w:vAlign w:val="center"/>
                </w:tcPr>
                <w:p w14:paraId="002263F1">
                  <w:pPr>
                    <w:keepNext w:val="0"/>
                    <w:keepLines w:val="0"/>
                    <w:pageBreakBefore w:val="0"/>
                    <w:widowControl/>
                    <w:numPr>
                      <w:ilvl w:val="0"/>
                      <w:numId w:val="0"/>
                    </w:numPr>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办公室：建筑面积100m</w:t>
                  </w:r>
                  <w:r>
                    <w:rPr>
                      <w:rFonts w:hint="eastAsia"/>
                      <w:color w:val="auto"/>
                      <w:sz w:val="21"/>
                      <w:szCs w:val="21"/>
                      <w:highlight w:val="none"/>
                      <w:vertAlign w:val="superscript"/>
                      <w:lang w:val="en-US" w:eastAsia="zh-CN"/>
                    </w:rPr>
                    <w:t>2</w:t>
                  </w:r>
                  <w:r>
                    <w:rPr>
                      <w:rFonts w:hint="eastAsia"/>
                      <w:color w:val="auto"/>
                      <w:sz w:val="21"/>
                      <w:szCs w:val="21"/>
                      <w:highlight w:val="none"/>
                      <w:vertAlign w:val="baseline"/>
                      <w:lang w:val="en-US" w:eastAsia="zh-CN"/>
                    </w:rPr>
                    <w:t>，</w:t>
                  </w:r>
                  <w:r>
                    <w:rPr>
                      <w:rFonts w:hint="eastAsia"/>
                      <w:color w:val="auto"/>
                      <w:lang w:val="en-US" w:eastAsia="zh-CN"/>
                    </w:rPr>
                    <w:t>16.67</w:t>
                  </w:r>
                  <w:r>
                    <w:rPr>
                      <w:rFonts w:hint="eastAsia"/>
                      <w:color w:val="auto"/>
                      <w:sz w:val="21"/>
                      <w:szCs w:val="21"/>
                      <w:highlight w:val="none"/>
                      <w:lang w:val="en-US" w:eastAsia="zh-CN"/>
                    </w:rPr>
                    <w:t>m</w:t>
                  </w:r>
                  <w:r>
                    <w:rPr>
                      <w:rFonts w:hint="default" w:ascii="Arial" w:hAnsi="Arial" w:cs="Arial"/>
                      <w:color w:val="auto"/>
                      <w:sz w:val="21"/>
                      <w:szCs w:val="21"/>
                      <w:highlight w:val="none"/>
                      <w:lang w:val="en-US" w:eastAsia="zh-CN"/>
                    </w:rPr>
                    <w:t>×</w:t>
                  </w:r>
                  <w:r>
                    <w:rPr>
                      <w:rFonts w:hint="eastAsia"/>
                      <w:color w:val="auto"/>
                    </w:rPr>
                    <w:t>6</w:t>
                  </w:r>
                  <w:r>
                    <w:rPr>
                      <w:rFonts w:hint="eastAsia"/>
                      <w:color w:val="auto"/>
                      <w:sz w:val="21"/>
                      <w:szCs w:val="21"/>
                      <w:highlight w:val="none"/>
                      <w:lang w:val="en-US" w:eastAsia="zh-CN"/>
                    </w:rPr>
                    <w:t>m</w:t>
                  </w:r>
                  <w:r>
                    <w:rPr>
                      <w:rFonts w:hint="default" w:ascii="Arial" w:hAnsi="Arial" w:cs="Arial"/>
                      <w:color w:val="auto"/>
                      <w:sz w:val="21"/>
                      <w:szCs w:val="21"/>
                      <w:highlight w:val="none"/>
                      <w:lang w:val="en-US" w:eastAsia="zh-CN"/>
                    </w:rPr>
                    <w:t>×</w:t>
                  </w:r>
                  <w:r>
                    <w:rPr>
                      <w:rFonts w:hint="eastAsia"/>
                      <w:color w:val="auto"/>
                    </w:rPr>
                    <w:t>3</w:t>
                  </w:r>
                  <w:r>
                    <w:rPr>
                      <w:rFonts w:hint="eastAsia"/>
                      <w:color w:val="auto"/>
                      <w:sz w:val="21"/>
                      <w:szCs w:val="21"/>
                      <w:highlight w:val="none"/>
                      <w:lang w:val="en-US" w:eastAsia="zh-CN"/>
                    </w:rPr>
                    <w:t>m</w:t>
                  </w:r>
                </w:p>
              </w:tc>
              <w:tc>
                <w:tcPr>
                  <w:tcW w:w="807" w:type="pct"/>
                  <w:noWrap w:val="0"/>
                  <w:vAlign w:val="center"/>
                </w:tcPr>
                <w:p w14:paraId="0705F067">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租赁</w:t>
                  </w:r>
                </w:p>
              </w:tc>
            </w:tr>
            <w:tr w14:paraId="07C0D6B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restart"/>
                  <w:noWrap w:val="0"/>
                  <w:vAlign w:val="center"/>
                </w:tcPr>
                <w:p w14:paraId="38C65E31">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color w:val="auto"/>
                      <w:highlight w:val="none"/>
                    </w:rPr>
                  </w:pPr>
                  <w:r>
                    <w:rPr>
                      <w:rFonts w:hint="eastAsia"/>
                      <w:color w:val="auto"/>
                      <w:sz w:val="21"/>
                      <w:szCs w:val="21"/>
                      <w:highlight w:val="none"/>
                      <w:lang w:val="en-US" w:eastAsia="zh-CN"/>
                    </w:rPr>
                    <w:t>储运</w:t>
                  </w:r>
                  <w:r>
                    <w:rPr>
                      <w:rFonts w:hint="default"/>
                      <w:color w:val="auto"/>
                      <w:sz w:val="21"/>
                      <w:szCs w:val="21"/>
                      <w:highlight w:val="none"/>
                    </w:rPr>
                    <w:t>工程</w:t>
                  </w:r>
                </w:p>
              </w:tc>
              <w:tc>
                <w:tcPr>
                  <w:tcW w:w="3796" w:type="pct"/>
                  <w:gridSpan w:val="2"/>
                  <w:noWrap w:val="0"/>
                  <w:vAlign w:val="center"/>
                </w:tcPr>
                <w:p w14:paraId="3E3A409F">
                  <w:pPr>
                    <w:keepNext w:val="0"/>
                    <w:keepLines w:val="0"/>
                    <w:pageBreakBefore w:val="0"/>
                    <w:widowControl/>
                    <w:numPr>
                      <w:ilvl w:val="0"/>
                      <w:numId w:val="0"/>
                    </w:numPr>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eastAsia"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lang w:val="en-US" w:eastAsia="zh-CN"/>
                    </w:rPr>
                    <w:t>危废间：建筑面积20m</w:t>
                  </w:r>
                  <w:r>
                    <w:rPr>
                      <w:rFonts w:hint="eastAsia"/>
                      <w:color w:val="auto"/>
                      <w:sz w:val="21"/>
                      <w:szCs w:val="21"/>
                      <w:highlight w:val="none"/>
                      <w:vertAlign w:val="superscript"/>
                      <w:lang w:val="en-US" w:eastAsia="zh-CN"/>
                    </w:rPr>
                    <w:t>2</w:t>
                  </w:r>
                  <w:r>
                    <w:rPr>
                      <w:rFonts w:hint="eastAsia"/>
                      <w:color w:val="auto"/>
                      <w:sz w:val="21"/>
                      <w:szCs w:val="21"/>
                      <w:highlight w:val="none"/>
                      <w:lang w:val="en-US" w:eastAsia="zh-CN"/>
                    </w:rPr>
                    <w:t>，1个，4m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5m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3m，用于危险废物暂存</w:t>
                  </w:r>
                </w:p>
              </w:tc>
              <w:tc>
                <w:tcPr>
                  <w:tcW w:w="807" w:type="pct"/>
                  <w:noWrap w:val="0"/>
                  <w:vAlign w:val="center"/>
                </w:tcPr>
                <w:p w14:paraId="45BE91B7">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eastAsia"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lang w:val="en-US" w:eastAsia="zh-CN"/>
                    </w:rPr>
                    <w:t>新建</w:t>
                  </w:r>
                </w:p>
              </w:tc>
            </w:tr>
            <w:tr w14:paraId="536D03F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continue"/>
                  <w:noWrap w:val="0"/>
                  <w:vAlign w:val="center"/>
                </w:tcPr>
                <w:p w14:paraId="22BFA6B0">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eastAsia"/>
                      <w:color w:val="auto"/>
                      <w:sz w:val="21"/>
                      <w:szCs w:val="21"/>
                      <w:highlight w:val="none"/>
                      <w:lang w:val="en-US" w:eastAsia="zh-CN"/>
                    </w:rPr>
                  </w:pPr>
                </w:p>
              </w:tc>
              <w:tc>
                <w:tcPr>
                  <w:tcW w:w="3796" w:type="pct"/>
                  <w:gridSpan w:val="2"/>
                  <w:noWrap w:val="0"/>
                  <w:vAlign w:val="center"/>
                </w:tcPr>
                <w:p w14:paraId="22532DD2">
                  <w:pPr>
                    <w:keepNext w:val="0"/>
                    <w:keepLines w:val="0"/>
                    <w:pageBreakBefore w:val="0"/>
                    <w:widowControl/>
                    <w:numPr>
                      <w:ilvl w:val="0"/>
                      <w:numId w:val="0"/>
                    </w:numPr>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eastAsia"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lang w:val="en-US" w:eastAsia="zh-CN"/>
                    </w:rPr>
                    <w:t>一般固废贮存区：占地面积20m</w:t>
                  </w:r>
                  <w:r>
                    <w:rPr>
                      <w:rFonts w:hint="eastAsia"/>
                      <w:color w:val="auto"/>
                      <w:sz w:val="21"/>
                      <w:szCs w:val="21"/>
                      <w:highlight w:val="none"/>
                      <w:vertAlign w:val="superscript"/>
                      <w:lang w:val="en-US" w:eastAsia="zh-CN"/>
                    </w:rPr>
                    <w:t>2</w:t>
                  </w:r>
                  <w:r>
                    <w:rPr>
                      <w:rFonts w:hint="eastAsia"/>
                      <w:color w:val="auto"/>
                      <w:sz w:val="21"/>
                      <w:szCs w:val="21"/>
                      <w:highlight w:val="none"/>
                      <w:lang w:val="en-US" w:eastAsia="zh-CN"/>
                    </w:rPr>
                    <w:t>（5m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4m），用于一般固体废物贮存</w:t>
                  </w:r>
                </w:p>
              </w:tc>
              <w:tc>
                <w:tcPr>
                  <w:tcW w:w="807" w:type="pct"/>
                  <w:noWrap w:val="0"/>
                  <w:vAlign w:val="center"/>
                </w:tcPr>
                <w:p w14:paraId="72080FB1">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both"/>
                    <w:textAlignment w:val="center"/>
                    <w:outlineLvl w:val="9"/>
                    <w:rPr>
                      <w:rFonts w:hint="default"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lang w:val="en-US" w:eastAsia="zh-CN"/>
                    </w:rPr>
                    <w:t>生产车间内</w:t>
                  </w:r>
                </w:p>
              </w:tc>
            </w:tr>
            <w:tr w14:paraId="7352EAF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continue"/>
                  <w:noWrap w:val="0"/>
                  <w:vAlign w:val="center"/>
                </w:tcPr>
                <w:p w14:paraId="0891CAF7">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eastAsia"/>
                      <w:color w:val="auto"/>
                      <w:sz w:val="21"/>
                      <w:szCs w:val="21"/>
                      <w:highlight w:val="none"/>
                      <w:lang w:val="en-US" w:eastAsia="zh-CN"/>
                    </w:rPr>
                  </w:pPr>
                </w:p>
              </w:tc>
              <w:tc>
                <w:tcPr>
                  <w:tcW w:w="3796" w:type="pct"/>
                  <w:gridSpan w:val="2"/>
                  <w:noWrap w:val="0"/>
                  <w:vAlign w:val="center"/>
                </w:tcPr>
                <w:p w14:paraId="5C683522">
                  <w:pPr>
                    <w:keepNext w:val="0"/>
                    <w:keepLines w:val="0"/>
                    <w:pageBreakBefore w:val="0"/>
                    <w:widowControl/>
                    <w:numPr>
                      <w:ilvl w:val="0"/>
                      <w:numId w:val="0"/>
                    </w:numPr>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原料库房：位于车间西南侧，建筑面积30m</w:t>
                  </w:r>
                  <w:r>
                    <w:rPr>
                      <w:rFonts w:hint="eastAsia"/>
                      <w:color w:val="auto"/>
                      <w:sz w:val="21"/>
                      <w:szCs w:val="21"/>
                      <w:highlight w:val="none"/>
                      <w:vertAlign w:val="superscript"/>
                      <w:lang w:val="en-US" w:eastAsia="zh-CN"/>
                    </w:rPr>
                    <w:t>2</w:t>
                  </w:r>
                  <w:r>
                    <w:rPr>
                      <w:rFonts w:hint="eastAsia"/>
                      <w:color w:val="auto"/>
                      <w:sz w:val="21"/>
                      <w:szCs w:val="21"/>
                      <w:highlight w:val="none"/>
                      <w:lang w:val="en-US" w:eastAsia="zh-CN"/>
                    </w:rPr>
                    <w:t>，6m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5m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3m主要用于原料存放</w:t>
                  </w:r>
                </w:p>
              </w:tc>
              <w:tc>
                <w:tcPr>
                  <w:tcW w:w="807" w:type="pct"/>
                  <w:noWrap w:val="0"/>
                  <w:vAlign w:val="center"/>
                </w:tcPr>
                <w:p w14:paraId="5368CEC5">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新建</w:t>
                  </w:r>
                </w:p>
              </w:tc>
            </w:tr>
            <w:tr w14:paraId="070FA84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4" w:hRule="atLeast"/>
                <w:jc w:val="center"/>
              </w:trPr>
              <w:tc>
                <w:tcPr>
                  <w:tcW w:w="395" w:type="pct"/>
                  <w:vMerge w:val="continue"/>
                  <w:noWrap w:val="0"/>
                  <w:vAlign w:val="center"/>
                </w:tcPr>
                <w:p w14:paraId="4DADF03A">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eastAsia"/>
                      <w:color w:val="auto"/>
                      <w:sz w:val="21"/>
                      <w:szCs w:val="21"/>
                      <w:highlight w:val="none"/>
                      <w:lang w:val="en-US" w:eastAsia="zh-CN"/>
                    </w:rPr>
                  </w:pPr>
                </w:p>
              </w:tc>
              <w:tc>
                <w:tcPr>
                  <w:tcW w:w="3796" w:type="pct"/>
                  <w:gridSpan w:val="2"/>
                  <w:noWrap w:val="0"/>
                  <w:vAlign w:val="center"/>
                </w:tcPr>
                <w:p w14:paraId="2EC051CD">
                  <w:pPr>
                    <w:keepNext w:val="0"/>
                    <w:keepLines w:val="0"/>
                    <w:pageBreakBefore w:val="0"/>
                    <w:widowControl/>
                    <w:numPr>
                      <w:ilvl w:val="0"/>
                      <w:numId w:val="0"/>
                    </w:numPr>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厂区内物料采用密闭输送设备，物料均为粒料，上料采用设备配套上料设备，位于密闭车间内</w:t>
                  </w:r>
                </w:p>
              </w:tc>
              <w:tc>
                <w:tcPr>
                  <w:tcW w:w="807" w:type="pct"/>
                  <w:noWrap w:val="0"/>
                  <w:vAlign w:val="center"/>
                </w:tcPr>
                <w:p w14:paraId="6F82C3E0">
                  <w:pPr>
                    <w:keepNext w:val="0"/>
                    <w:keepLines w:val="0"/>
                    <w:pageBreakBefore w:val="0"/>
                    <w:widowControl/>
                    <w:suppressLineNumbers w:val="0"/>
                    <w:kinsoku/>
                    <w:wordWrap/>
                    <w:overflowPunct/>
                    <w:topLinePunct w:val="0"/>
                    <w:autoSpaceDE/>
                    <w:autoSpaceDN/>
                    <w:bidi w:val="0"/>
                    <w:spacing w:line="240" w:lineRule="auto"/>
                    <w:ind w:left="0" w:leftChars="0" w:right="0" w:rightChars="0" w:firstLine="0" w:firstLineChars="0"/>
                    <w:jc w:val="center"/>
                    <w:textAlignment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w:t>
                  </w:r>
                </w:p>
              </w:tc>
            </w:tr>
            <w:tr w14:paraId="7EA8B8D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restart"/>
                  <w:noWrap w:val="0"/>
                  <w:vAlign w:val="center"/>
                </w:tcPr>
                <w:p w14:paraId="75D60080">
                  <w:pPr>
                    <w:pStyle w:val="32"/>
                    <w:keepNext w:val="0"/>
                    <w:keepLines w:val="0"/>
                    <w:pageBreakBefore w:val="0"/>
                    <w:widowControl w:val="0"/>
                    <w:kinsoku/>
                    <w:wordWrap/>
                    <w:overflowPunct/>
                    <w:topLinePunct w:val="0"/>
                    <w:autoSpaceDE/>
                    <w:autoSpaceDN/>
                    <w:bidi w:val="0"/>
                    <w:adjustRightInd w:val="0"/>
                    <w:snapToGrid w:val="0"/>
                    <w:spacing w:before="0" w:after="0" w:line="240" w:lineRule="auto"/>
                    <w:ind w:left="0" w:leftChars="0" w:right="0" w:rightChars="0" w:firstLine="0" w:firstLineChars="0"/>
                    <w:jc w:val="center"/>
                    <w:textAlignment w:val="auto"/>
                    <w:outlineLvl w:val="9"/>
                    <w:rPr>
                      <w:rFonts w:hint="default"/>
                      <w:color w:val="auto"/>
                      <w:sz w:val="21"/>
                      <w:szCs w:val="21"/>
                      <w:highlight w:val="none"/>
                    </w:rPr>
                  </w:pPr>
                  <w:r>
                    <w:rPr>
                      <w:rFonts w:hint="default"/>
                      <w:color w:val="auto"/>
                      <w:sz w:val="21"/>
                      <w:szCs w:val="21"/>
                      <w:highlight w:val="none"/>
                    </w:rPr>
                    <w:t>公用</w:t>
                  </w:r>
                </w:p>
                <w:p w14:paraId="7FA6EEB9">
                  <w:pPr>
                    <w:pStyle w:val="32"/>
                    <w:keepNext w:val="0"/>
                    <w:keepLines w:val="0"/>
                    <w:pageBreakBefore w:val="0"/>
                    <w:widowControl w:val="0"/>
                    <w:kinsoku/>
                    <w:wordWrap/>
                    <w:overflowPunct/>
                    <w:topLinePunct w:val="0"/>
                    <w:autoSpaceDE/>
                    <w:autoSpaceDN/>
                    <w:bidi w:val="0"/>
                    <w:adjustRightInd w:val="0"/>
                    <w:snapToGrid w:val="0"/>
                    <w:spacing w:before="0" w:after="0" w:line="240" w:lineRule="auto"/>
                    <w:ind w:left="0" w:leftChars="0" w:right="0" w:rightChars="0" w:firstLine="0" w:firstLineChars="0"/>
                    <w:jc w:val="center"/>
                    <w:textAlignment w:val="auto"/>
                    <w:outlineLvl w:val="9"/>
                    <w:rPr>
                      <w:rFonts w:hint="default"/>
                      <w:color w:val="auto"/>
                      <w:sz w:val="21"/>
                      <w:szCs w:val="21"/>
                      <w:highlight w:val="none"/>
                    </w:rPr>
                  </w:pPr>
                  <w:r>
                    <w:rPr>
                      <w:rFonts w:hint="default"/>
                      <w:color w:val="auto"/>
                      <w:sz w:val="21"/>
                      <w:szCs w:val="21"/>
                      <w:highlight w:val="none"/>
                    </w:rPr>
                    <w:t>工程</w:t>
                  </w:r>
                </w:p>
              </w:tc>
              <w:tc>
                <w:tcPr>
                  <w:tcW w:w="673" w:type="pct"/>
                  <w:noWrap w:val="0"/>
                  <w:vAlign w:val="center"/>
                </w:tcPr>
                <w:p w14:paraId="44F46DE4">
                  <w:pPr>
                    <w:pStyle w:val="111"/>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供电</w:t>
                  </w:r>
                </w:p>
              </w:tc>
              <w:tc>
                <w:tcPr>
                  <w:tcW w:w="3122" w:type="pct"/>
                  <w:noWrap w:val="0"/>
                  <w:vAlign w:val="center"/>
                </w:tcPr>
                <w:p w14:paraId="3FBE03E7">
                  <w:pPr>
                    <w:pStyle w:val="111"/>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rPr>
                  </w:pPr>
                  <w:r>
                    <w:rPr>
                      <w:rFonts w:hint="default"/>
                      <w:color w:val="auto"/>
                      <w:sz w:val="21"/>
                      <w:szCs w:val="21"/>
                      <w:highlight w:val="none"/>
                    </w:rPr>
                    <w:t>由行唐县供电总公司提供</w:t>
                  </w:r>
                  <w:r>
                    <w:rPr>
                      <w:rFonts w:hint="eastAsia"/>
                      <w:color w:val="auto"/>
                      <w:sz w:val="21"/>
                      <w:szCs w:val="21"/>
                      <w:highlight w:val="none"/>
                      <w:lang w:eastAsia="zh-CN"/>
                    </w:rPr>
                    <w:t>，</w:t>
                  </w:r>
                  <w:r>
                    <w:rPr>
                      <w:rFonts w:hint="eastAsia"/>
                      <w:color w:val="auto"/>
                      <w:sz w:val="21"/>
                      <w:szCs w:val="21"/>
                      <w:highlight w:val="none"/>
                      <w:lang w:val="en-US" w:eastAsia="zh-CN"/>
                    </w:rPr>
                    <w:t>项目配备400KVA变压器1座，满足供电需求。</w:t>
                  </w:r>
                </w:p>
              </w:tc>
              <w:tc>
                <w:tcPr>
                  <w:tcW w:w="807" w:type="pct"/>
                  <w:noWrap w:val="0"/>
                  <w:vAlign w:val="center"/>
                </w:tcPr>
                <w:p w14:paraId="20D26C4D">
                  <w:pPr>
                    <w:pStyle w:val="111"/>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w:t>
                  </w:r>
                </w:p>
              </w:tc>
            </w:tr>
            <w:tr w14:paraId="08FC05E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continue"/>
                  <w:noWrap w:val="0"/>
                  <w:vAlign w:val="center"/>
                </w:tcPr>
                <w:p w14:paraId="29DF9278">
                  <w:pPr>
                    <w:pStyle w:val="32"/>
                    <w:keepNext w:val="0"/>
                    <w:keepLines w:val="0"/>
                    <w:pageBreakBefore w:val="0"/>
                    <w:widowControl w:val="0"/>
                    <w:kinsoku/>
                    <w:wordWrap/>
                    <w:overflowPunct/>
                    <w:topLinePunct w:val="0"/>
                    <w:autoSpaceDE/>
                    <w:autoSpaceDN/>
                    <w:bidi w:val="0"/>
                    <w:adjustRightInd w:val="0"/>
                    <w:snapToGrid w:val="0"/>
                    <w:spacing w:before="0" w:after="0" w:line="240" w:lineRule="auto"/>
                    <w:ind w:left="0" w:leftChars="0" w:right="0" w:rightChars="0" w:firstLine="0" w:firstLineChars="0"/>
                    <w:jc w:val="center"/>
                    <w:textAlignment w:val="auto"/>
                    <w:outlineLvl w:val="9"/>
                    <w:rPr>
                      <w:rFonts w:hint="default"/>
                      <w:color w:val="auto"/>
                      <w:sz w:val="21"/>
                      <w:szCs w:val="21"/>
                      <w:highlight w:val="none"/>
                    </w:rPr>
                  </w:pPr>
                </w:p>
              </w:tc>
              <w:tc>
                <w:tcPr>
                  <w:tcW w:w="673" w:type="pct"/>
                  <w:noWrap w:val="0"/>
                  <w:vAlign w:val="center"/>
                </w:tcPr>
                <w:p w14:paraId="3AAE11AF">
                  <w:pPr>
                    <w:pStyle w:val="111"/>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en-US" w:eastAsia="zh-CN"/>
                    </w:rPr>
                  </w:pPr>
                  <w:r>
                    <w:rPr>
                      <w:rFonts w:hint="default"/>
                      <w:color w:val="auto"/>
                      <w:sz w:val="21"/>
                      <w:szCs w:val="21"/>
                      <w:highlight w:val="none"/>
                    </w:rPr>
                    <w:t>供水</w:t>
                  </w:r>
                </w:p>
              </w:tc>
              <w:tc>
                <w:tcPr>
                  <w:tcW w:w="3122" w:type="pct"/>
                  <w:noWrap w:val="0"/>
                  <w:vAlign w:val="center"/>
                </w:tcPr>
                <w:p w14:paraId="42321EAC">
                  <w:pPr>
                    <w:pStyle w:val="111"/>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rPr>
                  </w:pPr>
                  <w:r>
                    <w:rPr>
                      <w:rFonts w:hint="default"/>
                      <w:color w:val="auto"/>
                      <w:sz w:val="21"/>
                      <w:szCs w:val="21"/>
                      <w:highlight w:val="none"/>
                    </w:rPr>
                    <w:t>由园区集中供水</w:t>
                  </w:r>
                  <w:r>
                    <w:rPr>
                      <w:rFonts w:hint="eastAsia"/>
                      <w:color w:val="auto"/>
                      <w:sz w:val="21"/>
                      <w:szCs w:val="21"/>
                      <w:highlight w:val="none"/>
                      <w:lang w:val="en-US" w:eastAsia="zh-CN"/>
                    </w:rPr>
                    <w:t>管网。</w:t>
                  </w:r>
                </w:p>
              </w:tc>
              <w:tc>
                <w:tcPr>
                  <w:tcW w:w="807" w:type="pct"/>
                  <w:noWrap w:val="0"/>
                  <w:vAlign w:val="center"/>
                </w:tcPr>
                <w:p w14:paraId="38187E61">
                  <w:pPr>
                    <w:pStyle w:val="111"/>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w:t>
                  </w:r>
                </w:p>
              </w:tc>
            </w:tr>
            <w:tr w14:paraId="2C472C2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95" w:type="pct"/>
                  <w:vMerge w:val="continue"/>
                  <w:noWrap w:val="0"/>
                  <w:vAlign w:val="center"/>
                </w:tcPr>
                <w:p w14:paraId="668E3B7D">
                  <w:pPr>
                    <w:pStyle w:val="32"/>
                    <w:keepNext w:val="0"/>
                    <w:keepLines w:val="0"/>
                    <w:pageBreakBefore w:val="0"/>
                    <w:widowControl w:val="0"/>
                    <w:kinsoku/>
                    <w:wordWrap/>
                    <w:overflowPunct/>
                    <w:topLinePunct w:val="0"/>
                    <w:autoSpaceDE/>
                    <w:autoSpaceDN/>
                    <w:bidi w:val="0"/>
                    <w:adjustRightInd w:val="0"/>
                    <w:snapToGrid w:val="0"/>
                    <w:spacing w:before="0" w:after="0" w:line="240" w:lineRule="auto"/>
                    <w:ind w:left="0" w:leftChars="0" w:right="0" w:rightChars="0" w:firstLine="0" w:firstLineChars="0"/>
                    <w:jc w:val="center"/>
                    <w:textAlignment w:val="auto"/>
                    <w:outlineLvl w:val="9"/>
                    <w:rPr>
                      <w:rFonts w:hint="default"/>
                      <w:color w:val="auto"/>
                      <w:sz w:val="21"/>
                      <w:szCs w:val="21"/>
                      <w:highlight w:val="none"/>
                    </w:rPr>
                  </w:pPr>
                </w:p>
              </w:tc>
              <w:tc>
                <w:tcPr>
                  <w:tcW w:w="673" w:type="pct"/>
                  <w:noWrap w:val="0"/>
                  <w:vAlign w:val="center"/>
                </w:tcPr>
                <w:p w14:paraId="7B5692E7">
                  <w:pPr>
                    <w:pStyle w:val="111"/>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en-US" w:eastAsia="zh-CN"/>
                    </w:rPr>
                  </w:pPr>
                  <w:r>
                    <w:rPr>
                      <w:rFonts w:hint="default"/>
                      <w:color w:val="auto"/>
                      <w:sz w:val="21"/>
                      <w:szCs w:val="21"/>
                      <w:highlight w:val="none"/>
                    </w:rPr>
                    <w:t>供热</w:t>
                  </w:r>
                </w:p>
              </w:tc>
              <w:tc>
                <w:tcPr>
                  <w:tcW w:w="3122" w:type="pct"/>
                  <w:noWrap w:val="0"/>
                  <w:vAlign w:val="center"/>
                </w:tcPr>
                <w:p w14:paraId="18F4ABC5">
                  <w:pPr>
                    <w:pStyle w:val="111"/>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生产用热使用石家庄玉晶玻璃有限公司蒸汽，办公使用空调</w:t>
                  </w:r>
                </w:p>
              </w:tc>
              <w:tc>
                <w:tcPr>
                  <w:tcW w:w="807" w:type="pct"/>
                  <w:noWrap w:val="0"/>
                  <w:vAlign w:val="center"/>
                </w:tcPr>
                <w:p w14:paraId="20706874">
                  <w:pPr>
                    <w:pStyle w:val="111"/>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w:t>
                  </w:r>
                </w:p>
              </w:tc>
            </w:tr>
            <w:tr w14:paraId="772EF25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restart"/>
                  <w:noWrap w:val="0"/>
                  <w:vAlign w:val="center"/>
                </w:tcPr>
                <w:p w14:paraId="0933559F">
                  <w:pPr>
                    <w:pStyle w:val="32"/>
                    <w:keepNext w:val="0"/>
                    <w:keepLines w:val="0"/>
                    <w:pageBreakBefore w:val="0"/>
                    <w:widowControl w:val="0"/>
                    <w:kinsoku/>
                    <w:wordWrap/>
                    <w:overflowPunct/>
                    <w:topLinePunct w:val="0"/>
                    <w:autoSpaceDE/>
                    <w:autoSpaceDN/>
                    <w:bidi w:val="0"/>
                    <w:adjustRightInd w:val="0"/>
                    <w:snapToGrid w:val="0"/>
                    <w:spacing w:before="0" w:after="0" w:line="240" w:lineRule="auto"/>
                    <w:ind w:left="0" w:leftChars="0" w:right="0" w:rightChars="0" w:firstLine="0" w:firstLineChars="0"/>
                    <w:jc w:val="center"/>
                    <w:textAlignment w:val="auto"/>
                    <w:outlineLvl w:val="9"/>
                    <w:rPr>
                      <w:rFonts w:hint="default"/>
                      <w:color w:val="auto"/>
                      <w:sz w:val="21"/>
                      <w:szCs w:val="21"/>
                      <w:highlight w:val="none"/>
                    </w:rPr>
                  </w:pPr>
                  <w:r>
                    <w:rPr>
                      <w:rFonts w:hint="default"/>
                      <w:color w:val="auto"/>
                      <w:sz w:val="21"/>
                      <w:szCs w:val="21"/>
                      <w:highlight w:val="none"/>
                    </w:rPr>
                    <w:t>环保工程</w:t>
                  </w:r>
                </w:p>
                <w:p w14:paraId="7B778853">
                  <w:pPr>
                    <w:pStyle w:val="32"/>
                    <w:keepNext w:val="0"/>
                    <w:keepLines w:val="0"/>
                    <w:pageBreakBefore w:val="0"/>
                    <w:widowControl w:val="0"/>
                    <w:kinsoku/>
                    <w:wordWrap/>
                    <w:overflowPunct/>
                    <w:topLinePunct w:val="0"/>
                    <w:autoSpaceDE/>
                    <w:autoSpaceDN/>
                    <w:bidi w:val="0"/>
                    <w:adjustRightInd w:val="0"/>
                    <w:snapToGrid w:val="0"/>
                    <w:spacing w:before="0" w:after="0" w:line="240" w:lineRule="auto"/>
                    <w:ind w:left="0" w:leftChars="0" w:right="0" w:rightChars="0" w:firstLine="0" w:firstLineChars="0"/>
                    <w:jc w:val="center"/>
                    <w:textAlignment w:val="auto"/>
                    <w:outlineLvl w:val="9"/>
                    <w:rPr>
                      <w:rFonts w:hint="default"/>
                      <w:color w:val="auto"/>
                      <w:sz w:val="21"/>
                      <w:szCs w:val="21"/>
                      <w:highlight w:val="none"/>
                    </w:rPr>
                  </w:pPr>
                </w:p>
                <w:p w14:paraId="01EDD619">
                  <w:pPr>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rPr>
                  </w:pPr>
                </w:p>
              </w:tc>
              <w:tc>
                <w:tcPr>
                  <w:tcW w:w="673" w:type="pct"/>
                  <w:noWrap w:val="0"/>
                  <w:vAlign w:val="center"/>
                </w:tcPr>
                <w:p w14:paraId="32F20A42">
                  <w:pPr>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zh-CN" w:eastAsia="zh-CN"/>
                    </w:rPr>
                  </w:pPr>
                  <w:r>
                    <w:rPr>
                      <w:rFonts w:hint="default"/>
                      <w:color w:val="auto"/>
                      <w:sz w:val="21"/>
                      <w:szCs w:val="21"/>
                      <w:highlight w:val="none"/>
                      <w:lang w:val="zh-CN"/>
                    </w:rPr>
                    <w:t>废水治理</w:t>
                  </w:r>
                </w:p>
              </w:tc>
              <w:tc>
                <w:tcPr>
                  <w:tcW w:w="3930" w:type="pct"/>
                  <w:gridSpan w:val="2"/>
                  <w:noWrap w:val="0"/>
                  <w:vAlign w:val="center"/>
                </w:tcPr>
                <w:p w14:paraId="369988BB">
                  <w:pPr>
                    <w:keepLines w:val="0"/>
                    <w:pageBreakBefore w:val="0"/>
                    <w:numPr>
                      <w:ilvl w:val="0"/>
                      <w:numId w:val="0"/>
                    </w:numPr>
                    <w:kinsoku/>
                    <w:wordWrap/>
                    <w:overflowPunct/>
                    <w:topLinePunct w:val="0"/>
                    <w:autoSpaceDE/>
                    <w:autoSpaceDN/>
                    <w:bidi w:val="0"/>
                    <w:spacing w:line="240" w:lineRule="auto"/>
                    <w:ind w:leftChars="0" w:right="0" w:rightChars="0"/>
                    <w:jc w:val="center"/>
                    <w:outlineLvl w:val="9"/>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1.冷却水循环使用，无生产废水外排。</w:t>
                  </w:r>
                </w:p>
                <w:p w14:paraId="4C6415AD">
                  <w:pPr>
                    <w:keepLines w:val="0"/>
                    <w:pageBreakBefore w:val="0"/>
                    <w:kinsoku/>
                    <w:wordWrap/>
                    <w:overflowPunct/>
                    <w:topLinePunct w:val="0"/>
                    <w:autoSpaceDE/>
                    <w:autoSpaceDN/>
                    <w:bidi w:val="0"/>
                    <w:spacing w:before="0" w:line="240" w:lineRule="auto"/>
                    <w:ind w:left="0" w:leftChars="0" w:right="0" w:rightChars="0" w:firstLine="0" w:firstLineChars="0"/>
                    <w:jc w:val="center"/>
                    <w:outlineLvl w:val="9"/>
                    <w:rPr>
                      <w:rFonts w:hint="default" w:ascii="Times New Roman" w:hAnsi="Times New Roman" w:eastAsia="宋体" w:cs="Times New Roman"/>
                      <w:b w:val="0"/>
                      <w:bCs w:val="0"/>
                      <w:color w:val="auto"/>
                      <w:kern w:val="0"/>
                      <w:sz w:val="21"/>
                      <w:szCs w:val="21"/>
                      <w:highlight w:val="none"/>
                      <w:lang w:val="en-US" w:eastAsia="zh-CN" w:bidi="ar-SA"/>
                    </w:rPr>
                  </w:pPr>
                  <w:r>
                    <w:rPr>
                      <w:rFonts w:hint="eastAsia" w:ascii="Times New Roman" w:hAnsi="Times New Roman" w:eastAsia="宋体" w:cs="Times New Roman"/>
                      <w:b w:val="0"/>
                      <w:bCs w:val="0"/>
                      <w:color w:val="auto"/>
                      <w:kern w:val="0"/>
                      <w:sz w:val="21"/>
                      <w:szCs w:val="21"/>
                      <w:highlight w:val="none"/>
                      <w:lang w:val="en-US" w:eastAsia="zh-CN" w:bidi="ar-SA"/>
                    </w:rPr>
                    <w:t>2.蒸汽冷凝水不外排，代替新鲜水作为冷却水补水。</w:t>
                  </w:r>
                </w:p>
                <w:p w14:paraId="25035F6F">
                  <w:pPr>
                    <w:keepLines w:val="0"/>
                    <w:pageBreakBefore w:val="0"/>
                    <w:numPr>
                      <w:ilvl w:val="0"/>
                      <w:numId w:val="0"/>
                    </w:numPr>
                    <w:kinsoku/>
                    <w:wordWrap/>
                    <w:overflowPunct/>
                    <w:topLinePunct w:val="0"/>
                    <w:autoSpaceDE/>
                    <w:autoSpaceDN/>
                    <w:bidi w:val="0"/>
                    <w:spacing w:line="240" w:lineRule="auto"/>
                    <w:ind w:left="0" w:leftChars="0" w:right="0" w:rightChars="0" w:firstLine="0" w:firstLineChars="0"/>
                    <w:jc w:val="center"/>
                    <w:outlineLvl w:val="9"/>
                    <w:rPr>
                      <w:rFonts w:hint="default"/>
                      <w:color w:val="auto"/>
                      <w:highlight w:val="none"/>
                      <w:lang w:eastAsia="zh-CN"/>
                    </w:rPr>
                  </w:pPr>
                  <w:r>
                    <w:rPr>
                      <w:rFonts w:hint="eastAsia" w:eastAsia="宋体" w:cs="Times New Roman"/>
                      <w:b w:val="0"/>
                      <w:bCs w:val="0"/>
                      <w:color w:val="auto"/>
                      <w:kern w:val="0"/>
                      <w:sz w:val="21"/>
                      <w:szCs w:val="21"/>
                      <w:highlight w:val="none"/>
                      <w:lang w:val="en-US" w:eastAsia="zh-CN" w:bidi="ar-SA"/>
                    </w:rPr>
                    <w:t>3.</w:t>
                  </w:r>
                  <w:r>
                    <w:rPr>
                      <w:rFonts w:hint="eastAsia" w:ascii="Times New Roman" w:hAnsi="Times New Roman" w:eastAsia="宋体" w:cs="Times New Roman"/>
                      <w:bCs/>
                      <w:color w:val="auto"/>
                      <w:spacing w:val="-11"/>
                      <w:kern w:val="0"/>
                      <w:sz w:val="21"/>
                      <w:szCs w:val="21"/>
                      <w:highlight w:val="none"/>
                      <w:lang w:val="en-US" w:eastAsia="zh-CN" w:bidi="ar"/>
                    </w:rPr>
                    <w:t>项目无生产废水排放，仅职工生活废水。厂区设防渗旱厕，生活污水排入防渗旱厕，定期清掏，不外排。</w:t>
                  </w:r>
                </w:p>
              </w:tc>
            </w:tr>
            <w:tr w14:paraId="0CCB1C3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continue"/>
                  <w:noWrap w:val="0"/>
                  <w:vAlign w:val="center"/>
                </w:tcPr>
                <w:p w14:paraId="494F5417">
                  <w:pPr>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rPr>
                  </w:pPr>
                </w:p>
              </w:tc>
              <w:tc>
                <w:tcPr>
                  <w:tcW w:w="673" w:type="pct"/>
                  <w:noWrap w:val="0"/>
                  <w:vAlign w:val="center"/>
                </w:tcPr>
                <w:p w14:paraId="4896F883">
                  <w:pPr>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zh-CN"/>
                    </w:rPr>
                  </w:pPr>
                  <w:r>
                    <w:rPr>
                      <w:rFonts w:hint="default"/>
                      <w:color w:val="auto"/>
                      <w:sz w:val="21"/>
                      <w:szCs w:val="21"/>
                      <w:highlight w:val="none"/>
                      <w:lang w:val="zh-CN"/>
                    </w:rPr>
                    <w:t>废气治理</w:t>
                  </w:r>
                </w:p>
              </w:tc>
              <w:tc>
                <w:tcPr>
                  <w:tcW w:w="3930" w:type="pct"/>
                  <w:gridSpan w:val="2"/>
                  <w:noWrap w:val="0"/>
                  <w:vAlign w:val="center"/>
                </w:tcPr>
                <w:p w14:paraId="12356AFF">
                  <w:pPr>
                    <w:keepLines w:val="0"/>
                    <w:pageBreakBefore w:val="0"/>
                    <w:numPr>
                      <w:ilvl w:val="0"/>
                      <w:numId w:val="0"/>
                    </w:numPr>
                    <w:kinsoku/>
                    <w:wordWrap/>
                    <w:overflowPunct/>
                    <w:topLinePunct w:val="0"/>
                    <w:autoSpaceDE/>
                    <w:autoSpaceDN/>
                    <w:bidi w:val="0"/>
                    <w:spacing w:line="240" w:lineRule="auto"/>
                    <w:ind w:left="0" w:leftChars="0" w:right="0" w:rightChars="0" w:firstLine="0" w:firstLineChars="0"/>
                    <w:jc w:val="center"/>
                    <w:outlineLvl w:val="9"/>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发泡机及成型机密闭，出料口设置集气罩；切割工序在操作工序上方设置集气罩。集气罩四周均设置软帘收集；真空泵废气管道收集；发泡废气经</w:t>
                  </w:r>
                  <w:r>
                    <w:rPr>
                      <w:rFonts w:hint="eastAsia" w:cs="Times New Roman"/>
                      <w:color w:val="auto"/>
                      <w:sz w:val="21"/>
                      <w:szCs w:val="21"/>
                      <w:highlight w:val="none"/>
                      <w:lang w:val="en-US" w:eastAsia="zh-CN"/>
                    </w:rPr>
                    <w:t>气液分离</w:t>
                  </w:r>
                  <w:r>
                    <w:rPr>
                      <w:rFonts w:hint="default" w:cs="Times New Roman"/>
                      <w:color w:val="auto"/>
                      <w:sz w:val="21"/>
                      <w:szCs w:val="21"/>
                      <w:highlight w:val="none"/>
                      <w:lang w:val="en-US" w:eastAsia="zh-CN"/>
                    </w:rPr>
                    <w:t>预处理后与其他废气采用“活性炭吸附TA001</w:t>
                  </w:r>
                  <w:r>
                    <w:rPr>
                      <w:rFonts w:hint="eastAsia" w:cs="Times New Roman"/>
                      <w:color w:val="auto"/>
                      <w:sz w:val="21"/>
                      <w:szCs w:val="21"/>
                      <w:highlight w:val="none"/>
                      <w:lang w:val="en-US" w:eastAsia="zh-CN"/>
                    </w:rPr>
                    <w:t>-脱附催化燃烧</w:t>
                  </w:r>
                  <w:r>
                    <w:rPr>
                      <w:rFonts w:hint="default" w:cs="Times New Roman"/>
                      <w:color w:val="auto"/>
                      <w:sz w:val="21"/>
                      <w:szCs w:val="21"/>
                      <w:highlight w:val="none"/>
                      <w:lang w:val="en-US" w:eastAsia="zh-CN"/>
                    </w:rPr>
                    <w:t>TA00</w:t>
                  </w:r>
                  <w:r>
                    <w:rPr>
                      <w:rFonts w:hint="eastAsia" w:cs="Times New Roman"/>
                      <w:color w:val="auto"/>
                      <w:sz w:val="21"/>
                      <w:szCs w:val="21"/>
                      <w:highlight w:val="none"/>
                      <w:lang w:val="en-US" w:eastAsia="zh-CN"/>
                    </w:rPr>
                    <w:t>2</w:t>
                  </w:r>
                  <w:r>
                    <w:rPr>
                      <w:rFonts w:hint="default" w:cs="Times New Roman"/>
                      <w:color w:val="auto"/>
                      <w:sz w:val="21"/>
                      <w:szCs w:val="21"/>
                      <w:highlight w:val="none"/>
                      <w:lang w:val="en-US" w:eastAsia="zh-CN"/>
                    </w:rPr>
                    <w:t>”处理后经15m高排气筒DA001排放</w:t>
                  </w:r>
                </w:p>
              </w:tc>
            </w:tr>
            <w:tr w14:paraId="7E0F90D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continue"/>
                  <w:noWrap w:val="0"/>
                  <w:vAlign w:val="center"/>
                </w:tcPr>
                <w:p w14:paraId="64B5C359">
                  <w:pPr>
                    <w:pStyle w:val="32"/>
                    <w:keepNext w:val="0"/>
                    <w:keepLines w:val="0"/>
                    <w:pageBreakBefore w:val="0"/>
                    <w:widowControl w:val="0"/>
                    <w:kinsoku/>
                    <w:wordWrap/>
                    <w:overflowPunct/>
                    <w:topLinePunct w:val="0"/>
                    <w:autoSpaceDE/>
                    <w:autoSpaceDN/>
                    <w:bidi w:val="0"/>
                    <w:adjustRightInd w:val="0"/>
                    <w:snapToGrid w:val="0"/>
                    <w:spacing w:before="0" w:after="0" w:line="240" w:lineRule="auto"/>
                    <w:ind w:left="0" w:leftChars="0" w:right="0" w:rightChars="0" w:firstLine="0" w:firstLineChars="0"/>
                    <w:jc w:val="center"/>
                    <w:textAlignment w:val="auto"/>
                    <w:outlineLvl w:val="9"/>
                    <w:rPr>
                      <w:rFonts w:hint="default"/>
                      <w:color w:val="auto"/>
                      <w:sz w:val="21"/>
                      <w:szCs w:val="21"/>
                      <w:highlight w:val="none"/>
                    </w:rPr>
                  </w:pPr>
                </w:p>
              </w:tc>
              <w:tc>
                <w:tcPr>
                  <w:tcW w:w="673" w:type="pct"/>
                  <w:noWrap w:val="0"/>
                  <w:vAlign w:val="center"/>
                </w:tcPr>
                <w:p w14:paraId="26C85DC4">
                  <w:pPr>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zh-CN"/>
                    </w:rPr>
                  </w:pPr>
                  <w:r>
                    <w:rPr>
                      <w:rFonts w:hint="default"/>
                      <w:color w:val="auto"/>
                      <w:sz w:val="21"/>
                      <w:szCs w:val="21"/>
                      <w:highlight w:val="none"/>
                      <w:lang w:val="zh-CN"/>
                    </w:rPr>
                    <w:t>固体废物治理</w:t>
                  </w:r>
                </w:p>
              </w:tc>
              <w:tc>
                <w:tcPr>
                  <w:tcW w:w="3930" w:type="pct"/>
                  <w:gridSpan w:val="2"/>
                  <w:noWrap w:val="0"/>
                  <w:vAlign w:val="center"/>
                </w:tcPr>
                <w:p w14:paraId="2C8523E6">
                  <w:pPr>
                    <w:pStyle w:val="111"/>
                    <w:keepLines w:val="0"/>
                    <w:pageBreakBefore w:val="0"/>
                    <w:numPr>
                      <w:ilvl w:val="0"/>
                      <w:numId w:val="19"/>
                    </w:numPr>
                    <w:kinsoku/>
                    <w:wordWrap/>
                    <w:overflowPunct/>
                    <w:topLinePunct w:val="0"/>
                    <w:autoSpaceDE/>
                    <w:autoSpaceDN/>
                    <w:bidi w:val="0"/>
                    <w:spacing w:line="240" w:lineRule="auto"/>
                    <w:ind w:left="0" w:leftChars="0" w:right="0" w:rightChars="0" w:firstLine="0" w:firstLineChars="0"/>
                    <w:jc w:val="center"/>
                    <w:outlineLvl w:val="9"/>
                    <w:rPr>
                      <w:rFonts w:hint="eastAsia"/>
                      <w:color w:val="auto"/>
                      <w:sz w:val="21"/>
                      <w:szCs w:val="21"/>
                      <w:highlight w:val="none"/>
                      <w:lang w:val="en-US" w:eastAsia="zh-CN"/>
                    </w:rPr>
                  </w:pPr>
                  <w:r>
                    <w:rPr>
                      <w:rFonts w:hint="eastAsia"/>
                      <w:color w:val="auto"/>
                      <w:sz w:val="21"/>
                      <w:szCs w:val="21"/>
                      <w:highlight w:val="none"/>
                      <w:lang w:val="en-US" w:eastAsia="zh-CN"/>
                    </w:rPr>
                    <w:t>废包装：外卖废品收购站。</w:t>
                  </w:r>
                </w:p>
                <w:p w14:paraId="2DF388CD">
                  <w:pPr>
                    <w:pStyle w:val="111"/>
                    <w:keepLines w:val="0"/>
                    <w:pageBreakBefore w:val="0"/>
                    <w:numPr>
                      <w:ilvl w:val="0"/>
                      <w:numId w:val="19"/>
                    </w:numPr>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不合格产品及边角料：外卖废品收购站。</w:t>
                  </w:r>
                </w:p>
                <w:p w14:paraId="4ACB2913">
                  <w:pPr>
                    <w:pStyle w:val="111"/>
                    <w:keepLines w:val="0"/>
                    <w:pageBreakBefore w:val="0"/>
                    <w:numPr>
                      <w:ilvl w:val="0"/>
                      <w:numId w:val="19"/>
                    </w:numPr>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废活性炭、废催化剂：统一收集、危险废物暂存间暂存，交资质单位处置。</w:t>
                  </w:r>
                </w:p>
                <w:p w14:paraId="6F31BB85">
                  <w:pPr>
                    <w:pStyle w:val="111"/>
                    <w:keepLines w:val="0"/>
                    <w:pageBreakBefore w:val="0"/>
                    <w:numPr>
                      <w:ilvl w:val="0"/>
                      <w:numId w:val="19"/>
                    </w:numPr>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生活垃圾：统一收集后交环卫部门统一处理。</w:t>
                  </w:r>
                </w:p>
              </w:tc>
            </w:tr>
            <w:tr w14:paraId="7D0CBBD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5" w:type="pct"/>
                  <w:vMerge w:val="continue"/>
                  <w:noWrap w:val="0"/>
                  <w:vAlign w:val="center"/>
                </w:tcPr>
                <w:p w14:paraId="09F4FBEA">
                  <w:pPr>
                    <w:pStyle w:val="32"/>
                    <w:keepNext w:val="0"/>
                    <w:keepLines w:val="0"/>
                    <w:pageBreakBefore w:val="0"/>
                    <w:widowControl w:val="0"/>
                    <w:kinsoku/>
                    <w:wordWrap/>
                    <w:overflowPunct/>
                    <w:topLinePunct w:val="0"/>
                    <w:autoSpaceDE/>
                    <w:autoSpaceDN/>
                    <w:bidi w:val="0"/>
                    <w:adjustRightInd w:val="0"/>
                    <w:snapToGrid w:val="0"/>
                    <w:spacing w:before="0" w:after="0" w:line="240" w:lineRule="auto"/>
                    <w:ind w:left="0" w:leftChars="0" w:right="0" w:rightChars="0" w:firstLine="0" w:firstLineChars="0"/>
                    <w:jc w:val="center"/>
                    <w:textAlignment w:val="auto"/>
                    <w:outlineLvl w:val="9"/>
                    <w:rPr>
                      <w:rFonts w:hint="default"/>
                      <w:color w:val="auto"/>
                      <w:sz w:val="21"/>
                      <w:szCs w:val="21"/>
                      <w:highlight w:val="none"/>
                    </w:rPr>
                  </w:pPr>
                </w:p>
              </w:tc>
              <w:tc>
                <w:tcPr>
                  <w:tcW w:w="673" w:type="pct"/>
                  <w:noWrap w:val="0"/>
                  <w:vAlign w:val="center"/>
                </w:tcPr>
                <w:p w14:paraId="019778B6">
                  <w:pPr>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zh-CN"/>
                    </w:rPr>
                  </w:pPr>
                  <w:r>
                    <w:rPr>
                      <w:rFonts w:hint="default"/>
                      <w:color w:val="auto"/>
                      <w:sz w:val="21"/>
                      <w:szCs w:val="21"/>
                      <w:highlight w:val="none"/>
                      <w:lang w:val="zh-CN"/>
                    </w:rPr>
                    <w:t>噪声治理</w:t>
                  </w:r>
                </w:p>
              </w:tc>
              <w:tc>
                <w:tcPr>
                  <w:tcW w:w="3930" w:type="pct"/>
                  <w:gridSpan w:val="2"/>
                  <w:noWrap w:val="0"/>
                  <w:vAlign w:val="center"/>
                </w:tcPr>
                <w:p w14:paraId="6AE15D6C">
                  <w:pPr>
                    <w:pStyle w:val="111"/>
                    <w:keepLines w:val="0"/>
                    <w:pageBreakBefore w:val="0"/>
                    <w:kinsoku/>
                    <w:wordWrap/>
                    <w:overflowPunct/>
                    <w:topLinePunct w:val="0"/>
                    <w:autoSpaceDE/>
                    <w:autoSpaceDN/>
                    <w:bidi w:val="0"/>
                    <w:spacing w:line="240" w:lineRule="auto"/>
                    <w:ind w:left="0" w:leftChars="0" w:right="0" w:rightChars="0" w:firstLine="0" w:firstLineChars="0"/>
                    <w:jc w:val="center"/>
                    <w:outlineLvl w:val="9"/>
                    <w:rPr>
                      <w:rFonts w:hint="default"/>
                      <w:color w:val="auto"/>
                      <w:sz w:val="21"/>
                      <w:szCs w:val="21"/>
                      <w:highlight w:val="none"/>
                      <w:lang w:val="en-US" w:eastAsia="zh-CN"/>
                    </w:rPr>
                  </w:pPr>
                  <w:r>
                    <w:rPr>
                      <w:rFonts w:hint="eastAsia"/>
                      <w:color w:val="auto"/>
                      <w:sz w:val="21"/>
                      <w:szCs w:val="21"/>
                      <w:highlight w:val="none"/>
                      <w:lang w:val="en-US" w:eastAsia="zh-CN"/>
                    </w:rPr>
                    <w:t>选用低噪声设备、厂房隔声、距离衰减。</w:t>
                  </w:r>
                </w:p>
              </w:tc>
            </w:tr>
          </w:tbl>
          <w:p w14:paraId="2E100CC7">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firstLine="0" w:firstLineChars="0"/>
              <w:jc w:val="center"/>
              <w:textAlignment w:val="auto"/>
              <w:rPr>
                <w:rFonts w:hint="default"/>
                <w:b/>
                <w:bCs/>
                <w:color w:val="auto"/>
                <w:sz w:val="24"/>
                <w:szCs w:val="24"/>
                <w:highlight w:val="none"/>
                <w:lang w:val="en-US" w:eastAsia="zh-CN"/>
              </w:rPr>
            </w:pPr>
            <w:r>
              <w:rPr>
                <w:rFonts w:hint="eastAsia"/>
                <w:b/>
                <w:bCs/>
                <w:color w:val="auto"/>
                <w:sz w:val="24"/>
                <w:szCs w:val="24"/>
                <w:highlight w:val="none"/>
                <w:lang w:val="en-US" w:eastAsia="zh-CN"/>
              </w:rPr>
              <w:t>表2-2 建构筑物一览表</w:t>
            </w:r>
          </w:p>
          <w:tbl>
            <w:tblPr>
              <w:tblStyle w:val="35"/>
              <w:tblW w:w="5000"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707"/>
              <w:gridCol w:w="2707"/>
              <w:gridCol w:w="2708"/>
            </w:tblGrid>
            <w:tr w14:paraId="1D1C714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66" w:type="pct"/>
                  <w:noWrap w:val="0"/>
                  <w:vAlign w:val="center"/>
                </w:tcPr>
                <w:p w14:paraId="6115FDEB">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bCs w:val="0"/>
                      <w:color w:val="auto"/>
                      <w:kern w:val="0"/>
                      <w:sz w:val="21"/>
                      <w:szCs w:val="21"/>
                      <w:highlight w:val="none"/>
                      <w:vertAlign w:val="baseline"/>
                      <w:lang w:val="en-US" w:eastAsia="zh-CN"/>
                    </w:rPr>
                  </w:pPr>
                  <w:r>
                    <w:rPr>
                      <w:rFonts w:hint="eastAsia"/>
                      <w:color w:val="auto"/>
                      <w:sz w:val="24"/>
                      <w:szCs w:val="24"/>
                      <w:highlight w:val="none"/>
                      <w:lang w:val="en-US" w:eastAsia="zh-CN"/>
                    </w:rPr>
                    <w:t xml:space="preserve"> </w:t>
                  </w:r>
                  <w:r>
                    <w:rPr>
                      <w:rFonts w:hint="eastAsia" w:eastAsia="宋体" w:cs="Times New Roman"/>
                      <w:b/>
                      <w:bCs w:val="0"/>
                      <w:color w:val="auto"/>
                      <w:kern w:val="0"/>
                      <w:sz w:val="21"/>
                      <w:szCs w:val="21"/>
                      <w:highlight w:val="none"/>
                      <w:vertAlign w:val="baseline"/>
                      <w:lang w:val="en-US" w:eastAsia="zh-CN"/>
                    </w:rPr>
                    <w:t>构筑物名称</w:t>
                  </w:r>
                </w:p>
              </w:tc>
              <w:tc>
                <w:tcPr>
                  <w:tcW w:w="1666" w:type="pct"/>
                  <w:noWrap w:val="0"/>
                  <w:vAlign w:val="center"/>
                </w:tcPr>
                <w:p w14:paraId="1DF4477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bCs w:val="0"/>
                      <w:color w:val="auto"/>
                      <w:kern w:val="0"/>
                      <w:sz w:val="21"/>
                      <w:szCs w:val="21"/>
                      <w:highlight w:val="none"/>
                      <w:vertAlign w:val="baseline"/>
                      <w:lang w:val="en-US" w:eastAsia="zh-CN"/>
                    </w:rPr>
                  </w:pPr>
                  <w:r>
                    <w:rPr>
                      <w:rFonts w:hint="eastAsia" w:eastAsia="宋体" w:cs="Times New Roman"/>
                      <w:b/>
                      <w:bCs w:val="0"/>
                      <w:color w:val="auto"/>
                      <w:kern w:val="0"/>
                      <w:sz w:val="21"/>
                      <w:szCs w:val="21"/>
                      <w:highlight w:val="none"/>
                      <w:vertAlign w:val="baseline"/>
                      <w:lang w:val="en-US" w:eastAsia="zh-CN"/>
                    </w:rPr>
                    <w:t>规模</w:t>
                  </w:r>
                </w:p>
              </w:tc>
              <w:tc>
                <w:tcPr>
                  <w:tcW w:w="1667" w:type="pct"/>
                  <w:noWrap w:val="0"/>
                  <w:vAlign w:val="center"/>
                </w:tcPr>
                <w:p w14:paraId="1BF23228">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bCs w:val="0"/>
                      <w:color w:val="auto"/>
                      <w:kern w:val="0"/>
                      <w:sz w:val="21"/>
                      <w:szCs w:val="21"/>
                      <w:highlight w:val="none"/>
                      <w:vertAlign w:val="baseline"/>
                      <w:lang w:val="en-US" w:eastAsia="zh-CN"/>
                    </w:rPr>
                  </w:pPr>
                  <w:r>
                    <w:rPr>
                      <w:rFonts w:hint="eastAsia" w:ascii="Times New Roman" w:hAnsi="Times New Roman" w:eastAsia="宋体" w:cs="Times New Roman"/>
                      <w:b/>
                      <w:bCs w:val="0"/>
                      <w:color w:val="auto"/>
                      <w:kern w:val="0"/>
                      <w:sz w:val="21"/>
                      <w:szCs w:val="21"/>
                      <w:highlight w:val="none"/>
                      <w:vertAlign w:val="baseline"/>
                      <w:lang w:val="en-US" w:eastAsia="zh-CN"/>
                    </w:rPr>
                    <w:t>备注</w:t>
                  </w:r>
                </w:p>
              </w:tc>
            </w:tr>
            <w:tr w14:paraId="4AE12BF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66" w:type="pct"/>
                  <w:noWrap w:val="0"/>
                  <w:vAlign w:val="center"/>
                </w:tcPr>
                <w:p w14:paraId="73C6292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生产车间</w:t>
                  </w:r>
                </w:p>
              </w:tc>
              <w:tc>
                <w:tcPr>
                  <w:tcW w:w="1666" w:type="pct"/>
                  <w:noWrap w:val="0"/>
                  <w:vAlign w:val="center"/>
                </w:tcPr>
                <w:p w14:paraId="4312AE43">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olor w:val="auto"/>
                      <w:sz w:val="21"/>
                      <w:szCs w:val="21"/>
                      <w:highlight w:val="none"/>
                      <w:lang w:val="en-US" w:eastAsia="zh-CN"/>
                    </w:rPr>
                    <w:t>84m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50m，有效高度8m</w:t>
                  </w:r>
                </w:p>
              </w:tc>
              <w:tc>
                <w:tcPr>
                  <w:tcW w:w="1667" w:type="pct"/>
                  <w:noWrap w:val="0"/>
                  <w:vAlign w:val="center"/>
                </w:tcPr>
                <w:p w14:paraId="1E188FD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olor w:val="auto"/>
                      <w:sz w:val="21"/>
                      <w:szCs w:val="21"/>
                      <w:highlight w:val="none"/>
                      <w:lang w:val="en-US" w:eastAsia="zh-CN"/>
                    </w:rPr>
                    <w:t>租赁已建成厂房</w:t>
                  </w:r>
                </w:p>
              </w:tc>
            </w:tr>
            <w:tr w14:paraId="7554A35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6" w:type="pct"/>
                  <w:noWrap w:val="0"/>
                  <w:vAlign w:val="center"/>
                </w:tcPr>
                <w:p w14:paraId="0B36A724">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空压机房</w:t>
                  </w:r>
                </w:p>
              </w:tc>
              <w:tc>
                <w:tcPr>
                  <w:tcW w:w="1666" w:type="pct"/>
                  <w:noWrap w:val="0"/>
                  <w:vAlign w:val="center"/>
                </w:tcPr>
                <w:p w14:paraId="01EDCC63">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olor w:val="auto"/>
                      <w:sz w:val="21"/>
                      <w:szCs w:val="21"/>
                      <w:highlight w:val="none"/>
                      <w:lang w:val="en-US" w:eastAsia="zh-CN"/>
                    </w:rPr>
                    <w:t>3m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1m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3m</w:t>
                  </w:r>
                </w:p>
              </w:tc>
              <w:tc>
                <w:tcPr>
                  <w:tcW w:w="1667" w:type="pct"/>
                  <w:noWrap w:val="0"/>
                  <w:vAlign w:val="center"/>
                </w:tcPr>
                <w:p w14:paraId="574F2A5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eastAsia="宋体" w:cs="Times New Roman"/>
                      <w:b w:val="0"/>
                      <w:bCs/>
                      <w:color w:val="auto"/>
                      <w:kern w:val="0"/>
                      <w:sz w:val="21"/>
                      <w:szCs w:val="21"/>
                      <w:highlight w:val="none"/>
                      <w:vertAlign w:val="baseline"/>
                      <w:lang w:val="en-US" w:eastAsia="zh-CN"/>
                    </w:rPr>
                    <w:t>新建</w:t>
                  </w:r>
                </w:p>
              </w:tc>
            </w:tr>
            <w:tr w14:paraId="0B3872E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6" w:type="pct"/>
                  <w:noWrap w:val="0"/>
                  <w:vAlign w:val="center"/>
                </w:tcPr>
                <w:p w14:paraId="205C6627">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危废间</w:t>
                  </w:r>
                </w:p>
              </w:tc>
              <w:tc>
                <w:tcPr>
                  <w:tcW w:w="1666" w:type="pct"/>
                  <w:noWrap w:val="0"/>
                  <w:vAlign w:val="center"/>
                </w:tcPr>
                <w:p w14:paraId="428A65D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olor w:val="auto"/>
                      <w:sz w:val="21"/>
                      <w:szCs w:val="21"/>
                      <w:highlight w:val="none"/>
                      <w:lang w:val="en-US" w:eastAsia="zh-CN"/>
                    </w:rPr>
                  </w:pPr>
                  <w:r>
                    <w:rPr>
                      <w:rFonts w:hint="eastAsia"/>
                      <w:color w:val="auto"/>
                      <w:sz w:val="21"/>
                      <w:szCs w:val="21"/>
                      <w:highlight w:val="none"/>
                      <w:lang w:val="en-US" w:eastAsia="zh-CN"/>
                    </w:rPr>
                    <w:t>4m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5m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3m</w:t>
                  </w:r>
                </w:p>
              </w:tc>
              <w:tc>
                <w:tcPr>
                  <w:tcW w:w="1667" w:type="pct"/>
                  <w:noWrap w:val="0"/>
                  <w:vAlign w:val="center"/>
                </w:tcPr>
                <w:p w14:paraId="752AF4D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eastAsia="宋体" w:cs="Times New Roman"/>
                      <w:b w:val="0"/>
                      <w:bCs/>
                      <w:color w:val="auto"/>
                      <w:kern w:val="0"/>
                      <w:sz w:val="21"/>
                      <w:szCs w:val="21"/>
                      <w:highlight w:val="none"/>
                      <w:vertAlign w:val="baseline"/>
                      <w:lang w:val="en-US" w:eastAsia="zh-CN"/>
                    </w:rPr>
                  </w:pPr>
                  <w:r>
                    <w:rPr>
                      <w:rFonts w:hint="eastAsia" w:eastAsia="宋体" w:cs="Times New Roman"/>
                      <w:b w:val="0"/>
                      <w:bCs/>
                      <w:color w:val="auto"/>
                      <w:kern w:val="0"/>
                      <w:sz w:val="21"/>
                      <w:szCs w:val="21"/>
                      <w:highlight w:val="none"/>
                      <w:vertAlign w:val="baseline"/>
                      <w:lang w:val="en-US" w:eastAsia="zh-CN"/>
                    </w:rPr>
                    <w:t>新建</w:t>
                  </w:r>
                </w:p>
              </w:tc>
            </w:tr>
            <w:tr w14:paraId="5C8AEB8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6" w:type="pct"/>
                  <w:noWrap w:val="0"/>
                  <w:vAlign w:val="center"/>
                </w:tcPr>
                <w:p w14:paraId="0679B03F">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原料库</w:t>
                  </w:r>
                </w:p>
              </w:tc>
              <w:tc>
                <w:tcPr>
                  <w:tcW w:w="1666" w:type="pct"/>
                  <w:noWrap w:val="0"/>
                  <w:vAlign w:val="center"/>
                </w:tcPr>
                <w:p w14:paraId="7BF0BB48">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olor w:val="auto"/>
                      <w:sz w:val="21"/>
                      <w:szCs w:val="21"/>
                      <w:highlight w:val="none"/>
                      <w:lang w:val="en-US" w:eastAsia="zh-CN"/>
                    </w:rPr>
                  </w:pPr>
                  <w:r>
                    <w:rPr>
                      <w:rFonts w:hint="eastAsia"/>
                      <w:color w:val="auto"/>
                      <w:sz w:val="21"/>
                      <w:szCs w:val="21"/>
                      <w:highlight w:val="none"/>
                      <w:lang w:val="en-US" w:eastAsia="zh-CN"/>
                    </w:rPr>
                    <w:t>6m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5m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3m</w:t>
                  </w:r>
                </w:p>
              </w:tc>
              <w:tc>
                <w:tcPr>
                  <w:tcW w:w="1667" w:type="pct"/>
                  <w:noWrap w:val="0"/>
                  <w:vAlign w:val="center"/>
                </w:tcPr>
                <w:p w14:paraId="0ACC58FD">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eastAsia="宋体" w:cs="Times New Roman"/>
                      <w:b w:val="0"/>
                      <w:bCs/>
                      <w:color w:val="auto"/>
                      <w:kern w:val="0"/>
                      <w:sz w:val="21"/>
                      <w:szCs w:val="21"/>
                      <w:highlight w:val="none"/>
                      <w:vertAlign w:val="baseline"/>
                      <w:lang w:val="en-US" w:eastAsia="zh-CN"/>
                    </w:rPr>
                  </w:pPr>
                  <w:r>
                    <w:rPr>
                      <w:rFonts w:hint="eastAsia" w:eastAsia="宋体" w:cs="Times New Roman"/>
                      <w:b w:val="0"/>
                      <w:bCs/>
                      <w:color w:val="auto"/>
                      <w:kern w:val="0"/>
                      <w:sz w:val="21"/>
                      <w:szCs w:val="21"/>
                      <w:highlight w:val="none"/>
                      <w:vertAlign w:val="baseline"/>
                      <w:lang w:val="en-US" w:eastAsia="zh-CN"/>
                    </w:rPr>
                    <w:t>新建</w:t>
                  </w:r>
                </w:p>
              </w:tc>
            </w:tr>
            <w:tr w14:paraId="3550118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6" w:type="pct"/>
                  <w:noWrap w:val="0"/>
                  <w:vAlign w:val="center"/>
                </w:tcPr>
                <w:p w14:paraId="1DD8681B">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办公室</w:t>
                  </w:r>
                </w:p>
              </w:tc>
              <w:tc>
                <w:tcPr>
                  <w:tcW w:w="1666" w:type="pct"/>
                  <w:noWrap w:val="0"/>
                  <w:vAlign w:val="center"/>
                </w:tcPr>
                <w:p w14:paraId="3CE39191">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olor w:val="auto"/>
                      <w:sz w:val="21"/>
                      <w:szCs w:val="21"/>
                      <w:highlight w:val="none"/>
                      <w:lang w:val="en-US" w:eastAsia="zh-CN"/>
                    </w:rPr>
                  </w:pPr>
                  <w:r>
                    <w:rPr>
                      <w:rFonts w:hint="eastAsia"/>
                      <w:color w:val="auto"/>
                      <w:lang w:val="en-US" w:eastAsia="zh-CN"/>
                    </w:rPr>
                    <w:t>16.67</w:t>
                  </w:r>
                  <w:r>
                    <w:rPr>
                      <w:rFonts w:hint="eastAsia"/>
                      <w:color w:val="auto"/>
                      <w:sz w:val="21"/>
                      <w:szCs w:val="21"/>
                      <w:highlight w:val="none"/>
                      <w:lang w:val="en-US" w:eastAsia="zh-CN"/>
                    </w:rPr>
                    <w:t>m</w:t>
                  </w:r>
                  <w:r>
                    <w:rPr>
                      <w:rFonts w:hint="default" w:ascii="Arial" w:hAnsi="Arial" w:cs="Arial"/>
                      <w:color w:val="auto"/>
                      <w:sz w:val="21"/>
                      <w:szCs w:val="21"/>
                      <w:highlight w:val="none"/>
                      <w:lang w:val="en-US" w:eastAsia="zh-CN"/>
                    </w:rPr>
                    <w:t>×</w:t>
                  </w:r>
                  <w:r>
                    <w:rPr>
                      <w:rFonts w:hint="eastAsia"/>
                      <w:color w:val="auto"/>
                    </w:rPr>
                    <w:t>6</w:t>
                  </w:r>
                  <w:r>
                    <w:rPr>
                      <w:rFonts w:hint="eastAsia"/>
                      <w:color w:val="auto"/>
                      <w:sz w:val="21"/>
                      <w:szCs w:val="21"/>
                      <w:highlight w:val="none"/>
                      <w:lang w:val="en-US" w:eastAsia="zh-CN"/>
                    </w:rPr>
                    <w:t>m</w:t>
                  </w:r>
                  <w:r>
                    <w:rPr>
                      <w:rFonts w:hint="default" w:ascii="Arial" w:hAnsi="Arial" w:cs="Arial"/>
                      <w:color w:val="auto"/>
                      <w:sz w:val="21"/>
                      <w:szCs w:val="21"/>
                      <w:highlight w:val="none"/>
                      <w:lang w:val="en-US" w:eastAsia="zh-CN"/>
                    </w:rPr>
                    <w:t>×</w:t>
                  </w:r>
                  <w:r>
                    <w:rPr>
                      <w:rFonts w:hint="eastAsia"/>
                      <w:color w:val="auto"/>
                    </w:rPr>
                    <w:t>3</w:t>
                  </w:r>
                  <w:r>
                    <w:rPr>
                      <w:rFonts w:hint="eastAsia"/>
                      <w:color w:val="auto"/>
                      <w:sz w:val="21"/>
                      <w:szCs w:val="21"/>
                      <w:highlight w:val="none"/>
                      <w:lang w:val="en-US" w:eastAsia="zh-CN"/>
                    </w:rPr>
                    <w:t>m</w:t>
                  </w:r>
                </w:p>
              </w:tc>
              <w:tc>
                <w:tcPr>
                  <w:tcW w:w="1667" w:type="pct"/>
                  <w:noWrap w:val="0"/>
                  <w:vAlign w:val="center"/>
                </w:tcPr>
                <w:p w14:paraId="5F2F58D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eastAsia="宋体" w:cs="Times New Roman"/>
                      <w:b w:val="0"/>
                      <w:bCs/>
                      <w:color w:val="auto"/>
                      <w:kern w:val="0"/>
                      <w:sz w:val="21"/>
                      <w:szCs w:val="21"/>
                      <w:highlight w:val="none"/>
                      <w:vertAlign w:val="baseline"/>
                      <w:lang w:val="en-US" w:eastAsia="zh-CN"/>
                    </w:rPr>
                  </w:pPr>
                  <w:r>
                    <w:rPr>
                      <w:rFonts w:hint="eastAsia" w:eastAsia="宋体" w:cs="Times New Roman"/>
                      <w:b w:val="0"/>
                      <w:bCs/>
                      <w:color w:val="auto"/>
                      <w:kern w:val="0"/>
                      <w:sz w:val="21"/>
                      <w:szCs w:val="21"/>
                      <w:highlight w:val="none"/>
                      <w:vertAlign w:val="baseline"/>
                      <w:lang w:val="en-US" w:eastAsia="zh-CN"/>
                    </w:rPr>
                    <w:t>租赁已经成办公室</w:t>
                  </w:r>
                </w:p>
              </w:tc>
            </w:tr>
          </w:tbl>
          <w:p w14:paraId="248E5174">
            <w:pPr>
              <w:keepNext w:val="0"/>
              <w:keepLines w:val="0"/>
              <w:pageBreakBefore w:val="0"/>
              <w:numPr>
                <w:ilvl w:val="0"/>
                <w:numId w:val="0"/>
              </w:numPr>
              <w:kinsoku/>
              <w:wordWrap/>
              <w:overflowPunct/>
              <w:topLinePunct w:val="0"/>
              <w:autoSpaceDE/>
              <w:autoSpaceDN/>
              <w:bidi w:val="0"/>
              <w:adjustRightInd w:val="0"/>
              <w:snapToGrid w:val="0"/>
              <w:spacing w:line="360" w:lineRule="auto"/>
              <w:ind w:leftChars="10"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5.产品方案</w:t>
            </w:r>
          </w:p>
          <w:p w14:paraId="210D8768">
            <w:pPr>
              <w:keepNext/>
              <w:keepLines w:val="0"/>
              <w:pageBreakBefore w:val="0"/>
              <w:widowControl w:val="0"/>
              <w:numPr>
                <w:ilvl w:val="0"/>
                <w:numId w:val="0"/>
              </w:numPr>
              <w:kinsoku/>
              <w:wordWrap/>
              <w:overflowPunct w:val="0"/>
              <w:topLinePunct w:val="0"/>
              <w:autoSpaceDE/>
              <w:autoSpaceDN/>
              <w:bidi w:val="0"/>
              <w:adjustRightInd/>
              <w:snapToGrid w:val="0"/>
              <w:spacing w:before="0" w:after="0" w:line="360" w:lineRule="auto"/>
              <w:ind w:leftChars="0" w:firstLine="480" w:firstLineChars="200"/>
              <w:textAlignment w:val="auto"/>
              <w:outlineLvl w:val="9"/>
              <w:rPr>
                <w:rFonts w:hint="default" w:ascii="Times New Roman" w:hAnsi="Times New Roman" w:eastAsia="宋体" w:cs="Times New Roman"/>
                <w:b w:val="0"/>
                <w:bCs w:val="0"/>
                <w:color w:val="auto"/>
                <w:kern w:val="2"/>
                <w:sz w:val="24"/>
                <w:szCs w:val="24"/>
                <w:highlight w:val="none"/>
                <w:lang w:val="en-US" w:eastAsia="zh-CN" w:bidi="ar-SA"/>
              </w:rPr>
            </w:pPr>
            <w:r>
              <w:rPr>
                <w:rFonts w:hint="eastAsia" w:ascii="Times New Roman" w:hAnsi="Times New Roman" w:eastAsia="宋体" w:cs="Times New Roman"/>
                <w:b w:val="0"/>
                <w:bCs w:val="0"/>
                <w:color w:val="auto"/>
                <w:kern w:val="2"/>
                <w:sz w:val="24"/>
                <w:szCs w:val="24"/>
                <w:highlight w:val="none"/>
                <w:lang w:val="en-US" w:eastAsia="zh-CN" w:bidi="ar-SA"/>
              </w:rPr>
              <w:t>项目拟生产塑料坐具、泡沫板</w:t>
            </w:r>
            <w:r>
              <w:rPr>
                <w:rFonts w:hint="eastAsia" w:cs="Times New Roman"/>
                <w:b w:val="0"/>
                <w:bCs w:val="0"/>
                <w:color w:val="auto"/>
                <w:kern w:val="2"/>
                <w:sz w:val="24"/>
                <w:szCs w:val="24"/>
                <w:highlight w:val="none"/>
                <w:lang w:val="en-US" w:eastAsia="zh-CN" w:bidi="ar-SA"/>
              </w:rPr>
              <w:t>及</w:t>
            </w:r>
            <w:r>
              <w:rPr>
                <w:rFonts w:hint="eastAsia" w:ascii="Times New Roman" w:hAnsi="Times New Roman" w:eastAsia="宋体" w:cs="Times New Roman"/>
                <w:b w:val="0"/>
                <w:bCs w:val="0"/>
                <w:color w:val="auto"/>
                <w:kern w:val="2"/>
                <w:sz w:val="24"/>
                <w:szCs w:val="24"/>
                <w:highlight w:val="none"/>
                <w:lang w:val="en-US" w:eastAsia="zh-CN" w:bidi="ar-SA"/>
              </w:rPr>
              <w:t>包装，具体产品方案见下表。</w:t>
            </w:r>
          </w:p>
          <w:p w14:paraId="10E57F7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b/>
                <w:bCs/>
                <w:color w:val="auto"/>
                <w:sz w:val="24"/>
                <w:szCs w:val="24"/>
                <w:highlight w:val="none"/>
                <w:lang w:val="en-US" w:eastAsia="zh-CN"/>
              </w:rPr>
            </w:pPr>
            <w:r>
              <w:rPr>
                <w:rFonts w:hint="eastAsia"/>
                <w:b/>
                <w:bCs/>
                <w:color w:val="auto"/>
                <w:sz w:val="24"/>
                <w:szCs w:val="24"/>
                <w:highlight w:val="none"/>
                <w:lang w:val="en-US" w:eastAsia="zh-CN"/>
              </w:rPr>
              <w:t>表2-3 项目产品方案</w:t>
            </w:r>
          </w:p>
          <w:tbl>
            <w:tblPr>
              <w:tblStyle w:val="35"/>
              <w:tblW w:w="5000"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707"/>
              <w:gridCol w:w="2707"/>
              <w:gridCol w:w="2708"/>
            </w:tblGrid>
            <w:tr w14:paraId="2428171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1" w:hRule="atLeast"/>
                <w:jc w:val="center"/>
              </w:trPr>
              <w:tc>
                <w:tcPr>
                  <w:tcW w:w="1666" w:type="pct"/>
                  <w:noWrap w:val="0"/>
                  <w:vAlign w:val="center"/>
                </w:tcPr>
                <w:p w14:paraId="5635E43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bCs w:val="0"/>
                      <w:color w:val="auto"/>
                      <w:kern w:val="0"/>
                      <w:sz w:val="21"/>
                      <w:szCs w:val="21"/>
                      <w:highlight w:val="none"/>
                      <w:vertAlign w:val="baseline"/>
                      <w:lang w:val="en-US" w:eastAsia="zh-CN"/>
                    </w:rPr>
                  </w:pPr>
                  <w:r>
                    <w:rPr>
                      <w:rFonts w:hint="eastAsia" w:ascii="Times New Roman" w:hAnsi="Times New Roman" w:eastAsia="宋体" w:cs="Times New Roman"/>
                      <w:b/>
                      <w:bCs w:val="0"/>
                      <w:color w:val="auto"/>
                      <w:kern w:val="0"/>
                      <w:sz w:val="21"/>
                      <w:szCs w:val="21"/>
                      <w:highlight w:val="none"/>
                      <w:vertAlign w:val="baseline"/>
                      <w:lang w:val="en-US" w:eastAsia="zh-CN"/>
                    </w:rPr>
                    <w:t>名称</w:t>
                  </w:r>
                </w:p>
              </w:tc>
              <w:tc>
                <w:tcPr>
                  <w:tcW w:w="1666" w:type="pct"/>
                  <w:noWrap w:val="0"/>
                  <w:vAlign w:val="center"/>
                </w:tcPr>
                <w:p w14:paraId="50761470">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bCs w:val="0"/>
                      <w:color w:val="auto"/>
                      <w:kern w:val="0"/>
                      <w:sz w:val="21"/>
                      <w:szCs w:val="21"/>
                      <w:highlight w:val="none"/>
                      <w:vertAlign w:val="baseline"/>
                      <w:lang w:val="en-US" w:eastAsia="zh-CN"/>
                    </w:rPr>
                  </w:pPr>
                  <w:r>
                    <w:rPr>
                      <w:rFonts w:hint="eastAsia" w:ascii="Times New Roman" w:hAnsi="Times New Roman" w:eastAsia="宋体" w:cs="Times New Roman"/>
                      <w:b/>
                      <w:bCs w:val="0"/>
                      <w:color w:val="auto"/>
                      <w:kern w:val="0"/>
                      <w:sz w:val="21"/>
                      <w:szCs w:val="21"/>
                      <w:highlight w:val="none"/>
                      <w:vertAlign w:val="baseline"/>
                      <w:lang w:val="en-US" w:eastAsia="zh-CN"/>
                    </w:rPr>
                    <w:t>规模</w:t>
                  </w:r>
                </w:p>
              </w:tc>
              <w:tc>
                <w:tcPr>
                  <w:tcW w:w="1667" w:type="pct"/>
                  <w:noWrap w:val="0"/>
                  <w:vAlign w:val="center"/>
                </w:tcPr>
                <w:p w14:paraId="5FC410E3">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bCs w:val="0"/>
                      <w:color w:val="auto"/>
                      <w:kern w:val="0"/>
                      <w:sz w:val="21"/>
                      <w:szCs w:val="21"/>
                      <w:highlight w:val="none"/>
                      <w:vertAlign w:val="baseline"/>
                      <w:lang w:val="en-US" w:eastAsia="zh-CN"/>
                    </w:rPr>
                  </w:pPr>
                  <w:r>
                    <w:rPr>
                      <w:rFonts w:hint="eastAsia" w:cs="Times New Roman"/>
                      <w:b/>
                      <w:bCs w:val="0"/>
                      <w:color w:val="auto"/>
                      <w:kern w:val="0"/>
                      <w:sz w:val="21"/>
                      <w:szCs w:val="21"/>
                      <w:highlight w:val="none"/>
                      <w:vertAlign w:val="baseline"/>
                      <w:lang w:val="en-US" w:eastAsia="zh-CN"/>
                    </w:rPr>
                    <w:t>规格</w:t>
                  </w:r>
                </w:p>
              </w:tc>
            </w:tr>
            <w:tr w14:paraId="4D35A33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66" w:type="pct"/>
                  <w:noWrap w:val="0"/>
                  <w:vAlign w:val="center"/>
                </w:tcPr>
                <w:p w14:paraId="309F5E66">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塑料坐具</w:t>
                  </w:r>
                </w:p>
              </w:tc>
              <w:tc>
                <w:tcPr>
                  <w:tcW w:w="1666" w:type="pct"/>
                  <w:noWrap w:val="0"/>
                  <w:vAlign w:val="center"/>
                </w:tcPr>
                <w:p w14:paraId="2D4799B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2万套</w:t>
                  </w:r>
                </w:p>
              </w:tc>
              <w:tc>
                <w:tcPr>
                  <w:tcW w:w="1667" w:type="pct"/>
                  <w:noWrap w:val="0"/>
                  <w:vAlign w:val="center"/>
                </w:tcPr>
                <w:p w14:paraId="4826E36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w:t>
                  </w:r>
                </w:p>
              </w:tc>
            </w:tr>
            <w:tr w14:paraId="034E5ED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1" w:hRule="atLeast"/>
                <w:jc w:val="center"/>
              </w:trPr>
              <w:tc>
                <w:tcPr>
                  <w:tcW w:w="1666" w:type="pct"/>
                  <w:vMerge w:val="restart"/>
                  <w:noWrap w:val="0"/>
                  <w:vAlign w:val="center"/>
                </w:tcPr>
                <w:p w14:paraId="40DCF2D8">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泡沫板及包装</w:t>
                  </w:r>
                </w:p>
              </w:tc>
              <w:tc>
                <w:tcPr>
                  <w:tcW w:w="1666" w:type="pct"/>
                  <w:noWrap w:val="0"/>
                  <w:vAlign w:val="center"/>
                </w:tcPr>
                <w:p w14:paraId="3E2ADD9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10000m</w:t>
                  </w:r>
                  <w:r>
                    <w:rPr>
                      <w:rFonts w:hint="eastAsia" w:cs="Times New Roman"/>
                      <w:b w:val="0"/>
                      <w:bCs/>
                      <w:color w:val="auto"/>
                      <w:kern w:val="0"/>
                      <w:sz w:val="21"/>
                      <w:szCs w:val="21"/>
                      <w:highlight w:val="none"/>
                      <w:vertAlign w:val="superscript"/>
                      <w:lang w:val="en-US" w:eastAsia="zh-CN"/>
                    </w:rPr>
                    <w:t>3</w:t>
                  </w:r>
                </w:p>
              </w:tc>
              <w:tc>
                <w:tcPr>
                  <w:tcW w:w="1667" w:type="pct"/>
                  <w:noWrap w:val="0"/>
                  <w:vAlign w:val="center"/>
                </w:tcPr>
                <w:p w14:paraId="30BFC25C">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1m</w:t>
                  </w:r>
                  <w:r>
                    <w:rPr>
                      <w:rFonts w:hint="default" w:ascii="Arial" w:hAnsi="Arial" w:cs="Arial"/>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2m</w:t>
                  </w:r>
                  <w:r>
                    <w:rPr>
                      <w:rFonts w:hint="default" w:ascii="Arial" w:hAnsi="Arial" w:cs="Arial"/>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0.5m</w:t>
                  </w:r>
                </w:p>
              </w:tc>
            </w:tr>
            <w:tr w14:paraId="78B9789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666" w:type="pct"/>
                  <w:vMerge w:val="continue"/>
                  <w:noWrap w:val="0"/>
                  <w:vAlign w:val="center"/>
                </w:tcPr>
                <w:p w14:paraId="056FA72C">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p>
              </w:tc>
              <w:tc>
                <w:tcPr>
                  <w:tcW w:w="1666" w:type="pct"/>
                  <w:noWrap w:val="0"/>
                  <w:vAlign w:val="center"/>
                </w:tcPr>
                <w:p w14:paraId="0B204207">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2000m</w:t>
                  </w:r>
                  <w:r>
                    <w:rPr>
                      <w:rFonts w:hint="eastAsia" w:cs="Times New Roman"/>
                      <w:b w:val="0"/>
                      <w:bCs/>
                      <w:color w:val="auto"/>
                      <w:kern w:val="0"/>
                      <w:sz w:val="21"/>
                      <w:szCs w:val="21"/>
                      <w:highlight w:val="none"/>
                      <w:vertAlign w:val="superscript"/>
                      <w:lang w:val="en-US" w:eastAsia="zh-CN"/>
                    </w:rPr>
                    <w:t>3</w:t>
                  </w:r>
                </w:p>
              </w:tc>
              <w:tc>
                <w:tcPr>
                  <w:tcW w:w="1667" w:type="pct"/>
                  <w:noWrap w:val="0"/>
                  <w:vAlign w:val="center"/>
                </w:tcPr>
                <w:p w14:paraId="272225DA">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100cm</w:t>
                  </w:r>
                  <w:r>
                    <w:rPr>
                      <w:rFonts w:hint="default" w:ascii="Arial" w:hAnsi="Arial" w:cs="Arial"/>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6cm</w:t>
                  </w:r>
                  <w:r>
                    <w:rPr>
                      <w:rFonts w:hint="default" w:ascii="Arial" w:hAnsi="Arial" w:cs="Arial"/>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1cm</w:t>
                  </w:r>
                </w:p>
              </w:tc>
            </w:tr>
            <w:tr w14:paraId="47BDABF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6" w:type="pct"/>
                  <w:vMerge w:val="continue"/>
                  <w:noWrap w:val="0"/>
                  <w:vAlign w:val="center"/>
                </w:tcPr>
                <w:p w14:paraId="415136FA">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p>
              </w:tc>
              <w:tc>
                <w:tcPr>
                  <w:tcW w:w="1666" w:type="pct"/>
                  <w:noWrap w:val="0"/>
                  <w:vAlign w:val="center"/>
                </w:tcPr>
                <w:p w14:paraId="3BB9611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2000m</w:t>
                  </w:r>
                  <w:r>
                    <w:rPr>
                      <w:rFonts w:hint="eastAsia" w:cs="Times New Roman"/>
                      <w:b w:val="0"/>
                      <w:bCs/>
                      <w:color w:val="auto"/>
                      <w:kern w:val="0"/>
                      <w:sz w:val="21"/>
                      <w:szCs w:val="21"/>
                      <w:highlight w:val="none"/>
                      <w:vertAlign w:val="superscript"/>
                      <w:lang w:val="en-US" w:eastAsia="zh-CN"/>
                    </w:rPr>
                    <w:t>3</w:t>
                  </w:r>
                </w:p>
              </w:tc>
              <w:tc>
                <w:tcPr>
                  <w:tcW w:w="1667" w:type="pct"/>
                  <w:noWrap w:val="0"/>
                  <w:vAlign w:val="center"/>
                </w:tcPr>
                <w:p w14:paraId="1B766156">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30cm</w:t>
                  </w:r>
                  <w:r>
                    <w:rPr>
                      <w:rFonts w:hint="default" w:ascii="Arial" w:hAnsi="Arial" w:cs="Arial"/>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20cm</w:t>
                  </w:r>
                  <w:r>
                    <w:rPr>
                      <w:rFonts w:hint="default" w:ascii="Arial" w:hAnsi="Arial" w:cs="Arial"/>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2cm</w:t>
                  </w:r>
                </w:p>
              </w:tc>
            </w:tr>
            <w:tr w14:paraId="0582136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6" w:type="pct"/>
                  <w:vMerge w:val="continue"/>
                  <w:noWrap w:val="0"/>
                  <w:vAlign w:val="center"/>
                </w:tcPr>
                <w:p w14:paraId="542B68A7">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p>
              </w:tc>
              <w:tc>
                <w:tcPr>
                  <w:tcW w:w="1666" w:type="pct"/>
                  <w:noWrap w:val="0"/>
                  <w:vAlign w:val="center"/>
                </w:tcPr>
                <w:p w14:paraId="6D80163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2000m</w:t>
                  </w:r>
                  <w:r>
                    <w:rPr>
                      <w:rFonts w:hint="eastAsia" w:cs="Times New Roman"/>
                      <w:b w:val="0"/>
                      <w:bCs/>
                      <w:color w:val="auto"/>
                      <w:kern w:val="0"/>
                      <w:sz w:val="21"/>
                      <w:szCs w:val="21"/>
                      <w:highlight w:val="none"/>
                      <w:vertAlign w:val="superscript"/>
                      <w:lang w:val="en-US" w:eastAsia="zh-CN"/>
                    </w:rPr>
                    <w:t>3</w:t>
                  </w:r>
                </w:p>
              </w:tc>
              <w:tc>
                <w:tcPr>
                  <w:tcW w:w="1667" w:type="pct"/>
                  <w:noWrap w:val="0"/>
                  <w:vAlign w:val="center"/>
                </w:tcPr>
                <w:p w14:paraId="66CACBAB">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40cm</w:t>
                  </w:r>
                  <w:r>
                    <w:rPr>
                      <w:rFonts w:hint="default" w:ascii="Arial" w:hAnsi="Arial" w:cs="Arial"/>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20cm</w:t>
                  </w:r>
                  <w:r>
                    <w:rPr>
                      <w:rFonts w:hint="default" w:ascii="Arial" w:hAnsi="Arial" w:cs="Arial"/>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15cm</w:t>
                  </w:r>
                </w:p>
              </w:tc>
            </w:tr>
            <w:tr w14:paraId="6ADB85C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6" w:type="pct"/>
                  <w:vMerge w:val="continue"/>
                  <w:noWrap w:val="0"/>
                  <w:vAlign w:val="center"/>
                </w:tcPr>
                <w:p w14:paraId="24DD0B9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p>
              </w:tc>
              <w:tc>
                <w:tcPr>
                  <w:tcW w:w="1666" w:type="pct"/>
                  <w:noWrap w:val="0"/>
                  <w:vAlign w:val="center"/>
                </w:tcPr>
                <w:p w14:paraId="347B8DC7">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4000m</w:t>
                  </w:r>
                  <w:r>
                    <w:rPr>
                      <w:rFonts w:hint="eastAsia" w:cs="Times New Roman"/>
                      <w:b w:val="0"/>
                      <w:bCs/>
                      <w:color w:val="auto"/>
                      <w:kern w:val="0"/>
                      <w:sz w:val="21"/>
                      <w:szCs w:val="21"/>
                      <w:highlight w:val="none"/>
                      <w:vertAlign w:val="superscript"/>
                      <w:lang w:val="en-US" w:eastAsia="zh-CN"/>
                    </w:rPr>
                    <w:t>3</w:t>
                  </w:r>
                </w:p>
              </w:tc>
              <w:tc>
                <w:tcPr>
                  <w:tcW w:w="1667" w:type="pct"/>
                  <w:noWrap w:val="0"/>
                  <w:vAlign w:val="center"/>
                </w:tcPr>
                <w:p w14:paraId="5A076E3A">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异型板</w:t>
                  </w:r>
                </w:p>
              </w:tc>
            </w:tr>
          </w:tbl>
          <w:p w14:paraId="5A3C35F1">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color w:val="auto"/>
                <w:sz w:val="24"/>
                <w:szCs w:val="24"/>
                <w:highlight w:val="none"/>
                <w:lang w:val="en-US" w:eastAsia="zh-CN"/>
              </w:rPr>
            </w:pPr>
            <w:r>
              <w:rPr>
                <w:rFonts w:hint="eastAsia"/>
                <w:color w:val="auto"/>
                <w:sz w:val="24"/>
                <w:szCs w:val="24"/>
                <w:highlight w:val="none"/>
                <w:lang w:val="en-US" w:eastAsia="zh-CN"/>
              </w:rPr>
              <w:t>6.生产单元、生产工艺及</w:t>
            </w:r>
            <w:r>
              <w:rPr>
                <w:rFonts w:hint="default"/>
                <w:color w:val="auto"/>
                <w:sz w:val="24"/>
                <w:szCs w:val="24"/>
                <w:highlight w:val="none"/>
                <w:lang w:val="en-US" w:eastAsia="zh-CN"/>
              </w:rPr>
              <w:t>生产设备</w:t>
            </w:r>
          </w:p>
          <w:p w14:paraId="3004458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color w:val="auto"/>
                <w:sz w:val="24"/>
                <w:szCs w:val="24"/>
                <w:highlight w:val="none"/>
                <w:lang w:val="en-US" w:eastAsia="zh-CN"/>
              </w:rPr>
            </w:pPr>
            <w:r>
              <w:rPr>
                <w:rFonts w:hint="eastAsia"/>
                <w:color w:val="auto"/>
                <w:sz w:val="24"/>
                <w:szCs w:val="24"/>
                <w:highlight w:val="none"/>
                <w:lang w:val="en-US" w:eastAsia="zh-CN"/>
              </w:rPr>
              <w:t>本项目主要生产单位为发泡单元、成型单元、烘干单元、冷却单元。项目主要生产工艺为聚苯乙烯预发泡、成型机模压、烘干房烘干。</w:t>
            </w:r>
            <w:r>
              <w:rPr>
                <w:rFonts w:hint="default"/>
                <w:color w:val="auto"/>
                <w:sz w:val="24"/>
                <w:szCs w:val="24"/>
                <w:highlight w:val="none"/>
                <w:lang w:val="en-US" w:eastAsia="zh-CN"/>
              </w:rPr>
              <w:t>主要生产</w:t>
            </w:r>
            <w:r>
              <w:rPr>
                <w:rFonts w:hint="eastAsia"/>
                <w:color w:val="auto"/>
                <w:sz w:val="24"/>
                <w:szCs w:val="24"/>
                <w:highlight w:val="none"/>
                <w:lang w:val="en-US" w:eastAsia="zh-CN"/>
              </w:rPr>
              <w:t>设备</w:t>
            </w:r>
            <w:r>
              <w:rPr>
                <w:rFonts w:hint="default"/>
                <w:color w:val="auto"/>
                <w:sz w:val="24"/>
                <w:szCs w:val="24"/>
                <w:highlight w:val="none"/>
                <w:lang w:val="en-US" w:eastAsia="zh-CN"/>
              </w:rPr>
              <w:t>具体情况见表</w:t>
            </w:r>
            <w:r>
              <w:rPr>
                <w:rFonts w:hint="eastAsia"/>
                <w:color w:val="auto"/>
                <w:sz w:val="24"/>
                <w:szCs w:val="24"/>
                <w:highlight w:val="none"/>
                <w:lang w:val="en-US" w:eastAsia="zh-CN"/>
              </w:rPr>
              <w:t>2-4</w:t>
            </w:r>
            <w:r>
              <w:rPr>
                <w:rFonts w:hint="default"/>
                <w:color w:val="auto"/>
                <w:sz w:val="24"/>
                <w:szCs w:val="24"/>
                <w:highlight w:val="none"/>
                <w:lang w:val="en-US" w:eastAsia="zh-CN"/>
              </w:rPr>
              <w:t>。</w:t>
            </w:r>
          </w:p>
          <w:p w14:paraId="092CA6C3">
            <w:pPr>
              <w:pStyle w:val="32"/>
              <w:keepNext w:val="0"/>
              <w:keepLines w:val="0"/>
              <w:pageBreakBefore w:val="0"/>
              <w:widowControl w:val="0"/>
              <w:kinsoku/>
              <w:wordWrap/>
              <w:overflowPunct/>
              <w:topLinePunct w:val="0"/>
              <w:autoSpaceDE/>
              <w:autoSpaceDN/>
              <w:bidi w:val="0"/>
              <w:adjustRightInd/>
              <w:snapToGrid/>
              <w:spacing w:before="0" w:after="0" w:afterLines="0" w:line="240" w:lineRule="auto"/>
              <w:ind w:right="0" w:firstLine="0" w:firstLineChars="0"/>
              <w:jc w:val="center"/>
              <w:textAlignment w:val="auto"/>
              <w:rPr>
                <w:rFonts w:hint="default"/>
                <w:b/>
                <w:bCs/>
                <w:color w:val="auto"/>
                <w:sz w:val="24"/>
                <w:szCs w:val="24"/>
                <w:highlight w:val="none"/>
              </w:rPr>
            </w:pPr>
            <w:r>
              <w:rPr>
                <w:rFonts w:hint="default"/>
                <w:b/>
                <w:bCs/>
                <w:color w:val="auto"/>
                <w:sz w:val="24"/>
                <w:szCs w:val="24"/>
                <w:highlight w:val="none"/>
              </w:rPr>
              <w:t>表</w:t>
            </w:r>
            <w:r>
              <w:rPr>
                <w:rFonts w:hint="eastAsia"/>
                <w:b/>
                <w:bCs/>
                <w:color w:val="auto"/>
                <w:sz w:val="24"/>
                <w:szCs w:val="24"/>
                <w:highlight w:val="none"/>
                <w:lang w:val="en-US" w:eastAsia="zh-CN"/>
              </w:rPr>
              <w:t>2</w:t>
            </w:r>
            <w:r>
              <w:rPr>
                <w:rFonts w:hint="default"/>
                <w:b/>
                <w:bCs/>
                <w:color w:val="auto"/>
                <w:sz w:val="24"/>
                <w:szCs w:val="24"/>
                <w:highlight w:val="none"/>
                <w:lang w:val="en-US" w:eastAsia="zh-CN"/>
              </w:rPr>
              <w:t>-</w:t>
            </w:r>
            <w:r>
              <w:rPr>
                <w:rFonts w:hint="eastAsia"/>
                <w:b/>
                <w:bCs/>
                <w:color w:val="auto"/>
                <w:sz w:val="24"/>
                <w:szCs w:val="24"/>
                <w:highlight w:val="none"/>
                <w:lang w:val="en-US" w:eastAsia="zh-CN"/>
              </w:rPr>
              <w:t>4</w:t>
            </w:r>
            <w:r>
              <w:rPr>
                <w:rFonts w:hint="default"/>
                <w:b/>
                <w:bCs/>
                <w:color w:val="auto"/>
                <w:sz w:val="24"/>
                <w:szCs w:val="24"/>
                <w:highlight w:val="none"/>
              </w:rPr>
              <w:t xml:space="preserve"> 主要设备表</w:t>
            </w:r>
          </w:p>
          <w:tbl>
            <w:tblPr>
              <w:tblStyle w:val="35"/>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52"/>
              <w:gridCol w:w="1167"/>
              <w:gridCol w:w="1750"/>
              <w:gridCol w:w="683"/>
              <w:gridCol w:w="681"/>
              <w:gridCol w:w="3186"/>
            </w:tblGrid>
            <w:tr w14:paraId="68A5B82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5A584F5C">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bCs w:val="0"/>
                      <w:color w:val="auto"/>
                      <w:kern w:val="0"/>
                      <w:sz w:val="21"/>
                      <w:szCs w:val="21"/>
                      <w:highlight w:val="none"/>
                      <w:vertAlign w:val="baseline"/>
                      <w:lang w:val="en-US" w:eastAsia="zh-CN"/>
                    </w:rPr>
                  </w:pPr>
                  <w:r>
                    <w:rPr>
                      <w:rFonts w:hint="eastAsia" w:ascii="Times New Roman" w:hAnsi="Times New Roman" w:eastAsia="宋体" w:cs="Times New Roman"/>
                      <w:b/>
                      <w:bCs w:val="0"/>
                      <w:color w:val="auto"/>
                      <w:kern w:val="0"/>
                      <w:sz w:val="21"/>
                      <w:szCs w:val="21"/>
                      <w:highlight w:val="none"/>
                      <w:vertAlign w:val="baseline"/>
                      <w:lang w:val="en-US" w:eastAsia="zh-CN"/>
                    </w:rPr>
                    <w:t>序号</w:t>
                  </w:r>
                </w:p>
              </w:tc>
              <w:tc>
                <w:tcPr>
                  <w:tcW w:w="718" w:type="pct"/>
                  <w:noWrap w:val="0"/>
                  <w:vAlign w:val="center"/>
                </w:tcPr>
                <w:p w14:paraId="3D22C80F">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bCs w:val="0"/>
                      <w:color w:val="auto"/>
                      <w:kern w:val="0"/>
                      <w:sz w:val="21"/>
                      <w:szCs w:val="21"/>
                      <w:highlight w:val="none"/>
                      <w:vertAlign w:val="baseline"/>
                      <w:lang w:val="en-US" w:eastAsia="zh-CN"/>
                    </w:rPr>
                  </w:pPr>
                  <w:r>
                    <w:rPr>
                      <w:rFonts w:hint="eastAsia" w:ascii="Times New Roman" w:hAnsi="Times New Roman" w:eastAsia="宋体" w:cs="Times New Roman"/>
                      <w:b/>
                      <w:bCs w:val="0"/>
                      <w:color w:val="auto"/>
                      <w:kern w:val="0"/>
                      <w:sz w:val="21"/>
                      <w:szCs w:val="21"/>
                      <w:highlight w:val="none"/>
                      <w:vertAlign w:val="baseline"/>
                      <w:lang w:val="en-US" w:eastAsia="zh-CN"/>
                    </w:rPr>
                    <w:t>名称</w:t>
                  </w:r>
                </w:p>
              </w:tc>
              <w:tc>
                <w:tcPr>
                  <w:tcW w:w="1077" w:type="pct"/>
                  <w:tcBorders>
                    <w:right w:val="single" w:color="000000" w:sz="4" w:space="0"/>
                  </w:tcBorders>
                  <w:noWrap w:val="0"/>
                  <w:vAlign w:val="center"/>
                </w:tcPr>
                <w:p w14:paraId="4627D14D">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bCs w:val="0"/>
                      <w:color w:val="auto"/>
                      <w:kern w:val="0"/>
                      <w:sz w:val="21"/>
                      <w:szCs w:val="21"/>
                      <w:highlight w:val="none"/>
                      <w:vertAlign w:val="baseline"/>
                      <w:lang w:val="en-US" w:eastAsia="zh-CN"/>
                    </w:rPr>
                  </w:pPr>
                  <w:r>
                    <w:rPr>
                      <w:rFonts w:hint="eastAsia" w:ascii="Times New Roman" w:hAnsi="Times New Roman" w:eastAsia="宋体" w:cs="Times New Roman"/>
                      <w:b/>
                      <w:bCs w:val="0"/>
                      <w:color w:val="auto"/>
                      <w:kern w:val="0"/>
                      <w:sz w:val="21"/>
                      <w:szCs w:val="21"/>
                      <w:highlight w:val="none"/>
                      <w:vertAlign w:val="baseline"/>
                      <w:lang w:val="en-US" w:eastAsia="zh-CN"/>
                    </w:rPr>
                    <w:t>规格型号</w:t>
                  </w:r>
                </w:p>
              </w:tc>
              <w:tc>
                <w:tcPr>
                  <w:tcW w:w="420" w:type="pct"/>
                  <w:tcBorders>
                    <w:left w:val="single" w:color="000000" w:sz="4" w:space="0"/>
                    <w:right w:val="single" w:color="000000" w:sz="4" w:space="0"/>
                  </w:tcBorders>
                  <w:noWrap w:val="0"/>
                  <w:vAlign w:val="center"/>
                </w:tcPr>
                <w:p w14:paraId="21A74264">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bCs w:val="0"/>
                      <w:color w:val="auto"/>
                      <w:kern w:val="0"/>
                      <w:sz w:val="21"/>
                      <w:szCs w:val="21"/>
                      <w:highlight w:val="none"/>
                      <w:vertAlign w:val="baseline"/>
                      <w:lang w:val="en-US" w:eastAsia="zh-CN"/>
                    </w:rPr>
                  </w:pPr>
                  <w:r>
                    <w:rPr>
                      <w:rFonts w:hint="eastAsia" w:ascii="Times New Roman" w:hAnsi="Times New Roman" w:eastAsia="宋体" w:cs="Times New Roman"/>
                      <w:b/>
                      <w:bCs w:val="0"/>
                      <w:color w:val="auto"/>
                      <w:kern w:val="0"/>
                      <w:sz w:val="21"/>
                      <w:szCs w:val="21"/>
                      <w:highlight w:val="none"/>
                      <w:vertAlign w:val="baseline"/>
                      <w:lang w:val="en-US" w:eastAsia="zh-CN"/>
                    </w:rPr>
                    <w:t>数量</w:t>
                  </w:r>
                </w:p>
              </w:tc>
              <w:tc>
                <w:tcPr>
                  <w:tcW w:w="419" w:type="pct"/>
                  <w:tcBorders>
                    <w:left w:val="single" w:color="000000" w:sz="4" w:space="0"/>
                  </w:tcBorders>
                  <w:noWrap w:val="0"/>
                  <w:vAlign w:val="center"/>
                </w:tcPr>
                <w:p w14:paraId="0E9C4AA4">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bCs w:val="0"/>
                      <w:color w:val="auto"/>
                      <w:kern w:val="0"/>
                      <w:sz w:val="21"/>
                      <w:szCs w:val="21"/>
                      <w:highlight w:val="none"/>
                      <w:vertAlign w:val="baseline"/>
                      <w:lang w:val="en-US" w:eastAsia="zh-CN"/>
                    </w:rPr>
                  </w:pPr>
                  <w:r>
                    <w:rPr>
                      <w:rFonts w:hint="eastAsia" w:ascii="Times New Roman" w:hAnsi="Times New Roman" w:eastAsia="宋体" w:cs="Times New Roman"/>
                      <w:b/>
                      <w:bCs w:val="0"/>
                      <w:color w:val="auto"/>
                      <w:kern w:val="0"/>
                      <w:sz w:val="21"/>
                      <w:szCs w:val="21"/>
                      <w:highlight w:val="none"/>
                      <w:vertAlign w:val="baseline"/>
                      <w:lang w:val="en-US" w:eastAsia="zh-CN"/>
                    </w:rPr>
                    <w:t>单位</w:t>
                  </w:r>
                </w:p>
              </w:tc>
              <w:tc>
                <w:tcPr>
                  <w:tcW w:w="1962" w:type="pct"/>
                  <w:noWrap w:val="0"/>
                  <w:vAlign w:val="center"/>
                </w:tcPr>
                <w:p w14:paraId="07AE78EB">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bCs w:val="0"/>
                      <w:color w:val="auto"/>
                      <w:kern w:val="0"/>
                      <w:sz w:val="21"/>
                      <w:szCs w:val="21"/>
                      <w:highlight w:val="none"/>
                      <w:vertAlign w:val="baseline"/>
                      <w:lang w:val="en-US" w:eastAsia="zh-CN"/>
                    </w:rPr>
                  </w:pPr>
                  <w:r>
                    <w:rPr>
                      <w:rFonts w:hint="eastAsia" w:ascii="Times New Roman" w:hAnsi="Times New Roman" w:eastAsia="宋体" w:cs="Times New Roman"/>
                      <w:b/>
                      <w:bCs w:val="0"/>
                      <w:color w:val="auto"/>
                      <w:kern w:val="0"/>
                      <w:sz w:val="21"/>
                      <w:szCs w:val="21"/>
                      <w:highlight w:val="none"/>
                      <w:vertAlign w:val="baseline"/>
                      <w:lang w:val="en-US" w:eastAsia="zh-CN"/>
                    </w:rPr>
                    <w:t>备注</w:t>
                  </w:r>
                </w:p>
              </w:tc>
            </w:tr>
            <w:tr w14:paraId="591A35A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5B7B3540">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1</w:t>
                  </w:r>
                </w:p>
              </w:tc>
              <w:tc>
                <w:tcPr>
                  <w:tcW w:w="718" w:type="pct"/>
                  <w:noWrap w:val="0"/>
                  <w:vAlign w:val="center"/>
                </w:tcPr>
                <w:p w14:paraId="31534F8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发泡机</w:t>
                  </w:r>
                </w:p>
              </w:tc>
              <w:tc>
                <w:tcPr>
                  <w:tcW w:w="1077" w:type="pct"/>
                  <w:tcBorders>
                    <w:right w:val="single" w:color="000000" w:sz="4" w:space="0"/>
                  </w:tcBorders>
                  <w:noWrap w:val="0"/>
                  <w:vAlign w:val="center"/>
                </w:tcPr>
                <w:p w14:paraId="68521E9F">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10.18kW</w:t>
                  </w:r>
                </w:p>
              </w:tc>
              <w:tc>
                <w:tcPr>
                  <w:tcW w:w="420" w:type="pct"/>
                  <w:tcBorders>
                    <w:left w:val="single" w:color="000000" w:sz="4" w:space="0"/>
                    <w:right w:val="single" w:color="000000" w:sz="4" w:space="0"/>
                  </w:tcBorders>
                  <w:noWrap w:val="0"/>
                  <w:vAlign w:val="center"/>
                </w:tcPr>
                <w:p w14:paraId="2AEBB56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4</w:t>
                  </w:r>
                </w:p>
              </w:tc>
              <w:tc>
                <w:tcPr>
                  <w:tcW w:w="419" w:type="pct"/>
                  <w:tcBorders>
                    <w:left w:val="single" w:color="000000" w:sz="4" w:space="0"/>
                  </w:tcBorders>
                  <w:noWrap w:val="0"/>
                  <w:vAlign w:val="center"/>
                </w:tcPr>
                <w:p w14:paraId="40032EC8">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套</w:t>
                  </w:r>
                </w:p>
              </w:tc>
              <w:tc>
                <w:tcPr>
                  <w:tcW w:w="1962" w:type="pct"/>
                  <w:noWrap w:val="0"/>
                  <w:vAlign w:val="center"/>
                </w:tcPr>
                <w:p w14:paraId="19E6068F">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真空负压上料</w:t>
                  </w:r>
                  <w:r>
                    <w:rPr>
                      <w:rFonts w:hint="eastAsia" w:cs="Times New Roman"/>
                      <w:b w:val="0"/>
                      <w:bCs/>
                      <w:color w:val="auto"/>
                      <w:kern w:val="0"/>
                      <w:sz w:val="21"/>
                      <w:szCs w:val="21"/>
                      <w:highlight w:val="none"/>
                      <w:vertAlign w:val="baseline"/>
                      <w:lang w:val="en-US" w:eastAsia="zh-CN"/>
                    </w:rPr>
                    <w:t>和绞龙上料</w:t>
                  </w:r>
                  <w:r>
                    <w:rPr>
                      <w:rFonts w:hint="eastAsia" w:ascii="Times New Roman" w:hAnsi="Times New Roman" w:eastAsia="宋体" w:cs="Times New Roman"/>
                      <w:b w:val="0"/>
                      <w:bCs/>
                      <w:color w:val="auto"/>
                      <w:kern w:val="0"/>
                      <w:sz w:val="21"/>
                      <w:szCs w:val="21"/>
                      <w:highlight w:val="none"/>
                      <w:vertAlign w:val="baseline"/>
                      <w:lang w:val="en-US" w:eastAsia="zh-CN"/>
                    </w:rPr>
                    <w:t>，发好后聚苯乙烯颗粒为∅0.75</w:t>
                  </w:r>
                  <w:r>
                    <w:rPr>
                      <w:rFonts w:hint="eastAsia" w:cs="Times New Roman"/>
                      <w:b w:val="0"/>
                      <w:bCs/>
                      <w:color w:val="auto"/>
                      <w:kern w:val="0"/>
                      <w:sz w:val="21"/>
                      <w:szCs w:val="21"/>
                      <w:highlight w:val="none"/>
                      <w:vertAlign w:val="baseline"/>
                      <w:lang w:val="en-US" w:eastAsia="zh-CN"/>
                    </w:rPr>
                    <w:t>～</w:t>
                  </w:r>
                  <w:r>
                    <w:rPr>
                      <w:rFonts w:hint="eastAsia" w:ascii="Times New Roman" w:hAnsi="Times New Roman" w:eastAsia="宋体" w:cs="Times New Roman"/>
                      <w:b w:val="0"/>
                      <w:bCs/>
                      <w:color w:val="auto"/>
                      <w:kern w:val="0"/>
                      <w:sz w:val="21"/>
                      <w:szCs w:val="21"/>
                      <w:highlight w:val="none"/>
                      <w:vertAlign w:val="baseline"/>
                      <w:lang w:val="en-US" w:eastAsia="zh-CN"/>
                    </w:rPr>
                    <w:t>0.95mm</w:t>
                  </w:r>
                  <w:r>
                    <w:rPr>
                      <w:rFonts w:hint="eastAsia" w:cs="Times New Roman"/>
                      <w:b w:val="0"/>
                      <w:bCs/>
                      <w:color w:val="auto"/>
                      <w:kern w:val="0"/>
                      <w:sz w:val="21"/>
                      <w:szCs w:val="21"/>
                      <w:highlight w:val="none"/>
                      <w:vertAlign w:val="baseline"/>
                      <w:lang w:val="en-US" w:eastAsia="zh-CN"/>
                    </w:rPr>
                    <w:t>圆球</w:t>
                  </w:r>
                  <w:r>
                    <w:rPr>
                      <w:rFonts w:hint="eastAsia" w:ascii="Times New Roman" w:hAnsi="Times New Roman" w:eastAsia="宋体" w:cs="Times New Roman"/>
                      <w:b w:val="0"/>
                      <w:bCs/>
                      <w:color w:val="auto"/>
                      <w:kern w:val="0"/>
                      <w:sz w:val="21"/>
                      <w:szCs w:val="21"/>
                      <w:highlight w:val="none"/>
                      <w:vertAlign w:val="baseline"/>
                      <w:lang w:val="en-US" w:eastAsia="zh-CN"/>
                    </w:rPr>
                    <w:t>状颗粒</w:t>
                  </w:r>
                </w:p>
              </w:tc>
            </w:tr>
            <w:tr w14:paraId="150F0A6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vMerge w:val="restart"/>
                  <w:noWrap w:val="0"/>
                  <w:vAlign w:val="center"/>
                </w:tcPr>
                <w:p w14:paraId="3AF204BB">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2</w:t>
                  </w:r>
                </w:p>
              </w:tc>
              <w:tc>
                <w:tcPr>
                  <w:tcW w:w="718" w:type="pct"/>
                  <w:vMerge w:val="restart"/>
                  <w:noWrap w:val="0"/>
                  <w:vAlign w:val="center"/>
                </w:tcPr>
                <w:p w14:paraId="16FC2B9C">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料仓</w:t>
                  </w:r>
                </w:p>
              </w:tc>
              <w:tc>
                <w:tcPr>
                  <w:tcW w:w="1077" w:type="pct"/>
                  <w:tcBorders>
                    <w:right w:val="single" w:color="000000" w:sz="4" w:space="0"/>
                  </w:tcBorders>
                  <w:noWrap w:val="0"/>
                  <w:vAlign w:val="center"/>
                </w:tcPr>
                <w:p w14:paraId="7FFC9EA4">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olor w:val="auto"/>
                      <w:sz w:val="21"/>
                      <w:szCs w:val="21"/>
                      <w:highlight w:val="none"/>
                      <w:lang w:val="en-US" w:eastAsia="zh-CN"/>
                    </w:rPr>
                    <w:t>2.5m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2.5m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3.2m</w:t>
                  </w:r>
                </w:p>
              </w:tc>
              <w:tc>
                <w:tcPr>
                  <w:tcW w:w="420" w:type="pct"/>
                  <w:tcBorders>
                    <w:left w:val="single" w:color="000000" w:sz="4" w:space="0"/>
                    <w:right w:val="single" w:color="000000" w:sz="4" w:space="0"/>
                  </w:tcBorders>
                  <w:noWrap w:val="0"/>
                  <w:vAlign w:val="center"/>
                </w:tcPr>
                <w:p w14:paraId="0D6886C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15</w:t>
                  </w:r>
                </w:p>
              </w:tc>
              <w:tc>
                <w:tcPr>
                  <w:tcW w:w="419" w:type="pct"/>
                  <w:tcBorders>
                    <w:left w:val="single" w:color="000000" w:sz="4" w:space="0"/>
                  </w:tcBorders>
                  <w:noWrap w:val="0"/>
                  <w:vAlign w:val="center"/>
                </w:tcPr>
                <w:p w14:paraId="067AB71E">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座</w:t>
                  </w:r>
                </w:p>
              </w:tc>
              <w:tc>
                <w:tcPr>
                  <w:tcW w:w="1962" w:type="pct"/>
                  <w:vMerge w:val="restart"/>
                  <w:noWrap w:val="0"/>
                  <w:vAlign w:val="center"/>
                </w:tcPr>
                <w:p w14:paraId="60EDD93B">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w:t>
                  </w:r>
                </w:p>
              </w:tc>
            </w:tr>
            <w:tr w14:paraId="24324AE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vMerge w:val="continue"/>
                  <w:noWrap w:val="0"/>
                  <w:vAlign w:val="center"/>
                </w:tcPr>
                <w:p w14:paraId="3878C2CF">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718" w:type="pct"/>
                  <w:vMerge w:val="continue"/>
                  <w:noWrap w:val="0"/>
                  <w:vAlign w:val="center"/>
                </w:tcPr>
                <w:p w14:paraId="25383CE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p>
              </w:tc>
              <w:tc>
                <w:tcPr>
                  <w:tcW w:w="1077" w:type="pct"/>
                  <w:tcBorders>
                    <w:right w:val="single" w:color="000000" w:sz="4" w:space="0"/>
                  </w:tcBorders>
                  <w:noWrap w:val="0"/>
                  <w:vAlign w:val="center"/>
                </w:tcPr>
                <w:p w14:paraId="16541DA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color w:val="auto"/>
                      <w:sz w:val="21"/>
                      <w:szCs w:val="21"/>
                      <w:highlight w:val="none"/>
                      <w:lang w:val="en-US" w:eastAsia="zh-CN"/>
                    </w:rPr>
                    <w:t>3m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3m</w:t>
                  </w:r>
                  <w:r>
                    <w:rPr>
                      <w:rFonts w:hint="default" w:ascii="Arial" w:hAnsi="Arial" w:cs="Arial"/>
                      <w:color w:val="auto"/>
                      <w:sz w:val="21"/>
                      <w:szCs w:val="21"/>
                      <w:highlight w:val="none"/>
                      <w:lang w:val="en-US" w:eastAsia="zh-CN"/>
                    </w:rPr>
                    <w:t>×</w:t>
                  </w:r>
                  <w:r>
                    <w:rPr>
                      <w:rFonts w:hint="eastAsia"/>
                      <w:color w:val="auto"/>
                      <w:sz w:val="21"/>
                      <w:szCs w:val="21"/>
                      <w:highlight w:val="none"/>
                      <w:lang w:val="en-US" w:eastAsia="zh-CN"/>
                    </w:rPr>
                    <w:t>3.5m</w:t>
                  </w:r>
                </w:p>
              </w:tc>
              <w:tc>
                <w:tcPr>
                  <w:tcW w:w="420" w:type="pct"/>
                  <w:tcBorders>
                    <w:left w:val="single" w:color="000000" w:sz="4" w:space="0"/>
                    <w:right w:val="single" w:color="000000" w:sz="4" w:space="0"/>
                  </w:tcBorders>
                  <w:noWrap w:val="0"/>
                  <w:vAlign w:val="center"/>
                </w:tcPr>
                <w:p w14:paraId="4AB65E9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rPr>
                    <w:t>15</w:t>
                  </w:r>
                </w:p>
              </w:tc>
              <w:tc>
                <w:tcPr>
                  <w:tcW w:w="419" w:type="pct"/>
                  <w:tcBorders>
                    <w:left w:val="single" w:color="000000" w:sz="4" w:space="0"/>
                  </w:tcBorders>
                  <w:noWrap w:val="0"/>
                  <w:vAlign w:val="center"/>
                </w:tcPr>
                <w:p w14:paraId="205E84E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座</w:t>
                  </w:r>
                </w:p>
              </w:tc>
              <w:tc>
                <w:tcPr>
                  <w:tcW w:w="1962" w:type="pct"/>
                  <w:vMerge w:val="continue"/>
                  <w:noWrap w:val="0"/>
                  <w:vAlign w:val="center"/>
                </w:tcPr>
                <w:p w14:paraId="211EB321">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p>
              </w:tc>
            </w:tr>
            <w:tr w14:paraId="43F5093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vMerge w:val="restart"/>
                  <w:noWrap w:val="0"/>
                  <w:vAlign w:val="center"/>
                </w:tcPr>
                <w:p w14:paraId="736621B0">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3</w:t>
                  </w:r>
                </w:p>
              </w:tc>
              <w:tc>
                <w:tcPr>
                  <w:tcW w:w="718" w:type="pct"/>
                  <w:vMerge w:val="restart"/>
                  <w:noWrap w:val="0"/>
                  <w:vAlign w:val="center"/>
                </w:tcPr>
                <w:p w14:paraId="2D5B133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输送管路</w:t>
                  </w:r>
                </w:p>
              </w:tc>
              <w:tc>
                <w:tcPr>
                  <w:tcW w:w="1077" w:type="pct"/>
                  <w:tcBorders>
                    <w:right w:val="single" w:color="000000" w:sz="4" w:space="0"/>
                  </w:tcBorders>
                  <w:noWrap w:val="0"/>
                  <w:vAlign w:val="center"/>
                </w:tcPr>
                <w:p w14:paraId="461D8EA0">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5</w:t>
                  </w:r>
                  <w:r>
                    <w:rPr>
                      <w:rFonts w:hint="eastAsia" w:ascii="Times New Roman" w:hAnsi="Times New Roman" w:eastAsia="宋体" w:cs="Times New Roman"/>
                      <w:b w:val="0"/>
                      <w:bCs/>
                      <w:color w:val="auto"/>
                      <w:kern w:val="0"/>
                      <w:sz w:val="21"/>
                      <w:szCs w:val="21"/>
                      <w:highlight w:val="none"/>
                      <w:vertAlign w:val="baseline"/>
                      <w:lang w:val="en-US" w:eastAsia="zh-CN"/>
                    </w:rPr>
                    <w:t>0mm</w:t>
                  </w:r>
                </w:p>
              </w:tc>
              <w:tc>
                <w:tcPr>
                  <w:tcW w:w="420" w:type="pct"/>
                  <w:vMerge w:val="restart"/>
                  <w:tcBorders>
                    <w:left w:val="single" w:color="000000" w:sz="4" w:space="0"/>
                    <w:right w:val="single" w:color="000000" w:sz="4" w:space="0"/>
                  </w:tcBorders>
                  <w:noWrap w:val="0"/>
                  <w:vAlign w:val="center"/>
                </w:tcPr>
                <w:p w14:paraId="0F203C1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若干</w:t>
                  </w:r>
                </w:p>
              </w:tc>
              <w:tc>
                <w:tcPr>
                  <w:tcW w:w="419" w:type="pct"/>
                  <w:vMerge w:val="restart"/>
                  <w:tcBorders>
                    <w:left w:val="single" w:color="000000" w:sz="4" w:space="0"/>
                  </w:tcBorders>
                  <w:noWrap w:val="0"/>
                  <w:vAlign w:val="center"/>
                </w:tcPr>
                <w:p w14:paraId="5AE786EB">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根</w:t>
                  </w:r>
                </w:p>
              </w:tc>
              <w:tc>
                <w:tcPr>
                  <w:tcW w:w="1962" w:type="pct"/>
                  <w:vMerge w:val="restart"/>
                  <w:noWrap w:val="0"/>
                  <w:vAlign w:val="center"/>
                </w:tcPr>
                <w:p w14:paraId="32A61B73">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密闭，负压</w:t>
                  </w:r>
                </w:p>
              </w:tc>
            </w:tr>
            <w:tr w14:paraId="28D1388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vMerge w:val="continue"/>
                  <w:noWrap w:val="0"/>
                  <w:vAlign w:val="center"/>
                </w:tcPr>
                <w:p w14:paraId="1F4A15CF">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718" w:type="pct"/>
                  <w:vMerge w:val="continue"/>
                  <w:noWrap w:val="0"/>
                  <w:vAlign w:val="center"/>
                </w:tcPr>
                <w:p w14:paraId="44E78754">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p>
              </w:tc>
              <w:tc>
                <w:tcPr>
                  <w:tcW w:w="1077" w:type="pct"/>
                  <w:tcBorders>
                    <w:right w:val="single" w:color="000000" w:sz="4" w:space="0"/>
                  </w:tcBorders>
                  <w:noWrap w:val="0"/>
                  <w:vAlign w:val="center"/>
                </w:tcPr>
                <w:p w14:paraId="77A66AF8">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15</w:t>
                  </w:r>
                  <w:r>
                    <w:rPr>
                      <w:rFonts w:hint="eastAsia" w:ascii="Times New Roman" w:hAnsi="Times New Roman" w:eastAsia="宋体" w:cs="Times New Roman"/>
                      <w:b w:val="0"/>
                      <w:bCs/>
                      <w:color w:val="auto"/>
                      <w:kern w:val="0"/>
                      <w:sz w:val="21"/>
                      <w:szCs w:val="21"/>
                      <w:highlight w:val="none"/>
                      <w:vertAlign w:val="baseline"/>
                      <w:lang w:val="en-US" w:eastAsia="zh-CN"/>
                    </w:rPr>
                    <w:t>0mm</w:t>
                  </w:r>
                </w:p>
              </w:tc>
              <w:tc>
                <w:tcPr>
                  <w:tcW w:w="420" w:type="pct"/>
                  <w:vMerge w:val="continue"/>
                  <w:tcBorders>
                    <w:left w:val="single" w:color="000000" w:sz="4" w:space="0"/>
                    <w:right w:val="single" w:color="000000" w:sz="4" w:space="0"/>
                  </w:tcBorders>
                  <w:noWrap w:val="0"/>
                  <w:vAlign w:val="center"/>
                </w:tcPr>
                <w:p w14:paraId="56C1E1D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419" w:type="pct"/>
                  <w:vMerge w:val="continue"/>
                  <w:tcBorders>
                    <w:left w:val="single" w:color="000000" w:sz="4" w:space="0"/>
                  </w:tcBorders>
                  <w:noWrap w:val="0"/>
                  <w:vAlign w:val="center"/>
                </w:tcPr>
                <w:p w14:paraId="1E0A1618">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1962" w:type="pct"/>
                  <w:vMerge w:val="continue"/>
                  <w:noWrap w:val="0"/>
                  <w:vAlign w:val="center"/>
                </w:tcPr>
                <w:p w14:paraId="6EA6A2FB">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r>
            <w:tr w14:paraId="576626A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vMerge w:val="restart"/>
                  <w:noWrap w:val="0"/>
                  <w:vAlign w:val="center"/>
                </w:tcPr>
                <w:p w14:paraId="776DEE4E">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4</w:t>
                  </w:r>
                </w:p>
              </w:tc>
              <w:tc>
                <w:tcPr>
                  <w:tcW w:w="718" w:type="pct"/>
                  <w:vMerge w:val="restart"/>
                  <w:noWrap w:val="0"/>
                  <w:vAlign w:val="center"/>
                </w:tcPr>
                <w:p w14:paraId="5E1F9F9C">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成型机</w:t>
                  </w:r>
                </w:p>
              </w:tc>
              <w:tc>
                <w:tcPr>
                  <w:tcW w:w="1077" w:type="pct"/>
                  <w:tcBorders>
                    <w:right w:val="single" w:color="000000" w:sz="4" w:space="0"/>
                  </w:tcBorders>
                  <w:noWrap w:val="0"/>
                  <w:vAlign w:val="center"/>
                </w:tcPr>
                <w:p w14:paraId="21BF515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SPZ-175T</w:t>
                  </w:r>
                </w:p>
              </w:tc>
              <w:tc>
                <w:tcPr>
                  <w:tcW w:w="420" w:type="pct"/>
                  <w:tcBorders>
                    <w:left w:val="single" w:color="000000" w:sz="4" w:space="0"/>
                    <w:right w:val="single" w:color="000000" w:sz="4" w:space="0"/>
                  </w:tcBorders>
                  <w:noWrap w:val="0"/>
                  <w:vAlign w:val="center"/>
                </w:tcPr>
                <w:p w14:paraId="1F244611">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6</w:t>
                  </w:r>
                </w:p>
              </w:tc>
              <w:tc>
                <w:tcPr>
                  <w:tcW w:w="419" w:type="pct"/>
                  <w:tcBorders>
                    <w:left w:val="single" w:color="000000" w:sz="4" w:space="0"/>
                  </w:tcBorders>
                  <w:noWrap w:val="0"/>
                  <w:vAlign w:val="center"/>
                </w:tcPr>
                <w:p w14:paraId="2767A79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套</w:t>
                  </w:r>
                </w:p>
              </w:tc>
              <w:tc>
                <w:tcPr>
                  <w:tcW w:w="1962" w:type="pct"/>
                  <w:vMerge w:val="restart"/>
                  <w:noWrap w:val="0"/>
                  <w:vAlign w:val="center"/>
                </w:tcPr>
                <w:p w14:paraId="74A8978E">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自动成型</w:t>
                  </w:r>
                </w:p>
              </w:tc>
            </w:tr>
            <w:tr w14:paraId="3B905E4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vMerge w:val="continue"/>
                  <w:noWrap w:val="0"/>
                  <w:vAlign w:val="center"/>
                </w:tcPr>
                <w:p w14:paraId="4A1CF27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718" w:type="pct"/>
                  <w:vMerge w:val="continue"/>
                  <w:noWrap w:val="0"/>
                  <w:vAlign w:val="center"/>
                </w:tcPr>
                <w:p w14:paraId="5C23E10E">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1077" w:type="pct"/>
                  <w:tcBorders>
                    <w:right w:val="single" w:color="000000" w:sz="4" w:space="0"/>
                  </w:tcBorders>
                  <w:noWrap w:val="0"/>
                  <w:vAlign w:val="center"/>
                </w:tcPr>
                <w:p w14:paraId="25CBD37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SPZ-180T</w:t>
                  </w:r>
                </w:p>
              </w:tc>
              <w:tc>
                <w:tcPr>
                  <w:tcW w:w="420" w:type="pct"/>
                  <w:tcBorders>
                    <w:left w:val="single" w:color="000000" w:sz="4" w:space="0"/>
                    <w:right w:val="single" w:color="000000" w:sz="4" w:space="0"/>
                  </w:tcBorders>
                  <w:noWrap w:val="0"/>
                  <w:vAlign w:val="center"/>
                </w:tcPr>
                <w:p w14:paraId="0012046A">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6</w:t>
                  </w:r>
                </w:p>
              </w:tc>
              <w:tc>
                <w:tcPr>
                  <w:tcW w:w="419" w:type="pct"/>
                  <w:tcBorders>
                    <w:left w:val="single" w:color="000000" w:sz="4" w:space="0"/>
                  </w:tcBorders>
                  <w:noWrap w:val="0"/>
                  <w:vAlign w:val="center"/>
                </w:tcPr>
                <w:p w14:paraId="28EC2E4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套</w:t>
                  </w:r>
                </w:p>
              </w:tc>
              <w:tc>
                <w:tcPr>
                  <w:tcW w:w="1962" w:type="pct"/>
                  <w:vMerge w:val="continue"/>
                  <w:noWrap w:val="0"/>
                  <w:vAlign w:val="center"/>
                </w:tcPr>
                <w:p w14:paraId="4B4AC17D">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r>
            <w:tr w14:paraId="1A6684E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vMerge w:val="continue"/>
                  <w:noWrap w:val="0"/>
                  <w:vAlign w:val="center"/>
                </w:tcPr>
                <w:p w14:paraId="5F15C784">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718" w:type="pct"/>
                  <w:vMerge w:val="continue"/>
                  <w:noWrap w:val="0"/>
                  <w:vAlign w:val="center"/>
                </w:tcPr>
                <w:p w14:paraId="7483D6FE">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1077" w:type="pct"/>
                  <w:tcBorders>
                    <w:right w:val="single" w:color="000000" w:sz="4" w:space="0"/>
                  </w:tcBorders>
                  <w:noWrap w:val="0"/>
                  <w:vAlign w:val="center"/>
                </w:tcPr>
                <w:p w14:paraId="0D840B6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2000型</w:t>
                  </w:r>
                </w:p>
              </w:tc>
              <w:tc>
                <w:tcPr>
                  <w:tcW w:w="420" w:type="pct"/>
                  <w:tcBorders>
                    <w:left w:val="single" w:color="000000" w:sz="4" w:space="0"/>
                    <w:right w:val="single" w:color="000000" w:sz="4" w:space="0"/>
                  </w:tcBorders>
                  <w:noWrap w:val="0"/>
                  <w:vAlign w:val="center"/>
                </w:tcPr>
                <w:p w14:paraId="531702C4">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2</w:t>
                  </w:r>
                </w:p>
              </w:tc>
              <w:tc>
                <w:tcPr>
                  <w:tcW w:w="419" w:type="pct"/>
                  <w:tcBorders>
                    <w:left w:val="single" w:color="000000" w:sz="4" w:space="0"/>
                  </w:tcBorders>
                  <w:noWrap w:val="0"/>
                  <w:vAlign w:val="center"/>
                </w:tcPr>
                <w:p w14:paraId="5FB4C86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套</w:t>
                  </w:r>
                </w:p>
              </w:tc>
              <w:tc>
                <w:tcPr>
                  <w:tcW w:w="1962" w:type="pct"/>
                  <w:vMerge w:val="restart"/>
                  <w:noWrap w:val="0"/>
                  <w:vAlign w:val="center"/>
                </w:tcPr>
                <w:p w14:paraId="7C79F6F6">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泡沫板成型机</w:t>
                  </w:r>
                </w:p>
              </w:tc>
            </w:tr>
            <w:tr w14:paraId="4848FBA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vMerge w:val="continue"/>
                  <w:noWrap w:val="0"/>
                  <w:vAlign w:val="center"/>
                </w:tcPr>
                <w:p w14:paraId="185E8F4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718" w:type="pct"/>
                  <w:vMerge w:val="continue"/>
                  <w:noWrap w:val="0"/>
                  <w:vAlign w:val="center"/>
                </w:tcPr>
                <w:p w14:paraId="78D2041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1077" w:type="pct"/>
                  <w:tcBorders>
                    <w:right w:val="single" w:color="000000" w:sz="4" w:space="0"/>
                  </w:tcBorders>
                  <w:noWrap w:val="0"/>
                  <w:vAlign w:val="center"/>
                </w:tcPr>
                <w:p w14:paraId="57BBBF37">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6000型</w:t>
                  </w:r>
                </w:p>
              </w:tc>
              <w:tc>
                <w:tcPr>
                  <w:tcW w:w="420" w:type="pct"/>
                  <w:tcBorders>
                    <w:left w:val="single" w:color="000000" w:sz="4" w:space="0"/>
                    <w:right w:val="single" w:color="000000" w:sz="4" w:space="0"/>
                  </w:tcBorders>
                  <w:noWrap w:val="0"/>
                  <w:vAlign w:val="center"/>
                </w:tcPr>
                <w:p w14:paraId="36D45346">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2</w:t>
                  </w:r>
                </w:p>
              </w:tc>
              <w:tc>
                <w:tcPr>
                  <w:tcW w:w="419" w:type="pct"/>
                  <w:tcBorders>
                    <w:left w:val="single" w:color="000000" w:sz="4" w:space="0"/>
                  </w:tcBorders>
                  <w:noWrap w:val="0"/>
                  <w:vAlign w:val="center"/>
                </w:tcPr>
                <w:p w14:paraId="233EBF6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rPr>
                    <w:t>套</w:t>
                  </w:r>
                </w:p>
              </w:tc>
              <w:tc>
                <w:tcPr>
                  <w:tcW w:w="1962" w:type="pct"/>
                  <w:vMerge w:val="continue"/>
                  <w:noWrap w:val="0"/>
                  <w:vAlign w:val="center"/>
                </w:tcPr>
                <w:p w14:paraId="29EAE953">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r>
            <w:tr w14:paraId="2163435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401" w:type="pct"/>
                  <w:vMerge w:val="continue"/>
                  <w:noWrap w:val="0"/>
                  <w:vAlign w:val="center"/>
                </w:tcPr>
                <w:p w14:paraId="2B1EA6CD">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718" w:type="pct"/>
                  <w:vMerge w:val="continue"/>
                  <w:noWrap w:val="0"/>
                  <w:vAlign w:val="center"/>
                </w:tcPr>
                <w:p w14:paraId="278F8BF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1077" w:type="pct"/>
                  <w:tcBorders>
                    <w:right w:val="single" w:color="000000" w:sz="4" w:space="0"/>
                  </w:tcBorders>
                  <w:noWrap w:val="0"/>
                  <w:vAlign w:val="center"/>
                </w:tcPr>
                <w:p w14:paraId="200DDEDC">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1.5</w:t>
                  </w:r>
                  <w:r>
                    <w:rPr>
                      <w:rFonts w:hint="eastAsia" w:ascii="Times New Roman" w:hAnsi="Times New Roman" w:eastAsia="宋体" w:cs="Times New Roman"/>
                      <w:b w:val="0"/>
                      <w:bCs/>
                      <w:color w:val="auto"/>
                      <w:kern w:val="0"/>
                      <w:sz w:val="21"/>
                      <w:szCs w:val="21"/>
                      <w:highlight w:val="none"/>
                      <w:vertAlign w:val="baseline"/>
                      <w:lang w:val="en-US" w:eastAsia="zh-CN"/>
                    </w:rPr>
                    <w:t>m</w:t>
                  </w:r>
                  <w:r>
                    <w:rPr>
                      <w:rFonts w:hint="default" w:ascii="Arial" w:hAnsi="Arial" w:cs="Arial"/>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1.5</w:t>
                  </w:r>
                  <w:r>
                    <w:rPr>
                      <w:rFonts w:hint="eastAsia" w:ascii="Times New Roman" w:hAnsi="Times New Roman" w:eastAsia="宋体" w:cs="Times New Roman"/>
                      <w:b w:val="0"/>
                      <w:bCs/>
                      <w:color w:val="auto"/>
                      <w:kern w:val="0"/>
                      <w:sz w:val="21"/>
                      <w:szCs w:val="21"/>
                      <w:highlight w:val="none"/>
                      <w:vertAlign w:val="baseline"/>
                      <w:lang w:val="en-US" w:eastAsia="zh-CN"/>
                    </w:rPr>
                    <w:t>m</w:t>
                  </w:r>
                </w:p>
              </w:tc>
              <w:tc>
                <w:tcPr>
                  <w:tcW w:w="420" w:type="pct"/>
                  <w:tcBorders>
                    <w:left w:val="single" w:color="000000" w:sz="4" w:space="0"/>
                    <w:right w:val="single" w:color="000000" w:sz="4" w:space="0"/>
                  </w:tcBorders>
                  <w:noWrap w:val="0"/>
                  <w:vAlign w:val="center"/>
                </w:tcPr>
                <w:p w14:paraId="17FE747A">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4</w:t>
                  </w:r>
                </w:p>
              </w:tc>
              <w:tc>
                <w:tcPr>
                  <w:tcW w:w="419" w:type="pct"/>
                  <w:tcBorders>
                    <w:left w:val="single" w:color="000000" w:sz="4" w:space="0"/>
                  </w:tcBorders>
                  <w:noWrap w:val="0"/>
                  <w:vAlign w:val="center"/>
                </w:tcPr>
                <w:p w14:paraId="590F0A6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套</w:t>
                  </w:r>
                </w:p>
              </w:tc>
              <w:tc>
                <w:tcPr>
                  <w:tcW w:w="1962" w:type="pct"/>
                  <w:vMerge w:val="restart"/>
                  <w:noWrap w:val="0"/>
                  <w:vAlign w:val="center"/>
                </w:tcPr>
                <w:p w14:paraId="0D89433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半自动</w:t>
                  </w:r>
                </w:p>
              </w:tc>
            </w:tr>
            <w:tr w14:paraId="6AA3161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vMerge w:val="continue"/>
                  <w:noWrap w:val="0"/>
                  <w:vAlign w:val="center"/>
                </w:tcPr>
                <w:p w14:paraId="3DD9F0D8">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718" w:type="pct"/>
                  <w:vMerge w:val="continue"/>
                  <w:noWrap w:val="0"/>
                  <w:vAlign w:val="center"/>
                </w:tcPr>
                <w:p w14:paraId="38A45857">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1077" w:type="pct"/>
                  <w:tcBorders>
                    <w:right w:val="single" w:color="000000" w:sz="4" w:space="0"/>
                  </w:tcBorders>
                  <w:noWrap w:val="0"/>
                  <w:vAlign w:val="center"/>
                </w:tcPr>
                <w:p w14:paraId="238C5D2F">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1.3</w:t>
                  </w:r>
                  <w:r>
                    <w:rPr>
                      <w:rFonts w:hint="eastAsia" w:ascii="Times New Roman" w:hAnsi="Times New Roman" w:eastAsia="宋体" w:cs="Times New Roman"/>
                      <w:b w:val="0"/>
                      <w:bCs/>
                      <w:color w:val="auto"/>
                      <w:kern w:val="0"/>
                      <w:sz w:val="21"/>
                      <w:szCs w:val="21"/>
                      <w:highlight w:val="none"/>
                      <w:vertAlign w:val="baseline"/>
                      <w:lang w:val="en-US" w:eastAsia="zh-CN"/>
                    </w:rPr>
                    <w:t>m</w:t>
                  </w:r>
                  <w:r>
                    <w:rPr>
                      <w:rFonts w:hint="default" w:ascii="Arial" w:hAnsi="Arial" w:cs="Arial"/>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1.2</w:t>
                  </w:r>
                  <w:r>
                    <w:rPr>
                      <w:rFonts w:hint="eastAsia" w:ascii="Times New Roman" w:hAnsi="Times New Roman" w:eastAsia="宋体" w:cs="Times New Roman"/>
                      <w:b w:val="0"/>
                      <w:bCs/>
                      <w:color w:val="auto"/>
                      <w:kern w:val="0"/>
                      <w:sz w:val="21"/>
                      <w:szCs w:val="21"/>
                      <w:highlight w:val="none"/>
                      <w:vertAlign w:val="baseline"/>
                      <w:lang w:val="en-US" w:eastAsia="zh-CN"/>
                    </w:rPr>
                    <w:t>m</w:t>
                  </w:r>
                </w:p>
              </w:tc>
              <w:tc>
                <w:tcPr>
                  <w:tcW w:w="420" w:type="pct"/>
                  <w:tcBorders>
                    <w:left w:val="single" w:color="000000" w:sz="4" w:space="0"/>
                    <w:right w:val="single" w:color="000000" w:sz="4" w:space="0"/>
                  </w:tcBorders>
                  <w:noWrap w:val="0"/>
                  <w:vAlign w:val="center"/>
                </w:tcPr>
                <w:p w14:paraId="47F7081B">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4</w:t>
                  </w:r>
                </w:p>
              </w:tc>
              <w:tc>
                <w:tcPr>
                  <w:tcW w:w="419" w:type="pct"/>
                  <w:tcBorders>
                    <w:left w:val="single" w:color="000000" w:sz="4" w:space="0"/>
                  </w:tcBorders>
                  <w:noWrap w:val="0"/>
                  <w:vAlign w:val="center"/>
                </w:tcPr>
                <w:p w14:paraId="145F81B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rPr>
                    <w:t>套</w:t>
                  </w:r>
                </w:p>
              </w:tc>
              <w:tc>
                <w:tcPr>
                  <w:tcW w:w="1962" w:type="pct"/>
                  <w:vMerge w:val="continue"/>
                  <w:noWrap w:val="0"/>
                  <w:vAlign w:val="center"/>
                </w:tcPr>
                <w:p w14:paraId="4D76CEBF">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r>
            <w:tr w14:paraId="2C2D8B8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vMerge w:val="continue"/>
                  <w:noWrap w:val="0"/>
                  <w:vAlign w:val="center"/>
                </w:tcPr>
                <w:p w14:paraId="44A36550">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718" w:type="pct"/>
                  <w:vMerge w:val="continue"/>
                  <w:noWrap w:val="0"/>
                  <w:vAlign w:val="center"/>
                </w:tcPr>
                <w:p w14:paraId="1CD2A93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1077" w:type="pct"/>
                  <w:tcBorders>
                    <w:right w:val="single" w:color="000000" w:sz="4" w:space="0"/>
                  </w:tcBorders>
                  <w:noWrap w:val="0"/>
                  <w:vAlign w:val="center"/>
                </w:tcPr>
                <w:p w14:paraId="21A20FB8">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bCs w:val="0"/>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1.2</w:t>
                  </w:r>
                  <w:r>
                    <w:rPr>
                      <w:rFonts w:hint="eastAsia" w:ascii="Times New Roman" w:hAnsi="Times New Roman" w:eastAsia="宋体" w:cs="Times New Roman"/>
                      <w:b w:val="0"/>
                      <w:bCs/>
                      <w:color w:val="auto"/>
                      <w:kern w:val="0"/>
                      <w:sz w:val="21"/>
                      <w:szCs w:val="21"/>
                      <w:highlight w:val="none"/>
                      <w:vertAlign w:val="baseline"/>
                      <w:lang w:val="en-US" w:eastAsia="zh-CN"/>
                    </w:rPr>
                    <w:t>m</w:t>
                  </w:r>
                  <w:r>
                    <w:rPr>
                      <w:rFonts w:hint="default" w:ascii="Arial" w:hAnsi="Arial" w:cs="Arial"/>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1</w:t>
                  </w:r>
                  <w:r>
                    <w:rPr>
                      <w:rFonts w:hint="eastAsia" w:ascii="Times New Roman" w:hAnsi="Times New Roman" w:eastAsia="宋体" w:cs="Times New Roman"/>
                      <w:b w:val="0"/>
                      <w:bCs/>
                      <w:color w:val="auto"/>
                      <w:kern w:val="0"/>
                      <w:sz w:val="21"/>
                      <w:szCs w:val="21"/>
                      <w:highlight w:val="none"/>
                      <w:vertAlign w:val="baseline"/>
                      <w:lang w:val="en-US" w:eastAsia="zh-CN"/>
                    </w:rPr>
                    <w:t>m</w:t>
                  </w:r>
                </w:p>
              </w:tc>
              <w:tc>
                <w:tcPr>
                  <w:tcW w:w="420" w:type="pct"/>
                  <w:tcBorders>
                    <w:left w:val="single" w:color="000000" w:sz="4" w:space="0"/>
                    <w:right w:val="single" w:color="000000" w:sz="4" w:space="0"/>
                  </w:tcBorders>
                  <w:noWrap w:val="0"/>
                  <w:vAlign w:val="center"/>
                </w:tcPr>
                <w:p w14:paraId="3F4036A7">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2</w:t>
                  </w:r>
                </w:p>
              </w:tc>
              <w:tc>
                <w:tcPr>
                  <w:tcW w:w="419" w:type="pct"/>
                  <w:tcBorders>
                    <w:left w:val="single" w:color="000000" w:sz="4" w:space="0"/>
                  </w:tcBorders>
                  <w:noWrap w:val="0"/>
                  <w:vAlign w:val="center"/>
                </w:tcPr>
                <w:p w14:paraId="05608378">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套</w:t>
                  </w:r>
                </w:p>
              </w:tc>
              <w:tc>
                <w:tcPr>
                  <w:tcW w:w="1962" w:type="pct"/>
                  <w:vMerge w:val="continue"/>
                  <w:noWrap w:val="0"/>
                  <w:vAlign w:val="center"/>
                </w:tcPr>
                <w:p w14:paraId="4FEA11E4">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r>
            <w:tr w14:paraId="461DF6F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60A403C3">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5</w:t>
                  </w:r>
                </w:p>
              </w:tc>
              <w:tc>
                <w:tcPr>
                  <w:tcW w:w="718" w:type="pct"/>
                  <w:noWrap w:val="0"/>
                  <w:vAlign w:val="center"/>
                </w:tcPr>
                <w:p w14:paraId="5C5E6E91">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模具</w:t>
                  </w:r>
                </w:p>
              </w:tc>
              <w:tc>
                <w:tcPr>
                  <w:tcW w:w="1077" w:type="pct"/>
                  <w:tcBorders>
                    <w:right w:val="single" w:color="000000" w:sz="4" w:space="0"/>
                  </w:tcBorders>
                  <w:noWrap w:val="0"/>
                  <w:vAlign w:val="center"/>
                </w:tcPr>
                <w:p w14:paraId="5A9CF703">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w:t>
                  </w:r>
                </w:p>
              </w:tc>
              <w:tc>
                <w:tcPr>
                  <w:tcW w:w="420" w:type="pct"/>
                  <w:tcBorders>
                    <w:left w:val="single" w:color="000000" w:sz="4" w:space="0"/>
                    <w:right w:val="single" w:color="000000" w:sz="4" w:space="0"/>
                  </w:tcBorders>
                  <w:noWrap w:val="0"/>
                  <w:vAlign w:val="center"/>
                </w:tcPr>
                <w:p w14:paraId="219B1ED3">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若干</w:t>
                  </w:r>
                </w:p>
              </w:tc>
              <w:tc>
                <w:tcPr>
                  <w:tcW w:w="419" w:type="pct"/>
                  <w:tcBorders>
                    <w:left w:val="single" w:color="000000" w:sz="4" w:space="0"/>
                  </w:tcBorders>
                  <w:noWrap w:val="0"/>
                  <w:vAlign w:val="center"/>
                </w:tcPr>
                <w:p w14:paraId="5AF9C520">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套</w:t>
                  </w:r>
                </w:p>
              </w:tc>
              <w:tc>
                <w:tcPr>
                  <w:tcW w:w="1962" w:type="pct"/>
                  <w:noWrap w:val="0"/>
                  <w:vAlign w:val="center"/>
                </w:tcPr>
                <w:p w14:paraId="0F9AF8D4">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按不同</w:t>
                  </w:r>
                  <w:r>
                    <w:rPr>
                      <w:rFonts w:hint="eastAsia" w:ascii="Times New Roman" w:hAnsi="Times New Roman" w:eastAsia="宋体" w:cs="Times New Roman"/>
                      <w:b w:val="0"/>
                      <w:bCs/>
                      <w:color w:val="auto"/>
                      <w:kern w:val="0"/>
                      <w:sz w:val="21"/>
                      <w:szCs w:val="21"/>
                      <w:highlight w:val="none"/>
                      <w:vertAlign w:val="baseline"/>
                      <w:lang w:val="en-US" w:eastAsia="zh-CN"/>
                    </w:rPr>
                    <w:t>形状</w:t>
                  </w:r>
                  <w:r>
                    <w:rPr>
                      <w:rFonts w:hint="eastAsia" w:cs="Times New Roman"/>
                      <w:b w:val="0"/>
                      <w:bCs/>
                      <w:color w:val="auto"/>
                      <w:kern w:val="0"/>
                      <w:sz w:val="21"/>
                      <w:szCs w:val="21"/>
                      <w:highlight w:val="none"/>
                      <w:vertAlign w:val="baseline"/>
                      <w:lang w:val="en-US" w:eastAsia="zh-CN"/>
                    </w:rPr>
                    <w:t>尺寸外委加工</w:t>
                  </w:r>
                </w:p>
              </w:tc>
            </w:tr>
            <w:tr w14:paraId="47224C4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3459047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6</w:t>
                  </w:r>
                </w:p>
              </w:tc>
              <w:tc>
                <w:tcPr>
                  <w:tcW w:w="718" w:type="pct"/>
                  <w:noWrap w:val="0"/>
                  <w:vAlign w:val="center"/>
                </w:tcPr>
                <w:p w14:paraId="416D8F4F">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切割机</w:t>
                  </w:r>
                </w:p>
              </w:tc>
              <w:tc>
                <w:tcPr>
                  <w:tcW w:w="1077" w:type="pct"/>
                  <w:tcBorders>
                    <w:right w:val="single" w:color="000000" w:sz="4" w:space="0"/>
                  </w:tcBorders>
                  <w:noWrap w:val="0"/>
                  <w:vAlign w:val="center"/>
                </w:tcPr>
                <w:p w14:paraId="671F50ED">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SPB-2000</w:t>
                  </w:r>
                </w:p>
              </w:tc>
              <w:tc>
                <w:tcPr>
                  <w:tcW w:w="420" w:type="pct"/>
                  <w:tcBorders>
                    <w:left w:val="single" w:color="000000" w:sz="4" w:space="0"/>
                    <w:right w:val="single" w:color="000000" w:sz="4" w:space="0"/>
                  </w:tcBorders>
                  <w:noWrap w:val="0"/>
                  <w:vAlign w:val="center"/>
                </w:tcPr>
                <w:p w14:paraId="5D819A6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3</w:t>
                  </w:r>
                </w:p>
              </w:tc>
              <w:tc>
                <w:tcPr>
                  <w:tcW w:w="419" w:type="pct"/>
                  <w:tcBorders>
                    <w:left w:val="single" w:color="000000" w:sz="4" w:space="0"/>
                  </w:tcBorders>
                  <w:noWrap w:val="0"/>
                  <w:vAlign w:val="center"/>
                </w:tcPr>
                <w:p w14:paraId="60CAD3DD">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套</w:t>
                  </w:r>
                </w:p>
              </w:tc>
              <w:tc>
                <w:tcPr>
                  <w:tcW w:w="1962" w:type="pct"/>
                  <w:noWrap w:val="0"/>
                  <w:vAlign w:val="center"/>
                </w:tcPr>
                <w:p w14:paraId="1400BD0A">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根据订单需要，切割尺寸</w:t>
                  </w:r>
                </w:p>
              </w:tc>
            </w:tr>
            <w:tr w14:paraId="32BEB93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vMerge w:val="restart"/>
                  <w:noWrap w:val="0"/>
                  <w:vAlign w:val="center"/>
                </w:tcPr>
                <w:p w14:paraId="075C6759">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7</w:t>
                  </w:r>
                </w:p>
              </w:tc>
              <w:tc>
                <w:tcPr>
                  <w:tcW w:w="718" w:type="pct"/>
                  <w:vMerge w:val="restart"/>
                  <w:noWrap w:val="0"/>
                  <w:vAlign w:val="center"/>
                </w:tcPr>
                <w:p w14:paraId="6EA0ADE8">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蒸汽储罐</w:t>
                  </w:r>
                </w:p>
              </w:tc>
              <w:tc>
                <w:tcPr>
                  <w:tcW w:w="1077" w:type="pct"/>
                  <w:tcBorders>
                    <w:right w:val="single" w:color="000000" w:sz="4" w:space="0"/>
                  </w:tcBorders>
                  <w:noWrap w:val="0"/>
                  <w:vAlign w:val="center"/>
                </w:tcPr>
                <w:p w14:paraId="6EDE0D9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rPr>
                    <w:t>5</w:t>
                  </w:r>
                  <w:r>
                    <w:rPr>
                      <w:rFonts w:hint="eastAsia" w:ascii="Times New Roman" w:hAnsi="Times New Roman" w:eastAsia="宋体" w:cs="Times New Roman"/>
                      <w:b w:val="0"/>
                      <w:bCs/>
                      <w:color w:val="auto"/>
                      <w:kern w:val="0"/>
                      <w:sz w:val="21"/>
                      <w:szCs w:val="21"/>
                      <w:highlight w:val="none"/>
                      <w:vertAlign w:val="baseline"/>
                      <w:lang w:val="en-US" w:eastAsia="zh-CN"/>
                    </w:rPr>
                    <w:t>m</w:t>
                  </w:r>
                  <w:r>
                    <w:rPr>
                      <w:rFonts w:hint="eastAsia" w:ascii="Times New Roman" w:hAnsi="Times New Roman" w:eastAsia="宋体" w:cs="Times New Roman"/>
                      <w:b w:val="0"/>
                      <w:bCs/>
                      <w:color w:val="auto"/>
                      <w:kern w:val="0"/>
                      <w:sz w:val="21"/>
                      <w:szCs w:val="21"/>
                      <w:highlight w:val="none"/>
                      <w:vertAlign w:val="superscript"/>
                      <w:lang w:val="en-US" w:eastAsia="zh-CN"/>
                    </w:rPr>
                    <w:t>3</w:t>
                  </w:r>
                </w:p>
              </w:tc>
              <w:tc>
                <w:tcPr>
                  <w:tcW w:w="420" w:type="pct"/>
                  <w:tcBorders>
                    <w:left w:val="single" w:color="000000" w:sz="4" w:space="0"/>
                    <w:right w:val="single" w:color="000000" w:sz="4" w:space="0"/>
                  </w:tcBorders>
                  <w:noWrap w:val="0"/>
                  <w:vAlign w:val="center"/>
                </w:tcPr>
                <w:p w14:paraId="054AB7D7">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w:t>
                  </w:r>
                </w:p>
              </w:tc>
              <w:tc>
                <w:tcPr>
                  <w:tcW w:w="419" w:type="pct"/>
                  <w:tcBorders>
                    <w:left w:val="single" w:color="000000" w:sz="4" w:space="0"/>
                  </w:tcBorders>
                  <w:noWrap w:val="0"/>
                  <w:vAlign w:val="center"/>
                </w:tcPr>
                <w:p w14:paraId="1A7606A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个</w:t>
                  </w:r>
                </w:p>
              </w:tc>
              <w:tc>
                <w:tcPr>
                  <w:tcW w:w="1962" w:type="pct"/>
                  <w:vMerge w:val="restart"/>
                  <w:noWrap w:val="0"/>
                  <w:vAlign w:val="center"/>
                </w:tcPr>
                <w:p w14:paraId="29A19103">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用于蒸汽暂存或调压</w:t>
                  </w:r>
                </w:p>
              </w:tc>
            </w:tr>
            <w:tr w14:paraId="7BFFB89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vMerge w:val="continue"/>
                  <w:noWrap w:val="0"/>
                  <w:vAlign w:val="center"/>
                </w:tcPr>
                <w:p w14:paraId="3C875C6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718" w:type="pct"/>
                  <w:vMerge w:val="continue"/>
                  <w:noWrap w:val="0"/>
                  <w:vAlign w:val="center"/>
                </w:tcPr>
                <w:p w14:paraId="749DE5CD">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p>
              </w:tc>
              <w:tc>
                <w:tcPr>
                  <w:tcW w:w="1077" w:type="pct"/>
                  <w:tcBorders>
                    <w:right w:val="single" w:color="000000" w:sz="4" w:space="0"/>
                  </w:tcBorders>
                  <w:noWrap w:val="0"/>
                  <w:vAlign w:val="center"/>
                </w:tcPr>
                <w:p w14:paraId="146753C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rPr>
                    <w:t>15</w:t>
                  </w:r>
                  <w:r>
                    <w:rPr>
                      <w:rFonts w:hint="eastAsia" w:ascii="Times New Roman" w:hAnsi="Times New Roman" w:eastAsia="宋体" w:cs="Times New Roman"/>
                      <w:b w:val="0"/>
                      <w:bCs/>
                      <w:color w:val="auto"/>
                      <w:kern w:val="0"/>
                      <w:sz w:val="21"/>
                      <w:szCs w:val="21"/>
                      <w:highlight w:val="none"/>
                      <w:vertAlign w:val="baseline"/>
                      <w:lang w:val="en-US" w:eastAsia="zh-CN"/>
                    </w:rPr>
                    <w:t>m</w:t>
                  </w:r>
                  <w:r>
                    <w:rPr>
                      <w:rFonts w:hint="eastAsia" w:ascii="Times New Roman" w:hAnsi="Times New Roman" w:eastAsia="宋体" w:cs="Times New Roman"/>
                      <w:b w:val="0"/>
                      <w:bCs/>
                      <w:color w:val="auto"/>
                      <w:kern w:val="0"/>
                      <w:sz w:val="21"/>
                      <w:szCs w:val="21"/>
                      <w:highlight w:val="none"/>
                      <w:vertAlign w:val="superscript"/>
                      <w:lang w:val="en-US" w:eastAsia="zh-CN"/>
                    </w:rPr>
                    <w:t>3</w:t>
                  </w:r>
                </w:p>
              </w:tc>
              <w:tc>
                <w:tcPr>
                  <w:tcW w:w="420" w:type="pct"/>
                  <w:tcBorders>
                    <w:left w:val="single" w:color="000000" w:sz="4" w:space="0"/>
                    <w:right w:val="single" w:color="000000" w:sz="4" w:space="0"/>
                  </w:tcBorders>
                  <w:noWrap w:val="0"/>
                  <w:vAlign w:val="center"/>
                </w:tcPr>
                <w:p w14:paraId="795A801B">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w:t>
                  </w:r>
                </w:p>
              </w:tc>
              <w:tc>
                <w:tcPr>
                  <w:tcW w:w="419" w:type="pct"/>
                  <w:tcBorders>
                    <w:left w:val="single" w:color="000000" w:sz="4" w:space="0"/>
                  </w:tcBorders>
                  <w:noWrap w:val="0"/>
                  <w:vAlign w:val="center"/>
                </w:tcPr>
                <w:p w14:paraId="76028E3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个</w:t>
                  </w:r>
                </w:p>
              </w:tc>
              <w:tc>
                <w:tcPr>
                  <w:tcW w:w="1962" w:type="pct"/>
                  <w:vMerge w:val="continue"/>
                  <w:noWrap w:val="0"/>
                  <w:vAlign w:val="center"/>
                </w:tcPr>
                <w:p w14:paraId="72DBB62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p>
              </w:tc>
            </w:tr>
            <w:tr w14:paraId="47F7605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vMerge w:val="continue"/>
                  <w:noWrap w:val="0"/>
                  <w:vAlign w:val="center"/>
                </w:tcPr>
                <w:p w14:paraId="0F19280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718" w:type="pct"/>
                  <w:vMerge w:val="continue"/>
                  <w:noWrap w:val="0"/>
                  <w:vAlign w:val="center"/>
                </w:tcPr>
                <w:p w14:paraId="78F76577">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p>
              </w:tc>
              <w:tc>
                <w:tcPr>
                  <w:tcW w:w="1077" w:type="pct"/>
                  <w:tcBorders>
                    <w:right w:val="single" w:color="000000" w:sz="4" w:space="0"/>
                  </w:tcBorders>
                  <w:noWrap w:val="0"/>
                  <w:vAlign w:val="center"/>
                </w:tcPr>
                <w:p w14:paraId="0BD9275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rPr>
                    <w:t>25</w:t>
                  </w:r>
                  <w:r>
                    <w:rPr>
                      <w:rFonts w:hint="eastAsia" w:ascii="Times New Roman" w:hAnsi="Times New Roman" w:eastAsia="宋体" w:cs="Times New Roman"/>
                      <w:b w:val="0"/>
                      <w:bCs/>
                      <w:color w:val="auto"/>
                      <w:kern w:val="0"/>
                      <w:sz w:val="21"/>
                      <w:szCs w:val="21"/>
                      <w:highlight w:val="none"/>
                      <w:vertAlign w:val="baseline"/>
                      <w:lang w:val="en-US" w:eastAsia="zh-CN"/>
                    </w:rPr>
                    <w:t>m</w:t>
                  </w:r>
                  <w:r>
                    <w:rPr>
                      <w:rFonts w:hint="eastAsia" w:ascii="Times New Roman" w:hAnsi="Times New Roman" w:eastAsia="宋体" w:cs="Times New Roman"/>
                      <w:b w:val="0"/>
                      <w:bCs/>
                      <w:color w:val="auto"/>
                      <w:kern w:val="0"/>
                      <w:sz w:val="21"/>
                      <w:szCs w:val="21"/>
                      <w:highlight w:val="none"/>
                      <w:vertAlign w:val="superscript"/>
                      <w:lang w:val="en-US" w:eastAsia="zh-CN"/>
                    </w:rPr>
                    <w:t>3</w:t>
                  </w:r>
                </w:p>
              </w:tc>
              <w:tc>
                <w:tcPr>
                  <w:tcW w:w="420" w:type="pct"/>
                  <w:tcBorders>
                    <w:left w:val="single" w:color="000000" w:sz="4" w:space="0"/>
                    <w:right w:val="single" w:color="000000" w:sz="4" w:space="0"/>
                  </w:tcBorders>
                  <w:noWrap w:val="0"/>
                  <w:vAlign w:val="center"/>
                </w:tcPr>
                <w:p w14:paraId="0ED54640">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w:t>
                  </w:r>
                </w:p>
              </w:tc>
              <w:tc>
                <w:tcPr>
                  <w:tcW w:w="419" w:type="pct"/>
                  <w:tcBorders>
                    <w:left w:val="single" w:color="000000" w:sz="4" w:space="0"/>
                  </w:tcBorders>
                  <w:noWrap w:val="0"/>
                  <w:vAlign w:val="center"/>
                </w:tcPr>
                <w:p w14:paraId="7870BA2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个</w:t>
                  </w:r>
                </w:p>
              </w:tc>
              <w:tc>
                <w:tcPr>
                  <w:tcW w:w="1962" w:type="pct"/>
                  <w:vMerge w:val="continue"/>
                  <w:noWrap w:val="0"/>
                  <w:vAlign w:val="center"/>
                </w:tcPr>
                <w:p w14:paraId="1F633ED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p>
              </w:tc>
            </w:tr>
            <w:tr w14:paraId="32FC987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06AF071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8</w:t>
                  </w:r>
                </w:p>
              </w:tc>
              <w:tc>
                <w:tcPr>
                  <w:tcW w:w="718" w:type="pct"/>
                  <w:noWrap w:val="0"/>
                  <w:vAlign w:val="center"/>
                </w:tcPr>
                <w:p w14:paraId="1F2889A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冷却塔</w:t>
                  </w:r>
                </w:p>
              </w:tc>
              <w:tc>
                <w:tcPr>
                  <w:tcW w:w="1077" w:type="pct"/>
                  <w:tcBorders>
                    <w:right w:val="single" w:color="000000" w:sz="4" w:space="0"/>
                  </w:tcBorders>
                  <w:noWrap w:val="0"/>
                  <w:vAlign w:val="center"/>
                </w:tcPr>
                <w:p w14:paraId="2508FB1E">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rPr>
                    <w:t>1</w:t>
                  </w:r>
                  <w:r>
                    <w:rPr>
                      <w:rFonts w:hint="eastAsia" w:ascii="Times New Roman" w:hAnsi="Times New Roman" w:eastAsia="宋体" w:cs="Times New Roman"/>
                      <w:b w:val="0"/>
                      <w:bCs/>
                      <w:color w:val="auto"/>
                      <w:kern w:val="0"/>
                      <w:sz w:val="21"/>
                      <w:szCs w:val="21"/>
                      <w:highlight w:val="none"/>
                      <w:vertAlign w:val="baseline"/>
                      <w:lang w:val="en-US" w:eastAsia="zh-CN"/>
                    </w:rPr>
                    <w:t>00m</w:t>
                  </w:r>
                  <w:r>
                    <w:rPr>
                      <w:rFonts w:hint="eastAsia" w:ascii="Times New Roman" w:hAnsi="Times New Roman" w:eastAsia="宋体" w:cs="Times New Roman"/>
                      <w:b w:val="0"/>
                      <w:bCs/>
                      <w:color w:val="auto"/>
                      <w:kern w:val="0"/>
                      <w:sz w:val="21"/>
                      <w:szCs w:val="21"/>
                      <w:highlight w:val="none"/>
                      <w:vertAlign w:val="superscript"/>
                      <w:lang w:val="en-US" w:eastAsia="zh-CN"/>
                    </w:rPr>
                    <w:t>3</w:t>
                  </w:r>
                </w:p>
              </w:tc>
              <w:tc>
                <w:tcPr>
                  <w:tcW w:w="420" w:type="pct"/>
                  <w:tcBorders>
                    <w:left w:val="single" w:color="000000" w:sz="4" w:space="0"/>
                    <w:right w:val="single" w:color="000000" w:sz="4" w:space="0"/>
                  </w:tcBorders>
                  <w:noWrap w:val="0"/>
                  <w:vAlign w:val="center"/>
                </w:tcPr>
                <w:p w14:paraId="36DF000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rPr>
                    <w:t>3</w:t>
                  </w:r>
                </w:p>
              </w:tc>
              <w:tc>
                <w:tcPr>
                  <w:tcW w:w="419" w:type="pct"/>
                  <w:tcBorders>
                    <w:left w:val="single" w:color="000000" w:sz="4" w:space="0"/>
                  </w:tcBorders>
                  <w:noWrap w:val="0"/>
                  <w:vAlign w:val="center"/>
                </w:tcPr>
                <w:p w14:paraId="1A8C96C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座</w:t>
                  </w:r>
                </w:p>
              </w:tc>
              <w:tc>
                <w:tcPr>
                  <w:tcW w:w="1962" w:type="pct"/>
                  <w:noWrap w:val="0"/>
                  <w:vAlign w:val="center"/>
                </w:tcPr>
                <w:p w14:paraId="729E621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rPr>
                    <w:t>3台</w:t>
                  </w:r>
                  <w:r>
                    <w:rPr>
                      <w:rFonts w:hint="eastAsia" w:ascii="Times New Roman" w:hAnsi="Times New Roman" w:eastAsia="宋体" w:cs="Times New Roman"/>
                      <w:b w:val="0"/>
                      <w:bCs/>
                      <w:color w:val="auto"/>
                      <w:kern w:val="0"/>
                      <w:sz w:val="21"/>
                      <w:szCs w:val="21"/>
                      <w:highlight w:val="none"/>
                      <w:vertAlign w:val="baseline"/>
                      <w:lang w:val="en-US" w:eastAsia="zh-CN"/>
                    </w:rPr>
                    <w:t>11</w:t>
                  </w:r>
                  <w:r>
                    <w:rPr>
                      <w:rFonts w:hint="eastAsia" w:cs="Times New Roman"/>
                      <w:b w:val="0"/>
                      <w:bCs/>
                      <w:color w:val="auto"/>
                      <w:kern w:val="0"/>
                      <w:sz w:val="21"/>
                      <w:szCs w:val="21"/>
                      <w:highlight w:val="none"/>
                      <w:vertAlign w:val="baseline"/>
                      <w:lang w:val="en-US" w:eastAsia="zh-CN"/>
                    </w:rPr>
                    <w:t>kW水泵</w:t>
                  </w:r>
                </w:p>
              </w:tc>
            </w:tr>
            <w:tr w14:paraId="63CE22B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10FA4A1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9</w:t>
                  </w:r>
                </w:p>
              </w:tc>
              <w:tc>
                <w:tcPr>
                  <w:tcW w:w="718" w:type="pct"/>
                  <w:noWrap w:val="0"/>
                  <w:vAlign w:val="center"/>
                </w:tcPr>
                <w:p w14:paraId="7ECBE15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真空泵</w:t>
                  </w:r>
                </w:p>
              </w:tc>
              <w:tc>
                <w:tcPr>
                  <w:tcW w:w="1077" w:type="pct"/>
                  <w:tcBorders>
                    <w:right w:val="single" w:color="000000" w:sz="4" w:space="0"/>
                  </w:tcBorders>
                  <w:noWrap w:val="0"/>
                  <w:vAlign w:val="center"/>
                </w:tcPr>
                <w:p w14:paraId="334E8B4E">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rPr>
                    <w:t>15kW</w:t>
                  </w:r>
                </w:p>
              </w:tc>
              <w:tc>
                <w:tcPr>
                  <w:tcW w:w="420" w:type="pct"/>
                  <w:tcBorders>
                    <w:left w:val="single" w:color="000000" w:sz="4" w:space="0"/>
                    <w:right w:val="single" w:color="000000" w:sz="4" w:space="0"/>
                  </w:tcBorders>
                  <w:noWrap w:val="0"/>
                  <w:vAlign w:val="center"/>
                </w:tcPr>
                <w:p w14:paraId="372056C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rPr>
                    <w:t>1</w:t>
                  </w:r>
                </w:p>
              </w:tc>
              <w:tc>
                <w:tcPr>
                  <w:tcW w:w="419" w:type="pct"/>
                  <w:tcBorders>
                    <w:left w:val="single" w:color="000000" w:sz="4" w:space="0"/>
                  </w:tcBorders>
                  <w:noWrap w:val="0"/>
                  <w:vAlign w:val="center"/>
                </w:tcPr>
                <w:p w14:paraId="5FD15F7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个</w:t>
                  </w:r>
                </w:p>
              </w:tc>
              <w:tc>
                <w:tcPr>
                  <w:tcW w:w="1962" w:type="pct"/>
                  <w:noWrap w:val="0"/>
                  <w:vAlign w:val="center"/>
                </w:tcPr>
                <w:p w14:paraId="168BB49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both"/>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bidi="ar-SA"/>
                    </w:rPr>
                    <w:t>--</w:t>
                  </w:r>
                </w:p>
              </w:tc>
            </w:tr>
            <w:tr w14:paraId="04221C6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14E7037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1</w:t>
                  </w:r>
                  <w:r>
                    <w:rPr>
                      <w:rFonts w:hint="eastAsia" w:cs="Times New Roman"/>
                      <w:b w:val="0"/>
                      <w:bCs/>
                      <w:color w:val="auto"/>
                      <w:kern w:val="0"/>
                      <w:sz w:val="21"/>
                      <w:szCs w:val="21"/>
                      <w:highlight w:val="none"/>
                      <w:vertAlign w:val="baseline"/>
                      <w:lang w:val="en-US" w:eastAsia="zh-CN"/>
                    </w:rPr>
                    <w:t>0</w:t>
                  </w:r>
                </w:p>
              </w:tc>
              <w:tc>
                <w:tcPr>
                  <w:tcW w:w="718" w:type="pct"/>
                  <w:noWrap w:val="0"/>
                  <w:vAlign w:val="center"/>
                </w:tcPr>
                <w:p w14:paraId="6CB0455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空气储罐</w:t>
                  </w:r>
                </w:p>
              </w:tc>
              <w:tc>
                <w:tcPr>
                  <w:tcW w:w="1077" w:type="pct"/>
                  <w:tcBorders>
                    <w:right w:val="single" w:color="000000" w:sz="4" w:space="0"/>
                  </w:tcBorders>
                  <w:noWrap w:val="0"/>
                  <w:vAlign w:val="center"/>
                </w:tcPr>
                <w:p w14:paraId="7B51BE0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rPr>
                    <w:t>15</w:t>
                  </w:r>
                  <w:r>
                    <w:rPr>
                      <w:rFonts w:hint="eastAsia" w:ascii="Times New Roman" w:hAnsi="Times New Roman" w:eastAsia="宋体" w:cs="Times New Roman"/>
                      <w:b w:val="0"/>
                      <w:bCs/>
                      <w:color w:val="auto"/>
                      <w:kern w:val="0"/>
                      <w:sz w:val="21"/>
                      <w:szCs w:val="21"/>
                      <w:highlight w:val="none"/>
                      <w:vertAlign w:val="baseline"/>
                      <w:lang w:val="en-US" w:eastAsia="zh-CN"/>
                    </w:rPr>
                    <w:t>m</w:t>
                  </w:r>
                  <w:r>
                    <w:rPr>
                      <w:rFonts w:hint="eastAsia" w:ascii="Times New Roman" w:hAnsi="Times New Roman" w:eastAsia="宋体" w:cs="Times New Roman"/>
                      <w:b w:val="0"/>
                      <w:bCs/>
                      <w:color w:val="auto"/>
                      <w:kern w:val="0"/>
                      <w:sz w:val="21"/>
                      <w:szCs w:val="21"/>
                      <w:highlight w:val="none"/>
                      <w:vertAlign w:val="superscript"/>
                      <w:lang w:val="en-US" w:eastAsia="zh-CN"/>
                    </w:rPr>
                    <w:t>3</w:t>
                  </w:r>
                </w:p>
              </w:tc>
              <w:tc>
                <w:tcPr>
                  <w:tcW w:w="420" w:type="pct"/>
                  <w:tcBorders>
                    <w:left w:val="single" w:color="000000" w:sz="4" w:space="0"/>
                    <w:right w:val="single" w:color="000000" w:sz="4" w:space="0"/>
                  </w:tcBorders>
                  <w:noWrap w:val="0"/>
                  <w:vAlign w:val="center"/>
                </w:tcPr>
                <w:p w14:paraId="4B5A154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1</w:t>
                  </w:r>
                </w:p>
              </w:tc>
              <w:tc>
                <w:tcPr>
                  <w:tcW w:w="419" w:type="pct"/>
                  <w:tcBorders>
                    <w:left w:val="single" w:color="000000" w:sz="4" w:space="0"/>
                  </w:tcBorders>
                  <w:noWrap w:val="0"/>
                  <w:vAlign w:val="center"/>
                </w:tcPr>
                <w:p w14:paraId="3EB6BE3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个</w:t>
                  </w:r>
                </w:p>
              </w:tc>
              <w:tc>
                <w:tcPr>
                  <w:tcW w:w="1962" w:type="pct"/>
                  <w:noWrap w:val="0"/>
                  <w:vAlign w:val="center"/>
                </w:tcPr>
                <w:p w14:paraId="48989D4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w:t>
                  </w:r>
                </w:p>
              </w:tc>
            </w:tr>
            <w:tr w14:paraId="0181EA8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7FBEB8BE">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1</w:t>
                  </w:r>
                  <w:r>
                    <w:rPr>
                      <w:rFonts w:hint="eastAsia" w:cs="Times New Roman"/>
                      <w:b w:val="0"/>
                      <w:bCs/>
                      <w:color w:val="auto"/>
                      <w:kern w:val="0"/>
                      <w:sz w:val="21"/>
                      <w:szCs w:val="21"/>
                      <w:highlight w:val="none"/>
                      <w:vertAlign w:val="baseline"/>
                      <w:lang w:val="en-US" w:eastAsia="zh-CN"/>
                    </w:rPr>
                    <w:t>1</w:t>
                  </w:r>
                </w:p>
              </w:tc>
              <w:tc>
                <w:tcPr>
                  <w:tcW w:w="718" w:type="pct"/>
                  <w:vMerge w:val="restart"/>
                  <w:noWrap w:val="0"/>
                  <w:vAlign w:val="center"/>
                </w:tcPr>
                <w:p w14:paraId="00DC3D7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水箱</w:t>
                  </w:r>
                </w:p>
              </w:tc>
              <w:tc>
                <w:tcPr>
                  <w:tcW w:w="1077" w:type="pct"/>
                  <w:tcBorders>
                    <w:right w:val="single" w:color="000000" w:sz="4" w:space="0"/>
                  </w:tcBorders>
                  <w:noWrap w:val="0"/>
                  <w:vAlign w:val="center"/>
                </w:tcPr>
                <w:p w14:paraId="4CE5D66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20</w:t>
                  </w:r>
                  <w:r>
                    <w:rPr>
                      <w:rFonts w:hint="eastAsia" w:ascii="Times New Roman" w:hAnsi="Times New Roman" w:eastAsia="宋体" w:cs="Times New Roman"/>
                      <w:b w:val="0"/>
                      <w:bCs/>
                      <w:color w:val="auto"/>
                      <w:kern w:val="0"/>
                      <w:sz w:val="21"/>
                      <w:szCs w:val="21"/>
                      <w:highlight w:val="none"/>
                      <w:vertAlign w:val="baseline"/>
                      <w:lang w:val="en-US" w:eastAsia="zh-CN"/>
                    </w:rPr>
                    <w:t>m</w:t>
                  </w:r>
                  <w:r>
                    <w:rPr>
                      <w:rFonts w:hint="eastAsia" w:ascii="Times New Roman" w:hAnsi="Times New Roman" w:eastAsia="宋体" w:cs="Times New Roman"/>
                      <w:b w:val="0"/>
                      <w:bCs/>
                      <w:color w:val="auto"/>
                      <w:kern w:val="0"/>
                      <w:sz w:val="21"/>
                      <w:szCs w:val="21"/>
                      <w:highlight w:val="none"/>
                      <w:vertAlign w:val="superscript"/>
                      <w:lang w:val="en-US" w:eastAsia="zh-CN"/>
                    </w:rPr>
                    <w:t>3</w:t>
                  </w:r>
                </w:p>
              </w:tc>
              <w:tc>
                <w:tcPr>
                  <w:tcW w:w="420" w:type="pct"/>
                  <w:tcBorders>
                    <w:left w:val="single" w:color="000000" w:sz="4" w:space="0"/>
                    <w:right w:val="single" w:color="000000" w:sz="4" w:space="0"/>
                  </w:tcBorders>
                  <w:noWrap w:val="0"/>
                  <w:vAlign w:val="center"/>
                </w:tcPr>
                <w:p w14:paraId="099900F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w:t>
                  </w:r>
                </w:p>
              </w:tc>
              <w:tc>
                <w:tcPr>
                  <w:tcW w:w="419" w:type="pct"/>
                  <w:tcBorders>
                    <w:left w:val="single" w:color="000000" w:sz="4" w:space="0"/>
                  </w:tcBorders>
                  <w:noWrap w:val="0"/>
                  <w:vAlign w:val="center"/>
                </w:tcPr>
                <w:p w14:paraId="3092A252">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个</w:t>
                  </w:r>
                </w:p>
              </w:tc>
              <w:tc>
                <w:tcPr>
                  <w:tcW w:w="1962" w:type="pct"/>
                  <w:vMerge w:val="restart"/>
                  <w:noWrap w:val="0"/>
                  <w:vAlign w:val="center"/>
                </w:tcPr>
                <w:p w14:paraId="53C2730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冷却水循环</w:t>
                  </w:r>
                </w:p>
              </w:tc>
            </w:tr>
            <w:tr w14:paraId="47A41AF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1B1A6849">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1</w:t>
                  </w:r>
                  <w:r>
                    <w:rPr>
                      <w:rFonts w:hint="eastAsia" w:cs="Times New Roman"/>
                      <w:b w:val="0"/>
                      <w:bCs/>
                      <w:color w:val="auto"/>
                      <w:kern w:val="0"/>
                      <w:sz w:val="21"/>
                      <w:szCs w:val="21"/>
                      <w:highlight w:val="none"/>
                      <w:vertAlign w:val="baseline"/>
                      <w:lang w:val="en-US" w:eastAsia="zh-CN"/>
                    </w:rPr>
                    <w:t>2</w:t>
                  </w:r>
                </w:p>
              </w:tc>
              <w:tc>
                <w:tcPr>
                  <w:tcW w:w="718" w:type="pct"/>
                  <w:vMerge w:val="continue"/>
                  <w:noWrap w:val="0"/>
                  <w:vAlign w:val="center"/>
                </w:tcPr>
                <w:p w14:paraId="3186568A">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p>
              </w:tc>
              <w:tc>
                <w:tcPr>
                  <w:tcW w:w="1077" w:type="pct"/>
                  <w:tcBorders>
                    <w:right w:val="single" w:color="000000" w:sz="4" w:space="0"/>
                  </w:tcBorders>
                  <w:noWrap w:val="0"/>
                  <w:vAlign w:val="center"/>
                </w:tcPr>
                <w:p w14:paraId="364F2886">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25</w:t>
                  </w:r>
                  <w:r>
                    <w:rPr>
                      <w:rFonts w:hint="eastAsia" w:ascii="Times New Roman" w:hAnsi="Times New Roman" w:eastAsia="宋体" w:cs="Times New Roman"/>
                      <w:b w:val="0"/>
                      <w:bCs/>
                      <w:color w:val="auto"/>
                      <w:kern w:val="0"/>
                      <w:sz w:val="21"/>
                      <w:szCs w:val="21"/>
                      <w:highlight w:val="none"/>
                      <w:vertAlign w:val="baseline"/>
                      <w:lang w:val="en-US" w:eastAsia="zh-CN"/>
                    </w:rPr>
                    <w:t>m</w:t>
                  </w:r>
                  <w:r>
                    <w:rPr>
                      <w:rFonts w:hint="eastAsia" w:ascii="Times New Roman" w:hAnsi="Times New Roman" w:eastAsia="宋体" w:cs="Times New Roman"/>
                      <w:b w:val="0"/>
                      <w:bCs/>
                      <w:color w:val="auto"/>
                      <w:kern w:val="0"/>
                      <w:sz w:val="21"/>
                      <w:szCs w:val="21"/>
                      <w:highlight w:val="none"/>
                      <w:vertAlign w:val="superscript"/>
                      <w:lang w:val="en-US" w:eastAsia="zh-CN"/>
                    </w:rPr>
                    <w:t>3</w:t>
                  </w:r>
                </w:p>
              </w:tc>
              <w:tc>
                <w:tcPr>
                  <w:tcW w:w="420" w:type="pct"/>
                  <w:tcBorders>
                    <w:left w:val="single" w:color="000000" w:sz="4" w:space="0"/>
                    <w:right w:val="single" w:color="000000" w:sz="4" w:space="0"/>
                  </w:tcBorders>
                  <w:noWrap w:val="0"/>
                  <w:vAlign w:val="center"/>
                </w:tcPr>
                <w:p w14:paraId="299E7ED6">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w:t>
                  </w:r>
                </w:p>
              </w:tc>
              <w:tc>
                <w:tcPr>
                  <w:tcW w:w="419" w:type="pct"/>
                  <w:tcBorders>
                    <w:left w:val="single" w:color="000000" w:sz="4" w:space="0"/>
                  </w:tcBorders>
                  <w:noWrap w:val="0"/>
                  <w:vAlign w:val="center"/>
                </w:tcPr>
                <w:p w14:paraId="6E586C74">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个</w:t>
                  </w:r>
                </w:p>
              </w:tc>
              <w:tc>
                <w:tcPr>
                  <w:tcW w:w="1962" w:type="pct"/>
                  <w:vMerge w:val="continue"/>
                  <w:noWrap w:val="0"/>
                  <w:vAlign w:val="center"/>
                </w:tcPr>
                <w:p w14:paraId="7B08BCCE">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p>
              </w:tc>
            </w:tr>
            <w:tr w14:paraId="31EDDA9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3DF5BF0E">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13</w:t>
                  </w:r>
                </w:p>
              </w:tc>
              <w:tc>
                <w:tcPr>
                  <w:tcW w:w="718" w:type="pct"/>
                  <w:vMerge w:val="continue"/>
                  <w:noWrap w:val="0"/>
                  <w:vAlign w:val="center"/>
                </w:tcPr>
                <w:p w14:paraId="070C7589">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p>
              </w:tc>
              <w:tc>
                <w:tcPr>
                  <w:tcW w:w="1077" w:type="pct"/>
                  <w:tcBorders>
                    <w:right w:val="single" w:color="000000" w:sz="4" w:space="0"/>
                  </w:tcBorders>
                  <w:noWrap w:val="0"/>
                  <w:vAlign w:val="center"/>
                </w:tcPr>
                <w:p w14:paraId="698E4BAF">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30</w:t>
                  </w:r>
                  <w:r>
                    <w:rPr>
                      <w:rFonts w:hint="eastAsia" w:ascii="Times New Roman" w:hAnsi="Times New Roman" w:eastAsia="宋体" w:cs="Times New Roman"/>
                      <w:b w:val="0"/>
                      <w:bCs/>
                      <w:color w:val="auto"/>
                      <w:kern w:val="0"/>
                      <w:sz w:val="21"/>
                      <w:szCs w:val="21"/>
                      <w:highlight w:val="none"/>
                      <w:vertAlign w:val="baseline"/>
                      <w:lang w:val="en-US" w:eastAsia="zh-CN"/>
                    </w:rPr>
                    <w:t>m</w:t>
                  </w:r>
                  <w:r>
                    <w:rPr>
                      <w:rFonts w:hint="eastAsia" w:ascii="Times New Roman" w:hAnsi="Times New Roman" w:eastAsia="宋体" w:cs="Times New Roman"/>
                      <w:b w:val="0"/>
                      <w:bCs/>
                      <w:color w:val="auto"/>
                      <w:kern w:val="0"/>
                      <w:sz w:val="21"/>
                      <w:szCs w:val="21"/>
                      <w:highlight w:val="none"/>
                      <w:vertAlign w:val="superscript"/>
                      <w:lang w:val="en-US" w:eastAsia="zh-CN"/>
                    </w:rPr>
                    <w:t>3</w:t>
                  </w:r>
                </w:p>
              </w:tc>
              <w:tc>
                <w:tcPr>
                  <w:tcW w:w="420" w:type="pct"/>
                  <w:tcBorders>
                    <w:left w:val="single" w:color="000000" w:sz="4" w:space="0"/>
                    <w:right w:val="single" w:color="000000" w:sz="4" w:space="0"/>
                  </w:tcBorders>
                  <w:noWrap w:val="0"/>
                  <w:vAlign w:val="center"/>
                </w:tcPr>
                <w:p w14:paraId="33AFFC63">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w:t>
                  </w:r>
                </w:p>
              </w:tc>
              <w:tc>
                <w:tcPr>
                  <w:tcW w:w="419" w:type="pct"/>
                  <w:tcBorders>
                    <w:left w:val="single" w:color="000000" w:sz="4" w:space="0"/>
                  </w:tcBorders>
                  <w:noWrap w:val="0"/>
                  <w:vAlign w:val="center"/>
                </w:tcPr>
                <w:p w14:paraId="6CC37B1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个</w:t>
                  </w:r>
                </w:p>
              </w:tc>
              <w:tc>
                <w:tcPr>
                  <w:tcW w:w="1962" w:type="pct"/>
                  <w:vMerge w:val="continue"/>
                  <w:noWrap w:val="0"/>
                  <w:vAlign w:val="center"/>
                </w:tcPr>
                <w:p w14:paraId="5A991A2E">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p>
              </w:tc>
            </w:tr>
            <w:tr w14:paraId="376E877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26105D34">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14</w:t>
                  </w:r>
                </w:p>
              </w:tc>
              <w:tc>
                <w:tcPr>
                  <w:tcW w:w="718" w:type="pct"/>
                  <w:noWrap w:val="0"/>
                  <w:vAlign w:val="center"/>
                </w:tcPr>
                <w:p w14:paraId="482B7DC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空压机</w:t>
                  </w:r>
                </w:p>
              </w:tc>
              <w:tc>
                <w:tcPr>
                  <w:tcW w:w="1077" w:type="pct"/>
                  <w:tcBorders>
                    <w:right w:val="single" w:color="000000" w:sz="4" w:space="0"/>
                  </w:tcBorders>
                  <w:noWrap w:val="0"/>
                  <w:vAlign w:val="center"/>
                </w:tcPr>
                <w:p w14:paraId="02E9B704">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w:t>
                  </w:r>
                </w:p>
              </w:tc>
              <w:tc>
                <w:tcPr>
                  <w:tcW w:w="420" w:type="pct"/>
                  <w:tcBorders>
                    <w:left w:val="single" w:color="000000" w:sz="4" w:space="0"/>
                    <w:right w:val="single" w:color="000000" w:sz="4" w:space="0"/>
                  </w:tcBorders>
                  <w:noWrap w:val="0"/>
                  <w:vAlign w:val="center"/>
                </w:tcPr>
                <w:p w14:paraId="634FBCC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4</w:t>
                  </w:r>
                </w:p>
              </w:tc>
              <w:tc>
                <w:tcPr>
                  <w:tcW w:w="419" w:type="pct"/>
                  <w:tcBorders>
                    <w:left w:val="single" w:color="000000" w:sz="4" w:space="0"/>
                  </w:tcBorders>
                  <w:noWrap w:val="0"/>
                  <w:vAlign w:val="center"/>
                </w:tcPr>
                <w:p w14:paraId="01B5CF6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个</w:t>
                  </w:r>
                </w:p>
              </w:tc>
              <w:tc>
                <w:tcPr>
                  <w:tcW w:w="1962" w:type="pct"/>
                  <w:noWrap w:val="0"/>
                  <w:vAlign w:val="center"/>
                </w:tcPr>
                <w:p w14:paraId="4CCA953A">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w:t>
                  </w:r>
                </w:p>
              </w:tc>
            </w:tr>
            <w:tr w14:paraId="7EBE4FB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0DD7F963">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15</w:t>
                  </w:r>
                </w:p>
              </w:tc>
              <w:tc>
                <w:tcPr>
                  <w:tcW w:w="718" w:type="pct"/>
                  <w:noWrap w:val="0"/>
                  <w:vAlign w:val="center"/>
                </w:tcPr>
                <w:p w14:paraId="693C2BA1">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冷凝设备</w:t>
                  </w:r>
                </w:p>
              </w:tc>
              <w:tc>
                <w:tcPr>
                  <w:tcW w:w="1077" w:type="pct"/>
                  <w:tcBorders>
                    <w:right w:val="single" w:color="000000" w:sz="4" w:space="0"/>
                  </w:tcBorders>
                  <w:noWrap w:val="0"/>
                  <w:vAlign w:val="center"/>
                </w:tcPr>
                <w:p w14:paraId="04F2ED47">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cs="Times New Roman"/>
                      <w:b w:val="0"/>
                      <w:bCs/>
                      <w:color w:val="auto"/>
                      <w:kern w:val="0"/>
                      <w:sz w:val="21"/>
                      <w:szCs w:val="21"/>
                      <w:highlight w:val="none"/>
                      <w:vertAlign w:val="baseline"/>
                      <w:lang w:val="en-US" w:eastAsia="zh-CN"/>
                    </w:rPr>
                  </w:pPr>
                </w:p>
              </w:tc>
              <w:tc>
                <w:tcPr>
                  <w:tcW w:w="420" w:type="pct"/>
                  <w:tcBorders>
                    <w:left w:val="single" w:color="000000" w:sz="4" w:space="0"/>
                    <w:right w:val="single" w:color="000000" w:sz="4" w:space="0"/>
                  </w:tcBorders>
                  <w:noWrap w:val="0"/>
                  <w:vAlign w:val="center"/>
                </w:tcPr>
                <w:p w14:paraId="71728946">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w:t>
                  </w:r>
                </w:p>
              </w:tc>
              <w:tc>
                <w:tcPr>
                  <w:tcW w:w="419" w:type="pct"/>
                  <w:tcBorders>
                    <w:left w:val="single" w:color="000000" w:sz="4" w:space="0"/>
                  </w:tcBorders>
                  <w:noWrap w:val="0"/>
                  <w:vAlign w:val="center"/>
                </w:tcPr>
                <w:p w14:paraId="766D2239">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套</w:t>
                  </w:r>
                </w:p>
              </w:tc>
              <w:tc>
                <w:tcPr>
                  <w:tcW w:w="1962" w:type="pct"/>
                  <w:noWrap w:val="0"/>
                  <w:vAlign w:val="center"/>
                </w:tcPr>
                <w:p w14:paraId="42A45DC1">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发泡工序蒸汽冷凝，含气液分离</w:t>
                  </w:r>
                </w:p>
              </w:tc>
            </w:tr>
            <w:tr w14:paraId="6A20A96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4" w:hRule="atLeast"/>
                <w:jc w:val="center"/>
              </w:trPr>
              <w:tc>
                <w:tcPr>
                  <w:tcW w:w="5000" w:type="pct"/>
                  <w:gridSpan w:val="6"/>
                  <w:noWrap w:val="0"/>
                  <w:vAlign w:val="center"/>
                </w:tcPr>
                <w:p w14:paraId="06EDCF3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环境治理</w:t>
                  </w:r>
                  <w:r>
                    <w:rPr>
                      <w:rFonts w:hint="eastAsia" w:ascii="Times New Roman" w:hAnsi="Times New Roman" w:cs="Times New Roman"/>
                      <w:b w:val="0"/>
                      <w:bCs/>
                      <w:color w:val="auto"/>
                      <w:kern w:val="0"/>
                      <w:sz w:val="21"/>
                      <w:szCs w:val="21"/>
                      <w:highlight w:val="none"/>
                      <w:vertAlign w:val="baseline"/>
                      <w:lang w:val="en-US" w:eastAsia="zh-CN"/>
                    </w:rPr>
                    <w:t>设施</w:t>
                  </w:r>
                </w:p>
              </w:tc>
            </w:tr>
            <w:tr w14:paraId="59CC7D5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73981931">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1</w:t>
                  </w:r>
                  <w:r>
                    <w:rPr>
                      <w:rFonts w:hint="eastAsia" w:cs="Times New Roman"/>
                      <w:b w:val="0"/>
                      <w:bCs/>
                      <w:color w:val="auto"/>
                      <w:kern w:val="0"/>
                      <w:sz w:val="21"/>
                      <w:szCs w:val="21"/>
                      <w:highlight w:val="none"/>
                      <w:vertAlign w:val="baseline"/>
                      <w:lang w:val="en-US" w:eastAsia="zh-CN"/>
                    </w:rPr>
                    <w:t>6</w:t>
                  </w:r>
                </w:p>
              </w:tc>
              <w:tc>
                <w:tcPr>
                  <w:tcW w:w="718" w:type="pct"/>
                  <w:noWrap w:val="0"/>
                  <w:vAlign w:val="center"/>
                </w:tcPr>
                <w:p w14:paraId="237A2C0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bidi="ar-SA"/>
                    </w:rPr>
                    <w:t>活性炭吸附</w:t>
                  </w:r>
                </w:p>
              </w:tc>
              <w:tc>
                <w:tcPr>
                  <w:tcW w:w="1077" w:type="pct"/>
                  <w:tcBorders>
                    <w:right w:val="single" w:color="000000" w:sz="4" w:space="0"/>
                  </w:tcBorders>
                  <w:noWrap w:val="0"/>
                  <w:vAlign w:val="center"/>
                </w:tcPr>
                <w:p w14:paraId="55501D90">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w:t>
                  </w:r>
                </w:p>
              </w:tc>
              <w:tc>
                <w:tcPr>
                  <w:tcW w:w="420" w:type="pct"/>
                  <w:tcBorders>
                    <w:left w:val="single" w:color="000000" w:sz="4" w:space="0"/>
                    <w:right w:val="single" w:color="000000" w:sz="4" w:space="0"/>
                  </w:tcBorders>
                  <w:noWrap w:val="0"/>
                  <w:vAlign w:val="center"/>
                </w:tcPr>
                <w:p w14:paraId="268DF4E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1</w:t>
                  </w:r>
                </w:p>
              </w:tc>
              <w:tc>
                <w:tcPr>
                  <w:tcW w:w="419" w:type="pct"/>
                  <w:tcBorders>
                    <w:left w:val="single" w:color="000000" w:sz="4" w:space="0"/>
                  </w:tcBorders>
                  <w:noWrap w:val="0"/>
                  <w:vAlign w:val="center"/>
                </w:tcPr>
                <w:p w14:paraId="37C207A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套</w:t>
                  </w:r>
                </w:p>
              </w:tc>
              <w:tc>
                <w:tcPr>
                  <w:tcW w:w="1962" w:type="pct"/>
                  <w:noWrap w:val="0"/>
                  <w:vAlign w:val="center"/>
                </w:tcPr>
                <w:p w14:paraId="5C7B14F7">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bidi="ar-SA"/>
                    </w:rPr>
                  </w:pPr>
                  <w:r>
                    <w:rPr>
                      <w:rFonts w:hint="eastAsia" w:ascii="Times New Roman" w:hAnsi="Times New Roman" w:eastAsia="宋体" w:cs="Times New Roman"/>
                      <w:b w:val="0"/>
                      <w:bCs/>
                      <w:color w:val="auto"/>
                      <w:kern w:val="0"/>
                      <w:sz w:val="21"/>
                      <w:szCs w:val="21"/>
                      <w:highlight w:val="none"/>
                      <w:vertAlign w:val="baseline"/>
                      <w:lang w:val="en-US" w:eastAsia="zh-CN"/>
                    </w:rPr>
                    <w:t>用于发泡、成型、</w:t>
                  </w:r>
                  <w:r>
                    <w:rPr>
                      <w:rFonts w:hint="eastAsia" w:cs="Times New Roman"/>
                      <w:b w:val="0"/>
                      <w:bCs/>
                      <w:color w:val="auto"/>
                      <w:kern w:val="0"/>
                      <w:sz w:val="21"/>
                      <w:szCs w:val="21"/>
                      <w:highlight w:val="none"/>
                      <w:vertAlign w:val="baseline"/>
                      <w:lang w:val="en-US" w:eastAsia="zh-CN"/>
                    </w:rPr>
                    <w:t>切割</w:t>
                  </w:r>
                  <w:r>
                    <w:rPr>
                      <w:rFonts w:hint="eastAsia" w:ascii="Times New Roman" w:hAnsi="Times New Roman" w:eastAsia="宋体" w:cs="Times New Roman"/>
                      <w:b w:val="0"/>
                      <w:bCs/>
                      <w:color w:val="auto"/>
                      <w:kern w:val="0"/>
                      <w:sz w:val="21"/>
                      <w:szCs w:val="21"/>
                      <w:highlight w:val="none"/>
                      <w:vertAlign w:val="baseline"/>
                      <w:lang w:val="en-US" w:eastAsia="zh-CN"/>
                    </w:rPr>
                    <w:t>产生废气的治理</w:t>
                  </w:r>
                </w:p>
              </w:tc>
            </w:tr>
            <w:tr w14:paraId="711DBA5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1" w:type="pct"/>
                  <w:noWrap w:val="0"/>
                  <w:vAlign w:val="center"/>
                </w:tcPr>
                <w:p w14:paraId="51C0C63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bookmarkStart w:id="5" w:name="_Toc9579"/>
                  <w:r>
                    <w:rPr>
                      <w:rFonts w:hint="eastAsia" w:cs="Times New Roman"/>
                      <w:b w:val="0"/>
                      <w:bCs/>
                      <w:color w:val="auto"/>
                      <w:kern w:val="0"/>
                      <w:sz w:val="21"/>
                      <w:szCs w:val="21"/>
                      <w:highlight w:val="none"/>
                      <w:vertAlign w:val="baseline"/>
                      <w:lang w:val="en-US" w:eastAsia="zh-CN"/>
                    </w:rPr>
                    <w:t>17</w:t>
                  </w:r>
                </w:p>
              </w:tc>
              <w:tc>
                <w:tcPr>
                  <w:tcW w:w="718" w:type="pct"/>
                  <w:noWrap w:val="0"/>
                  <w:vAlign w:val="center"/>
                </w:tcPr>
                <w:p w14:paraId="064AA4DB">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cs="Times New Roman"/>
                      <w:b w:val="0"/>
                      <w:bCs/>
                      <w:color w:val="auto"/>
                      <w:kern w:val="0"/>
                      <w:sz w:val="21"/>
                      <w:szCs w:val="21"/>
                      <w:highlight w:val="none"/>
                      <w:vertAlign w:val="baseline"/>
                      <w:lang w:val="en-US" w:eastAsia="zh-CN" w:bidi="ar-SA"/>
                    </w:rPr>
                  </w:pPr>
                  <w:r>
                    <w:rPr>
                      <w:rFonts w:hint="eastAsia" w:cs="Times New Roman"/>
                      <w:b w:val="0"/>
                      <w:bCs/>
                      <w:color w:val="auto"/>
                      <w:kern w:val="0"/>
                      <w:sz w:val="21"/>
                      <w:szCs w:val="21"/>
                      <w:highlight w:val="none"/>
                      <w:vertAlign w:val="baseline"/>
                      <w:lang w:val="en-US" w:eastAsia="zh-CN" w:bidi="ar-SA"/>
                    </w:rPr>
                    <w:t>催化燃烧装置</w:t>
                  </w:r>
                </w:p>
              </w:tc>
              <w:tc>
                <w:tcPr>
                  <w:tcW w:w="1077" w:type="pct"/>
                  <w:tcBorders>
                    <w:right w:val="single" w:color="000000" w:sz="4" w:space="0"/>
                  </w:tcBorders>
                  <w:noWrap w:val="0"/>
                  <w:vAlign w:val="center"/>
                </w:tcPr>
                <w:p w14:paraId="2A9E7EBD">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420" w:type="pct"/>
                  <w:tcBorders>
                    <w:left w:val="single" w:color="000000" w:sz="4" w:space="0"/>
                    <w:right w:val="single" w:color="000000" w:sz="4" w:space="0"/>
                  </w:tcBorders>
                  <w:noWrap w:val="0"/>
                  <w:vAlign w:val="center"/>
                </w:tcPr>
                <w:p w14:paraId="37B86CD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1</w:t>
                  </w:r>
                </w:p>
              </w:tc>
              <w:tc>
                <w:tcPr>
                  <w:tcW w:w="419" w:type="pct"/>
                  <w:tcBorders>
                    <w:left w:val="single" w:color="000000" w:sz="4" w:space="0"/>
                  </w:tcBorders>
                  <w:noWrap w:val="0"/>
                  <w:vAlign w:val="center"/>
                </w:tcPr>
                <w:p w14:paraId="4DB92F8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套</w:t>
                  </w:r>
                </w:p>
              </w:tc>
              <w:tc>
                <w:tcPr>
                  <w:tcW w:w="1962" w:type="pct"/>
                  <w:noWrap w:val="0"/>
                  <w:vAlign w:val="center"/>
                </w:tcPr>
                <w:p w14:paraId="6397545E">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活性炭脱附废气治理</w:t>
                  </w:r>
                </w:p>
              </w:tc>
            </w:tr>
          </w:tbl>
          <w:p w14:paraId="474720D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eastAsia"/>
                <w:color w:val="auto"/>
                <w:sz w:val="24"/>
                <w:szCs w:val="24"/>
                <w:highlight w:val="none"/>
                <w:lang w:val="en-US" w:eastAsia="zh-CN"/>
              </w:rPr>
            </w:pPr>
            <w:r>
              <w:rPr>
                <w:rFonts w:hint="eastAsia"/>
                <w:color w:val="auto"/>
                <w:sz w:val="24"/>
                <w:szCs w:val="24"/>
                <w:highlight w:val="none"/>
                <w:lang w:val="en-US" w:eastAsia="zh-CN"/>
              </w:rPr>
              <w:t>7.主要原辅材料及</w:t>
            </w:r>
            <w:bookmarkEnd w:id="5"/>
            <w:r>
              <w:rPr>
                <w:rFonts w:hint="eastAsia"/>
                <w:color w:val="auto"/>
                <w:sz w:val="24"/>
                <w:szCs w:val="24"/>
                <w:highlight w:val="none"/>
                <w:lang w:val="en-US" w:eastAsia="zh-CN"/>
              </w:rPr>
              <w:t>能源</w:t>
            </w:r>
          </w:p>
          <w:p w14:paraId="02393E47">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outlineLvl w:val="9"/>
              <w:rPr>
                <w:rFonts w:hint="default"/>
                <w:color w:val="auto"/>
                <w:sz w:val="24"/>
                <w:szCs w:val="24"/>
                <w:highlight w:val="none"/>
                <w:lang w:val="en-US" w:eastAsia="zh-CN"/>
              </w:rPr>
            </w:pPr>
            <w:r>
              <w:rPr>
                <w:rFonts w:hint="eastAsia"/>
                <w:color w:val="auto"/>
                <w:sz w:val="24"/>
                <w:szCs w:val="24"/>
                <w:highlight w:val="none"/>
                <w:lang w:val="en-US" w:eastAsia="zh-CN"/>
              </w:rPr>
              <w:t>本项目</w:t>
            </w:r>
            <w:r>
              <w:rPr>
                <w:rFonts w:hint="default"/>
                <w:color w:val="auto"/>
                <w:sz w:val="24"/>
                <w:szCs w:val="24"/>
                <w:highlight w:val="none"/>
              </w:rPr>
              <w:t>主要原辅材</w:t>
            </w:r>
            <w:r>
              <w:rPr>
                <w:rFonts w:hint="default"/>
                <w:color w:val="auto"/>
                <w:sz w:val="24"/>
                <w:szCs w:val="24"/>
                <w:highlight w:val="none"/>
                <w:lang w:eastAsia="zh-CN"/>
              </w:rPr>
              <w:t>料、能源消耗情况详</w:t>
            </w:r>
            <w:r>
              <w:rPr>
                <w:rFonts w:hint="default"/>
                <w:color w:val="auto"/>
                <w:sz w:val="24"/>
                <w:szCs w:val="24"/>
                <w:highlight w:val="none"/>
              </w:rPr>
              <w:t>见表</w:t>
            </w:r>
            <w:r>
              <w:rPr>
                <w:rFonts w:hint="eastAsia"/>
                <w:color w:val="auto"/>
                <w:sz w:val="24"/>
                <w:szCs w:val="24"/>
                <w:highlight w:val="none"/>
                <w:lang w:val="en-US" w:eastAsia="zh-CN"/>
              </w:rPr>
              <w:t>2</w:t>
            </w:r>
            <w:r>
              <w:rPr>
                <w:rFonts w:hint="default"/>
                <w:color w:val="auto"/>
                <w:sz w:val="24"/>
                <w:szCs w:val="24"/>
                <w:highlight w:val="none"/>
                <w:lang w:val="en-US" w:eastAsia="zh-CN"/>
              </w:rPr>
              <w:t>-</w:t>
            </w:r>
            <w:r>
              <w:rPr>
                <w:rFonts w:hint="eastAsia"/>
                <w:color w:val="auto"/>
                <w:sz w:val="24"/>
                <w:szCs w:val="24"/>
                <w:highlight w:val="none"/>
                <w:lang w:val="en-US" w:eastAsia="zh-CN"/>
              </w:rPr>
              <w:t>5</w:t>
            </w:r>
            <w:r>
              <w:rPr>
                <w:rFonts w:hint="default"/>
                <w:color w:val="auto"/>
                <w:sz w:val="24"/>
                <w:szCs w:val="24"/>
                <w:highlight w:val="none"/>
                <w:lang w:val="en-US" w:eastAsia="zh-CN"/>
              </w:rPr>
              <w:t>。</w:t>
            </w:r>
          </w:p>
          <w:p w14:paraId="3F981E06">
            <w:pPr>
              <w:pStyle w:val="32"/>
              <w:keepNext w:val="0"/>
              <w:keepLines w:val="0"/>
              <w:pageBreakBefore w:val="0"/>
              <w:widowControl w:val="0"/>
              <w:kinsoku/>
              <w:wordWrap/>
              <w:overflowPunct/>
              <w:topLinePunct w:val="0"/>
              <w:autoSpaceDE/>
              <w:autoSpaceDN/>
              <w:bidi w:val="0"/>
              <w:adjustRightInd/>
              <w:snapToGrid/>
              <w:spacing w:before="0" w:after="0" w:afterLines="0" w:line="240" w:lineRule="auto"/>
              <w:ind w:right="113" w:firstLine="0" w:firstLineChars="0"/>
              <w:jc w:val="center"/>
              <w:textAlignment w:val="auto"/>
              <w:rPr>
                <w:rFonts w:hint="default"/>
                <w:b/>
                <w:bCs/>
                <w:color w:val="auto"/>
                <w:sz w:val="24"/>
                <w:szCs w:val="24"/>
                <w:highlight w:val="none"/>
                <w:lang w:eastAsia="zh-CN"/>
              </w:rPr>
            </w:pPr>
            <w:r>
              <w:rPr>
                <w:rFonts w:hint="default"/>
                <w:b/>
                <w:bCs/>
                <w:color w:val="auto"/>
                <w:sz w:val="24"/>
                <w:szCs w:val="24"/>
                <w:highlight w:val="none"/>
              </w:rPr>
              <w:t>表</w:t>
            </w:r>
            <w:r>
              <w:rPr>
                <w:rFonts w:hint="eastAsia"/>
                <w:b/>
                <w:bCs/>
                <w:color w:val="auto"/>
                <w:sz w:val="24"/>
                <w:szCs w:val="24"/>
                <w:highlight w:val="none"/>
                <w:lang w:val="en-US" w:eastAsia="zh-CN"/>
              </w:rPr>
              <w:t>2</w:t>
            </w:r>
            <w:r>
              <w:rPr>
                <w:rFonts w:hint="default"/>
                <w:b/>
                <w:bCs/>
                <w:color w:val="auto"/>
                <w:sz w:val="24"/>
                <w:szCs w:val="24"/>
                <w:highlight w:val="none"/>
                <w:lang w:val="en-US" w:eastAsia="zh-CN"/>
              </w:rPr>
              <w:t>-</w:t>
            </w:r>
            <w:r>
              <w:rPr>
                <w:rFonts w:hint="eastAsia"/>
                <w:b/>
                <w:bCs/>
                <w:color w:val="auto"/>
                <w:sz w:val="24"/>
                <w:szCs w:val="24"/>
                <w:highlight w:val="none"/>
                <w:lang w:val="en-US" w:eastAsia="zh-CN"/>
              </w:rPr>
              <w:t>5</w:t>
            </w:r>
            <w:r>
              <w:rPr>
                <w:rFonts w:hint="default"/>
                <w:b/>
                <w:bCs/>
                <w:color w:val="auto"/>
                <w:sz w:val="24"/>
                <w:szCs w:val="24"/>
                <w:highlight w:val="none"/>
                <w:lang w:val="en-US" w:eastAsia="zh-CN"/>
              </w:rPr>
              <w:t xml:space="preserve"> </w:t>
            </w:r>
            <w:r>
              <w:rPr>
                <w:rFonts w:hint="default"/>
                <w:b/>
                <w:bCs/>
                <w:color w:val="auto"/>
                <w:sz w:val="24"/>
                <w:szCs w:val="24"/>
                <w:highlight w:val="none"/>
              </w:rPr>
              <w:t xml:space="preserve">  </w:t>
            </w:r>
            <w:r>
              <w:rPr>
                <w:rFonts w:hint="default"/>
                <w:b/>
                <w:bCs/>
                <w:color w:val="auto"/>
                <w:sz w:val="24"/>
                <w:szCs w:val="24"/>
                <w:highlight w:val="none"/>
                <w:lang w:eastAsia="zh-CN"/>
              </w:rPr>
              <w:t>主要原辅材料、能源消耗情况表</w:t>
            </w:r>
          </w:p>
          <w:tbl>
            <w:tblPr>
              <w:tblStyle w:val="35"/>
              <w:tblW w:w="4999"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702"/>
              <w:gridCol w:w="1557"/>
              <w:gridCol w:w="3861"/>
            </w:tblGrid>
            <w:tr w14:paraId="5ED19DD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4" w:type="pct"/>
                  <w:noWrap w:val="0"/>
                  <w:vAlign w:val="center"/>
                </w:tcPr>
                <w:p w14:paraId="7D2DB9CE">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bookmarkStart w:id="6" w:name="_Toc6474"/>
                  <w:r>
                    <w:rPr>
                      <w:rFonts w:hint="eastAsia" w:ascii="Times New Roman" w:hAnsi="Times New Roman" w:eastAsia="宋体" w:cs="Times New Roman"/>
                      <w:b w:val="0"/>
                      <w:bCs/>
                      <w:color w:val="auto"/>
                      <w:kern w:val="0"/>
                      <w:sz w:val="21"/>
                      <w:szCs w:val="21"/>
                      <w:highlight w:val="none"/>
                      <w:vertAlign w:val="baseline"/>
                      <w:lang w:val="en-US" w:eastAsia="zh-CN"/>
                    </w:rPr>
                    <w:t>名称</w:t>
                  </w:r>
                </w:p>
              </w:tc>
              <w:tc>
                <w:tcPr>
                  <w:tcW w:w="959" w:type="pct"/>
                  <w:noWrap w:val="0"/>
                  <w:vAlign w:val="center"/>
                </w:tcPr>
                <w:p w14:paraId="565A24DC">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数量t/a</w:t>
                  </w:r>
                </w:p>
              </w:tc>
              <w:tc>
                <w:tcPr>
                  <w:tcW w:w="2375" w:type="pct"/>
                  <w:noWrap w:val="0"/>
                  <w:vAlign w:val="center"/>
                </w:tcPr>
                <w:p w14:paraId="571B890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备注</w:t>
                  </w:r>
                </w:p>
              </w:tc>
            </w:tr>
            <w:tr w14:paraId="2CBACB5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4" w:type="pct"/>
                  <w:vMerge w:val="restart"/>
                  <w:noWrap w:val="0"/>
                  <w:vAlign w:val="center"/>
                </w:tcPr>
                <w:p w14:paraId="7F50D8C7">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可发</w:t>
                  </w:r>
                  <w:r>
                    <w:rPr>
                      <w:rFonts w:hint="eastAsia" w:ascii="Times New Roman" w:hAnsi="Times New Roman" w:cs="Times New Roman"/>
                      <w:b w:val="0"/>
                      <w:bCs/>
                      <w:color w:val="auto"/>
                      <w:kern w:val="0"/>
                      <w:sz w:val="21"/>
                      <w:szCs w:val="21"/>
                      <w:highlight w:val="none"/>
                      <w:vertAlign w:val="baseline"/>
                      <w:lang w:val="en-US" w:eastAsia="zh-CN"/>
                    </w:rPr>
                    <w:t>性</w:t>
                  </w:r>
                  <w:r>
                    <w:rPr>
                      <w:rFonts w:hint="eastAsia" w:ascii="Times New Roman" w:hAnsi="Times New Roman" w:eastAsia="宋体" w:cs="Times New Roman"/>
                      <w:b w:val="0"/>
                      <w:bCs/>
                      <w:color w:val="auto"/>
                      <w:kern w:val="0"/>
                      <w:sz w:val="21"/>
                      <w:szCs w:val="21"/>
                      <w:highlight w:val="none"/>
                      <w:vertAlign w:val="baseline"/>
                      <w:lang w:val="en-US" w:eastAsia="zh-CN"/>
                    </w:rPr>
                    <w:t>聚苯乙烯颗粒</w:t>
                  </w:r>
                </w:p>
              </w:tc>
              <w:tc>
                <w:tcPr>
                  <w:tcW w:w="959" w:type="pct"/>
                  <w:noWrap w:val="0"/>
                  <w:vAlign w:val="center"/>
                </w:tcPr>
                <w:p w14:paraId="2611F6B2">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300（塑料坐具）</w:t>
                  </w:r>
                </w:p>
              </w:tc>
              <w:tc>
                <w:tcPr>
                  <w:tcW w:w="2375" w:type="pct"/>
                  <w:vMerge w:val="restart"/>
                  <w:noWrap w:val="0"/>
                  <w:vAlign w:val="center"/>
                </w:tcPr>
                <w:p w14:paraId="1B509788">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0.75</w:t>
                  </w:r>
                  <w:r>
                    <w:rPr>
                      <w:rFonts w:hint="eastAsia" w:cs="Times New Roman"/>
                      <w:b w:val="0"/>
                      <w:bCs/>
                      <w:color w:val="auto"/>
                      <w:kern w:val="0"/>
                      <w:sz w:val="21"/>
                      <w:szCs w:val="21"/>
                      <w:highlight w:val="none"/>
                      <w:vertAlign w:val="baseline"/>
                      <w:lang w:val="en-US" w:eastAsia="zh-CN"/>
                    </w:rPr>
                    <w:t>～</w:t>
                  </w:r>
                  <w:r>
                    <w:rPr>
                      <w:rFonts w:hint="eastAsia" w:ascii="Times New Roman" w:hAnsi="Times New Roman" w:eastAsia="宋体" w:cs="Times New Roman"/>
                      <w:b w:val="0"/>
                      <w:bCs/>
                      <w:color w:val="auto"/>
                      <w:kern w:val="0"/>
                      <w:sz w:val="21"/>
                      <w:szCs w:val="21"/>
                      <w:highlight w:val="none"/>
                      <w:vertAlign w:val="baseline"/>
                      <w:lang w:val="en-US" w:eastAsia="zh-CN"/>
                    </w:rPr>
                    <w:t>0.95mm</w:t>
                  </w:r>
                  <w:r>
                    <w:rPr>
                      <w:rFonts w:hint="eastAsia" w:cs="Times New Roman"/>
                      <w:b w:val="0"/>
                      <w:bCs/>
                      <w:color w:val="auto"/>
                      <w:kern w:val="0"/>
                      <w:sz w:val="21"/>
                      <w:szCs w:val="21"/>
                      <w:highlight w:val="none"/>
                      <w:vertAlign w:val="baseline"/>
                      <w:lang w:val="en-US" w:eastAsia="zh-CN"/>
                    </w:rPr>
                    <w:t>圆球</w:t>
                  </w:r>
                  <w:r>
                    <w:rPr>
                      <w:rFonts w:hint="eastAsia" w:ascii="Times New Roman" w:hAnsi="Times New Roman" w:eastAsia="宋体" w:cs="Times New Roman"/>
                      <w:b w:val="0"/>
                      <w:bCs/>
                      <w:color w:val="auto"/>
                      <w:kern w:val="0"/>
                      <w:sz w:val="21"/>
                      <w:szCs w:val="21"/>
                      <w:highlight w:val="none"/>
                      <w:vertAlign w:val="baseline"/>
                      <w:lang w:val="en-US" w:eastAsia="zh-CN"/>
                    </w:rPr>
                    <w:t>状、吨包密封包装</w:t>
                  </w:r>
                </w:p>
              </w:tc>
            </w:tr>
            <w:tr w14:paraId="7B9683C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4" w:type="pct"/>
                  <w:vMerge w:val="continue"/>
                  <w:noWrap w:val="0"/>
                  <w:vAlign w:val="center"/>
                </w:tcPr>
                <w:p w14:paraId="44F37D63">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c>
                <w:tcPr>
                  <w:tcW w:w="959" w:type="pct"/>
                  <w:noWrap w:val="0"/>
                  <w:vAlign w:val="center"/>
                </w:tcPr>
                <w:p w14:paraId="6D6CEFCB">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300泡沫板）</w:t>
                  </w:r>
                </w:p>
              </w:tc>
              <w:tc>
                <w:tcPr>
                  <w:tcW w:w="2375" w:type="pct"/>
                  <w:vMerge w:val="continue"/>
                  <w:noWrap w:val="0"/>
                  <w:vAlign w:val="center"/>
                </w:tcPr>
                <w:p w14:paraId="55B941F5">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p>
              </w:tc>
            </w:tr>
            <w:tr w14:paraId="730BC47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4" w:type="pct"/>
                  <w:noWrap w:val="0"/>
                  <w:vAlign w:val="center"/>
                </w:tcPr>
                <w:p w14:paraId="559467E7">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总计</w:t>
                  </w:r>
                </w:p>
              </w:tc>
              <w:tc>
                <w:tcPr>
                  <w:tcW w:w="959" w:type="pct"/>
                  <w:noWrap w:val="0"/>
                  <w:vAlign w:val="center"/>
                </w:tcPr>
                <w:p w14:paraId="18E3F9CA">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600</w:t>
                  </w:r>
                </w:p>
              </w:tc>
              <w:tc>
                <w:tcPr>
                  <w:tcW w:w="2375" w:type="pct"/>
                  <w:noWrap w:val="0"/>
                  <w:vAlign w:val="center"/>
                </w:tcPr>
                <w:p w14:paraId="04E04D5B">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w:t>
                  </w:r>
                </w:p>
              </w:tc>
            </w:tr>
            <w:tr w14:paraId="751FD7C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5000" w:type="pct"/>
                  <w:gridSpan w:val="3"/>
                  <w:noWrap w:val="0"/>
                  <w:vAlign w:val="center"/>
                </w:tcPr>
                <w:p w14:paraId="486965A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能源利用情况</w:t>
                  </w:r>
                </w:p>
              </w:tc>
            </w:tr>
            <w:tr w14:paraId="340A7D5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4" w:type="pct"/>
                  <w:noWrap w:val="0"/>
                  <w:vAlign w:val="center"/>
                </w:tcPr>
                <w:p w14:paraId="70E3FC93">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蒸汽</w:t>
                  </w:r>
                </w:p>
              </w:tc>
              <w:tc>
                <w:tcPr>
                  <w:tcW w:w="959" w:type="pct"/>
                  <w:noWrap w:val="0"/>
                  <w:vAlign w:val="center"/>
                </w:tcPr>
                <w:p w14:paraId="66466C6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2400t/a</w:t>
                  </w:r>
                </w:p>
              </w:tc>
              <w:tc>
                <w:tcPr>
                  <w:tcW w:w="2375" w:type="pct"/>
                  <w:noWrap w:val="0"/>
                  <w:vAlign w:val="center"/>
                </w:tcPr>
                <w:p w14:paraId="7762E41A">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r>
                    <w:rPr>
                      <w:rFonts w:hint="eastAsia" w:cs="Times New Roman"/>
                      <w:color w:val="auto"/>
                      <w:szCs w:val="21"/>
                      <w:highlight w:val="none"/>
                      <w:lang w:val="en-US" w:eastAsia="zh-CN"/>
                    </w:rPr>
                    <w:t>石家庄玉晶玻璃有限公司产生的蒸汽</w:t>
                  </w:r>
                </w:p>
              </w:tc>
            </w:tr>
            <w:tr w14:paraId="5F8CAFD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4" w:type="pct"/>
                  <w:noWrap w:val="0"/>
                  <w:vAlign w:val="center"/>
                </w:tcPr>
                <w:p w14:paraId="70703BC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水</w:t>
                  </w:r>
                </w:p>
              </w:tc>
              <w:tc>
                <w:tcPr>
                  <w:tcW w:w="959" w:type="pct"/>
                  <w:noWrap w:val="0"/>
                  <w:vAlign w:val="center"/>
                </w:tcPr>
                <w:p w14:paraId="5EF3DD5F">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543.9t/a</w:t>
                  </w:r>
                </w:p>
              </w:tc>
              <w:tc>
                <w:tcPr>
                  <w:tcW w:w="2375" w:type="pct"/>
                  <w:noWrap w:val="0"/>
                  <w:vAlign w:val="center"/>
                </w:tcPr>
                <w:p w14:paraId="6B061A58">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cs="Times New Roman"/>
                      <w:b w:val="0"/>
                      <w:bCs/>
                      <w:color w:val="auto"/>
                      <w:kern w:val="0"/>
                      <w:sz w:val="21"/>
                      <w:szCs w:val="21"/>
                      <w:highlight w:val="none"/>
                      <w:vertAlign w:val="baseline"/>
                      <w:lang w:val="en-US" w:eastAsia="zh-CN"/>
                    </w:rPr>
                    <w:t>园区供水管网</w:t>
                  </w:r>
                </w:p>
              </w:tc>
            </w:tr>
            <w:tr w14:paraId="05FD9D5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64" w:type="pct"/>
                  <w:noWrap w:val="0"/>
                  <w:vAlign w:val="center"/>
                </w:tcPr>
                <w:p w14:paraId="5CB60EB6">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default" w:ascii="Times New Roman" w:hAnsi="Times New Roman" w:cs="Times New Roman"/>
                      <w:b w:val="0"/>
                      <w:bCs/>
                      <w:color w:val="auto"/>
                      <w:kern w:val="0"/>
                      <w:sz w:val="21"/>
                      <w:szCs w:val="21"/>
                      <w:highlight w:val="none"/>
                      <w:vertAlign w:val="baseline"/>
                      <w:lang w:val="en-US" w:eastAsia="zh-CN"/>
                    </w:rPr>
                    <w:t>电</w:t>
                  </w:r>
                </w:p>
              </w:tc>
              <w:tc>
                <w:tcPr>
                  <w:tcW w:w="959" w:type="pct"/>
                  <w:noWrap w:val="0"/>
                  <w:vAlign w:val="center"/>
                </w:tcPr>
                <w:p w14:paraId="536FFDAC">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default" w:ascii="Times New Roman" w:hAnsi="Times New Roman" w:cs="Times New Roman"/>
                      <w:b w:val="0"/>
                      <w:bCs/>
                      <w:color w:val="auto"/>
                      <w:kern w:val="0"/>
                      <w:sz w:val="21"/>
                      <w:szCs w:val="21"/>
                      <w:highlight w:val="none"/>
                      <w:vertAlign w:val="baseline"/>
                      <w:lang w:val="en-US" w:eastAsia="zh-CN"/>
                    </w:rPr>
                  </w:pPr>
                  <w:r>
                    <w:rPr>
                      <w:rFonts w:hint="default" w:ascii="Times New Roman" w:hAnsi="Times New Roman" w:cs="Times New Roman"/>
                      <w:b w:val="0"/>
                      <w:bCs/>
                      <w:color w:val="auto"/>
                      <w:kern w:val="0"/>
                      <w:sz w:val="21"/>
                      <w:szCs w:val="21"/>
                      <w:highlight w:val="none"/>
                      <w:vertAlign w:val="baseline"/>
                      <w:lang w:val="en-US" w:eastAsia="zh-CN"/>
                    </w:rPr>
                    <w:t>150万kW</w:t>
                  </w:r>
                  <w:r>
                    <w:rPr>
                      <w:rFonts w:hint="default" w:ascii="Times New Roman" w:hAnsi="Times New Roman" w:eastAsia="宋体" w:cs="Times New Roman"/>
                      <w:b w:val="0"/>
                      <w:bCs/>
                      <w:color w:val="auto"/>
                      <w:kern w:val="0"/>
                      <w:sz w:val="21"/>
                      <w:szCs w:val="21"/>
                      <w:highlight w:val="none"/>
                      <w:vertAlign w:val="baseline"/>
                      <w:lang w:val="en-US" w:eastAsia="zh-CN"/>
                    </w:rPr>
                    <w:t>·h</w:t>
                  </w:r>
                </w:p>
              </w:tc>
              <w:tc>
                <w:tcPr>
                  <w:tcW w:w="2375" w:type="pct"/>
                  <w:noWrap w:val="0"/>
                  <w:vAlign w:val="center"/>
                </w:tcPr>
                <w:p w14:paraId="19F8BF45">
                  <w:pPr>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center"/>
                    <w:textAlignment w:val="auto"/>
                    <w:rPr>
                      <w:rFonts w:hint="eastAsia" w:ascii="Times New Roman" w:hAnsi="Times New Roman" w:eastAsia="宋体" w:cs="Times New Roman"/>
                      <w:b w:val="0"/>
                      <w:bCs/>
                      <w:color w:val="auto"/>
                      <w:kern w:val="0"/>
                      <w:sz w:val="21"/>
                      <w:szCs w:val="21"/>
                      <w:highlight w:val="none"/>
                      <w:vertAlign w:val="baseline"/>
                      <w:lang w:val="en-US" w:eastAsia="zh-CN"/>
                    </w:rPr>
                  </w:pPr>
                  <w:r>
                    <w:rPr>
                      <w:rFonts w:hint="default" w:eastAsia="宋体" w:cs="Times New Roman"/>
                      <w:b w:val="0"/>
                      <w:bCs/>
                      <w:color w:val="auto"/>
                      <w:kern w:val="0"/>
                      <w:sz w:val="21"/>
                      <w:szCs w:val="21"/>
                      <w:highlight w:val="none"/>
                      <w:vertAlign w:val="baseline"/>
                      <w:lang w:val="en-US" w:eastAsia="zh-CN"/>
                    </w:rPr>
                    <w:t>行唐县供电总公司</w:t>
                  </w:r>
                </w:p>
              </w:tc>
            </w:tr>
          </w:tbl>
          <w:p w14:paraId="4D80DB83">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eastAsia" w:eastAsia="宋体"/>
                <w:b/>
                <w:bCs/>
                <w:color w:val="auto"/>
                <w:sz w:val="24"/>
                <w:szCs w:val="24"/>
                <w:highlight w:val="none"/>
                <w:lang w:val="en-US" w:eastAsia="zh-CN"/>
              </w:rPr>
            </w:pPr>
            <w:r>
              <w:rPr>
                <w:rFonts w:hint="eastAsia"/>
                <w:color w:val="auto"/>
                <w:sz w:val="24"/>
                <w:szCs w:val="24"/>
                <w:highlight w:val="none"/>
                <w:lang w:val="en-US" w:eastAsia="zh-CN"/>
              </w:rPr>
              <w:t>可发性聚苯乙烯颗粒：</w:t>
            </w:r>
            <w:r>
              <w:rPr>
                <w:rFonts w:hint="eastAsia" w:ascii="Times New Roman" w:hAnsi="Times New Roman" w:eastAsia="宋体" w:cs="Times New Roman"/>
                <w:color w:val="auto"/>
                <w:sz w:val="24"/>
                <w:szCs w:val="24"/>
                <w:highlight w:val="none"/>
                <w:lang w:val="en-US" w:eastAsia="zh-CN"/>
              </w:rPr>
              <w:t>可发性聚苯乙烯颗粒</w:t>
            </w:r>
            <w:r>
              <w:rPr>
                <w:rFonts w:hint="eastAsia" w:cs="Times New Roman"/>
                <w:color w:val="auto"/>
                <w:sz w:val="24"/>
                <w:szCs w:val="24"/>
                <w:highlight w:val="none"/>
                <w:lang w:val="en-US" w:eastAsia="zh-CN"/>
              </w:rPr>
              <w:t>是混合物，</w:t>
            </w:r>
            <w:r>
              <w:rPr>
                <w:rFonts w:hint="eastAsia" w:ascii="Times New Roman" w:hAnsi="Times New Roman" w:eastAsia="宋体" w:cs="Times New Roman"/>
                <w:color w:val="auto"/>
                <w:sz w:val="24"/>
                <w:szCs w:val="24"/>
                <w:highlight w:val="none"/>
                <w:lang w:val="en-US" w:eastAsia="zh-CN"/>
              </w:rPr>
              <w:t>主要成分见表</w:t>
            </w:r>
            <w:r>
              <w:rPr>
                <w:rFonts w:hint="eastAsia" w:cs="Times New Roman"/>
                <w:color w:val="auto"/>
                <w:sz w:val="24"/>
                <w:szCs w:val="24"/>
                <w:highlight w:val="none"/>
                <w:lang w:val="en-US" w:eastAsia="zh-CN"/>
              </w:rPr>
              <w:t>2-6</w:t>
            </w:r>
            <w:r>
              <w:rPr>
                <w:rFonts w:hint="eastAsia" w:ascii="Times New Roman" w:hAnsi="Times New Roman" w:eastAsia="宋体" w:cs="Times New Roman"/>
                <w:color w:val="auto"/>
                <w:sz w:val="24"/>
                <w:szCs w:val="24"/>
                <w:highlight w:val="none"/>
                <w:lang w:val="en-US" w:eastAsia="zh-CN"/>
              </w:rPr>
              <w:t>。依据可发性聚苯乙烯颗粒生产厂家提供的《化学品安全技术说明书》（根据GB/T16483-2008标准和GB/T17519-2013标准编写）（详见附件），又名聚苯乙烯珠体（可发性的），化学品英文名字EXPANDABLE POLYSTYRENE BEADS，EXPANDED POLYSTYRENE，主要</w:t>
            </w:r>
            <w:r>
              <w:rPr>
                <w:rFonts w:hint="eastAsia" w:cs="Times New Roman"/>
                <w:color w:val="auto"/>
                <w:sz w:val="24"/>
                <w:szCs w:val="24"/>
                <w:highlight w:val="none"/>
                <w:lang w:val="en-US" w:eastAsia="zh-CN"/>
              </w:rPr>
              <w:t>用于</w:t>
            </w:r>
            <w:r>
              <w:rPr>
                <w:rFonts w:hint="eastAsia" w:ascii="Times New Roman" w:hAnsi="Times New Roman" w:eastAsia="宋体" w:cs="Times New Roman"/>
                <w:color w:val="auto"/>
                <w:sz w:val="24"/>
                <w:szCs w:val="24"/>
                <w:highlight w:val="none"/>
                <w:lang w:val="en-US" w:eastAsia="zh-CN"/>
              </w:rPr>
              <w:t>建筑保温、结构件、轻质建材等。</w:t>
            </w:r>
            <w:r>
              <w:rPr>
                <w:rFonts w:hint="eastAsia" w:cs="Times New Roman"/>
                <w:color w:val="auto"/>
                <w:sz w:val="24"/>
                <w:szCs w:val="24"/>
                <w:highlight w:val="none"/>
                <w:lang w:val="en-US" w:eastAsia="zh-CN"/>
              </w:rPr>
              <w:t>其余详见附件部分。</w:t>
            </w:r>
          </w:p>
          <w:p w14:paraId="2FC9CE48">
            <w:pPr>
              <w:pStyle w:val="32"/>
              <w:keepNext w:val="0"/>
              <w:keepLines w:val="0"/>
              <w:pageBreakBefore w:val="0"/>
              <w:widowControl w:val="0"/>
              <w:kinsoku/>
              <w:wordWrap/>
              <w:overflowPunct/>
              <w:topLinePunct w:val="0"/>
              <w:autoSpaceDE/>
              <w:autoSpaceDN/>
              <w:bidi w:val="0"/>
              <w:adjustRightInd/>
              <w:snapToGrid/>
              <w:spacing w:before="0" w:after="0" w:afterLines="0" w:line="240" w:lineRule="auto"/>
              <w:ind w:right="113" w:firstLine="0" w:firstLineChars="0"/>
              <w:jc w:val="center"/>
              <w:textAlignment w:val="auto"/>
              <w:rPr>
                <w:rFonts w:hint="default" w:eastAsia="宋体"/>
                <w:b/>
                <w:bCs/>
                <w:color w:val="auto"/>
                <w:sz w:val="24"/>
                <w:szCs w:val="24"/>
                <w:highlight w:val="none"/>
                <w:lang w:val="en-US" w:eastAsia="zh-CN"/>
              </w:rPr>
            </w:pPr>
            <w:r>
              <w:rPr>
                <w:rFonts w:hint="eastAsia" w:eastAsia="宋体"/>
                <w:b/>
                <w:bCs/>
                <w:color w:val="auto"/>
                <w:sz w:val="24"/>
                <w:szCs w:val="24"/>
                <w:highlight w:val="none"/>
                <w:lang w:val="en-US" w:eastAsia="zh-CN"/>
              </w:rPr>
              <w:t>表2-</w:t>
            </w:r>
            <w:r>
              <w:rPr>
                <w:rFonts w:hint="eastAsia"/>
                <w:b/>
                <w:bCs/>
                <w:color w:val="auto"/>
                <w:sz w:val="24"/>
                <w:szCs w:val="24"/>
                <w:highlight w:val="none"/>
                <w:lang w:val="en-US" w:eastAsia="zh-CN"/>
              </w:rPr>
              <w:t>6</w:t>
            </w:r>
            <w:r>
              <w:rPr>
                <w:rFonts w:hint="eastAsia" w:eastAsia="宋体"/>
                <w:b/>
                <w:bCs/>
                <w:color w:val="auto"/>
                <w:sz w:val="24"/>
                <w:szCs w:val="24"/>
                <w:highlight w:val="none"/>
                <w:lang w:val="en-US" w:eastAsia="zh-CN"/>
              </w:rPr>
              <w:t xml:space="preserve"> 可发性聚苯乙烯颗粒主要成分表</w:t>
            </w:r>
          </w:p>
          <w:tbl>
            <w:tblPr>
              <w:tblStyle w:val="34"/>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46"/>
              <w:gridCol w:w="1070"/>
              <w:gridCol w:w="1287"/>
              <w:gridCol w:w="3172"/>
              <w:gridCol w:w="1144"/>
            </w:tblGrid>
            <w:tr w14:paraId="5DB5A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549" w:type="pct"/>
                  <w:gridSpan w:val="2"/>
                  <w:tcBorders>
                    <w:top w:val="single" w:color="auto" w:sz="4" w:space="0"/>
                    <w:bottom w:val="single" w:color="auto" w:sz="4" w:space="0"/>
                    <w:right w:val="single" w:color="auto" w:sz="4" w:space="0"/>
                  </w:tcBorders>
                  <w:noWrap/>
                  <w:vAlign w:val="center"/>
                </w:tcPr>
                <w:p w14:paraId="0754E161">
                  <w:pPr>
                    <w:keepNext w:val="0"/>
                    <w:keepLines w:val="0"/>
                    <w:widowControl/>
                    <w:suppressLineNumbers w:val="0"/>
                    <w:jc w:val="center"/>
                    <w:textAlignment w:val="center"/>
                    <w:rPr>
                      <w:rFonts w:hint="default" w:ascii="Times New Roman" w:hAnsi="Times New Roman" w:eastAsia="宋体" w:cs="Times New Roman"/>
                      <w:b/>
                      <w:bCs/>
                      <w:i w:val="0"/>
                      <w:iCs w:val="0"/>
                      <w:color w:val="auto"/>
                      <w:spacing w:val="-11"/>
                      <w:sz w:val="21"/>
                      <w:szCs w:val="21"/>
                      <w:highlight w:val="none"/>
                      <w:u w:val="none"/>
                    </w:rPr>
                  </w:pPr>
                  <w:r>
                    <w:rPr>
                      <w:rFonts w:hint="default" w:ascii="Times New Roman" w:hAnsi="Times New Roman" w:eastAsia="宋体" w:cs="Times New Roman"/>
                      <w:b/>
                      <w:bCs/>
                      <w:i w:val="0"/>
                      <w:iCs w:val="0"/>
                      <w:color w:val="auto"/>
                      <w:spacing w:val="-11"/>
                      <w:kern w:val="0"/>
                      <w:sz w:val="21"/>
                      <w:szCs w:val="21"/>
                      <w:highlight w:val="none"/>
                      <w:u w:val="none"/>
                      <w:lang w:val="en-US" w:eastAsia="zh-CN" w:bidi="ar"/>
                    </w:rPr>
                    <w:t>化学名称</w:t>
                  </w:r>
                </w:p>
              </w:tc>
              <w:tc>
                <w:tcPr>
                  <w:tcW w:w="792" w:type="pct"/>
                  <w:tcBorders>
                    <w:top w:val="single" w:color="auto" w:sz="4" w:space="0"/>
                    <w:left w:val="single" w:color="auto" w:sz="4" w:space="0"/>
                    <w:bottom w:val="single" w:color="auto" w:sz="4" w:space="0"/>
                    <w:right w:val="single" w:color="auto" w:sz="4" w:space="0"/>
                  </w:tcBorders>
                  <w:noWrap/>
                  <w:vAlign w:val="center"/>
                </w:tcPr>
                <w:p w14:paraId="69BB0668">
                  <w:pPr>
                    <w:keepNext w:val="0"/>
                    <w:keepLines w:val="0"/>
                    <w:widowControl/>
                    <w:suppressLineNumbers w:val="0"/>
                    <w:jc w:val="center"/>
                    <w:textAlignment w:val="center"/>
                    <w:rPr>
                      <w:rFonts w:hint="default" w:ascii="Times New Roman" w:hAnsi="Times New Roman" w:eastAsia="宋体" w:cs="Times New Roman"/>
                      <w:i w:val="0"/>
                      <w:iCs w:val="0"/>
                      <w:color w:val="auto"/>
                      <w:spacing w:val="-11"/>
                      <w:sz w:val="21"/>
                      <w:szCs w:val="21"/>
                      <w:highlight w:val="none"/>
                      <w:u w:val="none"/>
                    </w:rPr>
                  </w:pPr>
                  <w:r>
                    <w:rPr>
                      <w:rFonts w:hint="default" w:ascii="Times New Roman" w:hAnsi="Times New Roman" w:eastAsia="宋体" w:cs="Times New Roman"/>
                      <w:i w:val="0"/>
                      <w:iCs w:val="0"/>
                      <w:color w:val="auto"/>
                      <w:spacing w:val="-11"/>
                      <w:kern w:val="0"/>
                      <w:sz w:val="21"/>
                      <w:szCs w:val="21"/>
                      <w:highlight w:val="none"/>
                      <w:u w:val="none"/>
                      <w:lang w:val="en-US" w:eastAsia="zh-CN" w:bidi="ar"/>
                    </w:rPr>
                    <w:t>CAS号</w:t>
                  </w:r>
                </w:p>
              </w:tc>
              <w:tc>
                <w:tcPr>
                  <w:tcW w:w="1953" w:type="pct"/>
                  <w:tcBorders>
                    <w:top w:val="single" w:color="auto" w:sz="4" w:space="0"/>
                    <w:left w:val="single" w:color="auto" w:sz="4" w:space="0"/>
                    <w:bottom w:val="single" w:color="auto" w:sz="4" w:space="0"/>
                    <w:right w:val="single" w:color="auto" w:sz="4" w:space="0"/>
                  </w:tcBorders>
                  <w:noWrap/>
                  <w:vAlign w:val="center"/>
                </w:tcPr>
                <w:p w14:paraId="2D775C7D">
                  <w:pPr>
                    <w:keepNext w:val="0"/>
                    <w:keepLines w:val="0"/>
                    <w:widowControl/>
                    <w:suppressLineNumbers w:val="0"/>
                    <w:jc w:val="center"/>
                    <w:textAlignment w:val="center"/>
                    <w:rPr>
                      <w:rFonts w:hint="default" w:ascii="Times New Roman" w:hAnsi="Times New Roman" w:eastAsia="宋体" w:cs="Times New Roman"/>
                      <w:b/>
                      <w:bCs/>
                      <w:i w:val="0"/>
                      <w:iCs w:val="0"/>
                      <w:color w:val="auto"/>
                      <w:spacing w:val="-11"/>
                      <w:sz w:val="21"/>
                      <w:szCs w:val="21"/>
                      <w:highlight w:val="none"/>
                      <w:u w:val="none"/>
                    </w:rPr>
                  </w:pPr>
                  <w:r>
                    <w:rPr>
                      <w:rFonts w:hint="default" w:ascii="Times New Roman" w:hAnsi="Times New Roman" w:eastAsia="宋体" w:cs="Times New Roman"/>
                      <w:b/>
                      <w:bCs/>
                      <w:i w:val="0"/>
                      <w:iCs w:val="0"/>
                      <w:color w:val="auto"/>
                      <w:spacing w:val="-11"/>
                      <w:kern w:val="0"/>
                      <w:sz w:val="21"/>
                      <w:szCs w:val="21"/>
                      <w:highlight w:val="none"/>
                      <w:u w:val="none" w:color="000000"/>
                      <w:lang w:val="en-US" w:eastAsia="zh-CN" w:bidi="ar"/>
                    </w:rPr>
                    <w:t>浓度或浓度范围（质量分数，%）</w:t>
                  </w:r>
                </w:p>
              </w:tc>
              <w:tc>
                <w:tcPr>
                  <w:tcW w:w="704" w:type="pct"/>
                  <w:tcBorders>
                    <w:top w:val="single" w:color="auto" w:sz="4" w:space="0"/>
                    <w:left w:val="single" w:color="auto" w:sz="4" w:space="0"/>
                    <w:bottom w:val="single" w:color="auto" w:sz="4" w:space="0"/>
                  </w:tcBorders>
                  <w:noWrap/>
                  <w:vAlign w:val="center"/>
                </w:tcPr>
                <w:p w14:paraId="484FA695">
                  <w:pPr>
                    <w:keepNext w:val="0"/>
                    <w:keepLines w:val="0"/>
                    <w:widowControl/>
                    <w:suppressLineNumbers w:val="0"/>
                    <w:jc w:val="center"/>
                    <w:textAlignment w:val="center"/>
                    <w:rPr>
                      <w:rFonts w:hint="default" w:ascii="Times New Roman" w:hAnsi="Times New Roman" w:eastAsia="宋体" w:cs="Times New Roman"/>
                      <w:b/>
                      <w:bCs/>
                      <w:i w:val="0"/>
                      <w:iCs w:val="0"/>
                      <w:color w:val="auto"/>
                      <w:spacing w:val="-11"/>
                      <w:kern w:val="0"/>
                      <w:sz w:val="21"/>
                      <w:szCs w:val="21"/>
                      <w:highlight w:val="none"/>
                      <w:u w:val="none" w:color="000000"/>
                      <w:lang w:val="en-US" w:eastAsia="zh-CN" w:bidi="ar"/>
                    </w:rPr>
                  </w:pPr>
                  <w:r>
                    <w:rPr>
                      <w:rFonts w:hint="eastAsia" w:ascii="Times New Roman" w:hAnsi="Times New Roman" w:eastAsia="宋体" w:cs="Times New Roman"/>
                      <w:b/>
                      <w:bCs/>
                      <w:i w:val="0"/>
                      <w:iCs w:val="0"/>
                      <w:color w:val="auto"/>
                      <w:spacing w:val="-11"/>
                      <w:kern w:val="0"/>
                      <w:sz w:val="21"/>
                      <w:szCs w:val="21"/>
                      <w:highlight w:val="none"/>
                      <w:u w:val="none" w:color="000000"/>
                      <w:lang w:val="en-US" w:eastAsia="zh-CN" w:bidi="ar"/>
                    </w:rPr>
                    <w:t>作用</w:t>
                  </w:r>
                </w:p>
              </w:tc>
            </w:tr>
            <w:tr w14:paraId="3D5C2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549" w:type="pct"/>
                  <w:gridSpan w:val="2"/>
                  <w:tcBorders>
                    <w:top w:val="single" w:color="auto" w:sz="4" w:space="0"/>
                    <w:bottom w:val="single" w:color="auto" w:sz="4" w:space="0"/>
                    <w:right w:val="single" w:color="auto" w:sz="4" w:space="0"/>
                  </w:tcBorders>
                  <w:noWrap/>
                  <w:vAlign w:val="center"/>
                </w:tcPr>
                <w:p w14:paraId="534733D9">
                  <w:pPr>
                    <w:keepNext w:val="0"/>
                    <w:keepLines w:val="0"/>
                    <w:widowControl/>
                    <w:suppressLineNumbers w:val="0"/>
                    <w:jc w:val="center"/>
                    <w:textAlignment w:val="center"/>
                    <w:rPr>
                      <w:rFonts w:hint="default" w:ascii="Times New Roman" w:hAnsi="Times New Roman" w:eastAsia="宋体" w:cs="Times New Roman"/>
                      <w:i w:val="0"/>
                      <w:iCs w:val="0"/>
                      <w:color w:val="auto"/>
                      <w:spacing w:val="-11"/>
                      <w:sz w:val="21"/>
                      <w:szCs w:val="21"/>
                      <w:highlight w:val="none"/>
                      <w:u w:val="none"/>
                    </w:rPr>
                  </w:pPr>
                  <w:r>
                    <w:rPr>
                      <w:rFonts w:hint="default" w:ascii="Times New Roman" w:hAnsi="Times New Roman" w:eastAsia="宋体" w:cs="Times New Roman"/>
                      <w:i w:val="0"/>
                      <w:iCs w:val="0"/>
                      <w:color w:val="auto"/>
                      <w:spacing w:val="-11"/>
                      <w:kern w:val="0"/>
                      <w:sz w:val="21"/>
                      <w:szCs w:val="21"/>
                      <w:highlight w:val="none"/>
                      <w:u w:val="none" w:color="000000"/>
                      <w:lang w:val="en-US" w:eastAsia="zh-CN" w:bidi="ar"/>
                    </w:rPr>
                    <w:t>聚苯乙烯</w:t>
                  </w:r>
                </w:p>
              </w:tc>
              <w:tc>
                <w:tcPr>
                  <w:tcW w:w="792" w:type="pct"/>
                  <w:tcBorders>
                    <w:top w:val="single" w:color="auto" w:sz="4" w:space="0"/>
                    <w:left w:val="single" w:color="auto" w:sz="4" w:space="0"/>
                    <w:bottom w:val="single" w:color="auto" w:sz="4" w:space="0"/>
                    <w:right w:val="single" w:color="auto" w:sz="4" w:space="0"/>
                  </w:tcBorders>
                  <w:noWrap/>
                  <w:vAlign w:val="center"/>
                </w:tcPr>
                <w:p w14:paraId="2D51B6F4">
                  <w:pPr>
                    <w:keepNext w:val="0"/>
                    <w:keepLines w:val="0"/>
                    <w:widowControl/>
                    <w:suppressLineNumbers w:val="0"/>
                    <w:jc w:val="center"/>
                    <w:textAlignment w:val="center"/>
                    <w:rPr>
                      <w:rFonts w:hint="default" w:ascii="Times New Roman" w:hAnsi="Times New Roman" w:eastAsia="宋体" w:cs="Times New Roman"/>
                      <w:i w:val="0"/>
                      <w:iCs w:val="0"/>
                      <w:color w:val="auto"/>
                      <w:spacing w:val="-11"/>
                      <w:sz w:val="21"/>
                      <w:szCs w:val="21"/>
                      <w:highlight w:val="none"/>
                      <w:u w:val="none"/>
                    </w:rPr>
                  </w:pPr>
                  <w:r>
                    <w:rPr>
                      <w:rFonts w:hint="default" w:ascii="Times New Roman" w:hAnsi="Times New Roman" w:eastAsia="宋体" w:cs="Times New Roman"/>
                      <w:i w:val="0"/>
                      <w:iCs w:val="0"/>
                      <w:color w:val="auto"/>
                      <w:spacing w:val="-11"/>
                      <w:kern w:val="0"/>
                      <w:sz w:val="21"/>
                      <w:szCs w:val="21"/>
                      <w:highlight w:val="none"/>
                      <w:u w:val="none"/>
                      <w:lang w:val="en-US" w:eastAsia="zh-CN" w:bidi="ar"/>
                    </w:rPr>
                    <w:t>9003-53-6</w:t>
                  </w:r>
                </w:p>
              </w:tc>
              <w:tc>
                <w:tcPr>
                  <w:tcW w:w="1953" w:type="pct"/>
                  <w:tcBorders>
                    <w:top w:val="single" w:color="auto" w:sz="4" w:space="0"/>
                    <w:left w:val="single" w:color="auto" w:sz="4" w:space="0"/>
                    <w:bottom w:val="single" w:color="auto" w:sz="4" w:space="0"/>
                    <w:right w:val="single" w:color="auto" w:sz="4" w:space="0"/>
                  </w:tcBorders>
                  <w:noWrap/>
                  <w:vAlign w:val="center"/>
                </w:tcPr>
                <w:p w14:paraId="1ABA4FB9">
                  <w:pPr>
                    <w:keepNext w:val="0"/>
                    <w:keepLines w:val="0"/>
                    <w:widowControl/>
                    <w:suppressLineNumbers w:val="0"/>
                    <w:jc w:val="center"/>
                    <w:textAlignment w:val="center"/>
                    <w:rPr>
                      <w:rFonts w:hint="default" w:ascii="Times New Roman" w:hAnsi="Times New Roman" w:eastAsia="宋体" w:cs="Times New Roman"/>
                      <w:i w:val="0"/>
                      <w:iCs w:val="0"/>
                      <w:color w:val="auto"/>
                      <w:spacing w:val="-11"/>
                      <w:sz w:val="21"/>
                      <w:szCs w:val="21"/>
                      <w:highlight w:val="none"/>
                      <w:u w:val="none"/>
                    </w:rPr>
                  </w:pPr>
                  <w:r>
                    <w:rPr>
                      <w:rFonts w:hint="eastAsia" w:cs="Times New Roman"/>
                      <w:i w:val="0"/>
                      <w:iCs w:val="0"/>
                      <w:color w:val="auto"/>
                      <w:spacing w:val="-11"/>
                      <w:kern w:val="0"/>
                      <w:sz w:val="21"/>
                      <w:szCs w:val="21"/>
                      <w:highlight w:val="none"/>
                      <w:u w:val="none"/>
                      <w:lang w:val="en-US" w:eastAsia="zh-CN" w:bidi="ar"/>
                    </w:rPr>
                    <w:t>93%~95%</w:t>
                  </w:r>
                </w:p>
              </w:tc>
              <w:tc>
                <w:tcPr>
                  <w:tcW w:w="704" w:type="pct"/>
                  <w:tcBorders>
                    <w:top w:val="single" w:color="auto" w:sz="4" w:space="0"/>
                    <w:left w:val="single" w:color="auto" w:sz="4" w:space="0"/>
                    <w:bottom w:val="single" w:color="auto" w:sz="4" w:space="0"/>
                  </w:tcBorders>
                  <w:noWrap/>
                  <w:vAlign w:val="center"/>
                </w:tcPr>
                <w:p w14:paraId="6F4F736F">
                  <w:pPr>
                    <w:keepNext w:val="0"/>
                    <w:keepLines w:val="0"/>
                    <w:widowControl/>
                    <w:suppressLineNumbers w:val="0"/>
                    <w:jc w:val="center"/>
                    <w:textAlignment w:val="center"/>
                    <w:rPr>
                      <w:rFonts w:hint="default" w:ascii="Times New Roman" w:hAnsi="Times New Roman" w:eastAsia="宋体" w:cs="Times New Roman"/>
                      <w:i w:val="0"/>
                      <w:iCs w:val="0"/>
                      <w:color w:val="auto"/>
                      <w:spacing w:val="-11"/>
                      <w:kern w:val="0"/>
                      <w:sz w:val="21"/>
                      <w:szCs w:val="21"/>
                      <w:highlight w:val="none"/>
                      <w:u w:val="none"/>
                      <w:lang w:val="en-US" w:eastAsia="zh-CN" w:bidi="ar"/>
                    </w:rPr>
                  </w:pPr>
                  <w:r>
                    <w:rPr>
                      <w:rFonts w:hint="eastAsia" w:ascii="Times New Roman" w:hAnsi="Times New Roman" w:eastAsia="宋体" w:cs="Times New Roman"/>
                      <w:i w:val="0"/>
                      <w:iCs w:val="0"/>
                      <w:color w:val="auto"/>
                      <w:spacing w:val="-11"/>
                      <w:kern w:val="0"/>
                      <w:sz w:val="21"/>
                      <w:szCs w:val="21"/>
                      <w:highlight w:val="none"/>
                      <w:u w:val="none"/>
                      <w:lang w:val="en-US" w:eastAsia="zh-CN" w:bidi="ar"/>
                    </w:rPr>
                    <w:t>主要材料</w:t>
                  </w:r>
                </w:p>
              </w:tc>
            </w:tr>
            <w:tr w14:paraId="4FFE2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90" w:type="pct"/>
                  <w:vMerge w:val="restart"/>
                  <w:tcBorders>
                    <w:top w:val="single" w:color="auto" w:sz="4" w:space="0"/>
                    <w:bottom w:val="single" w:color="auto" w:sz="4" w:space="0"/>
                    <w:right w:val="single" w:color="auto" w:sz="4" w:space="0"/>
                  </w:tcBorders>
                  <w:noWrap/>
                  <w:vAlign w:val="center"/>
                </w:tcPr>
                <w:p w14:paraId="3DABA89A">
                  <w:pPr>
                    <w:keepNext w:val="0"/>
                    <w:keepLines w:val="0"/>
                    <w:widowControl/>
                    <w:suppressLineNumbers w:val="0"/>
                    <w:jc w:val="center"/>
                    <w:textAlignment w:val="center"/>
                    <w:rPr>
                      <w:rFonts w:hint="default" w:ascii="Times New Roman" w:hAnsi="Times New Roman" w:eastAsia="宋体" w:cs="Times New Roman"/>
                      <w:i w:val="0"/>
                      <w:iCs w:val="0"/>
                      <w:color w:val="auto"/>
                      <w:spacing w:val="-11"/>
                      <w:sz w:val="21"/>
                      <w:szCs w:val="21"/>
                      <w:highlight w:val="none"/>
                      <w:u w:val="none"/>
                    </w:rPr>
                  </w:pPr>
                  <w:r>
                    <w:rPr>
                      <w:rFonts w:hint="default" w:ascii="Times New Roman" w:hAnsi="Times New Roman" w:eastAsia="宋体" w:cs="Times New Roman"/>
                      <w:i w:val="0"/>
                      <w:iCs w:val="0"/>
                      <w:color w:val="auto"/>
                      <w:spacing w:val="-11"/>
                      <w:kern w:val="0"/>
                      <w:sz w:val="21"/>
                      <w:szCs w:val="21"/>
                      <w:highlight w:val="none"/>
                      <w:u w:val="none"/>
                      <w:lang w:val="en-US" w:eastAsia="zh-CN" w:bidi="ar"/>
                    </w:rPr>
                    <w:t>戊烷（混合的异构体）</w:t>
                  </w:r>
                </w:p>
              </w:tc>
              <w:tc>
                <w:tcPr>
                  <w:tcW w:w="658" w:type="pct"/>
                  <w:tcBorders>
                    <w:top w:val="single" w:color="auto" w:sz="4" w:space="0"/>
                    <w:left w:val="single" w:color="auto" w:sz="4" w:space="0"/>
                    <w:bottom w:val="single" w:color="auto" w:sz="4" w:space="0"/>
                    <w:right w:val="single" w:color="auto" w:sz="4" w:space="0"/>
                  </w:tcBorders>
                  <w:noWrap/>
                  <w:vAlign w:val="center"/>
                </w:tcPr>
                <w:p w14:paraId="5151AC0E">
                  <w:pPr>
                    <w:keepNext w:val="0"/>
                    <w:keepLines w:val="0"/>
                    <w:widowControl/>
                    <w:suppressLineNumbers w:val="0"/>
                    <w:jc w:val="center"/>
                    <w:textAlignment w:val="center"/>
                    <w:rPr>
                      <w:rFonts w:hint="default" w:ascii="Times New Roman" w:hAnsi="Times New Roman" w:eastAsia="宋体" w:cs="Times New Roman"/>
                      <w:i w:val="0"/>
                      <w:iCs w:val="0"/>
                      <w:color w:val="auto"/>
                      <w:spacing w:val="-11"/>
                      <w:sz w:val="21"/>
                      <w:szCs w:val="21"/>
                      <w:highlight w:val="none"/>
                      <w:u w:val="none"/>
                    </w:rPr>
                  </w:pPr>
                  <w:r>
                    <w:rPr>
                      <w:rFonts w:hint="default" w:ascii="Times New Roman" w:hAnsi="Times New Roman" w:eastAsia="宋体" w:cs="Times New Roman"/>
                      <w:i w:val="0"/>
                      <w:iCs w:val="0"/>
                      <w:color w:val="auto"/>
                      <w:spacing w:val="-11"/>
                      <w:kern w:val="0"/>
                      <w:sz w:val="21"/>
                      <w:szCs w:val="21"/>
                      <w:highlight w:val="none"/>
                      <w:u w:val="none"/>
                      <w:lang w:val="en-US" w:eastAsia="zh-CN" w:bidi="ar"/>
                    </w:rPr>
                    <w:t>正戊烷</w:t>
                  </w:r>
                </w:p>
              </w:tc>
              <w:tc>
                <w:tcPr>
                  <w:tcW w:w="792" w:type="pct"/>
                  <w:tcBorders>
                    <w:top w:val="single" w:color="auto" w:sz="4" w:space="0"/>
                    <w:left w:val="single" w:color="auto" w:sz="4" w:space="0"/>
                    <w:bottom w:val="single" w:color="auto" w:sz="4" w:space="0"/>
                    <w:right w:val="single" w:color="auto" w:sz="4" w:space="0"/>
                  </w:tcBorders>
                  <w:noWrap/>
                  <w:vAlign w:val="center"/>
                </w:tcPr>
                <w:p w14:paraId="5FD2A405">
                  <w:pPr>
                    <w:keepNext w:val="0"/>
                    <w:keepLines w:val="0"/>
                    <w:widowControl/>
                    <w:suppressLineNumbers w:val="0"/>
                    <w:jc w:val="center"/>
                    <w:textAlignment w:val="center"/>
                    <w:rPr>
                      <w:rFonts w:hint="default" w:ascii="Times New Roman" w:hAnsi="Times New Roman" w:eastAsia="宋体" w:cs="Times New Roman"/>
                      <w:i w:val="0"/>
                      <w:iCs w:val="0"/>
                      <w:color w:val="auto"/>
                      <w:spacing w:val="-11"/>
                      <w:sz w:val="21"/>
                      <w:szCs w:val="21"/>
                      <w:highlight w:val="none"/>
                      <w:u w:val="none"/>
                    </w:rPr>
                  </w:pPr>
                  <w:r>
                    <w:rPr>
                      <w:rFonts w:hint="default" w:ascii="Times New Roman" w:hAnsi="Times New Roman" w:eastAsia="宋体" w:cs="Times New Roman"/>
                      <w:i w:val="0"/>
                      <w:iCs w:val="0"/>
                      <w:color w:val="auto"/>
                      <w:spacing w:val="-11"/>
                      <w:kern w:val="0"/>
                      <w:sz w:val="21"/>
                      <w:szCs w:val="21"/>
                      <w:highlight w:val="none"/>
                      <w:u w:val="none"/>
                      <w:lang w:val="en-US" w:eastAsia="zh-CN" w:bidi="ar"/>
                    </w:rPr>
                    <w:t>109-66-0</w:t>
                  </w:r>
                </w:p>
              </w:tc>
              <w:tc>
                <w:tcPr>
                  <w:tcW w:w="1953" w:type="pct"/>
                  <w:vMerge w:val="restart"/>
                  <w:tcBorders>
                    <w:top w:val="single" w:color="auto" w:sz="4" w:space="0"/>
                    <w:left w:val="single" w:color="auto" w:sz="4" w:space="0"/>
                    <w:bottom w:val="single" w:color="auto" w:sz="4" w:space="0"/>
                    <w:right w:val="single" w:color="auto" w:sz="4" w:space="0"/>
                  </w:tcBorders>
                  <w:noWrap/>
                  <w:vAlign w:val="center"/>
                </w:tcPr>
                <w:p w14:paraId="2AB34524">
                  <w:pPr>
                    <w:keepNext w:val="0"/>
                    <w:keepLines w:val="0"/>
                    <w:widowControl/>
                    <w:suppressLineNumbers w:val="0"/>
                    <w:jc w:val="center"/>
                    <w:textAlignment w:val="center"/>
                    <w:rPr>
                      <w:rFonts w:hint="default" w:ascii="Times New Roman" w:hAnsi="Times New Roman" w:eastAsia="宋体" w:cs="Times New Roman"/>
                      <w:i w:val="0"/>
                      <w:iCs w:val="0"/>
                      <w:color w:val="auto"/>
                      <w:spacing w:val="-11"/>
                      <w:sz w:val="21"/>
                      <w:szCs w:val="21"/>
                      <w:highlight w:val="none"/>
                      <w:u w:val="none"/>
                    </w:rPr>
                  </w:pPr>
                  <w:r>
                    <w:rPr>
                      <w:rFonts w:hint="eastAsia" w:cs="Times New Roman"/>
                      <w:i w:val="0"/>
                      <w:iCs w:val="0"/>
                      <w:color w:val="auto"/>
                      <w:spacing w:val="-11"/>
                      <w:kern w:val="0"/>
                      <w:sz w:val="21"/>
                      <w:szCs w:val="21"/>
                      <w:highlight w:val="none"/>
                      <w:u w:val="none"/>
                      <w:lang w:val="en-US" w:eastAsia="zh-CN" w:bidi="ar"/>
                    </w:rPr>
                    <w:t>4%~7%</w:t>
                  </w:r>
                </w:p>
              </w:tc>
              <w:tc>
                <w:tcPr>
                  <w:tcW w:w="704" w:type="pct"/>
                  <w:vMerge w:val="restart"/>
                  <w:tcBorders>
                    <w:top w:val="single" w:color="auto" w:sz="4" w:space="0"/>
                    <w:left w:val="single" w:color="auto" w:sz="4" w:space="0"/>
                  </w:tcBorders>
                  <w:noWrap/>
                  <w:vAlign w:val="center"/>
                </w:tcPr>
                <w:p w14:paraId="7061FA28">
                  <w:pPr>
                    <w:keepNext w:val="0"/>
                    <w:keepLines w:val="0"/>
                    <w:widowControl/>
                    <w:suppressLineNumbers w:val="0"/>
                    <w:jc w:val="center"/>
                    <w:textAlignment w:val="center"/>
                    <w:rPr>
                      <w:rFonts w:hint="default" w:ascii="Times New Roman" w:hAnsi="Times New Roman" w:eastAsia="宋体" w:cs="Times New Roman"/>
                      <w:i w:val="0"/>
                      <w:iCs w:val="0"/>
                      <w:color w:val="auto"/>
                      <w:spacing w:val="-11"/>
                      <w:kern w:val="0"/>
                      <w:sz w:val="21"/>
                      <w:szCs w:val="21"/>
                      <w:highlight w:val="none"/>
                      <w:u w:val="none"/>
                      <w:lang w:val="en-US" w:eastAsia="zh-CN" w:bidi="ar"/>
                    </w:rPr>
                  </w:pPr>
                  <w:r>
                    <w:rPr>
                      <w:rFonts w:hint="eastAsia" w:ascii="Times New Roman" w:hAnsi="Times New Roman" w:eastAsia="宋体" w:cs="Times New Roman"/>
                      <w:i w:val="0"/>
                      <w:iCs w:val="0"/>
                      <w:color w:val="auto"/>
                      <w:spacing w:val="-11"/>
                      <w:kern w:val="0"/>
                      <w:sz w:val="21"/>
                      <w:szCs w:val="21"/>
                      <w:highlight w:val="none"/>
                      <w:u w:val="none"/>
                      <w:lang w:val="en-US" w:eastAsia="zh-CN" w:bidi="ar"/>
                    </w:rPr>
                    <w:t>发泡剂</w:t>
                  </w:r>
                </w:p>
              </w:tc>
            </w:tr>
            <w:tr w14:paraId="74EB1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90" w:type="pct"/>
                  <w:vMerge w:val="continue"/>
                  <w:tcBorders>
                    <w:top w:val="single" w:color="auto" w:sz="4" w:space="0"/>
                    <w:bottom w:val="single" w:color="auto" w:sz="4" w:space="0"/>
                    <w:right w:val="single" w:color="auto" w:sz="4" w:space="0"/>
                  </w:tcBorders>
                  <w:noWrap/>
                  <w:vAlign w:val="center"/>
                </w:tcPr>
                <w:p w14:paraId="07FD5282">
                  <w:pPr>
                    <w:jc w:val="center"/>
                    <w:rPr>
                      <w:rFonts w:hint="default" w:ascii="Times New Roman" w:hAnsi="Times New Roman" w:eastAsia="宋体" w:cs="Times New Roman"/>
                      <w:i w:val="0"/>
                      <w:iCs w:val="0"/>
                      <w:color w:val="auto"/>
                      <w:spacing w:val="-11"/>
                      <w:sz w:val="21"/>
                      <w:szCs w:val="21"/>
                      <w:highlight w:val="none"/>
                      <w:u w:val="none"/>
                    </w:rPr>
                  </w:pPr>
                </w:p>
              </w:tc>
              <w:tc>
                <w:tcPr>
                  <w:tcW w:w="658" w:type="pct"/>
                  <w:tcBorders>
                    <w:top w:val="single" w:color="auto" w:sz="4" w:space="0"/>
                    <w:left w:val="single" w:color="auto" w:sz="4" w:space="0"/>
                    <w:bottom w:val="single" w:color="auto" w:sz="4" w:space="0"/>
                    <w:right w:val="single" w:color="auto" w:sz="4" w:space="0"/>
                  </w:tcBorders>
                  <w:noWrap/>
                  <w:vAlign w:val="center"/>
                </w:tcPr>
                <w:p w14:paraId="2509AD09">
                  <w:pPr>
                    <w:keepNext w:val="0"/>
                    <w:keepLines w:val="0"/>
                    <w:widowControl/>
                    <w:suppressLineNumbers w:val="0"/>
                    <w:jc w:val="center"/>
                    <w:textAlignment w:val="center"/>
                    <w:rPr>
                      <w:rFonts w:hint="default" w:ascii="Times New Roman" w:hAnsi="Times New Roman" w:eastAsia="宋体" w:cs="Times New Roman"/>
                      <w:i w:val="0"/>
                      <w:iCs w:val="0"/>
                      <w:color w:val="auto"/>
                      <w:spacing w:val="-11"/>
                      <w:sz w:val="21"/>
                      <w:szCs w:val="21"/>
                      <w:highlight w:val="none"/>
                      <w:u w:val="none"/>
                    </w:rPr>
                  </w:pPr>
                  <w:r>
                    <w:rPr>
                      <w:rFonts w:hint="default" w:ascii="Times New Roman" w:hAnsi="Times New Roman" w:eastAsia="宋体" w:cs="Times New Roman"/>
                      <w:i w:val="0"/>
                      <w:iCs w:val="0"/>
                      <w:color w:val="auto"/>
                      <w:spacing w:val="-11"/>
                      <w:kern w:val="0"/>
                      <w:sz w:val="21"/>
                      <w:szCs w:val="21"/>
                      <w:highlight w:val="none"/>
                      <w:u w:val="none"/>
                      <w:lang w:val="en-US" w:eastAsia="zh-CN" w:bidi="ar"/>
                    </w:rPr>
                    <w:t>异戊烷</w:t>
                  </w:r>
                </w:p>
              </w:tc>
              <w:tc>
                <w:tcPr>
                  <w:tcW w:w="792" w:type="pct"/>
                  <w:tcBorders>
                    <w:top w:val="single" w:color="auto" w:sz="4" w:space="0"/>
                    <w:left w:val="single" w:color="auto" w:sz="4" w:space="0"/>
                    <w:bottom w:val="single" w:color="auto" w:sz="4" w:space="0"/>
                    <w:right w:val="single" w:color="auto" w:sz="4" w:space="0"/>
                  </w:tcBorders>
                  <w:noWrap/>
                  <w:vAlign w:val="center"/>
                </w:tcPr>
                <w:p w14:paraId="61D56D58">
                  <w:pPr>
                    <w:keepNext w:val="0"/>
                    <w:keepLines w:val="0"/>
                    <w:widowControl/>
                    <w:suppressLineNumbers w:val="0"/>
                    <w:jc w:val="center"/>
                    <w:textAlignment w:val="center"/>
                    <w:rPr>
                      <w:rFonts w:hint="default" w:ascii="Times New Roman" w:hAnsi="Times New Roman" w:eastAsia="宋体" w:cs="Times New Roman"/>
                      <w:i w:val="0"/>
                      <w:iCs w:val="0"/>
                      <w:color w:val="auto"/>
                      <w:spacing w:val="-11"/>
                      <w:sz w:val="21"/>
                      <w:szCs w:val="21"/>
                      <w:highlight w:val="none"/>
                      <w:u w:val="none"/>
                    </w:rPr>
                  </w:pPr>
                  <w:r>
                    <w:rPr>
                      <w:rFonts w:hint="default" w:ascii="Times New Roman" w:hAnsi="Times New Roman" w:eastAsia="宋体" w:cs="Times New Roman"/>
                      <w:i w:val="0"/>
                      <w:iCs w:val="0"/>
                      <w:color w:val="auto"/>
                      <w:spacing w:val="-11"/>
                      <w:kern w:val="0"/>
                      <w:sz w:val="21"/>
                      <w:szCs w:val="21"/>
                      <w:highlight w:val="none"/>
                      <w:u w:val="none"/>
                      <w:lang w:val="en-US" w:eastAsia="zh-CN" w:bidi="ar"/>
                    </w:rPr>
                    <w:t>78-78-4</w:t>
                  </w:r>
                </w:p>
              </w:tc>
              <w:tc>
                <w:tcPr>
                  <w:tcW w:w="1953" w:type="pct"/>
                  <w:vMerge w:val="continue"/>
                  <w:tcBorders>
                    <w:top w:val="single" w:color="auto" w:sz="4" w:space="0"/>
                    <w:left w:val="single" w:color="auto" w:sz="4" w:space="0"/>
                    <w:bottom w:val="single" w:color="auto" w:sz="4" w:space="0"/>
                    <w:right w:val="single" w:color="auto" w:sz="4" w:space="0"/>
                  </w:tcBorders>
                  <w:noWrap/>
                  <w:vAlign w:val="center"/>
                </w:tcPr>
                <w:p w14:paraId="05CEF247">
                  <w:pPr>
                    <w:jc w:val="center"/>
                    <w:rPr>
                      <w:rFonts w:hint="default" w:ascii="Times New Roman" w:hAnsi="Times New Roman" w:eastAsia="宋体" w:cs="Times New Roman"/>
                      <w:i w:val="0"/>
                      <w:iCs w:val="0"/>
                      <w:color w:val="auto"/>
                      <w:spacing w:val="-11"/>
                      <w:sz w:val="21"/>
                      <w:szCs w:val="21"/>
                      <w:highlight w:val="none"/>
                      <w:u w:val="none"/>
                    </w:rPr>
                  </w:pPr>
                </w:p>
              </w:tc>
              <w:tc>
                <w:tcPr>
                  <w:tcW w:w="704" w:type="pct"/>
                  <w:vMerge w:val="continue"/>
                  <w:tcBorders>
                    <w:left w:val="single" w:color="auto" w:sz="4" w:space="0"/>
                    <w:bottom w:val="single" w:color="auto" w:sz="4" w:space="0"/>
                  </w:tcBorders>
                  <w:noWrap/>
                  <w:vAlign w:val="center"/>
                </w:tcPr>
                <w:p w14:paraId="2ABDB5B0">
                  <w:pPr>
                    <w:jc w:val="center"/>
                    <w:rPr>
                      <w:rFonts w:hint="default" w:ascii="Times New Roman" w:hAnsi="Times New Roman" w:eastAsia="宋体" w:cs="Times New Roman"/>
                      <w:i w:val="0"/>
                      <w:iCs w:val="0"/>
                      <w:color w:val="auto"/>
                      <w:spacing w:val="-11"/>
                      <w:sz w:val="21"/>
                      <w:szCs w:val="21"/>
                      <w:highlight w:val="none"/>
                      <w:u w:val="none"/>
                    </w:rPr>
                  </w:pPr>
                </w:p>
              </w:tc>
            </w:tr>
            <w:tr w14:paraId="37719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549" w:type="pct"/>
                  <w:gridSpan w:val="2"/>
                  <w:tcBorders>
                    <w:top w:val="single" w:color="auto" w:sz="4" w:space="0"/>
                    <w:bottom w:val="single" w:color="auto" w:sz="4" w:space="0"/>
                    <w:right w:val="single" w:color="auto" w:sz="4" w:space="0"/>
                  </w:tcBorders>
                  <w:noWrap/>
                  <w:vAlign w:val="center"/>
                </w:tcPr>
                <w:p w14:paraId="3A899553">
                  <w:pPr>
                    <w:keepNext w:val="0"/>
                    <w:keepLines w:val="0"/>
                    <w:widowControl/>
                    <w:suppressLineNumbers w:val="0"/>
                    <w:jc w:val="center"/>
                    <w:textAlignment w:val="center"/>
                    <w:rPr>
                      <w:rFonts w:hint="default" w:ascii="Times New Roman" w:hAnsi="Times New Roman" w:eastAsia="宋体" w:cs="Times New Roman"/>
                      <w:i w:val="0"/>
                      <w:iCs w:val="0"/>
                      <w:color w:val="auto"/>
                      <w:spacing w:val="-11"/>
                      <w:sz w:val="21"/>
                      <w:szCs w:val="21"/>
                      <w:highlight w:val="none"/>
                      <w:u w:val="none"/>
                    </w:rPr>
                  </w:pPr>
                  <w:r>
                    <w:rPr>
                      <w:rFonts w:hint="default" w:ascii="Times New Roman" w:hAnsi="Times New Roman" w:eastAsia="宋体" w:cs="Times New Roman"/>
                      <w:i w:val="0"/>
                      <w:iCs w:val="0"/>
                      <w:color w:val="auto"/>
                      <w:spacing w:val="-11"/>
                      <w:kern w:val="0"/>
                      <w:sz w:val="21"/>
                      <w:szCs w:val="21"/>
                      <w:highlight w:val="none"/>
                      <w:u w:val="none"/>
                      <w:lang w:val="en-US" w:eastAsia="zh-CN" w:bidi="ar"/>
                    </w:rPr>
                    <w:t>甲基八溴醚</w:t>
                  </w:r>
                </w:p>
              </w:tc>
              <w:tc>
                <w:tcPr>
                  <w:tcW w:w="792" w:type="pct"/>
                  <w:tcBorders>
                    <w:top w:val="single" w:color="auto" w:sz="4" w:space="0"/>
                    <w:left w:val="single" w:color="auto" w:sz="4" w:space="0"/>
                    <w:bottom w:val="single" w:color="auto" w:sz="4" w:space="0"/>
                    <w:right w:val="single" w:color="auto" w:sz="4" w:space="0"/>
                  </w:tcBorders>
                  <w:noWrap/>
                  <w:vAlign w:val="center"/>
                </w:tcPr>
                <w:p w14:paraId="7AAEDAD6">
                  <w:pPr>
                    <w:keepNext w:val="0"/>
                    <w:keepLines w:val="0"/>
                    <w:widowControl/>
                    <w:suppressLineNumbers w:val="0"/>
                    <w:jc w:val="center"/>
                    <w:textAlignment w:val="center"/>
                    <w:rPr>
                      <w:rFonts w:hint="default" w:ascii="Times New Roman" w:hAnsi="Times New Roman" w:eastAsia="宋体" w:cs="Times New Roman"/>
                      <w:i w:val="0"/>
                      <w:iCs w:val="0"/>
                      <w:color w:val="auto"/>
                      <w:spacing w:val="-11"/>
                      <w:sz w:val="21"/>
                      <w:szCs w:val="21"/>
                      <w:highlight w:val="none"/>
                      <w:u w:val="none"/>
                    </w:rPr>
                  </w:pPr>
                  <w:r>
                    <w:rPr>
                      <w:rFonts w:hint="default" w:ascii="Times New Roman" w:hAnsi="Times New Roman" w:eastAsia="宋体" w:cs="Times New Roman"/>
                      <w:i w:val="0"/>
                      <w:iCs w:val="0"/>
                      <w:color w:val="auto"/>
                      <w:spacing w:val="-11"/>
                      <w:kern w:val="0"/>
                      <w:sz w:val="21"/>
                      <w:szCs w:val="21"/>
                      <w:highlight w:val="none"/>
                      <w:u w:val="none"/>
                      <w:lang w:val="en-US" w:eastAsia="zh-CN" w:bidi="ar"/>
                    </w:rPr>
                    <w:t>97416-84-7</w:t>
                  </w:r>
                </w:p>
              </w:tc>
              <w:tc>
                <w:tcPr>
                  <w:tcW w:w="1953" w:type="pct"/>
                  <w:tcBorders>
                    <w:top w:val="single" w:color="auto" w:sz="4" w:space="0"/>
                    <w:left w:val="single" w:color="auto" w:sz="4" w:space="0"/>
                    <w:bottom w:val="single" w:color="auto" w:sz="4" w:space="0"/>
                    <w:right w:val="single" w:color="auto" w:sz="4" w:space="0"/>
                  </w:tcBorders>
                  <w:noWrap/>
                  <w:vAlign w:val="center"/>
                </w:tcPr>
                <w:p w14:paraId="140D5224">
                  <w:pPr>
                    <w:keepNext w:val="0"/>
                    <w:keepLines w:val="0"/>
                    <w:widowControl/>
                    <w:suppressLineNumbers w:val="0"/>
                    <w:jc w:val="center"/>
                    <w:textAlignment w:val="center"/>
                    <w:rPr>
                      <w:rFonts w:hint="default" w:ascii="Times New Roman" w:hAnsi="Times New Roman" w:eastAsia="宋体" w:cs="Times New Roman"/>
                      <w:i w:val="0"/>
                      <w:iCs w:val="0"/>
                      <w:color w:val="auto"/>
                      <w:spacing w:val="-11"/>
                      <w:sz w:val="21"/>
                      <w:szCs w:val="21"/>
                      <w:highlight w:val="none"/>
                      <w:u w:val="none"/>
                    </w:rPr>
                  </w:pPr>
                  <w:r>
                    <w:rPr>
                      <w:rFonts w:hint="eastAsia" w:cs="Times New Roman"/>
                      <w:i w:val="0"/>
                      <w:iCs w:val="0"/>
                      <w:color w:val="auto"/>
                      <w:spacing w:val="-11"/>
                      <w:kern w:val="0"/>
                      <w:sz w:val="21"/>
                      <w:szCs w:val="21"/>
                      <w:highlight w:val="none"/>
                      <w:u w:val="none"/>
                      <w:lang w:val="en-US" w:eastAsia="zh-CN" w:bidi="ar"/>
                    </w:rPr>
                    <w:t>&lt;</w:t>
                  </w:r>
                  <w:r>
                    <w:rPr>
                      <w:rFonts w:hint="default" w:ascii="Times New Roman" w:hAnsi="Times New Roman" w:eastAsia="宋体" w:cs="Times New Roman"/>
                      <w:i w:val="0"/>
                      <w:iCs w:val="0"/>
                      <w:color w:val="auto"/>
                      <w:spacing w:val="-11"/>
                      <w:kern w:val="0"/>
                      <w:sz w:val="21"/>
                      <w:szCs w:val="21"/>
                      <w:highlight w:val="none"/>
                      <w:u w:val="none"/>
                      <w:lang w:val="en-US" w:eastAsia="zh-CN" w:bidi="ar"/>
                    </w:rPr>
                    <w:t>1.5%</w:t>
                  </w:r>
                </w:p>
              </w:tc>
              <w:tc>
                <w:tcPr>
                  <w:tcW w:w="704" w:type="pct"/>
                  <w:tcBorders>
                    <w:top w:val="single" w:color="auto" w:sz="4" w:space="0"/>
                    <w:left w:val="single" w:color="auto" w:sz="4" w:space="0"/>
                    <w:bottom w:val="single" w:color="auto" w:sz="4" w:space="0"/>
                  </w:tcBorders>
                  <w:noWrap/>
                  <w:vAlign w:val="center"/>
                </w:tcPr>
                <w:p w14:paraId="2D9357FC">
                  <w:pPr>
                    <w:keepNext w:val="0"/>
                    <w:keepLines w:val="0"/>
                    <w:widowControl/>
                    <w:suppressLineNumbers w:val="0"/>
                    <w:jc w:val="center"/>
                    <w:textAlignment w:val="center"/>
                    <w:rPr>
                      <w:rFonts w:hint="default" w:ascii="Times New Roman" w:hAnsi="Times New Roman" w:eastAsia="宋体" w:cs="Times New Roman"/>
                      <w:i w:val="0"/>
                      <w:iCs w:val="0"/>
                      <w:color w:val="auto"/>
                      <w:spacing w:val="-11"/>
                      <w:kern w:val="0"/>
                      <w:sz w:val="21"/>
                      <w:szCs w:val="21"/>
                      <w:highlight w:val="none"/>
                      <w:u w:val="none"/>
                      <w:lang w:val="en-US" w:eastAsia="zh-CN" w:bidi="ar"/>
                    </w:rPr>
                  </w:pPr>
                  <w:r>
                    <w:rPr>
                      <w:rFonts w:hint="eastAsia" w:ascii="Times New Roman" w:hAnsi="Times New Roman" w:eastAsia="宋体" w:cs="Times New Roman"/>
                      <w:i w:val="0"/>
                      <w:iCs w:val="0"/>
                      <w:color w:val="auto"/>
                      <w:spacing w:val="-11"/>
                      <w:kern w:val="0"/>
                      <w:sz w:val="21"/>
                      <w:szCs w:val="21"/>
                      <w:highlight w:val="none"/>
                      <w:u w:val="none"/>
                      <w:lang w:val="en-US" w:eastAsia="zh-CN" w:bidi="ar"/>
                    </w:rPr>
                    <w:t>阻燃剂</w:t>
                  </w:r>
                </w:p>
              </w:tc>
            </w:tr>
          </w:tbl>
          <w:p w14:paraId="5B7A5B02">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422" w:firstLineChars="200"/>
              <w:jc w:val="left"/>
              <w:textAlignment w:val="auto"/>
              <w:rPr>
                <w:rFonts w:hint="default" w:ascii="Times New Roman" w:hAnsi="Times New Roman" w:eastAsia="宋体"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聚苯乙烯</w:t>
            </w:r>
            <w:r>
              <w:rPr>
                <w:rFonts w:hint="default" w:ascii="Times New Roman" w:hAnsi="Times New Roman" w:eastAsia="宋体" w:cs="Times New Roman"/>
                <w:b/>
                <w:bCs/>
                <w:color w:val="auto"/>
                <w:sz w:val="21"/>
                <w:szCs w:val="21"/>
                <w:highlight w:val="none"/>
                <w:lang w:val="en-US" w:eastAsia="zh-CN"/>
              </w:rPr>
              <w:t>理化性质及危险性：</w:t>
            </w:r>
          </w:p>
          <w:p w14:paraId="4C29A99F">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420" w:firstLineChars="200"/>
              <w:jc w:val="both"/>
              <w:textAlignment w:val="auto"/>
              <w:rPr>
                <w:rFonts w:hint="default" w:ascii="Times New Roman" w:hAnsi="Times New Roman" w:eastAsia="宋体" w:cs="Times New Roman"/>
                <w:b w:val="0"/>
                <w:bCs w:val="0"/>
                <w:color w:val="auto"/>
                <w:kern w:val="0"/>
                <w:sz w:val="21"/>
                <w:szCs w:val="21"/>
                <w:highlight w:val="none"/>
                <w:lang w:val="en-US" w:eastAsia="zh-CN" w:bidi="ar"/>
              </w:rPr>
            </w:pPr>
            <w:r>
              <w:rPr>
                <w:rFonts w:hint="default" w:ascii="Times New Roman" w:hAnsi="Times New Roman" w:eastAsia="宋体" w:cs="Times New Roman"/>
                <w:b w:val="0"/>
                <w:bCs w:val="0"/>
                <w:color w:val="auto"/>
                <w:kern w:val="0"/>
                <w:sz w:val="21"/>
                <w:szCs w:val="21"/>
                <w:highlight w:val="none"/>
                <w:lang w:val="en-US" w:eastAsia="zh-CN" w:bidi="ar"/>
              </w:rPr>
              <w:t>外观与性状：白色球形固体颗粒黑色球形固体颗粒；气味：轻微碳氢化合物气味；气味阈值：无资料；分子式：混合物不适用，聚苯乙烯分子式（C</w:t>
            </w:r>
            <w:r>
              <w:rPr>
                <w:rFonts w:hint="default" w:ascii="Times New Roman" w:hAnsi="Times New Roman" w:eastAsia="宋体" w:cs="Times New Roman"/>
                <w:b w:val="0"/>
                <w:bCs w:val="0"/>
                <w:color w:val="auto"/>
                <w:kern w:val="0"/>
                <w:sz w:val="21"/>
                <w:szCs w:val="21"/>
                <w:highlight w:val="none"/>
                <w:vertAlign w:val="subscript"/>
                <w:lang w:val="en-US" w:eastAsia="zh-CN" w:bidi="ar"/>
              </w:rPr>
              <w:t>8</w:t>
            </w:r>
            <w:r>
              <w:rPr>
                <w:rFonts w:hint="default" w:ascii="Times New Roman" w:hAnsi="Times New Roman" w:eastAsia="宋体" w:cs="Times New Roman"/>
                <w:b w:val="0"/>
                <w:bCs w:val="0"/>
                <w:color w:val="auto"/>
                <w:kern w:val="0"/>
                <w:sz w:val="21"/>
                <w:szCs w:val="21"/>
                <w:highlight w:val="none"/>
                <w:lang w:val="en-US" w:eastAsia="zh-CN" w:bidi="ar"/>
              </w:rPr>
              <w:t>H</w:t>
            </w:r>
            <w:r>
              <w:rPr>
                <w:rFonts w:hint="default" w:ascii="Times New Roman" w:hAnsi="Times New Roman" w:eastAsia="宋体" w:cs="Times New Roman"/>
                <w:b w:val="0"/>
                <w:bCs w:val="0"/>
                <w:color w:val="auto"/>
                <w:kern w:val="0"/>
                <w:sz w:val="21"/>
                <w:szCs w:val="21"/>
                <w:highlight w:val="none"/>
                <w:vertAlign w:val="subscript"/>
                <w:lang w:val="en-US" w:eastAsia="zh-CN" w:bidi="ar"/>
              </w:rPr>
              <w:t>8</w:t>
            </w:r>
            <w:r>
              <w:rPr>
                <w:rFonts w:hint="default" w:ascii="Times New Roman" w:hAnsi="Times New Roman" w:eastAsia="宋体" w:cs="Times New Roman"/>
                <w:b w:val="0"/>
                <w:bCs w:val="0"/>
                <w:color w:val="auto"/>
                <w:kern w:val="0"/>
                <w:sz w:val="21"/>
                <w:szCs w:val="21"/>
                <w:highlight w:val="none"/>
                <w:lang w:val="en-US" w:eastAsia="zh-CN" w:bidi="ar"/>
              </w:rPr>
              <w:t>）n。相对分子量：混合物不适用；堆积密度：约610kg/m</w:t>
            </w:r>
            <w:r>
              <w:rPr>
                <w:rFonts w:hint="default" w:ascii="Times New Roman" w:hAnsi="Times New Roman" w:eastAsia="宋体" w:cs="Times New Roman"/>
                <w:b w:val="0"/>
                <w:bCs w:val="0"/>
                <w:color w:val="auto"/>
                <w:kern w:val="0"/>
                <w:sz w:val="21"/>
                <w:szCs w:val="21"/>
                <w:highlight w:val="none"/>
                <w:vertAlign w:val="superscript"/>
                <w:lang w:val="en-US" w:eastAsia="zh-CN" w:bidi="ar"/>
              </w:rPr>
              <w:t>3</w:t>
            </w:r>
            <w:r>
              <w:rPr>
                <w:rFonts w:hint="default" w:ascii="Times New Roman" w:hAnsi="Times New Roman" w:eastAsia="宋体" w:cs="Times New Roman"/>
                <w:b w:val="0"/>
                <w:bCs w:val="0"/>
                <w:color w:val="auto"/>
                <w:kern w:val="0"/>
                <w:sz w:val="21"/>
                <w:szCs w:val="21"/>
                <w:highlight w:val="none"/>
                <w:lang w:val="en-US" w:eastAsia="zh-CN" w:bidi="ar"/>
              </w:rPr>
              <w:t>；相对密度（水=1）：1.03</w:t>
            </w:r>
            <w:r>
              <w:rPr>
                <w:rFonts w:hint="eastAsia" w:ascii="Times New Roman" w:hAnsi="Times New Roman" w:eastAsia="宋体" w:cs="Times New Roman"/>
                <w:b w:val="0"/>
                <w:bCs w:val="0"/>
                <w:color w:val="auto"/>
                <w:kern w:val="0"/>
                <w:sz w:val="21"/>
                <w:szCs w:val="21"/>
                <w:highlight w:val="none"/>
                <w:lang w:val="en-US" w:eastAsia="zh-CN" w:bidi="ar"/>
              </w:rPr>
              <w:t>；</w:t>
            </w:r>
            <w:r>
              <w:rPr>
                <w:rFonts w:hint="eastAsia" w:cs="Times New Roman"/>
                <w:b w:val="0"/>
                <w:bCs w:val="0"/>
                <w:color w:val="auto"/>
                <w:kern w:val="0"/>
                <w:sz w:val="21"/>
                <w:szCs w:val="21"/>
                <w:highlight w:val="none"/>
                <w:lang w:val="en-US" w:eastAsia="zh-CN" w:bidi="ar"/>
              </w:rPr>
              <w:t>饱和蒸汽</w:t>
            </w:r>
            <w:r>
              <w:rPr>
                <w:rFonts w:hint="default" w:ascii="Times New Roman" w:hAnsi="Times New Roman" w:eastAsia="宋体" w:cs="Times New Roman"/>
                <w:b w:val="0"/>
                <w:bCs w:val="0"/>
                <w:color w:val="auto"/>
                <w:kern w:val="0"/>
                <w:sz w:val="21"/>
                <w:szCs w:val="21"/>
                <w:highlight w:val="none"/>
                <w:lang w:val="en-US" w:eastAsia="zh-CN" w:bidi="ar"/>
              </w:rPr>
              <w:t>压（20°C）（kPa）：无资料</w:t>
            </w:r>
            <w:r>
              <w:rPr>
                <w:rFonts w:hint="eastAsia" w:ascii="Times New Roman" w:hAnsi="Times New Roman" w:eastAsia="宋体"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在水中的溶解度：不溶于水</w:t>
            </w:r>
            <w:r>
              <w:rPr>
                <w:rFonts w:hint="eastAsia" w:ascii="Times New Roman" w:hAnsi="Times New Roman" w:eastAsia="宋体"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在有机溶剂中的溶解度：难溶于乙醇，可溶于苯、甲苯、二甲苯、苯乙烯、三氯甲烷等有机溶剂</w:t>
            </w:r>
            <w:r>
              <w:rPr>
                <w:rFonts w:hint="eastAsia" w:ascii="Times New Roman" w:hAnsi="Times New Roman" w:eastAsia="宋体"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自燃温度（°C）：戊烷的燃点285℃（德国工业标准DIN51794）</w:t>
            </w:r>
            <w:r>
              <w:rPr>
                <w:rFonts w:hint="eastAsia"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聚苯乙烯的燃点：427℃（ASTMD2883-95</w:t>
            </w:r>
            <w:r>
              <w:rPr>
                <w:rFonts w:hint="eastAsia" w:ascii="Times New Roman" w:hAnsi="Times New Roman" w:eastAsia="宋体"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燃烧极限</w:t>
            </w:r>
            <w:r>
              <w:rPr>
                <w:rFonts w:hint="eastAsia"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下限（%）：无资料</w:t>
            </w:r>
            <w:r>
              <w:rPr>
                <w:rFonts w:hint="eastAsia" w:ascii="Times New Roman" w:hAnsi="Times New Roman" w:eastAsia="宋体"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燃烧极限</w:t>
            </w:r>
            <w:r>
              <w:rPr>
                <w:rFonts w:hint="eastAsia"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上限（%）：无资料</w:t>
            </w:r>
            <w:r>
              <w:rPr>
                <w:rFonts w:hint="eastAsia" w:ascii="Times New Roman" w:hAnsi="Times New Roman" w:eastAsia="宋体"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分解温度（°C）：高温分解温度662~752°F(350~400℃)(ASTME1591-00</w:t>
            </w:r>
            <w:r>
              <w:rPr>
                <w:rFonts w:hint="eastAsia"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，燃烧热量约17400BTU/磅（40500KJ/</w:t>
            </w:r>
            <w:r>
              <w:rPr>
                <w:rFonts w:hint="eastAsia" w:cs="Times New Roman"/>
                <w:b w:val="0"/>
                <w:bCs w:val="0"/>
                <w:color w:val="auto"/>
                <w:kern w:val="0"/>
                <w:sz w:val="21"/>
                <w:szCs w:val="21"/>
                <w:highlight w:val="none"/>
                <w:lang w:val="en-US" w:eastAsia="zh-CN" w:bidi="ar"/>
              </w:rPr>
              <w:t>kg</w:t>
            </w:r>
            <w:r>
              <w:rPr>
                <w:rFonts w:hint="default" w:ascii="Times New Roman" w:hAnsi="Times New Roman" w:eastAsia="宋体" w:cs="Times New Roman"/>
                <w:b w:val="0"/>
                <w:bCs w:val="0"/>
                <w:color w:val="auto"/>
                <w:kern w:val="0"/>
                <w:sz w:val="21"/>
                <w:szCs w:val="21"/>
                <w:highlight w:val="none"/>
                <w:lang w:val="en-US" w:eastAsia="zh-CN" w:bidi="ar"/>
              </w:rPr>
              <w:t>）</w:t>
            </w:r>
            <w:r>
              <w:rPr>
                <w:rFonts w:hint="eastAsia"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ASTME1623-99</w:t>
            </w:r>
            <w:r>
              <w:rPr>
                <w:rFonts w:hint="eastAsia"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易燃性（固体、气体）：无资料</w:t>
            </w:r>
            <w:r>
              <w:rPr>
                <w:rFonts w:hint="eastAsia" w:ascii="Times New Roman" w:hAnsi="Times New Roman" w:eastAsia="宋体"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爆炸性：无资料</w:t>
            </w:r>
            <w:r>
              <w:rPr>
                <w:rFonts w:hint="eastAsia"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爆炸极限</w:t>
            </w:r>
            <w:r>
              <w:rPr>
                <w:rFonts w:hint="eastAsia"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下限（%）：戊烷1.3vol</w:t>
            </w:r>
            <w:r>
              <w:rPr>
                <w:rFonts w:hint="eastAsia" w:ascii="Times New Roman" w:hAnsi="Times New Roman" w:eastAsia="宋体"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爆炸极限</w:t>
            </w:r>
            <w:r>
              <w:rPr>
                <w:rFonts w:hint="eastAsia"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上限（%）戊烷7.8vol</w:t>
            </w:r>
            <w:r>
              <w:rPr>
                <w:rFonts w:hint="eastAsia"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pH值：无资料</w:t>
            </w:r>
            <w:r>
              <w:rPr>
                <w:rFonts w:hint="eastAsia" w:ascii="Times New Roman" w:hAnsi="Times New Roman" w:eastAsia="宋体"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黏度（mPa·S）：无资料</w:t>
            </w:r>
            <w:r>
              <w:rPr>
                <w:rFonts w:hint="eastAsia" w:ascii="Times New Roman" w:hAnsi="Times New Roman" w:eastAsia="宋体"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相对蒸气密度（空气=1）：2.48</w:t>
            </w:r>
            <w:r>
              <w:rPr>
                <w:rFonts w:hint="eastAsia"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粒径：0.25</w:t>
            </w:r>
            <w:r>
              <w:rPr>
                <w:rFonts w:hint="eastAsia"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2.5mm</w:t>
            </w:r>
            <w:r>
              <w:rPr>
                <w:rFonts w:hint="eastAsia" w:cs="Times New Roman"/>
                <w:b w:val="0"/>
                <w:bCs w:val="0"/>
                <w:color w:val="auto"/>
                <w:kern w:val="0"/>
                <w:sz w:val="21"/>
                <w:szCs w:val="21"/>
                <w:highlight w:val="none"/>
                <w:lang w:val="en-US" w:eastAsia="zh-CN" w:bidi="ar"/>
              </w:rPr>
              <w:t>。</w:t>
            </w:r>
            <w:r>
              <w:rPr>
                <w:rFonts w:hint="default" w:ascii="Times New Roman" w:hAnsi="Times New Roman" w:eastAsia="宋体" w:cs="Times New Roman"/>
                <w:b w:val="0"/>
                <w:bCs w:val="0"/>
                <w:color w:val="auto"/>
                <w:kern w:val="0"/>
                <w:sz w:val="21"/>
                <w:szCs w:val="21"/>
                <w:highlight w:val="none"/>
                <w:lang w:val="en-US" w:eastAsia="zh-CN" w:bidi="ar"/>
              </w:rPr>
              <w:t>残留苯乙烯含量：≤0.2%</w:t>
            </w:r>
          </w:p>
          <w:p w14:paraId="0F05A750">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劳动定员：营运期劳动定员20人，工作时间300d/a、</w:t>
            </w:r>
            <w:r>
              <w:rPr>
                <w:rFonts w:hint="eastAsia" w:cs="Times New Roman"/>
                <w:color w:val="auto"/>
                <w:sz w:val="24"/>
                <w:szCs w:val="24"/>
                <w:highlight w:val="none"/>
                <w:lang w:val="en-US" w:eastAsia="zh-CN"/>
              </w:rPr>
              <w:t>每天8小时；切割年运行时间为600小时</w:t>
            </w:r>
            <w:r>
              <w:rPr>
                <w:rFonts w:hint="default" w:ascii="Times New Roman" w:hAnsi="Times New Roman" w:eastAsia="宋体" w:cs="Times New Roman"/>
                <w:color w:val="auto"/>
                <w:sz w:val="24"/>
                <w:szCs w:val="24"/>
                <w:highlight w:val="none"/>
                <w:lang w:val="en-US" w:eastAsia="zh-CN"/>
              </w:rPr>
              <w:t>。</w:t>
            </w:r>
          </w:p>
          <w:p w14:paraId="3AF2AB1C">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公用工程</w:t>
            </w:r>
          </w:p>
          <w:bookmarkEnd w:id="6"/>
          <w:p w14:paraId="22200C77">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outlineLvl w:val="9"/>
              <w:rPr>
                <w:rFonts w:hint="default" w:ascii="Times New Roman" w:hAnsi="Times New Roman" w:eastAsia="宋体" w:cs="Times New Roman"/>
                <w:color w:val="auto"/>
                <w:sz w:val="24"/>
                <w:szCs w:val="24"/>
                <w:highlight w:val="none"/>
                <w:lang w:val="en-US" w:eastAsia="zh-CN"/>
              </w:rPr>
            </w:pPr>
            <w:bookmarkStart w:id="7" w:name="_Toc16090"/>
            <w:bookmarkStart w:id="8" w:name="_Toc10101"/>
            <w:r>
              <w:rPr>
                <w:rFonts w:hint="default" w:ascii="Times New Roman" w:hAnsi="Times New Roman" w:eastAsia="宋体" w:cs="Times New Roman"/>
                <w:color w:val="auto"/>
                <w:sz w:val="24"/>
                <w:szCs w:val="24"/>
                <w:highlight w:val="none"/>
                <w:lang w:val="en-US" w:eastAsia="zh-CN"/>
              </w:rPr>
              <w:t>（1）给排水</w:t>
            </w:r>
          </w:p>
          <w:p w14:paraId="64D426C5">
            <w:pPr>
              <w:pStyle w:val="136"/>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480" w:firstLineChars="200"/>
              <w:jc w:val="both"/>
              <w:textAlignment w:val="auto"/>
              <w:outlineLvl w:val="9"/>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本项目用水由</w:t>
            </w:r>
            <w:r>
              <w:rPr>
                <w:rFonts w:hint="default" w:ascii="Times New Roman" w:hAnsi="Times New Roman" w:eastAsia="宋体" w:cs="Times New Roman"/>
                <w:color w:val="auto"/>
                <w:sz w:val="24"/>
                <w:szCs w:val="24"/>
                <w:highlight w:val="none"/>
                <w:lang w:val="en-US" w:eastAsia="zh-CN"/>
              </w:rPr>
              <w:t>河北行唐经济开发区自来水管网</w:t>
            </w:r>
            <w:r>
              <w:rPr>
                <w:rFonts w:ascii="Times New Roman" w:hAnsi="Times New Roman" w:eastAsia="宋体" w:cs="Times New Roman"/>
                <w:color w:val="auto"/>
                <w:highlight w:val="none"/>
              </w:rPr>
              <w:t>供给。全厂用水包括冷却水</w:t>
            </w:r>
            <w:r>
              <w:rPr>
                <w:rFonts w:hint="eastAsia" w:ascii="Times New Roman" w:hAnsi="Times New Roman" w:cs="Times New Roman"/>
                <w:color w:val="auto"/>
                <w:highlight w:val="none"/>
                <w:lang w:eastAsia="zh-CN"/>
              </w:rPr>
              <w:t>、</w:t>
            </w:r>
            <w:r>
              <w:rPr>
                <w:rFonts w:ascii="Times New Roman" w:hAnsi="Times New Roman" w:eastAsia="宋体" w:cs="Times New Roman"/>
                <w:color w:val="auto"/>
                <w:highlight w:val="none"/>
              </w:rPr>
              <w:t>职工生活用水。</w:t>
            </w:r>
            <w:r>
              <w:rPr>
                <w:rFonts w:hint="eastAsia" w:ascii="Times New Roman" w:hAnsi="Times New Roman" w:cs="Times New Roman"/>
                <w:color w:val="auto"/>
                <w:highlight w:val="none"/>
                <w:lang w:val="en-US" w:eastAsia="zh-CN"/>
              </w:rPr>
              <w:t>总用水量为</w:t>
            </w:r>
            <w:r>
              <w:rPr>
                <w:rFonts w:hint="eastAsia" w:ascii="Times New Roman" w:hAnsi="Times New Roman" w:cs="Times New Roman"/>
                <w:color w:val="auto"/>
                <w:kern w:val="0"/>
                <w:sz w:val="24"/>
                <w:szCs w:val="24"/>
                <w:highlight w:val="none"/>
                <w:lang w:val="en-US" w:eastAsia="zh-CN" w:bidi="ar"/>
              </w:rPr>
              <w:t>182919.9</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bidi="ar"/>
              </w:rPr>
              <w:t>/a（</w:t>
            </w:r>
            <w:r>
              <w:rPr>
                <w:rFonts w:hint="eastAsia" w:ascii="Times New Roman" w:hAnsi="Times New Roman" w:cs="Times New Roman"/>
                <w:color w:val="auto"/>
                <w:kern w:val="0"/>
                <w:sz w:val="24"/>
                <w:szCs w:val="24"/>
                <w:highlight w:val="none"/>
                <w:lang w:val="en-US" w:eastAsia="zh-CN" w:bidi="ar"/>
              </w:rPr>
              <w:t>609.733</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eastAsia" w:ascii="Times New Roman" w:hAnsi="Times New Roman" w:cs="Times New Roman"/>
                <w:color w:val="auto"/>
                <w:sz w:val="24"/>
                <w:szCs w:val="24"/>
                <w:highlight w:val="none"/>
                <w:lang w:val="en-US" w:eastAsia="zh-CN"/>
              </w:rPr>
              <w:t>，新鲜水用水量为543.9</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bidi="ar"/>
              </w:rPr>
              <w:t>/a（</w:t>
            </w:r>
            <w:r>
              <w:rPr>
                <w:rFonts w:hint="eastAsia" w:ascii="Times New Roman" w:hAnsi="Times New Roman" w:cs="Times New Roman"/>
                <w:color w:val="auto"/>
                <w:sz w:val="24"/>
                <w:szCs w:val="24"/>
                <w:highlight w:val="none"/>
                <w:lang w:val="en-US" w:eastAsia="zh-CN"/>
              </w:rPr>
              <w:t>1.813</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eastAsia" w:ascii="Times New Roman" w:hAnsi="Times New Roman" w:cs="Times New Roman"/>
                <w:color w:val="auto"/>
                <w:sz w:val="24"/>
                <w:szCs w:val="24"/>
                <w:highlight w:val="none"/>
                <w:lang w:val="en-US" w:eastAsia="zh-CN"/>
              </w:rPr>
              <w:t>、循环水量为1800</w:t>
            </w:r>
            <w:r>
              <w:rPr>
                <w:rFonts w:hint="eastAsia" w:ascii="Times New Roman" w:hAnsi="Times New Roman" w:cs="Times New Roman"/>
                <w:color w:val="auto"/>
                <w:kern w:val="0"/>
                <w:sz w:val="24"/>
                <w:szCs w:val="24"/>
                <w:highlight w:val="none"/>
                <w:lang w:val="en-US" w:eastAsia="zh-CN" w:bidi="ar"/>
              </w:rPr>
              <w:t>00</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bidi="ar"/>
              </w:rPr>
              <w:t>/a（</w:t>
            </w:r>
            <w:r>
              <w:rPr>
                <w:rFonts w:hint="eastAsia" w:ascii="Times New Roman" w:hAnsi="Times New Roman" w:cs="Times New Roman"/>
                <w:color w:val="auto"/>
                <w:kern w:val="0"/>
                <w:sz w:val="24"/>
                <w:szCs w:val="24"/>
                <w:highlight w:val="none"/>
                <w:lang w:val="en-US" w:eastAsia="zh-CN" w:bidi="ar"/>
              </w:rPr>
              <w:t>600</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eastAsia" w:ascii="Times New Roman" w:hAnsi="Times New Roman" w:cs="Times New Roman"/>
                <w:color w:val="auto"/>
                <w:sz w:val="24"/>
                <w:szCs w:val="24"/>
                <w:highlight w:val="none"/>
                <w:lang w:val="en-US" w:eastAsia="zh-CN"/>
              </w:rPr>
              <w:t>、蒸汽冷凝水补充水量为</w:t>
            </w:r>
            <w:r>
              <w:rPr>
                <w:rFonts w:hint="eastAsia" w:ascii="Times New Roman" w:hAnsi="Times New Roman" w:cs="Times New Roman"/>
                <w:color w:val="auto"/>
                <w:kern w:val="0"/>
                <w:sz w:val="24"/>
                <w:szCs w:val="24"/>
                <w:highlight w:val="none"/>
                <w:lang w:val="en-US" w:eastAsia="zh-CN" w:bidi="ar"/>
              </w:rPr>
              <w:t>2376</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bidi="ar"/>
              </w:rPr>
              <w:t>/a（</w:t>
            </w:r>
            <w:r>
              <w:rPr>
                <w:rFonts w:hint="eastAsia" w:ascii="Times New Roman" w:hAnsi="Times New Roman" w:cs="Times New Roman"/>
                <w:color w:val="auto"/>
                <w:kern w:val="0"/>
                <w:sz w:val="24"/>
                <w:szCs w:val="24"/>
                <w:highlight w:val="none"/>
                <w:lang w:val="en-US" w:eastAsia="zh-CN" w:bidi="ar"/>
              </w:rPr>
              <w:t>7.92</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eastAsia" w:ascii="Times New Roman" w:hAnsi="Times New Roman" w:cs="Times New Roman"/>
                <w:color w:val="auto"/>
                <w:sz w:val="24"/>
                <w:szCs w:val="24"/>
                <w:highlight w:val="none"/>
                <w:lang w:val="en-US" w:eastAsia="zh-CN"/>
              </w:rPr>
              <w:t>。</w:t>
            </w:r>
          </w:p>
          <w:p w14:paraId="61937D50">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2" w:firstLineChars="200"/>
              <w:jc w:val="both"/>
              <w:textAlignment w:val="auto"/>
              <w:outlineLvl w:val="9"/>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eastAsia="宋体" w:cs="Times New Roman"/>
                <w:b/>
                <w:bCs/>
                <w:color w:val="auto"/>
                <w:sz w:val="24"/>
                <w:szCs w:val="24"/>
                <w:highlight w:val="none"/>
                <w:lang w:val="en-US" w:eastAsia="zh-CN"/>
              </w:rPr>
              <w:t>1）给水</w:t>
            </w:r>
          </w:p>
          <w:p w14:paraId="5031EBE8">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①生活用水：依据《河北省用水定额》（DB13/T5450.1</w:t>
            </w:r>
            <w:r>
              <w:rPr>
                <w:rFonts w:hint="eastAsia"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2021）“第1部分：居民生活：18.5</w:t>
            </w:r>
            <w:r>
              <w:rPr>
                <w:rFonts w:hint="default" w:ascii="Times New Roman" w:hAnsi="Times New Roman" w:eastAsia="宋体" w:cs="Times New Roman"/>
                <w:color w:val="auto"/>
                <w:sz w:val="24"/>
                <w:szCs w:val="24"/>
                <w:highlight w:val="none"/>
                <w:lang w:val="en-GB" w:eastAsia="zh-CN"/>
              </w:rPr>
              <w:t>~</w:t>
            </w:r>
            <w:r>
              <w:rPr>
                <w:rFonts w:hint="default" w:ascii="Times New Roman" w:hAnsi="Times New Roman" w:eastAsia="宋体" w:cs="Times New Roman"/>
                <w:color w:val="auto"/>
                <w:sz w:val="24"/>
                <w:szCs w:val="24"/>
                <w:highlight w:val="none"/>
                <w:lang w:val="en-US" w:eastAsia="zh-CN"/>
              </w:rPr>
              <w:t>22m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/人·a”，取20m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/人·a，则项目用水量为400m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/a、1.333m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p>
          <w:p w14:paraId="29BCE6E8">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②</w:t>
            </w:r>
            <w:r>
              <w:rPr>
                <w:rFonts w:hint="default" w:ascii="Times New Roman" w:hAnsi="Times New Roman" w:eastAsia="宋体" w:cs="Times New Roman"/>
                <w:color w:val="auto"/>
                <w:sz w:val="24"/>
                <w:szCs w:val="24"/>
                <w:highlight w:val="none"/>
                <w:vertAlign w:val="baseline"/>
                <w:lang w:val="en-US" w:eastAsia="zh-CN"/>
              </w:rPr>
              <w:t>冷却</w:t>
            </w:r>
            <w:r>
              <w:rPr>
                <w:rFonts w:hint="eastAsia" w:ascii="Times New Roman" w:hAnsi="Times New Roman" w:eastAsia="宋体" w:cs="Times New Roman"/>
                <w:color w:val="auto"/>
                <w:sz w:val="24"/>
                <w:szCs w:val="24"/>
                <w:highlight w:val="none"/>
                <w:vertAlign w:val="baseline"/>
                <w:lang w:val="en-US" w:eastAsia="zh-CN"/>
              </w:rPr>
              <w:t>系统</w:t>
            </w:r>
            <w:r>
              <w:rPr>
                <w:rFonts w:hint="default" w:ascii="Times New Roman" w:hAnsi="Times New Roman" w:eastAsia="宋体" w:cs="Times New Roman"/>
                <w:color w:val="auto"/>
                <w:sz w:val="24"/>
                <w:szCs w:val="24"/>
                <w:highlight w:val="none"/>
                <w:vertAlign w:val="baseline"/>
                <w:lang w:val="en-US" w:eastAsia="zh-CN"/>
              </w:rPr>
              <w:t>用水</w:t>
            </w:r>
            <w:r>
              <w:rPr>
                <w:rFonts w:hint="default" w:ascii="Times New Roman" w:hAnsi="Times New Roman" w:eastAsia="宋体" w:cs="Times New Roman"/>
                <w:color w:val="auto"/>
                <w:sz w:val="24"/>
                <w:szCs w:val="24"/>
                <w:highlight w:val="none"/>
                <w:lang w:val="en-US" w:eastAsia="zh-CN"/>
              </w:rPr>
              <w:t>：项目建设2个水池、3套水箱+冷却塔，水箱总容积为75m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，用于成型脱模过程中冷却用水。冷却脱模后的冷却水回流入冷却系统循环使用，冷却循环用水损耗量参考《化工企业冷却塔设计规定》（HG20522-1992）中冷却塔蒸发耗水率计算公式，具体公式如下：</w:t>
            </w:r>
          </w:p>
          <w:p w14:paraId="0FAB2DED">
            <w:pPr>
              <w:keepNext w:val="0"/>
              <w:keepLines w:val="0"/>
              <w:pageBreakBefore w:val="0"/>
              <w:widowControl w:val="0"/>
              <w:kinsoku/>
              <w:wordWrap/>
              <w:overflowPunct/>
              <w:topLinePunct w:val="0"/>
              <w:autoSpaceDE/>
              <w:autoSpaceDN/>
              <w:bidi w:val="0"/>
              <w:adjustRightInd/>
              <w:snapToGrid/>
              <w:spacing w:line="360" w:lineRule="auto"/>
              <w:ind w:left="0" w:leftChars="0" w:firstLine="2880" w:firstLineChars="1200"/>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P=K*Δt</w:t>
            </w:r>
          </w:p>
          <w:p w14:paraId="69BAD59C">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式中：P——蒸发损失率，%；</w:t>
            </w:r>
          </w:p>
          <w:p w14:paraId="235FC252">
            <w:pPr>
              <w:keepNext w:val="0"/>
              <w:keepLines w:val="0"/>
              <w:pageBreakBefore w:val="0"/>
              <w:widowControl w:val="0"/>
              <w:kinsoku/>
              <w:wordWrap/>
              <w:overflowPunct/>
              <w:topLinePunct w:val="0"/>
              <w:autoSpaceDE/>
              <w:autoSpaceDN/>
              <w:bidi w:val="0"/>
              <w:adjustRightInd/>
              <w:snapToGrid/>
              <w:spacing w:line="360" w:lineRule="auto"/>
              <w:ind w:left="0" w:leftChars="0" w:firstLine="1200" w:firstLineChars="500"/>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Δt——冷却进水与出水温差，℃，本项目取10℃;</w:t>
            </w:r>
          </w:p>
          <w:p w14:paraId="00080B91">
            <w:pPr>
              <w:keepNext w:val="0"/>
              <w:keepLines w:val="0"/>
              <w:pageBreakBefore w:val="0"/>
              <w:widowControl w:val="0"/>
              <w:kinsoku/>
              <w:wordWrap/>
              <w:overflowPunct/>
              <w:topLinePunct w:val="0"/>
              <w:autoSpaceDE/>
              <w:autoSpaceDN/>
              <w:bidi w:val="0"/>
              <w:adjustRightInd/>
              <w:snapToGrid/>
              <w:spacing w:line="360" w:lineRule="auto"/>
              <w:ind w:left="0" w:leftChars="0" w:firstLine="1200" w:firstLineChars="500"/>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K——系数，1/℃，根据《化工企业冷却塔设计规定》（HG20522-1992）</w:t>
            </w:r>
          </w:p>
          <w:p w14:paraId="01A454EC">
            <w:pPr>
              <w:keepNext w:val="0"/>
              <w:keepLines w:val="0"/>
              <w:pageBreakBefore w:val="0"/>
              <w:widowControl w:val="0"/>
              <w:kinsoku/>
              <w:wordWrap/>
              <w:overflowPunct/>
              <w:topLinePunct w:val="0"/>
              <w:autoSpaceDE/>
              <w:autoSpaceDN/>
              <w:bidi w:val="0"/>
              <w:adjustRightInd/>
              <w:snapToGrid/>
              <w:spacing w:line="360" w:lineRule="auto"/>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表4.3.1，环境温度为20℃时，K取0.14/℃。</w:t>
            </w:r>
          </w:p>
          <w:p w14:paraId="1AAB6EF9">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outlineLvl w:val="9"/>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sz w:val="24"/>
                <w:szCs w:val="24"/>
                <w:highlight w:val="none"/>
                <w:lang w:val="en-US" w:eastAsia="zh-CN"/>
              </w:rPr>
              <w:t>根据上式计算得蒸发耗水率为1.4%</w:t>
            </w:r>
            <w:r>
              <w:rPr>
                <w:rFonts w:hint="eastAsia"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项目冷却水系统设计循环水量为</w:t>
            </w:r>
            <w:r>
              <w:rPr>
                <w:rFonts w:hint="eastAsia" w:cs="Times New Roman"/>
                <w:color w:val="auto"/>
                <w:sz w:val="24"/>
                <w:szCs w:val="24"/>
                <w:highlight w:val="none"/>
                <w:lang w:val="en-US" w:eastAsia="zh-CN"/>
              </w:rPr>
              <w:t>600</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/d，则冷却脱模过程蒸发损失量为</w:t>
            </w:r>
            <w:r>
              <w:rPr>
                <w:rFonts w:hint="eastAsia" w:cs="Times New Roman"/>
                <w:color w:val="auto"/>
                <w:sz w:val="24"/>
                <w:szCs w:val="24"/>
                <w:highlight w:val="none"/>
                <w:lang w:val="en-US" w:eastAsia="zh-CN"/>
              </w:rPr>
              <w:t>600</w:t>
            </w:r>
            <w:r>
              <w:rPr>
                <w:rFonts w:hint="default" w:ascii="Times New Roman" w:hAnsi="Times New Roman" w:eastAsia="宋体" w:cs="Times New Roman"/>
                <w:color w:val="auto"/>
                <w:sz w:val="24"/>
                <w:szCs w:val="24"/>
                <w:highlight w:val="none"/>
                <w:lang w:val="en-US" w:eastAsia="zh-CN"/>
              </w:rPr>
              <w:t>×1.4%=</w:t>
            </w:r>
            <w:r>
              <w:rPr>
                <w:rFonts w:hint="eastAsia" w:cs="Times New Roman"/>
                <w:color w:val="auto"/>
                <w:sz w:val="24"/>
                <w:szCs w:val="24"/>
                <w:highlight w:val="none"/>
                <w:lang w:val="en-US" w:eastAsia="zh-CN"/>
              </w:rPr>
              <w:t>8.4</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vertAlign w:val="baseline"/>
                <w:lang w:val="en-US" w:eastAsia="zh-CN"/>
              </w:rPr>
              <w:t>。</w:t>
            </w:r>
            <w:r>
              <w:rPr>
                <w:rFonts w:hint="eastAsia" w:ascii="Times New Roman" w:hAnsi="Times New Roman" w:eastAsia="宋体" w:cs="Times New Roman"/>
                <w:color w:val="auto"/>
                <w:sz w:val="24"/>
                <w:szCs w:val="24"/>
                <w:highlight w:val="none"/>
                <w:vertAlign w:val="baseline"/>
                <w:lang w:val="en-US" w:eastAsia="zh-CN"/>
              </w:rPr>
              <w:t>冷却循环系统补水量为</w:t>
            </w:r>
            <w:r>
              <w:rPr>
                <w:rFonts w:hint="eastAsia" w:cs="Times New Roman"/>
                <w:color w:val="auto"/>
                <w:sz w:val="24"/>
                <w:szCs w:val="24"/>
                <w:highlight w:val="none"/>
                <w:vertAlign w:val="baseline"/>
                <w:lang w:val="en-US" w:eastAsia="zh-CN"/>
              </w:rPr>
              <w:t>8.4</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eastAsia" w:cs="Times New Roman"/>
                <w:color w:val="auto"/>
                <w:sz w:val="24"/>
                <w:szCs w:val="24"/>
                <w:highlight w:val="none"/>
                <w:lang w:val="en-US" w:eastAsia="zh-CN"/>
              </w:rPr>
              <w:t>，</w:t>
            </w:r>
            <w:r>
              <w:rPr>
                <w:rFonts w:hint="eastAsia"/>
                <w:color w:val="auto"/>
                <w:sz w:val="24"/>
                <w:szCs w:val="24"/>
                <w:lang w:val="en-US" w:eastAsia="zh-CN"/>
              </w:rPr>
              <w:t>其中</w:t>
            </w:r>
            <w:r>
              <w:rPr>
                <w:rFonts w:hint="eastAsia" w:ascii="Times New Roman" w:hAnsi="Times New Roman" w:cs="Times New Roman"/>
                <w:color w:val="auto"/>
                <w:sz w:val="24"/>
                <w:szCs w:val="24"/>
                <w:highlight w:val="none"/>
                <w:lang w:val="en-US" w:eastAsia="zh-CN"/>
              </w:rPr>
              <w:t>新鲜水用水量为</w:t>
            </w:r>
            <w:r>
              <w:rPr>
                <w:rFonts w:hint="eastAsia" w:cs="Times New Roman"/>
                <w:color w:val="auto"/>
                <w:kern w:val="0"/>
                <w:sz w:val="24"/>
                <w:szCs w:val="24"/>
                <w:highlight w:val="none"/>
                <w:lang w:val="en-US" w:eastAsia="zh-CN" w:bidi="ar"/>
              </w:rPr>
              <w:t>144</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bidi="ar"/>
              </w:rPr>
              <w:t>/a（</w:t>
            </w:r>
            <w:r>
              <w:rPr>
                <w:rFonts w:hint="eastAsia" w:cs="Times New Roman"/>
                <w:color w:val="auto"/>
                <w:kern w:val="0"/>
                <w:sz w:val="24"/>
                <w:szCs w:val="24"/>
                <w:highlight w:val="none"/>
                <w:lang w:val="en-US" w:eastAsia="zh-CN" w:bidi="ar"/>
              </w:rPr>
              <w:t>0.48</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eastAsia" w:ascii="Times New Roman" w:hAnsi="Times New Roman" w:cs="Times New Roman"/>
                <w:color w:val="auto"/>
                <w:sz w:val="24"/>
                <w:szCs w:val="24"/>
                <w:highlight w:val="none"/>
                <w:lang w:val="en-US" w:eastAsia="zh-CN"/>
              </w:rPr>
              <w:t>、蒸汽冷凝水补充水量为</w:t>
            </w:r>
            <w:r>
              <w:rPr>
                <w:rFonts w:hint="eastAsia" w:cs="Times New Roman"/>
                <w:color w:val="auto"/>
                <w:kern w:val="0"/>
                <w:sz w:val="24"/>
                <w:szCs w:val="24"/>
                <w:highlight w:val="none"/>
                <w:lang w:val="en-US" w:eastAsia="zh-CN" w:bidi="ar"/>
              </w:rPr>
              <w:t>2376</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bidi="ar"/>
              </w:rPr>
              <w:t>/a（</w:t>
            </w:r>
            <w:r>
              <w:rPr>
                <w:rFonts w:hint="eastAsia" w:cs="Times New Roman"/>
                <w:color w:val="auto"/>
                <w:kern w:val="0"/>
                <w:sz w:val="24"/>
                <w:szCs w:val="24"/>
                <w:highlight w:val="none"/>
                <w:lang w:val="en-US" w:eastAsia="zh-CN" w:bidi="ar"/>
              </w:rPr>
              <w:t>7.92</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eastAsia" w:ascii="Times New Roman" w:hAnsi="Times New Roman" w:cs="Times New Roman"/>
                <w:color w:val="auto"/>
                <w:sz w:val="24"/>
                <w:szCs w:val="24"/>
                <w:highlight w:val="none"/>
                <w:lang w:val="en-US" w:eastAsia="zh-CN"/>
              </w:rPr>
              <w:t>。</w:t>
            </w:r>
          </w:p>
          <w:p w14:paraId="20F94057">
            <w:pPr>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jc w:val="both"/>
              <w:textAlignment w:val="auto"/>
              <w:outlineLvl w:val="9"/>
              <w:rPr>
                <w:rFonts w:hint="default" w:ascii="Times New Roman" w:hAnsi="Times New Roman" w:eastAsia="宋体" w:cs="Times New Roman"/>
                <w:b/>
                <w:bCs/>
                <w:color w:val="auto"/>
                <w:sz w:val="24"/>
                <w:szCs w:val="24"/>
                <w:highlight w:val="none"/>
                <w:lang w:val="en-US" w:eastAsia="zh-CN"/>
              </w:rPr>
            </w:pPr>
            <w:r>
              <w:rPr>
                <w:rFonts w:hint="eastAsia" w:cs="Times New Roman"/>
                <w:b/>
                <w:bCs/>
                <w:color w:val="auto"/>
                <w:sz w:val="24"/>
                <w:szCs w:val="24"/>
                <w:highlight w:val="none"/>
                <w:lang w:val="en-US" w:eastAsia="zh-CN"/>
              </w:rPr>
              <w:t>2）</w:t>
            </w:r>
            <w:r>
              <w:rPr>
                <w:rFonts w:hint="eastAsia" w:ascii="Times New Roman" w:hAnsi="Times New Roman" w:eastAsia="宋体" w:cs="Times New Roman"/>
                <w:b/>
                <w:bCs/>
                <w:color w:val="auto"/>
                <w:sz w:val="24"/>
                <w:szCs w:val="24"/>
                <w:highlight w:val="none"/>
                <w:lang w:val="en-US" w:eastAsia="zh-CN"/>
              </w:rPr>
              <w:t>排水</w:t>
            </w:r>
          </w:p>
          <w:p w14:paraId="4D663964">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①</w:t>
            </w:r>
            <w:r>
              <w:rPr>
                <w:rFonts w:ascii="Times New Roman" w:hAnsi="Times New Roman" w:eastAsia="宋体" w:cs="Times New Roman"/>
                <w:color w:val="auto"/>
                <w:sz w:val="24"/>
                <w:szCs w:val="24"/>
                <w:highlight w:val="none"/>
              </w:rPr>
              <w:t>职工生活污水</w:t>
            </w:r>
            <w:r>
              <w:rPr>
                <w:rFonts w:hint="eastAsia"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生活污水产生量为</w:t>
            </w:r>
            <w:r>
              <w:rPr>
                <w:rFonts w:hint="default" w:ascii="Times New Roman" w:hAnsi="Times New Roman" w:eastAsia="宋体" w:cs="Times New Roman"/>
                <w:color w:val="auto"/>
                <w:sz w:val="24"/>
                <w:szCs w:val="24"/>
                <w:highlight w:val="none"/>
                <w:lang w:val="en-US" w:eastAsia="zh-CN"/>
              </w:rPr>
              <w:t>用量80%，约为1.06</w:t>
            </w:r>
            <w:r>
              <w:rPr>
                <w:rFonts w:hint="eastAsia"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320</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盥洗废水泼洒抑尘、</w:t>
            </w:r>
            <w:r>
              <w:rPr>
                <w:rFonts w:hint="default" w:ascii="Times New Roman" w:hAnsi="Times New Roman" w:eastAsia="宋体" w:cs="Times New Roman"/>
                <w:color w:val="auto"/>
                <w:sz w:val="24"/>
                <w:szCs w:val="24"/>
                <w:highlight w:val="none"/>
                <w:lang w:eastAsia="zh-CN"/>
              </w:rPr>
              <w:t>厂区设防渗旱厕，定期清掏，不外排。</w:t>
            </w:r>
          </w:p>
          <w:p w14:paraId="23851707">
            <w:pPr>
              <w:keepNext w:val="0"/>
              <w:keepLines w:val="0"/>
              <w:pageBreakBefore w:val="0"/>
              <w:kinsoku/>
              <w:wordWrap/>
              <w:overflowPunct/>
              <w:topLinePunct w:val="0"/>
              <w:autoSpaceDE/>
              <w:autoSpaceDN/>
              <w:bidi w:val="0"/>
              <w:adjustRightInd/>
              <w:snapToGrid/>
              <w:spacing w:line="360" w:lineRule="auto"/>
              <w:ind w:left="0" w:leftChars="0" w:firstLine="480" w:firstLineChars="200"/>
              <w:jc w:val="both"/>
              <w:textAlignment w:val="auto"/>
              <w:outlineLvl w:val="9"/>
              <w:rPr>
                <w:rFonts w:hint="eastAsia" w:cs="Times New Roman"/>
                <w:color w:val="auto"/>
                <w:sz w:val="24"/>
                <w:szCs w:val="24"/>
                <w:highlight w:val="none"/>
                <w:vertAlign w:val="baseline"/>
                <w:lang w:val="en-US" w:eastAsia="zh-CN"/>
              </w:rPr>
            </w:pPr>
            <w:r>
              <w:rPr>
                <w:rFonts w:hint="default" w:ascii="Times New Roman" w:hAnsi="Times New Roman" w:eastAsia="宋体" w:cs="Times New Roman"/>
                <w:color w:val="auto"/>
                <w:sz w:val="24"/>
                <w:szCs w:val="24"/>
                <w:highlight w:val="none"/>
                <w:lang w:val="en-US" w:eastAsia="zh-CN"/>
              </w:rPr>
              <w:t>②</w:t>
            </w:r>
            <w:r>
              <w:rPr>
                <w:rFonts w:hint="default" w:ascii="Times New Roman" w:hAnsi="Times New Roman" w:eastAsia="宋体" w:cs="Times New Roman"/>
                <w:color w:val="auto"/>
                <w:sz w:val="24"/>
                <w:szCs w:val="24"/>
                <w:highlight w:val="none"/>
                <w:vertAlign w:val="baseline"/>
                <w:lang w:val="en-US" w:eastAsia="zh-CN"/>
              </w:rPr>
              <w:t>冷却</w:t>
            </w:r>
            <w:r>
              <w:rPr>
                <w:rFonts w:hint="eastAsia" w:ascii="Times New Roman" w:hAnsi="Times New Roman" w:eastAsia="宋体" w:cs="Times New Roman"/>
                <w:color w:val="auto"/>
                <w:sz w:val="24"/>
                <w:szCs w:val="24"/>
                <w:highlight w:val="none"/>
                <w:vertAlign w:val="baseline"/>
                <w:lang w:val="en-US" w:eastAsia="zh-CN"/>
              </w:rPr>
              <w:t>系统</w:t>
            </w:r>
            <w:r>
              <w:rPr>
                <w:rFonts w:hint="default" w:ascii="Times New Roman" w:hAnsi="Times New Roman" w:eastAsia="宋体" w:cs="Times New Roman"/>
                <w:color w:val="auto"/>
                <w:sz w:val="24"/>
                <w:szCs w:val="24"/>
                <w:highlight w:val="none"/>
                <w:vertAlign w:val="baseline"/>
                <w:lang w:val="en-US" w:eastAsia="zh-CN"/>
              </w:rPr>
              <w:t>用水</w:t>
            </w:r>
            <w:r>
              <w:rPr>
                <w:rFonts w:hint="eastAsia" w:cs="Times New Roman"/>
                <w:color w:val="auto"/>
                <w:sz w:val="24"/>
                <w:szCs w:val="24"/>
                <w:highlight w:val="none"/>
                <w:vertAlign w:val="baseline"/>
                <w:lang w:val="en-US" w:eastAsia="zh-CN"/>
              </w:rPr>
              <w:t>：成型冷却循环使用不外排。</w:t>
            </w:r>
          </w:p>
          <w:p w14:paraId="7895B1B6">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outlineLvl w:val="9"/>
              <w:rPr>
                <w:rFonts w:hint="default" w:ascii="Times New Roman" w:hAnsi="Times New Roman" w:eastAsia="宋体" w:cs="Times New Roman"/>
                <w:color w:val="auto"/>
                <w:kern w:val="0"/>
                <w:sz w:val="24"/>
                <w:szCs w:val="24"/>
                <w:highlight w:val="none"/>
                <w:lang w:val="en-US" w:eastAsia="zh-CN" w:bidi="ar"/>
              </w:rPr>
            </w:pPr>
            <w:r>
              <w:rPr>
                <w:rFonts w:hint="default" w:ascii="Times New Roman" w:hAnsi="Times New Roman" w:eastAsia="宋体" w:cs="Times New Roman"/>
                <w:color w:val="auto"/>
                <w:sz w:val="24"/>
                <w:szCs w:val="24"/>
                <w:highlight w:val="none"/>
                <w:vertAlign w:val="baseline"/>
                <w:lang w:val="en-US" w:eastAsia="zh-CN"/>
              </w:rPr>
              <w:t>③蒸汽冷凝水</w:t>
            </w:r>
            <w:r>
              <w:rPr>
                <w:rFonts w:hint="eastAsia" w:cs="Times New Roman"/>
                <w:color w:val="auto"/>
                <w:sz w:val="24"/>
                <w:szCs w:val="24"/>
                <w:highlight w:val="none"/>
                <w:vertAlign w:val="baseline"/>
                <w:lang w:val="en-US" w:eastAsia="zh-CN"/>
              </w:rPr>
              <w:t>：</w:t>
            </w:r>
            <w:r>
              <w:rPr>
                <w:rFonts w:hint="default" w:ascii="Times New Roman" w:hAnsi="Times New Roman" w:eastAsia="宋体" w:cs="Times New Roman"/>
                <w:color w:val="auto"/>
                <w:kern w:val="0"/>
                <w:sz w:val="24"/>
                <w:szCs w:val="24"/>
                <w:highlight w:val="none"/>
                <w:lang w:val="en-US" w:eastAsia="zh-CN" w:bidi="ar"/>
              </w:rPr>
              <w:t>发泡工序加热方式为蒸汽直接加热，蒸汽使用量为480t/a</w:t>
            </w:r>
          </w:p>
          <w:p w14:paraId="3E8EE570">
            <w:pPr>
              <w:keepNext w:val="0"/>
              <w:keepLines w:val="0"/>
              <w:pageBreakBefore w:val="0"/>
              <w:widowControl w:val="0"/>
              <w:kinsoku/>
              <w:wordWrap/>
              <w:overflowPunct/>
              <w:topLinePunct w:val="0"/>
              <w:autoSpaceDE/>
              <w:autoSpaceDN/>
              <w:bidi w:val="0"/>
              <w:adjustRightInd/>
              <w:snapToGrid/>
              <w:spacing w:line="360" w:lineRule="auto"/>
              <w:jc w:val="both"/>
              <w:textAlignment w:val="auto"/>
              <w:outlineLvl w:val="9"/>
              <w:rPr>
                <w:rFonts w:hint="default" w:ascii="Times New Roman" w:hAnsi="Times New Roman" w:eastAsia="宋体" w:cs="Times New Roman"/>
                <w:color w:val="auto"/>
                <w:kern w:val="0"/>
                <w:sz w:val="24"/>
                <w:szCs w:val="24"/>
                <w:highlight w:val="none"/>
                <w:lang w:val="en-US" w:eastAsia="zh-CN" w:bidi="ar"/>
              </w:rPr>
            </w:pPr>
            <w:r>
              <w:rPr>
                <w:rFonts w:hint="eastAsia" w:cs="Times New Roman"/>
                <w:color w:val="auto"/>
                <w:kern w:val="0"/>
                <w:sz w:val="24"/>
                <w:szCs w:val="24"/>
                <w:highlight w:val="none"/>
                <w:lang w:val="en-US" w:eastAsia="zh-CN" w:bidi="ar"/>
              </w:rPr>
              <w:t>气液分离器除湿效率为95%，则发泡该工序456</w:t>
            </w:r>
            <w:r>
              <w:rPr>
                <w:rFonts w:hint="default" w:ascii="Times New Roman" w:hAnsi="Times New Roman" w:eastAsia="宋体" w:cs="Times New Roman"/>
                <w:color w:val="auto"/>
                <w:kern w:val="0"/>
                <w:sz w:val="24"/>
                <w:szCs w:val="24"/>
                <w:highlight w:val="none"/>
                <w:lang w:val="en-US" w:eastAsia="zh-CN" w:bidi="ar"/>
              </w:rPr>
              <w:t>t/a（</w:t>
            </w:r>
            <w:r>
              <w:rPr>
                <w:rFonts w:hint="eastAsia" w:eastAsia="宋体" w:cs="Times New Roman"/>
                <w:color w:val="auto"/>
                <w:kern w:val="0"/>
                <w:sz w:val="24"/>
                <w:szCs w:val="24"/>
                <w:highlight w:val="none"/>
                <w:lang w:val="en-US" w:eastAsia="zh-CN" w:bidi="ar"/>
              </w:rPr>
              <w:t>1.52</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eastAsia" w:eastAsia="宋体" w:cs="Times New Roman"/>
                <w:color w:val="auto"/>
                <w:kern w:val="0"/>
                <w:sz w:val="24"/>
                <w:szCs w:val="24"/>
                <w:highlight w:val="none"/>
                <w:lang w:val="en-US" w:eastAsia="zh-CN" w:bidi="ar"/>
              </w:rPr>
              <w:t>冷凝液排入冷却水循环系统；</w:t>
            </w:r>
            <w:r>
              <w:rPr>
                <w:rFonts w:hint="default" w:ascii="Times New Roman" w:hAnsi="Times New Roman" w:eastAsia="宋体" w:cs="Times New Roman"/>
                <w:color w:val="auto"/>
                <w:kern w:val="0"/>
                <w:sz w:val="24"/>
                <w:szCs w:val="24"/>
                <w:highlight w:val="none"/>
                <w:lang w:val="en-US" w:eastAsia="zh-CN" w:bidi="ar"/>
              </w:rPr>
              <w:t>成型及烘干工序采用间接加热，蒸汽使用量为1920t/a（6.4</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eastAsia="宋体" w:cs="Times New Roman"/>
                <w:color w:val="auto"/>
                <w:kern w:val="0"/>
                <w:sz w:val="24"/>
                <w:szCs w:val="24"/>
                <w:highlight w:val="none"/>
                <w:lang w:val="en-US" w:eastAsia="zh-CN" w:bidi="ar"/>
              </w:rPr>
              <w:t>，冷凝水全部排入冷</w:t>
            </w:r>
            <w:r>
              <w:rPr>
                <w:rFonts w:hint="eastAsia" w:cs="Times New Roman"/>
                <w:color w:val="auto"/>
                <w:kern w:val="0"/>
                <w:sz w:val="24"/>
                <w:szCs w:val="24"/>
                <w:highlight w:val="none"/>
                <w:lang w:val="en-US" w:eastAsia="zh-CN" w:bidi="ar"/>
              </w:rPr>
              <w:t>水</w:t>
            </w:r>
            <w:r>
              <w:rPr>
                <w:rFonts w:hint="default" w:ascii="Times New Roman" w:hAnsi="Times New Roman" w:eastAsia="宋体" w:cs="Times New Roman"/>
                <w:color w:val="auto"/>
                <w:kern w:val="0"/>
                <w:sz w:val="24"/>
                <w:szCs w:val="24"/>
                <w:highlight w:val="none"/>
                <w:lang w:val="en-US" w:eastAsia="zh-CN" w:bidi="ar"/>
              </w:rPr>
              <w:t>系统代替新鲜水补水。</w:t>
            </w:r>
          </w:p>
          <w:p w14:paraId="2E1CD414">
            <w:pPr>
              <w:keepNext w:val="0"/>
              <w:keepLines w:val="0"/>
              <w:pageBreakBefore w:val="0"/>
              <w:kinsoku/>
              <w:wordWrap/>
              <w:overflowPunct/>
              <w:topLinePunct w:val="0"/>
              <w:autoSpaceDE/>
              <w:autoSpaceDN/>
              <w:bidi w:val="0"/>
              <w:adjustRightInd/>
              <w:snapToGrid/>
              <w:spacing w:before="0" w:after="0" w:line="360" w:lineRule="auto"/>
              <w:ind w:left="0" w:leftChars="0" w:firstLine="480" w:firstLineChars="200"/>
              <w:jc w:val="both"/>
              <w:textAlignment w:val="auto"/>
              <w:outlineLvl w:val="9"/>
              <w:rPr>
                <w:rFonts w:hint="eastAsia"/>
                <w:b/>
                <w:bCs/>
                <w:color w:val="auto"/>
                <w:sz w:val="24"/>
                <w:highlight w:val="none"/>
              </w:rPr>
            </w:pPr>
            <w:r>
              <w:rPr>
                <w:rFonts w:hint="eastAsia" w:eastAsia="宋体" w:cs="Times New Roman"/>
                <w:color w:val="auto"/>
                <w:kern w:val="0"/>
                <w:sz w:val="24"/>
                <w:szCs w:val="24"/>
                <w:highlight w:val="none"/>
                <w:lang w:val="en-US" w:eastAsia="zh-CN" w:bidi="ar"/>
              </w:rPr>
              <w:t>综上</w:t>
            </w:r>
            <w:r>
              <w:rPr>
                <w:rFonts w:hint="eastAsia" w:cs="Times New Roman"/>
                <w:color w:val="auto"/>
                <w:kern w:val="0"/>
                <w:sz w:val="24"/>
                <w:szCs w:val="24"/>
                <w:highlight w:val="none"/>
                <w:lang w:val="en-US" w:eastAsia="zh-CN" w:bidi="ar"/>
              </w:rPr>
              <w:t>，</w:t>
            </w:r>
            <w:r>
              <w:rPr>
                <w:rFonts w:hint="eastAsia" w:eastAsia="宋体" w:cs="Times New Roman"/>
                <w:color w:val="auto"/>
                <w:kern w:val="0"/>
                <w:sz w:val="24"/>
                <w:szCs w:val="24"/>
                <w:highlight w:val="none"/>
                <w:lang w:val="en-US" w:eastAsia="zh-CN" w:bidi="ar"/>
              </w:rPr>
              <w:t>蒸汽冷凝水进入冷却循环系统的水量为</w:t>
            </w:r>
            <w:r>
              <w:rPr>
                <w:rFonts w:hint="eastAsia" w:cs="Times New Roman"/>
                <w:color w:val="auto"/>
                <w:kern w:val="0"/>
                <w:sz w:val="24"/>
                <w:szCs w:val="24"/>
                <w:highlight w:val="none"/>
                <w:lang w:val="en-US" w:eastAsia="zh-CN" w:bidi="ar"/>
              </w:rPr>
              <w:t>2376</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bidi="ar"/>
              </w:rPr>
              <w:t>/a（</w:t>
            </w:r>
            <w:r>
              <w:rPr>
                <w:rFonts w:hint="eastAsia" w:cs="Times New Roman"/>
                <w:color w:val="auto"/>
                <w:kern w:val="0"/>
                <w:sz w:val="24"/>
                <w:szCs w:val="24"/>
                <w:highlight w:val="none"/>
                <w:lang w:val="en-US" w:eastAsia="zh-CN" w:bidi="ar"/>
              </w:rPr>
              <w:t>7.92</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eastAsia"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水平衡见表2-</w:t>
            </w:r>
            <w:r>
              <w:rPr>
                <w:rFonts w:hint="eastAsia"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、图2-1。</w:t>
            </w:r>
          </w:p>
          <w:p w14:paraId="4F9DCE31">
            <w:pPr>
              <w:pStyle w:val="13"/>
              <w:numPr>
                <w:ilvl w:val="0"/>
                <w:numId w:val="0"/>
              </w:numPr>
              <w:jc w:val="center"/>
              <w:rPr>
                <w:b/>
                <w:bCs/>
                <w:color w:val="auto"/>
                <w:sz w:val="24"/>
                <w:highlight w:val="none"/>
              </w:rPr>
            </w:pPr>
            <w:r>
              <w:rPr>
                <w:rFonts w:hint="eastAsia"/>
                <w:b/>
                <w:bCs/>
                <w:color w:val="auto"/>
                <w:sz w:val="24"/>
                <w:highlight w:val="none"/>
              </w:rPr>
              <w:t>表2-</w:t>
            </w:r>
            <w:r>
              <w:rPr>
                <w:rFonts w:hint="eastAsia"/>
                <w:b/>
                <w:bCs/>
                <w:color w:val="auto"/>
                <w:sz w:val="24"/>
                <w:highlight w:val="none"/>
                <w:lang w:val="en-US" w:eastAsia="zh-CN"/>
              </w:rPr>
              <w:t>7</w:t>
            </w:r>
            <w:r>
              <w:rPr>
                <w:rFonts w:hint="eastAsia"/>
                <w:b/>
                <w:bCs/>
                <w:color w:val="auto"/>
                <w:sz w:val="24"/>
                <w:highlight w:val="none"/>
              </w:rPr>
              <w:t>项目水平衡表</w:t>
            </w:r>
            <w:r>
              <w:rPr>
                <w:rFonts w:hint="eastAsia"/>
                <w:b/>
                <w:bCs/>
                <w:color w:val="auto"/>
                <w:sz w:val="24"/>
                <w:highlight w:val="none"/>
                <w:lang w:val="en-US" w:eastAsia="zh-CN"/>
              </w:rPr>
              <w:t xml:space="preserve">   单位：</w:t>
            </w:r>
            <w:r>
              <w:rPr>
                <w:rFonts w:hint="eastAsia"/>
                <w:b/>
                <w:bCs/>
                <w:color w:val="auto"/>
                <w:sz w:val="24"/>
                <w:highlight w:val="none"/>
              </w:rPr>
              <w:t xml:space="preserve"> </w:t>
            </w:r>
            <w:r>
              <w:rPr>
                <w:rFonts w:hint="default"/>
                <w:color w:val="auto"/>
                <w:sz w:val="24"/>
                <w:szCs w:val="24"/>
                <w:highlight w:val="none"/>
              </w:rPr>
              <w:t>m</w:t>
            </w:r>
            <w:r>
              <w:rPr>
                <w:rFonts w:hint="default"/>
                <w:color w:val="auto"/>
                <w:sz w:val="24"/>
                <w:szCs w:val="24"/>
                <w:highlight w:val="none"/>
                <w:vertAlign w:val="superscript"/>
              </w:rPr>
              <w:t>3</w:t>
            </w:r>
            <w:r>
              <w:rPr>
                <w:rFonts w:hint="default"/>
                <w:color w:val="auto"/>
                <w:sz w:val="24"/>
                <w:szCs w:val="24"/>
                <w:highlight w:val="none"/>
              </w:rPr>
              <w:t>/d</w:t>
            </w:r>
            <w:r>
              <w:rPr>
                <w:rFonts w:hint="eastAsia"/>
                <w:b/>
                <w:bCs/>
                <w:color w:val="auto"/>
                <w:sz w:val="24"/>
                <w:highlight w:val="none"/>
              </w:rPr>
              <w:t xml:space="preserve">        </w:t>
            </w:r>
          </w:p>
          <w:tbl>
            <w:tblPr>
              <w:tblStyle w:val="34"/>
              <w:tblW w:w="8078"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943"/>
              <w:gridCol w:w="838"/>
              <w:gridCol w:w="642"/>
              <w:gridCol w:w="837"/>
              <w:gridCol w:w="667"/>
              <w:gridCol w:w="723"/>
              <w:gridCol w:w="700"/>
              <w:gridCol w:w="2728"/>
            </w:tblGrid>
            <w:tr w14:paraId="71BD44C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43" w:type="dxa"/>
                  <w:vMerge w:val="restart"/>
                  <w:noWrap/>
                  <w:vAlign w:val="center"/>
                </w:tcPr>
                <w:p w14:paraId="545594DA">
                  <w:pPr>
                    <w:keepNext w:val="0"/>
                    <w:keepLines w:val="0"/>
                    <w:pageBreakBefore w:val="0"/>
                    <w:widowControl/>
                    <w:kinsoku/>
                    <w:wordWrap/>
                    <w:overflowPunct/>
                    <w:topLinePunct w:val="0"/>
                    <w:autoSpaceDE/>
                    <w:autoSpaceDN/>
                    <w:bidi w:val="0"/>
                    <w:adjustRightInd/>
                    <w:snapToGrid/>
                    <w:spacing w:line="240" w:lineRule="auto"/>
                    <w:jc w:val="center"/>
                    <w:rPr>
                      <w:rFonts w:hint="default" w:ascii="Times New Roman" w:hAnsi="Times New Roman" w:cs="Times New Roman"/>
                      <w:b/>
                      <w:bCs/>
                      <w:color w:val="auto"/>
                      <w:spacing w:val="-17"/>
                      <w:sz w:val="21"/>
                      <w:szCs w:val="21"/>
                      <w:highlight w:val="none"/>
                    </w:rPr>
                  </w:pPr>
                  <w:r>
                    <w:rPr>
                      <w:rFonts w:hint="default" w:ascii="Times New Roman" w:hAnsi="Times New Roman" w:cs="Times New Roman"/>
                      <w:b/>
                      <w:bCs/>
                      <w:color w:val="auto"/>
                      <w:spacing w:val="-17"/>
                      <w:sz w:val="21"/>
                      <w:szCs w:val="21"/>
                      <w:highlight w:val="none"/>
                    </w:rPr>
                    <w:t>项目</w:t>
                  </w:r>
                </w:p>
              </w:tc>
              <w:tc>
                <w:tcPr>
                  <w:tcW w:w="2984" w:type="dxa"/>
                  <w:gridSpan w:val="4"/>
                  <w:noWrap/>
                  <w:vAlign w:val="center"/>
                </w:tcPr>
                <w:p w14:paraId="4F239DA2">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b/>
                      <w:bCs/>
                      <w:color w:val="auto"/>
                      <w:spacing w:val="-17"/>
                      <w:sz w:val="21"/>
                      <w:szCs w:val="21"/>
                      <w:highlight w:val="none"/>
                      <w:lang w:val="en-US" w:eastAsia="zh-CN"/>
                    </w:rPr>
                  </w:pPr>
                  <w:r>
                    <w:rPr>
                      <w:rFonts w:hint="default" w:ascii="Times New Roman" w:hAnsi="Times New Roman" w:cs="Times New Roman"/>
                      <w:b/>
                      <w:bCs/>
                      <w:color w:val="auto"/>
                      <w:spacing w:val="-17"/>
                      <w:kern w:val="0"/>
                      <w:sz w:val="21"/>
                      <w:szCs w:val="21"/>
                      <w:highlight w:val="none"/>
                      <w:lang w:bidi="ar"/>
                    </w:rPr>
                    <w:t>用水情况</w:t>
                  </w:r>
                </w:p>
              </w:tc>
              <w:tc>
                <w:tcPr>
                  <w:tcW w:w="723" w:type="dxa"/>
                  <w:vMerge w:val="restart"/>
                  <w:noWrap/>
                  <w:vAlign w:val="center"/>
                </w:tcPr>
                <w:p w14:paraId="36B23461">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Times New Roman" w:hAnsi="Times New Roman" w:cs="Times New Roman"/>
                      <w:b/>
                      <w:bCs/>
                      <w:color w:val="auto"/>
                      <w:spacing w:val="-17"/>
                      <w:kern w:val="0"/>
                      <w:sz w:val="21"/>
                      <w:szCs w:val="21"/>
                      <w:highlight w:val="none"/>
                      <w:lang w:bidi="ar"/>
                    </w:rPr>
                  </w:pPr>
                  <w:r>
                    <w:rPr>
                      <w:rFonts w:hint="default" w:ascii="Times New Roman" w:hAnsi="Times New Roman" w:cs="Times New Roman"/>
                      <w:b/>
                      <w:bCs/>
                      <w:color w:val="auto"/>
                      <w:spacing w:val="-17"/>
                      <w:kern w:val="0"/>
                      <w:sz w:val="21"/>
                      <w:szCs w:val="21"/>
                      <w:highlight w:val="none"/>
                      <w:lang w:bidi="ar"/>
                    </w:rPr>
                    <w:t>损失量</w:t>
                  </w:r>
                </w:p>
              </w:tc>
              <w:tc>
                <w:tcPr>
                  <w:tcW w:w="700" w:type="dxa"/>
                  <w:vMerge w:val="restart"/>
                  <w:noWrap/>
                  <w:vAlign w:val="center"/>
                </w:tcPr>
                <w:p w14:paraId="37D7FC9D">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Times New Roman" w:hAnsi="Times New Roman" w:cs="Times New Roman"/>
                      <w:b/>
                      <w:bCs/>
                      <w:color w:val="auto"/>
                      <w:spacing w:val="-17"/>
                      <w:sz w:val="21"/>
                      <w:szCs w:val="21"/>
                      <w:highlight w:val="none"/>
                    </w:rPr>
                  </w:pPr>
                  <w:r>
                    <w:rPr>
                      <w:rFonts w:hint="default" w:ascii="Times New Roman" w:hAnsi="Times New Roman" w:cs="Times New Roman"/>
                      <w:b/>
                      <w:bCs/>
                      <w:color w:val="auto"/>
                      <w:spacing w:val="-17"/>
                      <w:kern w:val="0"/>
                      <w:sz w:val="21"/>
                      <w:szCs w:val="21"/>
                      <w:highlight w:val="none"/>
                      <w:lang w:bidi="ar"/>
                    </w:rPr>
                    <w:t>排放情况</w:t>
                  </w:r>
                </w:p>
              </w:tc>
              <w:tc>
                <w:tcPr>
                  <w:tcW w:w="2728" w:type="dxa"/>
                  <w:vMerge w:val="restart"/>
                  <w:noWrap/>
                  <w:vAlign w:val="center"/>
                </w:tcPr>
                <w:p w14:paraId="504B816D">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b/>
                      <w:bCs/>
                      <w:color w:val="auto"/>
                      <w:spacing w:val="-17"/>
                      <w:kern w:val="0"/>
                      <w:sz w:val="21"/>
                      <w:szCs w:val="21"/>
                      <w:highlight w:val="none"/>
                      <w:lang w:val="en-US" w:eastAsia="zh-CN" w:bidi="ar"/>
                    </w:rPr>
                  </w:pPr>
                  <w:r>
                    <w:rPr>
                      <w:rFonts w:hint="default" w:ascii="Times New Roman" w:hAnsi="Times New Roman" w:cs="Times New Roman"/>
                      <w:b/>
                      <w:bCs/>
                      <w:color w:val="auto"/>
                      <w:spacing w:val="-17"/>
                      <w:kern w:val="0"/>
                      <w:sz w:val="21"/>
                      <w:szCs w:val="21"/>
                      <w:highlight w:val="none"/>
                      <w:lang w:val="en-US" w:eastAsia="zh-CN" w:bidi="ar"/>
                    </w:rPr>
                    <w:t>去向</w:t>
                  </w:r>
                </w:p>
              </w:tc>
            </w:tr>
            <w:tr w14:paraId="303B95C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43" w:type="dxa"/>
                  <w:vMerge w:val="continue"/>
                  <w:noWrap/>
                  <w:vAlign w:val="center"/>
                </w:tcPr>
                <w:p w14:paraId="4E5AD768">
                  <w:pPr>
                    <w:keepNext w:val="0"/>
                    <w:keepLines w:val="0"/>
                    <w:pageBreakBefore w:val="0"/>
                    <w:widowControl/>
                    <w:kinsoku/>
                    <w:wordWrap/>
                    <w:overflowPunct/>
                    <w:topLinePunct w:val="0"/>
                    <w:autoSpaceDE/>
                    <w:autoSpaceDN/>
                    <w:bidi w:val="0"/>
                    <w:adjustRightInd/>
                    <w:snapToGrid/>
                    <w:spacing w:line="240" w:lineRule="auto"/>
                    <w:jc w:val="center"/>
                    <w:rPr>
                      <w:rFonts w:hint="default" w:ascii="Times New Roman" w:hAnsi="Times New Roman" w:cs="Times New Roman"/>
                      <w:b/>
                      <w:bCs/>
                      <w:color w:val="auto"/>
                      <w:spacing w:val="-17"/>
                      <w:sz w:val="21"/>
                      <w:szCs w:val="21"/>
                      <w:highlight w:val="none"/>
                    </w:rPr>
                  </w:pPr>
                </w:p>
              </w:tc>
              <w:tc>
                <w:tcPr>
                  <w:tcW w:w="838" w:type="dxa"/>
                  <w:noWrap/>
                  <w:vAlign w:val="center"/>
                </w:tcPr>
                <w:p w14:paraId="4D6636ED">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Times New Roman" w:hAnsi="Times New Roman" w:cs="Times New Roman"/>
                      <w:b/>
                      <w:bCs/>
                      <w:color w:val="auto"/>
                      <w:spacing w:val="-17"/>
                      <w:sz w:val="21"/>
                      <w:szCs w:val="21"/>
                      <w:highlight w:val="none"/>
                    </w:rPr>
                  </w:pPr>
                  <w:r>
                    <w:rPr>
                      <w:rFonts w:hint="default" w:ascii="Times New Roman" w:hAnsi="Times New Roman" w:cs="Times New Roman"/>
                      <w:b/>
                      <w:bCs/>
                      <w:color w:val="auto"/>
                      <w:spacing w:val="-17"/>
                      <w:kern w:val="0"/>
                      <w:sz w:val="21"/>
                      <w:szCs w:val="21"/>
                      <w:highlight w:val="none"/>
                      <w:lang w:bidi="ar"/>
                    </w:rPr>
                    <w:t>总用水量</w:t>
                  </w:r>
                </w:p>
              </w:tc>
              <w:tc>
                <w:tcPr>
                  <w:tcW w:w="642" w:type="dxa"/>
                  <w:noWrap/>
                  <w:vAlign w:val="center"/>
                </w:tcPr>
                <w:p w14:paraId="44D6719D">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Times New Roman" w:hAnsi="Times New Roman" w:cs="Times New Roman"/>
                      <w:b/>
                      <w:bCs/>
                      <w:color w:val="auto"/>
                      <w:spacing w:val="-17"/>
                      <w:sz w:val="21"/>
                      <w:szCs w:val="21"/>
                      <w:highlight w:val="none"/>
                    </w:rPr>
                  </w:pPr>
                  <w:r>
                    <w:rPr>
                      <w:rFonts w:hint="default" w:ascii="Times New Roman" w:hAnsi="Times New Roman" w:cs="Times New Roman"/>
                      <w:b/>
                      <w:bCs/>
                      <w:color w:val="auto"/>
                      <w:spacing w:val="-17"/>
                      <w:kern w:val="0"/>
                      <w:sz w:val="21"/>
                      <w:szCs w:val="21"/>
                      <w:highlight w:val="none"/>
                      <w:lang w:bidi="ar"/>
                    </w:rPr>
                    <w:t>新鲜水</w:t>
                  </w:r>
                </w:p>
              </w:tc>
              <w:tc>
                <w:tcPr>
                  <w:tcW w:w="837" w:type="dxa"/>
                  <w:noWrap/>
                  <w:vAlign w:val="center"/>
                </w:tcPr>
                <w:p w14:paraId="4F65C972">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b/>
                      <w:bCs/>
                      <w:color w:val="auto"/>
                      <w:spacing w:val="-17"/>
                      <w:sz w:val="21"/>
                      <w:szCs w:val="21"/>
                      <w:highlight w:val="none"/>
                      <w:lang w:val="en-US" w:eastAsia="zh-CN"/>
                    </w:rPr>
                  </w:pPr>
                  <w:r>
                    <w:rPr>
                      <w:rFonts w:hint="default" w:ascii="Times New Roman" w:hAnsi="Times New Roman" w:cs="Times New Roman"/>
                      <w:b/>
                      <w:bCs/>
                      <w:color w:val="auto"/>
                      <w:spacing w:val="-17"/>
                      <w:sz w:val="21"/>
                      <w:szCs w:val="21"/>
                      <w:highlight w:val="none"/>
                      <w:lang w:val="en-US" w:eastAsia="zh-CN"/>
                    </w:rPr>
                    <w:t>蒸汽冷凝水</w:t>
                  </w:r>
                </w:p>
              </w:tc>
              <w:tc>
                <w:tcPr>
                  <w:tcW w:w="667" w:type="dxa"/>
                  <w:noWrap/>
                  <w:vAlign w:val="center"/>
                </w:tcPr>
                <w:p w14:paraId="42BED588">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Times New Roman" w:hAnsi="Times New Roman" w:cs="Times New Roman"/>
                      <w:b/>
                      <w:bCs/>
                      <w:color w:val="auto"/>
                      <w:spacing w:val="-17"/>
                      <w:kern w:val="0"/>
                      <w:sz w:val="21"/>
                      <w:szCs w:val="21"/>
                      <w:highlight w:val="none"/>
                      <w:lang w:bidi="ar"/>
                    </w:rPr>
                  </w:pPr>
                  <w:r>
                    <w:rPr>
                      <w:rFonts w:hint="default" w:ascii="Times New Roman" w:hAnsi="Times New Roman" w:cs="Times New Roman"/>
                      <w:b/>
                      <w:bCs/>
                      <w:color w:val="auto"/>
                      <w:spacing w:val="-17"/>
                      <w:kern w:val="0"/>
                      <w:sz w:val="21"/>
                      <w:szCs w:val="21"/>
                      <w:highlight w:val="none"/>
                      <w:lang w:bidi="ar"/>
                    </w:rPr>
                    <w:t>循环水</w:t>
                  </w:r>
                </w:p>
              </w:tc>
              <w:tc>
                <w:tcPr>
                  <w:tcW w:w="723" w:type="dxa"/>
                  <w:vMerge w:val="continue"/>
                  <w:noWrap/>
                  <w:vAlign w:val="center"/>
                </w:tcPr>
                <w:p w14:paraId="7D405155">
                  <w:pPr>
                    <w:keepNext w:val="0"/>
                    <w:keepLines w:val="0"/>
                    <w:pageBreakBefore w:val="0"/>
                    <w:widowControl/>
                    <w:kinsoku/>
                    <w:wordWrap/>
                    <w:overflowPunct/>
                    <w:topLinePunct w:val="0"/>
                    <w:autoSpaceDE/>
                    <w:autoSpaceDN/>
                    <w:bidi w:val="0"/>
                    <w:adjustRightInd/>
                    <w:snapToGrid/>
                    <w:spacing w:line="240" w:lineRule="auto"/>
                    <w:jc w:val="center"/>
                    <w:rPr>
                      <w:rFonts w:hint="default" w:ascii="Times New Roman" w:hAnsi="Times New Roman" w:cs="Times New Roman"/>
                      <w:b/>
                      <w:bCs/>
                      <w:color w:val="auto"/>
                      <w:spacing w:val="-17"/>
                      <w:sz w:val="21"/>
                      <w:szCs w:val="21"/>
                      <w:highlight w:val="none"/>
                    </w:rPr>
                  </w:pPr>
                </w:p>
              </w:tc>
              <w:tc>
                <w:tcPr>
                  <w:tcW w:w="700" w:type="dxa"/>
                  <w:vMerge w:val="continue"/>
                  <w:noWrap/>
                  <w:vAlign w:val="center"/>
                </w:tcPr>
                <w:p w14:paraId="680FEC15">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Times New Roman" w:hAnsi="Times New Roman" w:cs="Times New Roman"/>
                      <w:b/>
                      <w:bCs/>
                      <w:color w:val="auto"/>
                      <w:spacing w:val="-17"/>
                      <w:sz w:val="21"/>
                      <w:szCs w:val="21"/>
                      <w:highlight w:val="none"/>
                    </w:rPr>
                  </w:pPr>
                </w:p>
              </w:tc>
              <w:tc>
                <w:tcPr>
                  <w:tcW w:w="2728" w:type="dxa"/>
                  <w:vMerge w:val="continue"/>
                  <w:noWrap/>
                  <w:vAlign w:val="center"/>
                </w:tcPr>
                <w:p w14:paraId="5041DF09">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Times New Roman" w:hAnsi="Times New Roman" w:cs="Times New Roman"/>
                      <w:b/>
                      <w:bCs/>
                      <w:color w:val="auto"/>
                      <w:spacing w:val="-17"/>
                      <w:sz w:val="21"/>
                      <w:szCs w:val="21"/>
                      <w:highlight w:val="none"/>
                    </w:rPr>
                  </w:pPr>
                </w:p>
              </w:tc>
            </w:tr>
            <w:tr w14:paraId="3E2CD43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43" w:type="dxa"/>
                  <w:noWrap/>
                  <w:vAlign w:val="center"/>
                </w:tcPr>
                <w:p w14:paraId="1E08B388">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spacing w:val="-17"/>
                      <w:sz w:val="21"/>
                      <w:szCs w:val="21"/>
                      <w:highlight w:val="none"/>
                      <w:lang w:val="en-US" w:eastAsia="zh-CN"/>
                    </w:rPr>
                  </w:pPr>
                  <w:r>
                    <w:rPr>
                      <w:rFonts w:hint="default" w:ascii="Times New Roman" w:hAnsi="Times New Roman" w:eastAsia="宋体" w:cs="Times New Roman"/>
                      <w:color w:val="auto"/>
                      <w:spacing w:val="-17"/>
                      <w:sz w:val="21"/>
                      <w:szCs w:val="21"/>
                      <w:highlight w:val="none"/>
                      <w:lang w:val="en-US" w:eastAsia="zh-CN"/>
                    </w:rPr>
                    <w:t>职工生活</w:t>
                  </w:r>
                </w:p>
              </w:tc>
              <w:tc>
                <w:tcPr>
                  <w:tcW w:w="838" w:type="dxa"/>
                  <w:noWrap/>
                  <w:vAlign w:val="center"/>
                </w:tcPr>
                <w:p w14:paraId="44F91CD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cs="Times New Roman"/>
                      <w:i w:val="0"/>
                      <w:iCs w:val="0"/>
                      <w:color w:val="auto"/>
                      <w:spacing w:val="-17"/>
                      <w:kern w:val="0"/>
                      <w:sz w:val="21"/>
                      <w:szCs w:val="21"/>
                      <w:highlight w:val="none"/>
                      <w:u w:val="none"/>
                      <w:lang w:val="en-US" w:eastAsia="zh-CN" w:bidi="ar"/>
                    </w:rPr>
                    <w:t>1.333</w:t>
                  </w:r>
                </w:p>
              </w:tc>
              <w:tc>
                <w:tcPr>
                  <w:tcW w:w="642" w:type="dxa"/>
                  <w:noWrap/>
                  <w:vAlign w:val="center"/>
                </w:tcPr>
                <w:p w14:paraId="70FFDBB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cs="Times New Roman"/>
                      <w:i w:val="0"/>
                      <w:iCs w:val="0"/>
                      <w:color w:val="auto"/>
                      <w:spacing w:val="-17"/>
                      <w:kern w:val="0"/>
                      <w:sz w:val="21"/>
                      <w:szCs w:val="21"/>
                      <w:highlight w:val="none"/>
                      <w:u w:val="none"/>
                      <w:lang w:val="en-US" w:eastAsia="zh-CN" w:bidi="ar"/>
                    </w:rPr>
                    <w:t>1.333</w:t>
                  </w:r>
                </w:p>
              </w:tc>
              <w:tc>
                <w:tcPr>
                  <w:tcW w:w="837" w:type="dxa"/>
                  <w:noWrap/>
                  <w:vAlign w:val="center"/>
                </w:tcPr>
                <w:p w14:paraId="7BB7F59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667" w:type="dxa"/>
                  <w:noWrap/>
                  <w:vAlign w:val="center"/>
                </w:tcPr>
                <w:p w14:paraId="436050A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723" w:type="dxa"/>
                  <w:noWrap/>
                  <w:vAlign w:val="center"/>
                </w:tcPr>
                <w:p w14:paraId="5354A72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cs="Times New Roman"/>
                      <w:i w:val="0"/>
                      <w:iCs w:val="0"/>
                      <w:color w:val="auto"/>
                      <w:spacing w:val="-17"/>
                      <w:kern w:val="0"/>
                      <w:sz w:val="21"/>
                      <w:szCs w:val="21"/>
                      <w:highlight w:val="none"/>
                      <w:u w:val="none"/>
                      <w:lang w:val="en-US" w:eastAsia="zh-CN" w:bidi="ar"/>
                    </w:rPr>
                    <w:t>0.267</w:t>
                  </w:r>
                </w:p>
              </w:tc>
              <w:tc>
                <w:tcPr>
                  <w:tcW w:w="700" w:type="dxa"/>
                  <w:noWrap/>
                  <w:vAlign w:val="center"/>
                </w:tcPr>
                <w:p w14:paraId="63A3844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cs="Times New Roman"/>
                      <w:i w:val="0"/>
                      <w:iCs w:val="0"/>
                      <w:color w:val="auto"/>
                      <w:spacing w:val="-17"/>
                      <w:kern w:val="0"/>
                      <w:sz w:val="21"/>
                      <w:szCs w:val="21"/>
                      <w:highlight w:val="none"/>
                      <w:u w:val="none"/>
                      <w:lang w:val="en-US" w:eastAsia="zh-CN" w:bidi="ar"/>
                    </w:rPr>
                    <w:t>1.06</w:t>
                  </w:r>
                  <w:r>
                    <w:rPr>
                      <w:rFonts w:hint="eastAsia" w:cs="Times New Roman"/>
                      <w:i w:val="0"/>
                      <w:iCs w:val="0"/>
                      <w:color w:val="auto"/>
                      <w:spacing w:val="-17"/>
                      <w:kern w:val="0"/>
                      <w:sz w:val="21"/>
                      <w:szCs w:val="21"/>
                      <w:highlight w:val="none"/>
                      <w:u w:val="none"/>
                      <w:lang w:val="en-US" w:eastAsia="zh-CN" w:bidi="ar"/>
                    </w:rPr>
                    <w:t>6</w:t>
                  </w:r>
                </w:p>
              </w:tc>
              <w:tc>
                <w:tcPr>
                  <w:tcW w:w="2728" w:type="dxa"/>
                  <w:noWrap/>
                  <w:vAlign w:val="center"/>
                </w:tcPr>
                <w:p w14:paraId="63693B6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i w:val="0"/>
                      <w:iCs w:val="0"/>
                      <w:color w:val="auto"/>
                      <w:spacing w:val="-17"/>
                      <w:kern w:val="0"/>
                      <w:sz w:val="21"/>
                      <w:szCs w:val="21"/>
                      <w:highlight w:val="none"/>
                      <w:u w:val="none"/>
                      <w:lang w:val="en-US" w:eastAsia="zh-CN" w:bidi="ar"/>
                    </w:rPr>
                  </w:pPr>
                  <w:r>
                    <w:rPr>
                      <w:rFonts w:hint="default" w:ascii="Times New Roman" w:hAnsi="Times New Roman" w:cs="Times New Roman"/>
                      <w:i w:val="0"/>
                      <w:iCs w:val="0"/>
                      <w:color w:val="auto"/>
                      <w:spacing w:val="-17"/>
                      <w:kern w:val="0"/>
                      <w:sz w:val="21"/>
                      <w:szCs w:val="21"/>
                      <w:highlight w:val="none"/>
                      <w:u w:val="none"/>
                      <w:lang w:val="en-US" w:eastAsia="zh-CN" w:bidi="ar"/>
                    </w:rPr>
                    <w:t>盥洗废水泼洒抑尘、厂区设防渗旱厕，定期清掏</w:t>
                  </w:r>
                </w:p>
              </w:tc>
            </w:tr>
            <w:tr w14:paraId="2537C3C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43" w:type="dxa"/>
                  <w:noWrap/>
                  <w:vAlign w:val="center"/>
                </w:tcPr>
                <w:p w14:paraId="4BBA3F4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冷却系统</w:t>
                  </w:r>
                </w:p>
              </w:tc>
              <w:tc>
                <w:tcPr>
                  <w:tcW w:w="838" w:type="dxa"/>
                  <w:noWrap/>
                  <w:vAlign w:val="center"/>
                </w:tcPr>
                <w:p w14:paraId="4ABEAA0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608.4</w:t>
                  </w:r>
                </w:p>
              </w:tc>
              <w:tc>
                <w:tcPr>
                  <w:tcW w:w="642" w:type="dxa"/>
                  <w:noWrap/>
                  <w:vAlign w:val="center"/>
                </w:tcPr>
                <w:p w14:paraId="3A55376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0.48</w:t>
                  </w:r>
                </w:p>
              </w:tc>
              <w:tc>
                <w:tcPr>
                  <w:tcW w:w="837" w:type="dxa"/>
                  <w:noWrap/>
                  <w:vAlign w:val="center"/>
                </w:tcPr>
                <w:p w14:paraId="4A5256B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7.92</w:t>
                  </w:r>
                </w:p>
              </w:tc>
              <w:tc>
                <w:tcPr>
                  <w:tcW w:w="667" w:type="dxa"/>
                  <w:noWrap/>
                  <w:vAlign w:val="center"/>
                </w:tcPr>
                <w:p w14:paraId="199809E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600</w:t>
                  </w:r>
                </w:p>
              </w:tc>
              <w:tc>
                <w:tcPr>
                  <w:tcW w:w="723" w:type="dxa"/>
                  <w:noWrap/>
                  <w:vAlign w:val="center"/>
                </w:tcPr>
                <w:p w14:paraId="51E1098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8.4</w:t>
                  </w:r>
                </w:p>
              </w:tc>
              <w:tc>
                <w:tcPr>
                  <w:tcW w:w="700" w:type="dxa"/>
                  <w:noWrap/>
                  <w:vAlign w:val="center"/>
                </w:tcPr>
                <w:p w14:paraId="71F6F10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0</w:t>
                  </w:r>
                </w:p>
              </w:tc>
              <w:tc>
                <w:tcPr>
                  <w:tcW w:w="2728" w:type="dxa"/>
                  <w:noWrap/>
                  <w:vAlign w:val="center"/>
                </w:tcPr>
                <w:p w14:paraId="7A4A425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cs="Times New Roman"/>
                      <w:i w:val="0"/>
                      <w:iCs w:val="0"/>
                      <w:color w:val="auto"/>
                      <w:spacing w:val="-17"/>
                      <w:kern w:val="0"/>
                      <w:sz w:val="21"/>
                      <w:szCs w:val="21"/>
                      <w:highlight w:val="none"/>
                      <w:u w:val="none"/>
                      <w:lang w:val="en-US" w:eastAsia="zh-CN" w:bidi="ar"/>
                    </w:rPr>
                    <w:t>循环使用，不外排</w:t>
                  </w:r>
                </w:p>
              </w:tc>
            </w:tr>
            <w:tr w14:paraId="1E7800F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43" w:type="dxa"/>
                  <w:noWrap/>
                  <w:vAlign w:val="center"/>
                </w:tcPr>
                <w:p w14:paraId="674D002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合计</w:t>
                  </w:r>
                </w:p>
              </w:tc>
              <w:tc>
                <w:tcPr>
                  <w:tcW w:w="838" w:type="dxa"/>
                  <w:noWrap/>
                  <w:vAlign w:val="center"/>
                </w:tcPr>
                <w:p w14:paraId="7A9C5F7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eastAsia" w:ascii="Times New Roman" w:hAnsi="Times New Roman" w:eastAsia="宋体" w:cs="Times New Roman"/>
                      <w:i w:val="0"/>
                      <w:iCs w:val="0"/>
                      <w:color w:val="auto"/>
                      <w:spacing w:val="-17"/>
                      <w:kern w:val="0"/>
                      <w:sz w:val="21"/>
                      <w:szCs w:val="21"/>
                      <w:highlight w:val="none"/>
                      <w:u w:val="none"/>
                      <w:lang w:val="en-US" w:eastAsia="zh-CN" w:bidi="ar"/>
                    </w:rPr>
                    <w:t>609.733</w:t>
                  </w:r>
                </w:p>
              </w:tc>
              <w:tc>
                <w:tcPr>
                  <w:tcW w:w="642" w:type="dxa"/>
                  <w:noWrap/>
                  <w:vAlign w:val="center"/>
                </w:tcPr>
                <w:p w14:paraId="7175BBC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eastAsia" w:ascii="Times New Roman" w:hAnsi="Times New Roman" w:eastAsia="宋体" w:cs="Times New Roman"/>
                      <w:i w:val="0"/>
                      <w:iCs w:val="0"/>
                      <w:color w:val="auto"/>
                      <w:spacing w:val="-17"/>
                      <w:kern w:val="0"/>
                      <w:sz w:val="21"/>
                      <w:szCs w:val="21"/>
                      <w:highlight w:val="none"/>
                      <w:u w:val="none"/>
                      <w:lang w:val="en-US" w:eastAsia="zh-CN" w:bidi="ar"/>
                    </w:rPr>
                    <w:t>1.813</w:t>
                  </w:r>
                </w:p>
              </w:tc>
              <w:tc>
                <w:tcPr>
                  <w:tcW w:w="837" w:type="dxa"/>
                  <w:noWrap/>
                  <w:vAlign w:val="center"/>
                </w:tcPr>
                <w:p w14:paraId="02653CF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eastAsia" w:ascii="Times New Roman" w:hAnsi="Times New Roman" w:eastAsia="宋体" w:cs="Times New Roman"/>
                      <w:i w:val="0"/>
                      <w:iCs w:val="0"/>
                      <w:color w:val="auto"/>
                      <w:spacing w:val="-17"/>
                      <w:kern w:val="0"/>
                      <w:sz w:val="21"/>
                      <w:szCs w:val="21"/>
                      <w:highlight w:val="none"/>
                      <w:u w:val="none"/>
                      <w:lang w:val="en-US" w:eastAsia="zh-CN" w:bidi="ar"/>
                    </w:rPr>
                    <w:t>7.92</w:t>
                  </w:r>
                </w:p>
              </w:tc>
              <w:tc>
                <w:tcPr>
                  <w:tcW w:w="667" w:type="dxa"/>
                  <w:noWrap/>
                  <w:vAlign w:val="center"/>
                </w:tcPr>
                <w:p w14:paraId="2958744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eastAsia" w:ascii="Times New Roman" w:hAnsi="Times New Roman" w:eastAsia="宋体" w:cs="Times New Roman"/>
                      <w:i w:val="0"/>
                      <w:iCs w:val="0"/>
                      <w:color w:val="auto"/>
                      <w:spacing w:val="-17"/>
                      <w:kern w:val="0"/>
                      <w:sz w:val="21"/>
                      <w:szCs w:val="21"/>
                      <w:highlight w:val="none"/>
                      <w:u w:val="none"/>
                      <w:lang w:val="en-US" w:eastAsia="zh-CN" w:bidi="ar"/>
                    </w:rPr>
                    <w:t>600</w:t>
                  </w:r>
                </w:p>
              </w:tc>
              <w:tc>
                <w:tcPr>
                  <w:tcW w:w="723" w:type="dxa"/>
                  <w:noWrap/>
                  <w:vAlign w:val="center"/>
                </w:tcPr>
                <w:p w14:paraId="5E02B93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eastAsia" w:ascii="Times New Roman" w:hAnsi="Times New Roman" w:eastAsia="宋体" w:cs="Times New Roman"/>
                      <w:i w:val="0"/>
                      <w:iCs w:val="0"/>
                      <w:color w:val="auto"/>
                      <w:spacing w:val="-17"/>
                      <w:kern w:val="0"/>
                      <w:sz w:val="21"/>
                      <w:szCs w:val="21"/>
                      <w:highlight w:val="none"/>
                      <w:u w:val="none"/>
                      <w:lang w:val="en-US" w:eastAsia="zh-CN" w:bidi="ar"/>
                    </w:rPr>
                    <w:t>8.667</w:t>
                  </w:r>
                </w:p>
              </w:tc>
              <w:tc>
                <w:tcPr>
                  <w:tcW w:w="700" w:type="dxa"/>
                  <w:noWrap/>
                  <w:vAlign w:val="center"/>
                </w:tcPr>
                <w:p w14:paraId="3A8D595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eastAsia" w:ascii="Times New Roman" w:hAnsi="Times New Roman" w:eastAsia="宋体" w:cs="Times New Roman"/>
                      <w:i w:val="0"/>
                      <w:iCs w:val="0"/>
                      <w:color w:val="auto"/>
                      <w:spacing w:val="-17"/>
                      <w:kern w:val="0"/>
                      <w:sz w:val="21"/>
                      <w:szCs w:val="21"/>
                      <w:highlight w:val="none"/>
                      <w:u w:val="none"/>
                      <w:lang w:val="en-US" w:eastAsia="zh-CN" w:bidi="ar"/>
                    </w:rPr>
                    <w:t>1.06</w:t>
                  </w:r>
                  <w:r>
                    <w:rPr>
                      <w:rFonts w:hint="eastAsia" w:cs="Times New Roman"/>
                      <w:i w:val="0"/>
                      <w:iCs w:val="0"/>
                      <w:color w:val="auto"/>
                      <w:spacing w:val="-17"/>
                      <w:kern w:val="0"/>
                      <w:sz w:val="21"/>
                      <w:szCs w:val="21"/>
                      <w:highlight w:val="none"/>
                      <w:u w:val="none"/>
                      <w:lang w:val="en-US" w:eastAsia="zh-CN" w:bidi="ar"/>
                    </w:rPr>
                    <w:t>6</w:t>
                  </w:r>
                </w:p>
              </w:tc>
              <w:tc>
                <w:tcPr>
                  <w:tcW w:w="2728" w:type="dxa"/>
                  <w:noWrap/>
                  <w:vAlign w:val="center"/>
                </w:tcPr>
                <w:p w14:paraId="26C55C2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r>
          </w:tbl>
          <w:p w14:paraId="21F3BDCC">
            <w:pPr>
              <w:pStyle w:val="2"/>
              <w:ind w:left="0" w:leftChars="0" w:firstLine="0" w:firstLineChars="0"/>
              <w:rPr>
                <w:rFonts w:hint="default"/>
                <w:color w:val="auto"/>
                <w:highlight w:val="none"/>
                <w:lang w:val="en-US" w:eastAsia="zh-CN"/>
              </w:rPr>
            </w:pPr>
          </w:p>
          <w:p w14:paraId="792AC452">
            <w:pPr>
              <w:pStyle w:val="2"/>
              <w:ind w:left="0" w:leftChars="0" w:firstLine="0" w:firstLineChars="0"/>
              <w:rPr>
                <w:rFonts w:hint="default"/>
                <w:color w:val="auto"/>
                <w:highlight w:val="none"/>
                <w:lang w:val="en-US" w:eastAsia="zh-CN"/>
              </w:rPr>
            </w:pPr>
            <w:r>
              <w:rPr>
                <w:color w:val="auto"/>
                <w:sz w:val="21"/>
                <w:highlight w:val="none"/>
              </w:rPr>
              <mc:AlternateContent>
                <mc:Choice Requires="wpg">
                  <w:drawing>
                    <wp:anchor distT="0" distB="0" distL="114300" distR="114300" simplePos="0" relativeHeight="251694080" behindDoc="0" locked="0" layoutInCell="1" allowOverlap="1">
                      <wp:simplePos x="0" y="0"/>
                      <wp:positionH relativeFrom="column">
                        <wp:posOffset>177800</wp:posOffset>
                      </wp:positionH>
                      <wp:positionV relativeFrom="paragraph">
                        <wp:posOffset>182245</wp:posOffset>
                      </wp:positionV>
                      <wp:extent cx="4220210" cy="1642110"/>
                      <wp:effectExtent l="0" t="0" r="0" b="0"/>
                      <wp:wrapNone/>
                      <wp:docPr id="35" name="组合 35"/>
                      <wp:cNvGraphicFramePr/>
                      <a:graphic xmlns:a="http://schemas.openxmlformats.org/drawingml/2006/main">
                        <a:graphicData uri="http://schemas.microsoft.com/office/word/2010/wordprocessingGroup">
                          <wpg:wgp>
                            <wpg:cNvGrpSpPr/>
                            <wpg:grpSpPr>
                              <a:xfrm rot="0">
                                <a:off x="0" y="0"/>
                                <a:ext cx="4220210" cy="1642110"/>
                                <a:chOff x="1634" y="589101"/>
                                <a:chExt cx="6646" cy="2586"/>
                              </a:xfrm>
                              <a:effectLst/>
                            </wpg:grpSpPr>
                            <wps:wsp>
                              <wps:cNvPr id="36" name="直接箭头连接符 10"/>
                              <wps:cNvCnPr>
                                <a:endCxn id="1073743910" idx="1"/>
                              </wps:cNvCnPr>
                              <wps:spPr>
                                <a:xfrm>
                                  <a:off x="2572" y="589750"/>
                                  <a:ext cx="1413" cy="0"/>
                                </a:xfrm>
                                <a:prstGeom prst="straightConnector1">
                                  <a:avLst/>
                                </a:prstGeom>
                                <a:noFill/>
                                <a:ln w="9525" cap="flat" cmpd="sng" algn="ctr">
                                  <a:solidFill>
                                    <a:srgbClr val="000000"/>
                                  </a:solidFill>
                                  <a:prstDash val="solid"/>
                                  <a:tailEnd type="arrow"/>
                                </a:ln>
                                <a:effectLst/>
                              </wps:spPr>
                              <wps:bodyPr/>
                            </wps:wsp>
                            <wps:wsp>
                              <wps:cNvPr id="39" name="文本框 11"/>
                              <wps:cNvSpPr txBox="1"/>
                              <wps:spPr>
                                <a:xfrm>
                                  <a:off x="4007" y="589544"/>
                                  <a:ext cx="1152" cy="446"/>
                                </a:xfrm>
                                <a:prstGeom prst="rect">
                                  <a:avLst/>
                                </a:prstGeom>
                                <a:solidFill>
                                  <a:srgbClr val="FFFFFF"/>
                                </a:solidFill>
                                <a:ln w="6350">
                                  <a:solidFill>
                                    <a:prstClr val="black"/>
                                  </a:solidFill>
                                </a:ln>
                                <a:effectLst/>
                              </wps:spPr>
                              <wps:txbx>
                                <w:txbxContent>
                                  <w:p w14:paraId="6FF94EF1">
                                    <w:pPr>
                                      <w:rPr>
                                        <w:rFonts w:hint="default" w:eastAsia="宋体"/>
                                        <w:lang w:val="en-US" w:eastAsia="zh-CN"/>
                                      </w:rPr>
                                    </w:pPr>
                                    <w:r>
                                      <w:rPr>
                                        <w:rFonts w:hint="eastAsia"/>
                                        <w:lang w:val="en-US" w:eastAsia="zh-CN"/>
                                      </w:rPr>
                                      <w:t>生活用水</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1" name="直接箭头连接符 12"/>
                              <wps:cNvCnPr>
                                <a:endCxn id="1073743910" idx="1"/>
                              </wps:cNvCnPr>
                              <wps:spPr>
                                <a:xfrm>
                                  <a:off x="5192" y="589761"/>
                                  <a:ext cx="817" cy="0"/>
                                </a:xfrm>
                                <a:prstGeom prst="straightConnector1">
                                  <a:avLst/>
                                </a:prstGeom>
                                <a:noFill/>
                                <a:ln w="9525" cap="flat" cmpd="sng" algn="ctr">
                                  <a:solidFill>
                                    <a:srgbClr val="000000"/>
                                  </a:solidFill>
                                  <a:prstDash val="solid"/>
                                  <a:tailEnd type="arrow"/>
                                </a:ln>
                                <a:effectLst/>
                              </wps:spPr>
                              <wps:bodyPr/>
                            </wps:wsp>
                            <wps:wsp>
                              <wps:cNvPr id="42" name="文本框 15"/>
                              <wps:cNvSpPr txBox="1"/>
                              <wps:spPr>
                                <a:xfrm>
                                  <a:off x="1634" y="590507"/>
                                  <a:ext cx="1108" cy="446"/>
                                </a:xfrm>
                                <a:prstGeom prst="rect">
                                  <a:avLst/>
                                </a:prstGeom>
                                <a:noFill/>
                                <a:ln w="6350">
                                  <a:noFill/>
                                </a:ln>
                                <a:effectLst/>
                              </wps:spPr>
                              <wps:txbx>
                                <w:txbxContent>
                                  <w:p w14:paraId="2AB581C2">
                                    <w:pPr>
                                      <w:rPr>
                                        <w:rFonts w:hint="eastAsia" w:eastAsia="宋体"/>
                                        <w:lang w:val="en-US" w:eastAsia="zh-CN"/>
                                      </w:rPr>
                                    </w:pPr>
                                    <w:r>
                                      <w:rPr>
                                        <w:rFonts w:hint="eastAsia"/>
                                        <w:lang w:val="en-US" w:eastAsia="zh-CN"/>
                                      </w:rPr>
                                      <w:t>新鲜水</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3" name="文本框 17"/>
                              <wps:cNvSpPr txBox="1"/>
                              <wps:spPr>
                                <a:xfrm>
                                  <a:off x="5242" y="589326"/>
                                  <a:ext cx="782" cy="378"/>
                                </a:xfrm>
                                <a:prstGeom prst="rect">
                                  <a:avLst/>
                                </a:prstGeom>
                                <a:noFill/>
                                <a:ln w="6350">
                                  <a:noFill/>
                                </a:ln>
                                <a:effectLst/>
                              </wps:spPr>
                              <wps:txbx>
                                <w:txbxContent>
                                  <w:p w14:paraId="151CC5F2">
                                    <w:pPr>
                                      <w:rPr>
                                        <w:rFonts w:hint="default" w:eastAsia="宋体"/>
                                        <w:color w:val="auto"/>
                                        <w:lang w:val="en-US" w:eastAsia="zh-CN"/>
                                      </w:rPr>
                                    </w:pPr>
                                    <w:r>
                                      <w:rPr>
                                        <w:rFonts w:hint="eastAsia"/>
                                        <w:color w:val="auto"/>
                                        <w:lang w:val="en-US" w:eastAsia="zh-CN"/>
                                      </w:rPr>
                                      <w:t>1.066</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4" name="直接箭头连接符 86"/>
                              <wps:cNvCnPr>
                                <a:endCxn id="1073743910" idx="1"/>
                              </wps:cNvCnPr>
                              <wps:spPr>
                                <a:xfrm flipV="1">
                                  <a:off x="4513" y="589289"/>
                                  <a:ext cx="554" cy="250"/>
                                </a:xfrm>
                                <a:prstGeom prst="straightConnector1">
                                  <a:avLst/>
                                </a:prstGeom>
                                <a:noFill/>
                                <a:ln w="9525" cap="flat" cmpd="sng" algn="ctr">
                                  <a:solidFill>
                                    <a:srgbClr val="000000"/>
                                  </a:solidFill>
                                  <a:prstDash val="dash"/>
                                  <a:tailEnd type="arrow"/>
                                </a:ln>
                                <a:effectLst/>
                              </wps:spPr>
                              <wps:bodyPr/>
                            </wps:wsp>
                            <wps:wsp>
                              <wps:cNvPr id="45" name="文本框 87"/>
                              <wps:cNvSpPr txBox="1"/>
                              <wps:spPr>
                                <a:xfrm>
                                  <a:off x="4009" y="589101"/>
                                  <a:ext cx="1108" cy="446"/>
                                </a:xfrm>
                                <a:prstGeom prst="rect">
                                  <a:avLst/>
                                </a:prstGeom>
                                <a:noFill/>
                                <a:ln w="6350">
                                  <a:noFill/>
                                </a:ln>
                                <a:effectLst/>
                              </wps:spPr>
                              <wps:txbx>
                                <w:txbxContent>
                                  <w:p w14:paraId="5601FBE2">
                                    <w:pPr>
                                      <w:rPr>
                                        <w:rFonts w:hint="default" w:eastAsia="宋体"/>
                                        <w:highlight w:val="none"/>
                                        <w:lang w:val="en-US" w:eastAsia="zh-CN"/>
                                      </w:rPr>
                                    </w:pPr>
                                    <w:r>
                                      <w:rPr>
                                        <w:rFonts w:hint="eastAsia"/>
                                        <w:highlight w:val="none"/>
                                        <w:lang w:val="en-US" w:eastAsia="zh-CN"/>
                                      </w:rPr>
                                      <w:t>0.267</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6" name="文本框 4"/>
                              <wps:cNvSpPr txBox="1"/>
                              <wps:spPr>
                                <a:xfrm>
                                  <a:off x="2606" y="591227"/>
                                  <a:ext cx="1446" cy="460"/>
                                </a:xfrm>
                                <a:prstGeom prst="rect">
                                  <a:avLst/>
                                </a:prstGeom>
                                <a:noFill/>
                                <a:ln w="6350">
                                  <a:noFill/>
                                </a:ln>
                                <a:effectLst/>
                              </wps:spPr>
                              <wps:txbx>
                                <w:txbxContent>
                                  <w:p w14:paraId="1C66E0AC">
                                    <w:pPr>
                                      <w:rPr>
                                        <w:rFonts w:hint="default" w:eastAsia="宋体"/>
                                        <w:lang w:val="en-US" w:eastAsia="zh-CN"/>
                                      </w:rPr>
                                    </w:pPr>
                                    <w:r>
                                      <w:rPr>
                                        <w:rFonts w:hint="eastAsia" w:eastAsia="宋体"/>
                                        <w:lang w:val="en-US" w:eastAsia="zh-CN"/>
                                      </w:rPr>
                                      <w:t>蒸汽</w:t>
                                    </w:r>
                                    <w:r>
                                      <w:rPr>
                                        <w:rFonts w:hint="eastAsia"/>
                                        <w:lang w:val="en-US" w:eastAsia="zh-CN"/>
                                      </w:rPr>
                                      <w:t>冷凝水</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0" name="文本框 28"/>
                              <wps:cNvSpPr txBox="1"/>
                              <wps:spPr>
                                <a:xfrm>
                                  <a:off x="6033" y="589278"/>
                                  <a:ext cx="2247" cy="943"/>
                                </a:xfrm>
                                <a:prstGeom prst="rect">
                                  <a:avLst/>
                                </a:prstGeom>
                                <a:noFill/>
                                <a:ln w="6350">
                                  <a:noFill/>
                                </a:ln>
                                <a:effectLst/>
                              </wps:spPr>
                              <wps:txbx>
                                <w:txbxContent>
                                  <w:p w14:paraId="401A4B74">
                                    <w:pPr>
                                      <w:rPr>
                                        <w:rFonts w:hint="default"/>
                                        <w:lang w:val="en-US" w:eastAsia="zh-CN"/>
                                      </w:rPr>
                                    </w:pPr>
                                    <w:r>
                                      <w:rPr>
                                        <w:rFonts w:hint="eastAsia" w:ascii="Times New Roman" w:hAnsi="Times New Roman" w:eastAsia="宋体" w:cs="Times New Roman"/>
                                        <w:color w:val="auto"/>
                                        <w:highlight w:val="none"/>
                                        <w:lang w:val="en-US" w:eastAsia="zh-CN"/>
                                      </w:rPr>
                                      <w:t>盥洗废水泼洒抑尘、</w:t>
                                    </w:r>
                                    <w:r>
                                      <w:rPr>
                                        <w:rFonts w:ascii="Times New Roman" w:hAnsi="Times New Roman" w:eastAsia="宋体" w:cs="Times New Roman"/>
                                        <w:color w:val="auto"/>
                                        <w:highlight w:val="none"/>
                                      </w:rPr>
                                      <w:t>厂区设防渗旱厕，定期清掏</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7" name="直接箭头连接符 8"/>
                              <wps:cNvCnPr>
                                <a:endCxn id="1073743910" idx="1"/>
                              </wps:cNvCnPr>
                              <wps:spPr>
                                <a:xfrm>
                                  <a:off x="3006" y="591176"/>
                                  <a:ext cx="1073" cy="0"/>
                                </a:xfrm>
                                <a:prstGeom prst="straightConnector1">
                                  <a:avLst/>
                                </a:prstGeom>
                                <a:noFill/>
                                <a:ln w="9525" cap="flat" cmpd="sng" algn="ctr">
                                  <a:solidFill>
                                    <a:srgbClr val="000000"/>
                                  </a:solidFill>
                                  <a:prstDash val="solid"/>
                                  <a:tailEnd type="arrow"/>
                                </a:ln>
                                <a:effectLst/>
                              </wps:spPr>
                              <wps:bodyPr/>
                            </wps:wsp>
                            <wps:wsp>
                              <wps:cNvPr id="62" name="直接箭头连接符 20"/>
                              <wps:cNvCnPr>
                                <a:endCxn id="1073743910" idx="1"/>
                              </wps:cNvCnPr>
                              <wps:spPr>
                                <a:xfrm>
                                  <a:off x="2622" y="590919"/>
                                  <a:ext cx="1477" cy="0"/>
                                </a:xfrm>
                                <a:prstGeom prst="straightConnector1">
                                  <a:avLst/>
                                </a:prstGeom>
                                <a:noFill/>
                                <a:ln w="9525" cap="flat" cmpd="sng" algn="ctr">
                                  <a:solidFill>
                                    <a:srgbClr val="000000"/>
                                  </a:solidFill>
                                  <a:prstDash val="solid"/>
                                  <a:tailEnd type="arrow"/>
                                </a:ln>
                                <a:effectLst/>
                              </wps:spPr>
                              <wps:bodyPr/>
                            </wps:wsp>
                            <wpg:grpSp>
                              <wpg:cNvPr id="63" name="组合 21"/>
                              <wpg:cNvGrpSpPr/>
                              <wpg:grpSpPr>
                                <a:xfrm>
                                  <a:off x="3185" y="590393"/>
                                  <a:ext cx="2888" cy="1096"/>
                                  <a:chOff x="3521" y="590430"/>
                                  <a:chExt cx="2888" cy="1096"/>
                                </a:xfrm>
                                <a:effectLst/>
                              </wpg:grpSpPr>
                              <wps:wsp>
                                <wps:cNvPr id="66" name="文本框 5"/>
                                <wps:cNvSpPr txBox="1"/>
                                <wps:spPr>
                                  <a:xfrm>
                                    <a:off x="4419" y="590868"/>
                                    <a:ext cx="1152" cy="446"/>
                                  </a:xfrm>
                                  <a:prstGeom prst="rect">
                                    <a:avLst/>
                                  </a:prstGeom>
                                  <a:solidFill>
                                    <a:srgbClr val="FFFFFF"/>
                                  </a:solidFill>
                                  <a:ln w="6350">
                                    <a:solidFill>
                                      <a:prstClr val="black"/>
                                    </a:solidFill>
                                  </a:ln>
                                  <a:effectLst/>
                                </wps:spPr>
                                <wps:txbx>
                                  <w:txbxContent>
                                    <w:p w14:paraId="0B64009C">
                                      <w:pPr>
                                        <w:rPr>
                                          <w:rFonts w:hint="default" w:eastAsia="宋体"/>
                                          <w:lang w:val="en-US" w:eastAsia="zh-CN"/>
                                        </w:rPr>
                                      </w:pPr>
                                      <w:r>
                                        <w:rPr>
                                          <w:rFonts w:hint="eastAsia"/>
                                          <w:lang w:val="en-US" w:eastAsia="zh-CN"/>
                                        </w:rPr>
                                        <w:t>冷却塔</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7" name="直接箭头连接符 9"/>
                                <wps:cNvCnPr>
                                  <a:endCxn id="1073743910" idx="1"/>
                                </wps:cNvCnPr>
                                <wps:spPr>
                                  <a:xfrm>
                                    <a:off x="5601" y="591125"/>
                                    <a:ext cx="698" cy="0"/>
                                  </a:xfrm>
                                  <a:prstGeom prst="straightConnector1">
                                    <a:avLst/>
                                  </a:prstGeom>
                                  <a:noFill/>
                                  <a:ln w="9525" cap="flat" cmpd="sng" algn="ctr">
                                    <a:solidFill>
                                      <a:srgbClr val="000000"/>
                                    </a:solidFill>
                                    <a:prstDash val="solid"/>
                                    <a:tailEnd type="none"/>
                                  </a:ln>
                                  <a:effectLst/>
                                </wps:spPr>
                                <wps:bodyPr/>
                              </wps:wsp>
                              <wps:wsp>
                                <wps:cNvPr id="72" name="直接连接符 22"/>
                                <wps:cNvCnPr>
                                  <a:endCxn id="1073743910" idx="1"/>
                                </wps:cNvCnPr>
                                <wps:spPr>
                                  <a:xfrm>
                                    <a:off x="6289" y="591137"/>
                                    <a:ext cx="0" cy="362"/>
                                  </a:xfrm>
                                  <a:prstGeom prst="line">
                                    <a:avLst/>
                                  </a:prstGeom>
                                  <a:noFill/>
                                  <a:ln w="12700" cap="flat" cmpd="sng" algn="ctr">
                                    <a:solidFill>
                                      <a:srgbClr val="000000"/>
                                    </a:solidFill>
                                    <a:prstDash val="solid"/>
                                  </a:ln>
                                  <a:effectLst/>
                                </wps:spPr>
                                <wps:bodyPr/>
                              </wps:wsp>
                              <wps:wsp>
                                <wps:cNvPr id="73" name="直接箭头连接符 36"/>
                                <wps:cNvCnPr>
                                  <a:endCxn id="1073743910" idx="1"/>
                                </wps:cNvCnPr>
                                <wps:spPr>
                                  <a:xfrm flipV="1">
                                    <a:off x="5016" y="591280"/>
                                    <a:ext cx="0" cy="246"/>
                                  </a:xfrm>
                                  <a:prstGeom prst="straightConnector1">
                                    <a:avLst/>
                                  </a:prstGeom>
                                  <a:noFill/>
                                  <a:ln w="12700" cap="flat" cmpd="sng" algn="ctr">
                                    <a:solidFill>
                                      <a:srgbClr val="000000"/>
                                    </a:solidFill>
                                    <a:prstDash val="solid"/>
                                    <a:tailEnd type="arrow"/>
                                  </a:ln>
                                  <a:effectLst/>
                                </wps:spPr>
                                <wps:bodyPr/>
                              </wps:wsp>
                              <wps:wsp>
                                <wps:cNvPr id="75" name="直接连接符 41"/>
                                <wps:cNvCnPr>
                                  <a:endCxn id="1073743910" idx="1"/>
                                </wps:cNvCnPr>
                                <wps:spPr>
                                  <a:xfrm flipH="1">
                                    <a:off x="4983" y="591507"/>
                                    <a:ext cx="1293" cy="1"/>
                                  </a:xfrm>
                                  <a:prstGeom prst="line">
                                    <a:avLst/>
                                  </a:prstGeom>
                                  <a:noFill/>
                                  <a:ln w="9525" cap="flat" cmpd="sng" algn="ctr">
                                    <a:solidFill>
                                      <a:srgbClr val="000000"/>
                                    </a:solidFill>
                                    <a:prstDash val="solid"/>
                                  </a:ln>
                                  <a:effectLst/>
                                </wps:spPr>
                                <wps:bodyPr/>
                              </wps:wsp>
                              <wps:wsp>
                                <wps:cNvPr id="79" name="文本框 43"/>
                                <wps:cNvSpPr txBox="1"/>
                                <wps:spPr>
                                  <a:xfrm>
                                    <a:off x="5673" y="590784"/>
                                    <a:ext cx="736" cy="446"/>
                                  </a:xfrm>
                                  <a:prstGeom prst="rect">
                                    <a:avLst/>
                                  </a:prstGeom>
                                  <a:noFill/>
                                  <a:ln w="6350">
                                    <a:noFill/>
                                  </a:ln>
                                  <a:effectLst/>
                                </wps:spPr>
                                <wps:txbx>
                                  <w:txbxContent>
                                    <w:p w14:paraId="5588FAEA">
                                      <w:pPr>
                                        <w:rPr>
                                          <w:rFonts w:hint="default" w:eastAsia="宋体"/>
                                          <w:highlight w:val="none"/>
                                          <w:lang w:val="en-US" w:eastAsia="zh-CN"/>
                                        </w:rPr>
                                      </w:pPr>
                                      <w:r>
                                        <w:rPr>
                                          <w:rFonts w:hint="eastAsia"/>
                                          <w:highlight w:val="none"/>
                                          <w:lang w:val="en-US" w:eastAsia="zh-CN"/>
                                        </w:rPr>
                                        <w:t>600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0" name="文本框 29"/>
                                <wps:cNvSpPr txBox="1"/>
                                <wps:spPr>
                                  <a:xfrm>
                                    <a:off x="4189" y="590430"/>
                                    <a:ext cx="1084" cy="446"/>
                                  </a:xfrm>
                                  <a:prstGeom prst="rect">
                                    <a:avLst/>
                                  </a:prstGeom>
                                  <a:noFill/>
                                  <a:ln w="6350">
                                    <a:noFill/>
                                  </a:ln>
                                  <a:effectLst/>
                                </wps:spPr>
                                <wps:txbx>
                                  <w:txbxContent>
                                    <w:p w14:paraId="65A07538">
                                      <w:pPr>
                                        <w:rPr>
                                          <w:rFonts w:hint="default" w:eastAsia="宋体"/>
                                          <w:lang w:val="en-US" w:eastAsia="zh-CN"/>
                                        </w:rPr>
                                      </w:pPr>
                                      <w:r>
                                        <w:rPr>
                                          <w:rFonts w:hint="eastAsia"/>
                                          <w:lang w:val="en-US" w:eastAsia="zh-CN"/>
                                        </w:rPr>
                                        <w:t>84</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2" name="直接箭头连接符 58"/>
                                <wps:cNvCnPr>
                                  <a:endCxn id="1073743910" idx="1"/>
                                </wps:cNvCnPr>
                                <wps:spPr>
                                  <a:xfrm flipV="1">
                                    <a:off x="4653" y="590630"/>
                                    <a:ext cx="554" cy="250"/>
                                  </a:xfrm>
                                  <a:prstGeom prst="straightConnector1">
                                    <a:avLst/>
                                  </a:prstGeom>
                                  <a:noFill/>
                                  <a:ln w="9525" cap="flat" cmpd="sng" algn="ctr">
                                    <a:solidFill>
                                      <a:srgbClr val="000000"/>
                                    </a:solidFill>
                                    <a:prstDash val="dash"/>
                                    <a:tailEnd type="arrow"/>
                                  </a:ln>
                                  <a:effectLst/>
                                </wps:spPr>
                                <wps:bodyPr/>
                              </wps:wsp>
                              <wps:wsp>
                                <wps:cNvPr id="83" name="文本框 188"/>
                                <wps:cNvSpPr txBox="1"/>
                                <wps:spPr>
                                  <a:xfrm>
                                    <a:off x="3521" y="590922"/>
                                    <a:ext cx="749" cy="446"/>
                                  </a:xfrm>
                                  <a:prstGeom prst="rect">
                                    <a:avLst/>
                                  </a:prstGeom>
                                  <a:noFill/>
                                  <a:ln w="6350">
                                    <a:noFill/>
                                  </a:ln>
                                  <a:effectLst/>
                                </wps:spPr>
                                <wps:txbx>
                                  <w:txbxContent>
                                    <w:p w14:paraId="39B9A19C">
                                      <w:pPr>
                                        <w:rPr>
                                          <w:rFonts w:hint="default" w:eastAsia="宋体"/>
                                          <w:lang w:val="en-US" w:eastAsia="zh-CN"/>
                                        </w:rPr>
                                      </w:pPr>
                                      <w:r>
                                        <w:rPr>
                                          <w:rFonts w:hint="eastAsia"/>
                                          <w:lang w:val="en-US" w:eastAsia="zh-CN"/>
                                        </w:rPr>
                                        <w:t>7.92</w:t>
                                      </w:r>
                                    </w:p>
                                  </w:txbxContent>
                                </wps:txbx>
                                <wps:bodyPr rot="0" spcFirstLastPara="0" vertOverflow="overflow" horzOverflow="overflow" vert="horz" wrap="square" lIns="91440" tIns="45720" rIns="91440" bIns="45720" numCol="1" spcCol="0" rtlCol="0" fromWordArt="0" anchor="t" anchorCtr="0" forceAA="0" compatLnSpc="1">
                                  <a:noAutofit/>
                                </wps:bodyPr>
                              </wps:wsp>
                            </wpg:grpSp>
                            <wps:wsp>
                              <wps:cNvPr id="84" name="直接连接符 23"/>
                              <wps:cNvCnPr>
                                <a:endCxn id="1073743910" idx="1"/>
                              </wps:cNvCnPr>
                              <wps:spPr>
                                <a:xfrm flipH="1">
                                  <a:off x="2573" y="589752"/>
                                  <a:ext cx="8" cy="1146"/>
                                </a:xfrm>
                                <a:prstGeom prst="line">
                                  <a:avLst/>
                                </a:prstGeom>
                                <a:noFill/>
                                <a:ln w="12700" cap="flat" cmpd="sng" algn="ctr">
                                  <a:solidFill>
                                    <a:srgbClr val="000000"/>
                                  </a:solidFill>
                                  <a:prstDash val="solid"/>
                                </a:ln>
                                <a:effectLst/>
                              </wps:spPr>
                              <wps:bodyPr/>
                            </wps:wsp>
                            <wps:wsp>
                              <wps:cNvPr id="85" name="直接箭头连接符 47"/>
                              <wps:cNvCnPr>
                                <a:endCxn id="1073743910" idx="1"/>
                              </wps:cNvCnPr>
                              <wps:spPr>
                                <a:xfrm>
                                  <a:off x="1718" y="590390"/>
                                  <a:ext cx="858" cy="0"/>
                                </a:xfrm>
                                <a:prstGeom prst="straightConnector1">
                                  <a:avLst/>
                                </a:prstGeom>
                                <a:noFill/>
                                <a:ln w="9525" cap="flat" cmpd="sng" algn="ctr">
                                  <a:solidFill>
                                    <a:srgbClr val="000000"/>
                                  </a:solidFill>
                                  <a:prstDash val="solid"/>
                                  <a:tailEnd type="arrow"/>
                                </a:ln>
                                <a:effectLst/>
                              </wps:spPr>
                              <wps:bodyPr/>
                            </wps:wsp>
                            <wps:wsp>
                              <wps:cNvPr id="88" name="文本框 48"/>
                              <wps:cNvSpPr txBox="1"/>
                              <wps:spPr>
                                <a:xfrm>
                                  <a:off x="2788" y="589409"/>
                                  <a:ext cx="944" cy="446"/>
                                </a:xfrm>
                                <a:prstGeom prst="rect">
                                  <a:avLst/>
                                </a:prstGeom>
                                <a:noFill/>
                                <a:ln w="6350">
                                  <a:noFill/>
                                </a:ln>
                                <a:effectLst/>
                              </wps:spPr>
                              <wps:txbx>
                                <w:txbxContent>
                                  <w:p w14:paraId="74211EBA">
                                    <w:pPr>
                                      <w:rPr>
                                        <w:rFonts w:hint="default" w:eastAsia="宋体"/>
                                        <w:highlight w:val="none"/>
                                        <w:lang w:val="en-US" w:eastAsia="zh-CN"/>
                                      </w:rPr>
                                    </w:pPr>
                                    <w:r>
                                      <w:rPr>
                                        <w:rFonts w:hint="eastAsia"/>
                                        <w:highlight w:val="none"/>
                                        <w:lang w:val="en-US" w:eastAsia="zh-CN"/>
                                      </w:rPr>
                                      <w:t>1.333</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9" name="文本框 51"/>
                              <wps:cNvSpPr txBox="1"/>
                              <wps:spPr>
                                <a:xfrm>
                                  <a:off x="2989" y="590542"/>
                                  <a:ext cx="834" cy="381"/>
                                </a:xfrm>
                                <a:prstGeom prst="rect">
                                  <a:avLst/>
                                </a:prstGeom>
                                <a:noFill/>
                                <a:ln w="6350">
                                  <a:noFill/>
                                </a:ln>
                                <a:effectLst/>
                              </wps:spPr>
                              <wps:txbx>
                                <w:txbxContent>
                                  <w:p w14:paraId="77BF8C90">
                                    <w:pPr>
                                      <w:rPr>
                                        <w:rFonts w:hint="default" w:eastAsia="宋体"/>
                                        <w:highlight w:val="none"/>
                                        <w:lang w:val="en-US" w:eastAsia="zh-CN"/>
                                      </w:rPr>
                                    </w:pPr>
                                    <w:r>
                                      <w:rPr>
                                        <w:rFonts w:hint="eastAsia"/>
                                        <w:highlight w:val="none"/>
                                        <w:lang w:val="en-US" w:eastAsia="zh-CN"/>
                                      </w:rPr>
                                      <w:t>0.48</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90" name="文本框 52"/>
                              <wps:cNvSpPr txBox="1"/>
                              <wps:spPr>
                                <a:xfrm>
                                  <a:off x="1738" y="590023"/>
                                  <a:ext cx="880" cy="446"/>
                                </a:xfrm>
                                <a:prstGeom prst="rect">
                                  <a:avLst/>
                                </a:prstGeom>
                                <a:noFill/>
                                <a:ln w="6350">
                                  <a:noFill/>
                                </a:ln>
                                <a:effectLst/>
                              </wps:spPr>
                              <wps:txbx>
                                <w:txbxContent>
                                  <w:p w14:paraId="2E450DC0">
                                    <w:pPr>
                                      <w:rPr>
                                        <w:rFonts w:hint="default" w:eastAsia="宋体"/>
                                        <w:highlight w:val="none"/>
                                        <w:lang w:val="en-US" w:eastAsia="zh-CN"/>
                                      </w:rPr>
                                    </w:pPr>
                                    <w:r>
                                      <w:rPr>
                                        <w:rFonts w:hint="eastAsia"/>
                                        <w:highlight w:val="none"/>
                                        <w:lang w:val="en-US" w:eastAsia="zh-CN"/>
                                      </w:rPr>
                                      <w:t>1.813</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14pt;margin-top:14.35pt;height:129.3pt;width:332.3pt;z-index:251694080;mso-width-relative:page;mso-height-relative:page;" coordorigin="1634,589101" coordsize="6646,2586" o:gfxdata="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">
                      <o:lock v:ext="edit" aspectratio="f"/>
                      <v:shape id="直接箭头连接符 10" o:spid="_x0000_s1026" o:spt="32" type="#_x0000_t32" style="position:absolute;left:2572;top:589750;height:0;width:1413;" filled="f" stroked="t" coordsize="21600,21600" o:gfxdata="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Lye68AAAA&#10;2w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shape>
                      <v:shape id="文本框 11" o:spid="_x0000_s1026" o:spt="202" type="#_x0000_t202" style="position:absolute;left:4007;top:589544;height:446;width:1152;" fillcolor="#FFFFFF" filled="t" stroked="t" coordsize="21600,21600" o:gfxdata="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me3fbtwAAANsAAAAP&#10;AAAAAAAAAAEAIAAAACIAAABkcnMvZG93bnJldi54bWxQSwECFAAUAAAACACHTuJAMy8FnjsAAAA5&#10;AAAAEAAAAAAAAAABACAAAAAGAQAAZHJzL3NoYXBleG1sLnhtbFBLBQYAAAAABgAGAFsBAACwAwAA&#10;AAA=&#10;">
                        <v:fill on="t" focussize="0,0"/>
                        <v:stroke weight="0.5pt" color="#000000" joinstyle="round"/>
                        <v:imagedata o:title=""/>
                        <o:lock v:ext="edit" aspectratio="f"/>
                        <v:textbox>
                          <w:txbxContent>
                            <w:p w14:paraId="6FF94EF1">
                              <w:pPr>
                                <w:rPr>
                                  <w:rFonts w:hint="default" w:eastAsia="宋体"/>
                                  <w:lang w:val="en-US" w:eastAsia="zh-CN"/>
                                </w:rPr>
                              </w:pPr>
                              <w:r>
                                <w:rPr>
                                  <w:rFonts w:hint="eastAsia"/>
                                  <w:lang w:val="en-US" w:eastAsia="zh-CN"/>
                                </w:rPr>
                                <w:t>生活用水</w:t>
                              </w:r>
                            </w:p>
                          </w:txbxContent>
                        </v:textbox>
                      </v:shape>
                      <v:shape id="直接箭头连接符 12" o:spid="_x0000_s1026" o:spt="32" type="#_x0000_t32" style="position:absolute;left:5192;top:589761;height:0;width:817;" filled="f" stroked="t" coordsize="21600,21600" o:gfxdata="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CkIue8AAAA&#10;2w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shape>
                      <v:shape id="文本框 15" o:spid="_x0000_s1026" o:spt="202" type="#_x0000_t202" style="position:absolute;left:1634;top:590507;height:446;width:1108;" filled="f" stroked="f" coordsize="21600,21600" o:gfxdata="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wldc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2AB581C2">
                              <w:pPr>
                                <w:rPr>
                                  <w:rFonts w:hint="eastAsia" w:eastAsia="宋体"/>
                                  <w:lang w:val="en-US" w:eastAsia="zh-CN"/>
                                </w:rPr>
                              </w:pPr>
                              <w:r>
                                <w:rPr>
                                  <w:rFonts w:hint="eastAsia"/>
                                  <w:lang w:val="en-US" w:eastAsia="zh-CN"/>
                                </w:rPr>
                                <w:t>新鲜水</w:t>
                              </w:r>
                            </w:p>
                          </w:txbxContent>
                        </v:textbox>
                      </v:shape>
                      <v:shape id="文本框 17" o:spid="_x0000_s1026" o:spt="202" type="#_x0000_t202" style="position:absolute;left:5242;top:589326;height:378;width:782;" filled="f" stroked="f" coordsize="21600,21600" o:gfxdata="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EX46r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151CC5F2">
                              <w:pPr>
                                <w:rPr>
                                  <w:rFonts w:hint="default" w:eastAsia="宋体"/>
                                  <w:color w:val="auto"/>
                                  <w:lang w:val="en-US" w:eastAsia="zh-CN"/>
                                </w:rPr>
                              </w:pPr>
                              <w:r>
                                <w:rPr>
                                  <w:rFonts w:hint="eastAsia"/>
                                  <w:color w:val="auto"/>
                                  <w:lang w:val="en-US" w:eastAsia="zh-CN"/>
                                </w:rPr>
                                <w:t>1.066</w:t>
                              </w:r>
                            </w:p>
                          </w:txbxContent>
                        </v:textbox>
                      </v:shape>
                      <v:shape id="直接箭头连接符 86" o:spid="_x0000_s1026" o:spt="32" type="#_x0000_t32" style="position:absolute;left:4513;top:589289;flip:y;height:250;width:554;" filled="f" stroked="t" coordsize="21600,21600" o:gfxdata="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WguUvQAA&#10;ANsAAAAPAAAAAAAAAAEAIAAAACIAAABkcnMvZG93bnJldi54bWxQSwECFAAUAAAACACHTuJAMy8F&#10;njsAAAA5AAAAEAAAAAAAAAABACAAAAAMAQAAZHJzL3NoYXBleG1sLnhtbFBLBQYAAAAABgAGAFsB&#10;AAC2AwAAAAA=&#10;">
                        <v:fill on="f" focussize="0,0"/>
                        <v:stroke color="#000000" joinstyle="round" dashstyle="dash" endarrow="open"/>
                        <v:imagedata o:title=""/>
                        <o:lock v:ext="edit" aspectratio="f"/>
                      </v:shape>
                      <v:shape id="文本框 87" o:spid="_x0000_s1026" o:spt="202" type="#_x0000_t202" style="position:absolute;left:4009;top:589101;height:446;width:1108;" filled="f" stroked="f" coordsize="21600,21600" o:gfxdata="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jgxQW/&#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5601FBE2">
                              <w:pPr>
                                <w:rPr>
                                  <w:rFonts w:hint="default" w:eastAsia="宋体"/>
                                  <w:highlight w:val="none"/>
                                  <w:lang w:val="en-US" w:eastAsia="zh-CN"/>
                                </w:rPr>
                              </w:pPr>
                              <w:r>
                                <w:rPr>
                                  <w:rFonts w:hint="eastAsia"/>
                                  <w:highlight w:val="none"/>
                                  <w:lang w:val="en-US" w:eastAsia="zh-CN"/>
                                </w:rPr>
                                <w:t>0.267</w:t>
                              </w:r>
                            </w:p>
                          </w:txbxContent>
                        </v:textbox>
                      </v:shape>
                      <v:shape id="文本框 4" o:spid="_x0000_s1026" o:spt="202" type="#_x0000_t202" style="position:absolute;left:2606;top:591227;height:460;width:1446;" filled="f" stroked="f" coordsize="21600,21600" o:gfxdata="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gyW3K/&#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1C66E0AC">
                              <w:pPr>
                                <w:rPr>
                                  <w:rFonts w:hint="default" w:eastAsia="宋体"/>
                                  <w:lang w:val="en-US" w:eastAsia="zh-CN"/>
                                </w:rPr>
                              </w:pPr>
                              <w:r>
                                <w:rPr>
                                  <w:rFonts w:hint="eastAsia" w:eastAsia="宋体"/>
                                  <w:lang w:val="en-US" w:eastAsia="zh-CN"/>
                                </w:rPr>
                                <w:t>蒸汽</w:t>
                              </w:r>
                              <w:r>
                                <w:rPr>
                                  <w:rFonts w:hint="eastAsia"/>
                                  <w:lang w:val="en-US" w:eastAsia="zh-CN"/>
                                </w:rPr>
                                <w:t>冷凝水</w:t>
                              </w:r>
                            </w:p>
                          </w:txbxContent>
                        </v:textbox>
                      </v:shape>
                      <v:shape id="文本框 28" o:spid="_x0000_s1026" o:spt="202" type="#_x0000_t202" style="position:absolute;left:6033;top:589278;height:943;width:2247;" filled="f" stroked="f" coordsize="21600,21600" o:gfxdata="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U7wQLgAAADbAAAA&#10;DwAAAAAAAAABACAAAAAiAAAAZHJzL2Rvd25yZXYueG1sUEsBAhQAFAAAAAgAh07iQDMvBZ47AAAA&#10;OQAAABAAAAAAAAAAAQAgAAAABwEAAGRycy9zaGFwZXhtbC54bWxQSwUGAAAAAAYABgBbAQAAsQMA&#10;AAAA&#10;">
                        <v:fill on="f" focussize="0,0"/>
                        <v:stroke on="f" weight="0.5pt"/>
                        <v:imagedata o:title=""/>
                        <o:lock v:ext="edit" aspectratio="f"/>
                        <v:textbox>
                          <w:txbxContent>
                            <w:p w14:paraId="401A4B74">
                              <w:pPr>
                                <w:rPr>
                                  <w:rFonts w:hint="default"/>
                                  <w:lang w:val="en-US" w:eastAsia="zh-CN"/>
                                </w:rPr>
                              </w:pPr>
                              <w:r>
                                <w:rPr>
                                  <w:rFonts w:hint="eastAsia" w:ascii="Times New Roman" w:hAnsi="Times New Roman" w:eastAsia="宋体" w:cs="Times New Roman"/>
                                  <w:color w:val="auto"/>
                                  <w:highlight w:val="none"/>
                                  <w:lang w:val="en-US" w:eastAsia="zh-CN"/>
                                </w:rPr>
                                <w:t>盥洗废水泼洒抑尘、</w:t>
                              </w:r>
                              <w:r>
                                <w:rPr>
                                  <w:rFonts w:ascii="Times New Roman" w:hAnsi="Times New Roman" w:eastAsia="宋体" w:cs="Times New Roman"/>
                                  <w:color w:val="auto"/>
                                  <w:highlight w:val="none"/>
                                </w:rPr>
                                <w:t>厂区设防渗旱厕，定期清掏</w:t>
                              </w:r>
                            </w:p>
                          </w:txbxContent>
                        </v:textbox>
                      </v:shape>
                      <v:shape id="直接箭头连接符 8" o:spid="_x0000_s1026" o:spt="32" type="#_x0000_t32" style="position:absolute;left:3006;top:591176;height:0;width:1073;" filled="f" stroked="t" coordsize="21600,21600" o:gfxdata="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XYidW8AAAA&#10;2w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shape>
                      <v:shape id="直接箭头连接符 20" o:spid="_x0000_s1026" o:spt="32" type="#_x0000_t32" style="position:absolute;left:2622;top:590919;height:0;width:1477;" filled="f" stroked="t" coordsize="21600,21600" o:gfxdata="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8Pg8LsAAADb&#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shape>
                      <v:group id="组合 21" o:spid="_x0000_s1026" o:spt="203" style="position:absolute;left:3185;top:590393;height:1096;width:2888;" coordorigin="3521,590430" coordsize="2888,1096" o:gfxdata="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a2nwfvAAAANsAAAAPAAAAAAAAAAEAIAAAACIAAABkcnMvZG93bnJldi54bWxQ&#10;SwECFAAUAAAACACHTuJAMy8FnjsAAAA5AAAAFQAAAAAAAAABACAAAAALAQAAZHJzL2dyb3Vwc2hh&#10;cGV4bWwueG1sUEsFBgAAAAAGAAYAYAEAAMgDAAAAAA==&#10;">
                        <o:lock v:ext="edit" aspectratio="f"/>
                        <v:shape id="文本框 5" o:spid="_x0000_s1026" o:spt="202" type="#_x0000_t202" style="position:absolute;left:4419;top:590868;height:446;width:1152;" fillcolor="#FFFFFF" filled="t" stroked="t" coordsize="21600,21600" o:gfxdata="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RXzLS2AAAA2wAAAA8A&#10;AAAAAAAAAQAgAAAAIgAAAGRycy9kb3ducmV2LnhtbFBLAQIUABQAAAAIAIdO4kAzLwWeOwAAADkA&#10;AAAQAAAAAAAAAAEAIAAAAAUBAABkcnMvc2hhcGV4bWwueG1sUEsFBgAAAAAGAAYAWwEAAK8DAAAA&#10;AA==&#10;">
                          <v:fill on="t" focussize="0,0"/>
                          <v:stroke weight="0.5pt" color="#000000" joinstyle="round"/>
                          <v:imagedata o:title=""/>
                          <o:lock v:ext="edit" aspectratio="f"/>
                          <v:textbox>
                            <w:txbxContent>
                              <w:p w14:paraId="0B64009C">
                                <w:pPr>
                                  <w:rPr>
                                    <w:rFonts w:hint="default" w:eastAsia="宋体"/>
                                    <w:lang w:val="en-US" w:eastAsia="zh-CN"/>
                                  </w:rPr>
                                </w:pPr>
                                <w:r>
                                  <w:rPr>
                                    <w:rFonts w:hint="eastAsia"/>
                                    <w:lang w:val="en-US" w:eastAsia="zh-CN"/>
                                  </w:rPr>
                                  <w:t>冷却塔</w:t>
                                </w:r>
                              </w:p>
                            </w:txbxContent>
                          </v:textbox>
                        </v:shape>
                        <v:shape id="直接箭头连接符 9" o:spid="_x0000_s1026" o:spt="32" type="#_x0000_t32" style="position:absolute;left:5601;top:591125;height:0;width:698;" filled="f" stroked="t" coordsize="21600,21600" o:gfxdata="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pz1pvQAA&#10;ANsAAAAPAAAAAAAAAAEAIAAAACIAAABkcnMvZG93bnJldi54bWxQSwECFAAUAAAACACHTuJAMy8F&#10;njsAAAA5AAAAEAAAAAAAAAABACAAAAAMAQAAZHJzL3NoYXBleG1sLnhtbFBLBQYAAAAABgAGAFsB&#10;AAC2AwAAAAA=&#10;">
                          <v:fill on="f" focussize="0,0"/>
                          <v:stroke color="#000000" joinstyle="round"/>
                          <v:imagedata o:title=""/>
                          <o:lock v:ext="edit" aspectratio="f"/>
                        </v:shape>
                        <v:line id="直接连接符 22" o:spid="_x0000_s1026" o:spt="20" style="position:absolute;left:6289;top:591137;height:362;width:0;" filled="f" stroked="t" coordsize="21600,21600" o:gfxdata="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0wJeS8AAAA&#10;2w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shape id="直接箭头连接符 36" o:spid="_x0000_s1026" o:spt="32" type="#_x0000_t32" style="position:absolute;left:5016;top:591280;flip:y;height:246;width:0;" filled="f" stroked="t" coordsize="21600,21600" o:gfxdata="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ooRVvQAA&#10;ANsAAAAPAAAAAAAAAAEAIAAAACIAAABkcnMvZG93bnJldi54bWxQSwECFAAUAAAACACHTuJAMy8F&#10;njsAAAA5AAAAEAAAAAAAAAABACAAAAAMAQAAZHJzL3NoYXBleG1sLnhtbFBLBQYAAAAABgAGAFsB&#10;AAC2AwAAAAA=&#10;">
                          <v:fill on="f" focussize="0,0"/>
                          <v:stroke weight="1pt" color="#000000" joinstyle="round" endarrow="open"/>
                          <v:imagedata o:title=""/>
                          <o:lock v:ext="edit" aspectratio="f"/>
                        </v:shape>
                        <v:line id="直接连接符 41" o:spid="_x0000_s1026" o:spt="20" style="position:absolute;left:4983;top:591507;flip:x;height:1;width:1293;" filled="f" stroked="t" coordsize="21600,21600" o:gfxdata="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mqi6vQAA&#10;ANsAAAAPAAAAAAAAAAEAIAAAACIAAABkcnMvZG93bnJldi54bWxQSwECFAAUAAAACACHTuJAMy8F&#10;njsAAAA5AAAAEAAAAAAAAAABACAAAAAMAQAAZHJzL3NoYXBleG1sLnhtbFBLBQYAAAAABgAGAFsB&#10;AAC2AwAAAAA=&#10;">
                          <v:fill on="f" focussize="0,0"/>
                          <v:stroke color="#000000" joinstyle="round"/>
                          <v:imagedata o:title=""/>
                          <o:lock v:ext="edit" aspectratio="f"/>
                        </v:line>
                        <v:shape id="文本框 43" o:spid="_x0000_s1026" o:spt="202" type="#_x0000_t202" style="position:absolute;left:5673;top:590784;height:446;width:736;" filled="f" stroked="f" coordsize="21600,21600" o:gfxdata="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8EFv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5588FAEA">
                                <w:pPr>
                                  <w:rPr>
                                    <w:rFonts w:hint="default" w:eastAsia="宋体"/>
                                    <w:highlight w:val="none"/>
                                    <w:lang w:val="en-US" w:eastAsia="zh-CN"/>
                                  </w:rPr>
                                </w:pPr>
                                <w:r>
                                  <w:rPr>
                                    <w:rFonts w:hint="eastAsia"/>
                                    <w:highlight w:val="none"/>
                                    <w:lang w:val="en-US" w:eastAsia="zh-CN"/>
                                  </w:rPr>
                                  <w:t>600</w:t>
                                </w:r>
                              </w:p>
                            </w:txbxContent>
                          </v:textbox>
                        </v:shape>
                        <v:shape id="文本框 29" o:spid="_x0000_s1026" o:spt="202" type="#_x0000_t202" style="position:absolute;left:4189;top:590430;height:446;width:1084;" filled="f" stroked="f" coordsize="21600,21600" o:gfxdata="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Mu3Ae5AAAA2wAA&#10;AA8AAAAAAAAAAQAgAAAAIgAAAGRycy9kb3ducmV2LnhtbFBLAQIUABQAAAAIAIdO4kAzLwWeOwAA&#10;ADkAAAAQAAAAAAAAAAEAIAAAAAgBAABkcnMvc2hhcGV4bWwueG1sUEsFBgAAAAAGAAYAWwEAALID&#10;AAAAAA==&#10;">
                          <v:fill on="f" focussize="0,0"/>
                          <v:stroke on="f" weight="0.5pt"/>
                          <v:imagedata o:title=""/>
                          <o:lock v:ext="edit" aspectratio="f"/>
                          <v:textbox>
                            <w:txbxContent>
                              <w:p w14:paraId="65A07538">
                                <w:pPr>
                                  <w:rPr>
                                    <w:rFonts w:hint="default" w:eastAsia="宋体"/>
                                    <w:lang w:val="en-US" w:eastAsia="zh-CN"/>
                                  </w:rPr>
                                </w:pPr>
                                <w:r>
                                  <w:rPr>
                                    <w:rFonts w:hint="eastAsia"/>
                                    <w:lang w:val="en-US" w:eastAsia="zh-CN"/>
                                  </w:rPr>
                                  <w:t>84</w:t>
                                </w:r>
                              </w:p>
                            </w:txbxContent>
                          </v:textbox>
                        </v:shape>
                        <v:shape id="直接箭头连接符 58" o:spid="_x0000_s1026" o:spt="32" type="#_x0000_t32" style="position:absolute;left:4653;top:590630;flip:y;height:250;width:554;" filled="f" stroked="t" coordsize="21600,21600" o:gfxdata="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RozhvQAA&#10;ANsAAAAPAAAAAAAAAAEAIAAAACIAAABkcnMvZG93bnJldi54bWxQSwECFAAUAAAACACHTuJAMy8F&#10;njsAAAA5AAAAEAAAAAAAAAABACAAAAAMAQAAZHJzL3NoYXBleG1sLnhtbFBLBQYAAAAABgAGAFsB&#10;AAC2AwAAAAA=&#10;">
                          <v:fill on="f" focussize="0,0"/>
                          <v:stroke color="#000000" joinstyle="round" dashstyle="dash" endarrow="open"/>
                          <v:imagedata o:title=""/>
                          <o:lock v:ext="edit" aspectratio="f"/>
                        </v:shape>
                        <v:shape id="文本框 188" o:spid="_x0000_s1026" o:spt="202" type="#_x0000_t202" style="position:absolute;left:3521;top:590922;height:446;width:749;" filled="f" stroked="f" coordsize="21600,21600" o:gfxdata="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P8QnC/&#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39B9A19C">
                                <w:pPr>
                                  <w:rPr>
                                    <w:rFonts w:hint="default" w:eastAsia="宋体"/>
                                    <w:lang w:val="en-US" w:eastAsia="zh-CN"/>
                                  </w:rPr>
                                </w:pPr>
                                <w:r>
                                  <w:rPr>
                                    <w:rFonts w:hint="eastAsia"/>
                                    <w:lang w:val="en-US" w:eastAsia="zh-CN"/>
                                  </w:rPr>
                                  <w:t>7.92</w:t>
                                </w:r>
                              </w:p>
                            </w:txbxContent>
                          </v:textbox>
                        </v:shape>
                      </v:group>
                      <v:line id="直接连接符 23" o:spid="_x0000_s1026" o:spt="20" style="position:absolute;left:2573;top:589752;flip:x;height:1146;width:8;" filled="f" stroked="t" coordsize="21600,21600" o:gfxdata="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S5+HL4A&#10;AADb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shape id="直接箭头连接符 47" o:spid="_x0000_s1026" o:spt="32" type="#_x0000_t32" style="position:absolute;left:1718;top:590390;height:0;width:858;" filled="f" stroked="t" coordsize="21600,21600" o:gfxdata="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aefrsAAADb&#10;AAAADwAAAAAAAAABACAAAAAiAAAAZHJzL2Rvd25yZXYueG1sUEsBAhQAFAAAAAgAh07iQDMvBZ47&#10;AAAAOQAAABAAAAAAAAAAAQAgAAAACgEAAGRycy9zaGFwZXhtbC54bWxQSwUGAAAAAAYABgBbAQAA&#10;tAMAAAAA&#10;">
                        <v:fill on="f" focussize="0,0"/>
                        <v:stroke color="#000000" joinstyle="round" endarrow="open"/>
                        <v:imagedata o:title=""/>
                        <o:lock v:ext="edit" aspectratio="f"/>
                      </v:shape>
                      <v:shape id="文本框 48" o:spid="_x0000_s1026" o:spt="202" type="#_x0000_t202" style="position:absolute;left:2788;top:589409;height:446;width:944;" filled="f" stroked="f" coordsize="21600,21600" o:gfxdata="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1Y0AG5AAAA2wAA&#10;AA8AAAAAAAAAAQAgAAAAIgAAAGRycy9kb3ducmV2LnhtbFBLAQIUABQAAAAIAIdO4kAzLwWeOwAA&#10;ADkAAAAQAAAAAAAAAAEAIAAAAAgBAABkcnMvc2hhcGV4bWwueG1sUEsFBgAAAAAGAAYAWwEAALID&#10;AAAAAA==&#10;">
                        <v:fill on="f" focussize="0,0"/>
                        <v:stroke on="f" weight="0.5pt"/>
                        <v:imagedata o:title=""/>
                        <o:lock v:ext="edit" aspectratio="f"/>
                        <v:textbox>
                          <w:txbxContent>
                            <w:p w14:paraId="74211EBA">
                              <w:pPr>
                                <w:rPr>
                                  <w:rFonts w:hint="default" w:eastAsia="宋体"/>
                                  <w:highlight w:val="none"/>
                                  <w:lang w:val="en-US" w:eastAsia="zh-CN"/>
                                </w:rPr>
                              </w:pPr>
                              <w:r>
                                <w:rPr>
                                  <w:rFonts w:hint="eastAsia"/>
                                  <w:highlight w:val="none"/>
                                  <w:lang w:val="en-US" w:eastAsia="zh-CN"/>
                                </w:rPr>
                                <w:t>1.333</w:t>
                              </w:r>
                            </w:p>
                          </w:txbxContent>
                        </v:textbox>
                      </v:shape>
                      <v:shape id="文本框 51" o:spid="_x0000_s1026" o:spt="202" type="#_x0000_t202" style="position:absolute;left:2989;top:590542;height:381;width:834;" filled="f" stroked="f" coordsize="21600,21600" o:gfxdata="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IUdZq/&#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77BF8C90">
                              <w:pPr>
                                <w:rPr>
                                  <w:rFonts w:hint="default" w:eastAsia="宋体"/>
                                  <w:highlight w:val="none"/>
                                  <w:lang w:val="en-US" w:eastAsia="zh-CN"/>
                                </w:rPr>
                              </w:pPr>
                              <w:r>
                                <w:rPr>
                                  <w:rFonts w:hint="eastAsia"/>
                                  <w:highlight w:val="none"/>
                                  <w:lang w:val="en-US" w:eastAsia="zh-CN"/>
                                </w:rPr>
                                <w:t>0.48</w:t>
                              </w:r>
                            </w:p>
                          </w:txbxContent>
                        </v:textbox>
                      </v:shape>
                      <v:shape id="文本框 52" o:spid="_x0000_s1026" o:spt="202" type="#_x0000_t202" style="position:absolute;left:1738;top:590023;height:446;width:880;" filled="f" stroked="f" coordsize="21600,21600" o:gfxdata="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90ravQAA&#10;ANs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2E450DC0">
                              <w:pPr>
                                <w:rPr>
                                  <w:rFonts w:hint="default" w:eastAsia="宋体"/>
                                  <w:highlight w:val="none"/>
                                  <w:lang w:val="en-US" w:eastAsia="zh-CN"/>
                                </w:rPr>
                              </w:pPr>
                              <w:r>
                                <w:rPr>
                                  <w:rFonts w:hint="eastAsia"/>
                                  <w:highlight w:val="none"/>
                                  <w:lang w:val="en-US" w:eastAsia="zh-CN"/>
                                </w:rPr>
                                <w:t>1.813</w:t>
                              </w:r>
                            </w:p>
                          </w:txbxContent>
                        </v:textbox>
                      </v:shape>
                    </v:group>
                  </w:pict>
                </mc:Fallback>
              </mc:AlternateContent>
            </w:r>
          </w:p>
          <w:p w14:paraId="3C70BA00">
            <w:pPr>
              <w:rPr>
                <w:rFonts w:hint="default"/>
                <w:color w:val="auto"/>
                <w:highlight w:val="none"/>
                <w:lang w:val="en-US" w:eastAsia="zh-CN"/>
              </w:rPr>
            </w:pPr>
          </w:p>
          <w:p w14:paraId="36D003F5">
            <w:pPr>
              <w:rPr>
                <w:rFonts w:hint="default"/>
                <w:color w:val="auto"/>
                <w:highlight w:val="none"/>
                <w:lang w:val="en-US" w:eastAsia="zh-CN"/>
              </w:rPr>
            </w:pPr>
          </w:p>
          <w:p w14:paraId="50BD62F8">
            <w:pPr>
              <w:rPr>
                <w:rFonts w:hint="default"/>
                <w:color w:val="auto"/>
                <w:highlight w:val="none"/>
                <w:lang w:val="en-US" w:eastAsia="zh-CN"/>
              </w:rPr>
            </w:pPr>
          </w:p>
          <w:p w14:paraId="6F2EA3A3">
            <w:pPr>
              <w:rPr>
                <w:rFonts w:hint="default"/>
                <w:color w:val="auto"/>
                <w:highlight w:val="none"/>
                <w:lang w:val="en-US" w:eastAsia="zh-CN"/>
              </w:rPr>
            </w:pPr>
          </w:p>
          <w:p w14:paraId="5D05AF4C">
            <w:pPr>
              <w:rPr>
                <w:rFonts w:hint="default"/>
                <w:color w:val="auto"/>
                <w:highlight w:val="none"/>
                <w:lang w:val="en-US" w:eastAsia="zh-CN"/>
              </w:rPr>
            </w:pPr>
          </w:p>
          <w:p w14:paraId="1F73CD79">
            <w:pPr>
              <w:rPr>
                <w:rFonts w:hint="default"/>
                <w:color w:val="auto"/>
                <w:highlight w:val="none"/>
                <w:lang w:val="en-US" w:eastAsia="zh-CN"/>
              </w:rPr>
            </w:pPr>
          </w:p>
          <w:p w14:paraId="7A995F91">
            <w:pPr>
              <w:rPr>
                <w:rFonts w:hint="default"/>
                <w:color w:val="auto"/>
                <w:highlight w:val="none"/>
                <w:lang w:val="en-US" w:eastAsia="zh-CN"/>
              </w:rPr>
            </w:pPr>
          </w:p>
          <w:p w14:paraId="78363ECA">
            <w:pPr>
              <w:rPr>
                <w:rFonts w:hint="default"/>
                <w:color w:val="auto"/>
                <w:highlight w:val="none"/>
                <w:lang w:val="en-US" w:eastAsia="zh-CN"/>
              </w:rPr>
            </w:pPr>
          </w:p>
          <w:p w14:paraId="0C42A471">
            <w:pPr>
              <w:rPr>
                <w:rFonts w:hint="default"/>
                <w:color w:val="auto"/>
                <w:highlight w:val="none"/>
                <w:lang w:val="en-US" w:eastAsia="zh-CN"/>
              </w:rPr>
            </w:pPr>
          </w:p>
          <w:p w14:paraId="0E175E87">
            <w:pPr>
              <w:jc w:val="both"/>
              <w:rPr>
                <w:rFonts w:hint="default"/>
                <w:b/>
                <w:bCs/>
                <w:color w:val="auto"/>
                <w:sz w:val="24"/>
                <w:szCs w:val="24"/>
                <w:highlight w:val="none"/>
                <w:lang w:val="en-US" w:eastAsia="zh-CN"/>
              </w:rPr>
            </w:pPr>
          </w:p>
          <w:p w14:paraId="18CAB70F">
            <w:pPr>
              <w:jc w:val="center"/>
              <w:rPr>
                <w:rFonts w:hint="default"/>
                <w:b/>
                <w:bCs/>
                <w:color w:val="auto"/>
                <w:sz w:val="24"/>
                <w:szCs w:val="24"/>
                <w:highlight w:val="none"/>
              </w:rPr>
            </w:pPr>
            <w:r>
              <w:rPr>
                <w:rFonts w:hint="default"/>
                <w:b/>
                <w:bCs/>
                <w:color w:val="auto"/>
                <w:sz w:val="24"/>
                <w:szCs w:val="24"/>
                <w:highlight w:val="none"/>
                <w:lang w:val="en-US" w:eastAsia="zh-CN"/>
              </w:rPr>
              <w:t>图</w:t>
            </w:r>
            <w:r>
              <w:rPr>
                <w:rFonts w:hint="eastAsia"/>
                <w:b/>
                <w:bCs/>
                <w:color w:val="auto"/>
                <w:sz w:val="24"/>
                <w:szCs w:val="24"/>
                <w:highlight w:val="none"/>
                <w:lang w:val="en-US" w:eastAsia="zh-CN"/>
              </w:rPr>
              <w:t>2</w:t>
            </w:r>
            <w:r>
              <w:rPr>
                <w:rFonts w:hint="default"/>
                <w:b/>
                <w:bCs/>
                <w:color w:val="auto"/>
                <w:sz w:val="24"/>
                <w:szCs w:val="24"/>
                <w:highlight w:val="none"/>
                <w:lang w:val="en-US" w:eastAsia="zh-CN"/>
              </w:rPr>
              <w:t>-1</w:t>
            </w:r>
            <w:r>
              <w:rPr>
                <w:rFonts w:hint="eastAsia"/>
                <w:b/>
                <w:bCs/>
                <w:color w:val="auto"/>
                <w:sz w:val="24"/>
                <w:szCs w:val="24"/>
                <w:highlight w:val="none"/>
                <w:lang w:val="en-US" w:eastAsia="zh-CN"/>
              </w:rPr>
              <w:t>本项目</w:t>
            </w:r>
            <w:r>
              <w:rPr>
                <w:rFonts w:hint="default"/>
                <w:b/>
                <w:bCs/>
                <w:color w:val="auto"/>
                <w:sz w:val="24"/>
                <w:szCs w:val="24"/>
                <w:highlight w:val="none"/>
                <w:lang w:val="en-US" w:eastAsia="zh-CN"/>
              </w:rPr>
              <w:t>水平衡图</w:t>
            </w:r>
            <w:r>
              <w:rPr>
                <w:rFonts w:hint="default"/>
                <w:b/>
                <w:bCs/>
                <w:color w:val="auto"/>
                <w:sz w:val="24"/>
                <w:szCs w:val="24"/>
                <w:highlight w:val="none"/>
              </w:rPr>
              <w:t>（单位</w:t>
            </w:r>
            <w:r>
              <w:rPr>
                <w:rFonts w:hint="default"/>
                <w:b/>
                <w:bCs/>
                <w:color w:val="auto"/>
                <w:sz w:val="24"/>
                <w:szCs w:val="24"/>
                <w:highlight w:val="none"/>
                <w:lang w:eastAsia="zh-CN"/>
              </w:rPr>
              <w:t>：</w:t>
            </w:r>
            <w:r>
              <w:rPr>
                <w:rFonts w:hint="eastAsia"/>
                <w:b/>
                <w:bCs/>
                <w:color w:val="auto"/>
                <w:sz w:val="24"/>
                <w:szCs w:val="24"/>
                <w:highlight w:val="none"/>
                <w:lang w:val="en-US" w:eastAsia="zh-CN"/>
              </w:rPr>
              <w:t>m</w:t>
            </w:r>
            <w:r>
              <w:rPr>
                <w:rFonts w:hint="eastAsia"/>
                <w:b/>
                <w:bCs/>
                <w:color w:val="auto"/>
                <w:sz w:val="24"/>
                <w:szCs w:val="24"/>
                <w:highlight w:val="none"/>
                <w:vertAlign w:val="superscript"/>
                <w:lang w:val="en-US" w:eastAsia="zh-CN"/>
              </w:rPr>
              <w:t>3</w:t>
            </w:r>
            <w:r>
              <w:rPr>
                <w:rFonts w:hint="default"/>
                <w:b/>
                <w:bCs/>
                <w:color w:val="auto"/>
                <w:sz w:val="24"/>
                <w:szCs w:val="24"/>
                <w:highlight w:val="none"/>
              </w:rPr>
              <w:t>/d）</w:t>
            </w:r>
          </w:p>
          <w:p w14:paraId="5FE6B6D7">
            <w:pPr>
              <w:pStyle w:val="120"/>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360" w:lineRule="auto"/>
              <w:ind w:leftChars="0" w:firstLine="480" w:firstLineChars="200"/>
              <w:textAlignment w:val="auto"/>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cs="Times New Roman"/>
                <w:color w:val="auto"/>
                <w:sz w:val="24"/>
                <w:szCs w:val="24"/>
                <w:highlight w:val="none"/>
                <w:lang w:val="en-US" w:eastAsia="zh-CN"/>
              </w:rPr>
              <w:t>（2）用电</w:t>
            </w:r>
            <w:r>
              <w:rPr>
                <w:rFonts w:hint="eastAsia" w:cs="Times New Roman"/>
                <w:color w:val="auto"/>
                <w:sz w:val="24"/>
                <w:szCs w:val="24"/>
                <w:highlight w:val="none"/>
                <w:lang w:val="en-US" w:eastAsia="zh-CN"/>
              </w:rPr>
              <w:t>：</w:t>
            </w:r>
            <w:r>
              <w:rPr>
                <w:rFonts w:hint="eastAsia" w:ascii="Times New Roman" w:hAnsi="Times New Roman" w:cs="Times New Roman"/>
                <w:color w:val="auto"/>
                <w:kern w:val="2"/>
                <w:sz w:val="24"/>
                <w:szCs w:val="24"/>
                <w:highlight w:val="none"/>
                <w:lang w:val="en-US" w:eastAsia="zh-CN" w:bidi="ar-SA"/>
              </w:rPr>
              <w:t>项目年用电量</w:t>
            </w:r>
            <w:r>
              <w:rPr>
                <w:rFonts w:hint="eastAsia" w:cs="Times New Roman"/>
                <w:color w:val="auto"/>
                <w:kern w:val="2"/>
                <w:sz w:val="24"/>
                <w:szCs w:val="24"/>
                <w:highlight w:val="none"/>
                <w:lang w:val="en-US" w:eastAsia="zh-CN" w:bidi="ar-SA"/>
              </w:rPr>
              <w:t>150</w:t>
            </w:r>
            <w:r>
              <w:rPr>
                <w:rFonts w:hint="eastAsia" w:ascii="Times New Roman" w:hAnsi="Times New Roman" w:cs="Times New Roman"/>
                <w:color w:val="auto"/>
                <w:kern w:val="2"/>
                <w:sz w:val="24"/>
                <w:szCs w:val="24"/>
                <w:highlight w:val="none"/>
                <w:lang w:val="en-US" w:eastAsia="zh-CN" w:bidi="ar-SA"/>
              </w:rPr>
              <w:t>万</w:t>
            </w:r>
            <w:r>
              <w:rPr>
                <w:rFonts w:hint="default" w:ascii="Times New Roman" w:hAnsi="Times New Roman" w:cs="Times New Roman"/>
                <w:color w:val="auto"/>
                <w:kern w:val="2"/>
                <w:sz w:val="24"/>
                <w:szCs w:val="24"/>
                <w:highlight w:val="none"/>
                <w:lang w:val="en-US" w:eastAsia="zh-CN" w:bidi="ar-SA"/>
              </w:rPr>
              <w:t>kW·h/a</w:t>
            </w:r>
            <w:r>
              <w:rPr>
                <w:rFonts w:hint="eastAsia" w:ascii="Times New Roman" w:hAnsi="Times New Roman" w:cs="Times New Roman"/>
                <w:color w:val="auto"/>
                <w:kern w:val="2"/>
                <w:sz w:val="24"/>
                <w:szCs w:val="24"/>
                <w:highlight w:val="none"/>
                <w:lang w:val="en-US" w:eastAsia="zh-CN" w:bidi="ar-SA"/>
              </w:rPr>
              <w:t>，</w:t>
            </w:r>
            <w:r>
              <w:rPr>
                <w:rFonts w:hint="default" w:ascii="Times New Roman" w:hAnsi="Times New Roman" w:eastAsia="宋体" w:cs="Times New Roman"/>
                <w:color w:val="auto"/>
                <w:kern w:val="2"/>
                <w:sz w:val="24"/>
                <w:szCs w:val="24"/>
                <w:highlight w:val="none"/>
                <w:lang w:val="en-US" w:eastAsia="zh-CN" w:bidi="ar-SA"/>
              </w:rPr>
              <w:t>由行唐县供电总公司提供</w:t>
            </w:r>
            <w:r>
              <w:rPr>
                <w:rFonts w:hint="eastAsia" w:ascii="Times New Roman" w:hAnsi="Times New Roman" w:eastAsia="宋体" w:cs="Times New Roman"/>
                <w:color w:val="auto"/>
                <w:kern w:val="2"/>
                <w:sz w:val="24"/>
                <w:szCs w:val="24"/>
                <w:highlight w:val="none"/>
                <w:lang w:val="en-US" w:eastAsia="zh-CN" w:bidi="ar-SA"/>
              </w:rPr>
              <w:t>，项目配备</w:t>
            </w:r>
            <w:r>
              <w:rPr>
                <w:rFonts w:hint="eastAsia" w:cs="Times New Roman"/>
                <w:color w:val="auto"/>
                <w:kern w:val="2"/>
                <w:sz w:val="24"/>
                <w:szCs w:val="24"/>
                <w:highlight w:val="none"/>
                <w:lang w:val="en-US" w:eastAsia="zh-CN" w:bidi="ar-SA"/>
              </w:rPr>
              <w:t>400KVA</w:t>
            </w:r>
            <w:r>
              <w:rPr>
                <w:rFonts w:hint="eastAsia" w:ascii="Times New Roman" w:hAnsi="Times New Roman" w:eastAsia="宋体" w:cs="Times New Roman"/>
                <w:color w:val="auto"/>
                <w:sz w:val="24"/>
                <w:szCs w:val="24"/>
                <w:highlight w:val="none"/>
                <w:lang w:val="en-US" w:eastAsia="zh-CN"/>
              </w:rPr>
              <w:t>变压器1座，满足供电需求。</w:t>
            </w:r>
          </w:p>
          <w:p w14:paraId="7EE0FEC4">
            <w:pPr>
              <w:pStyle w:val="120"/>
              <w:keepNext w:val="0"/>
              <w:keepLines w:val="0"/>
              <w:pageBreakBefore w:val="0"/>
              <w:widowControl/>
              <w:numPr>
                <w:ilvl w:val="0"/>
                <w:numId w:val="8"/>
              </w:numPr>
              <w:kinsoku/>
              <w:wordWrap/>
              <w:overflowPunct/>
              <w:topLinePunct w:val="0"/>
              <w:autoSpaceDE/>
              <w:autoSpaceDN/>
              <w:bidi w:val="0"/>
              <w:adjustRightInd/>
              <w:snapToGrid/>
              <w:spacing w:before="0" w:beforeLines="0" w:after="0" w:afterLines="0" w:line="360" w:lineRule="auto"/>
              <w:ind w:left="0" w:leftChars="0" w:firstLine="480" w:firstLineChars="200"/>
              <w:textAlignment w:val="auto"/>
              <w:rPr>
                <w:rFonts w:hint="default" w:ascii="Times New Roman" w:hAnsi="Times New Roman" w:cs="Times New Roman"/>
                <w:color w:val="auto"/>
                <w:kern w:val="2"/>
                <w:sz w:val="24"/>
                <w:szCs w:val="24"/>
                <w:highlight w:val="none"/>
                <w:lang w:val="en-US" w:eastAsia="zh-CN" w:bidi="ar-SA"/>
              </w:rPr>
            </w:pPr>
            <w:r>
              <w:rPr>
                <w:rFonts w:hint="eastAsia" w:ascii="Times New Roman" w:hAnsi="Times New Roman" w:cs="Times New Roman"/>
                <w:color w:val="auto"/>
                <w:kern w:val="2"/>
                <w:sz w:val="24"/>
                <w:szCs w:val="24"/>
                <w:highlight w:val="none"/>
                <w:lang w:val="en-US" w:eastAsia="zh-CN" w:bidi="ar-SA"/>
              </w:rPr>
              <w:t>用气</w:t>
            </w:r>
            <w:r>
              <w:rPr>
                <w:rFonts w:hint="eastAsia" w:cs="Times New Roman"/>
                <w:color w:val="auto"/>
                <w:kern w:val="2"/>
                <w:sz w:val="24"/>
                <w:szCs w:val="24"/>
                <w:highlight w:val="none"/>
                <w:lang w:val="en-US" w:eastAsia="zh-CN" w:bidi="ar-SA"/>
              </w:rPr>
              <w:t>：项目无生产用气。</w:t>
            </w:r>
          </w:p>
          <w:p w14:paraId="61D4943C">
            <w:pPr>
              <w:pStyle w:val="120"/>
              <w:keepNext w:val="0"/>
              <w:keepLines w:val="0"/>
              <w:pageBreakBefore w:val="0"/>
              <w:widowControl/>
              <w:numPr>
                <w:ilvl w:val="0"/>
                <w:numId w:val="8"/>
              </w:numPr>
              <w:kinsoku/>
              <w:wordWrap/>
              <w:overflowPunct/>
              <w:topLinePunct w:val="0"/>
              <w:autoSpaceDE/>
              <w:autoSpaceDN/>
              <w:bidi w:val="0"/>
              <w:adjustRightInd/>
              <w:snapToGrid/>
              <w:spacing w:before="0" w:beforeLines="0" w:after="0" w:afterLines="0" w:line="360" w:lineRule="auto"/>
              <w:ind w:left="0" w:leftChars="0"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eastAsia" w:ascii="Times New Roman" w:hAnsi="Times New Roman" w:cs="Times New Roman"/>
                <w:color w:val="auto"/>
                <w:kern w:val="2"/>
                <w:sz w:val="24"/>
                <w:szCs w:val="24"/>
                <w:highlight w:val="none"/>
                <w:lang w:val="en-US" w:eastAsia="zh-CN" w:bidi="ar-SA"/>
              </w:rPr>
              <w:t>用热</w:t>
            </w:r>
            <w:bookmarkEnd w:id="7"/>
            <w:bookmarkEnd w:id="8"/>
            <w:r>
              <w:rPr>
                <w:rFonts w:hint="eastAsia" w:cs="Times New Roman"/>
                <w:color w:val="auto"/>
                <w:kern w:val="2"/>
                <w:sz w:val="24"/>
                <w:szCs w:val="24"/>
                <w:highlight w:val="none"/>
                <w:lang w:val="en-US" w:eastAsia="zh-CN" w:bidi="ar-SA"/>
              </w:rPr>
              <w:t>：</w:t>
            </w:r>
            <w:r>
              <w:rPr>
                <w:rFonts w:hint="eastAsia" w:ascii="Times New Roman" w:hAnsi="Times New Roman" w:eastAsia="宋体" w:cs="Times New Roman"/>
                <w:color w:val="auto"/>
                <w:kern w:val="2"/>
                <w:sz w:val="24"/>
                <w:szCs w:val="24"/>
                <w:highlight w:val="none"/>
                <w:lang w:val="en-US" w:eastAsia="zh-CN" w:bidi="ar-SA"/>
              </w:rPr>
              <w:t>聚苯乙烯发泡、成型</w:t>
            </w:r>
            <w:r>
              <w:rPr>
                <w:rFonts w:hint="eastAsia" w:cs="Times New Roman"/>
                <w:color w:val="auto"/>
                <w:kern w:val="2"/>
                <w:sz w:val="24"/>
                <w:szCs w:val="24"/>
                <w:highlight w:val="none"/>
                <w:lang w:val="en-US" w:eastAsia="zh-CN" w:bidi="ar-SA"/>
              </w:rPr>
              <w:t>、烘干</w:t>
            </w:r>
            <w:r>
              <w:rPr>
                <w:rFonts w:hint="eastAsia" w:ascii="Times New Roman" w:hAnsi="Times New Roman" w:eastAsia="宋体" w:cs="Times New Roman"/>
                <w:color w:val="auto"/>
                <w:kern w:val="2"/>
                <w:sz w:val="24"/>
                <w:szCs w:val="24"/>
                <w:highlight w:val="none"/>
                <w:lang w:val="en-US" w:eastAsia="zh-CN" w:bidi="ar-SA"/>
              </w:rPr>
              <w:t>均采用</w:t>
            </w:r>
            <w:r>
              <w:rPr>
                <w:rFonts w:hint="eastAsia" w:cs="Times New Roman"/>
                <w:color w:val="auto"/>
                <w:kern w:val="2"/>
                <w:sz w:val="24"/>
                <w:szCs w:val="24"/>
                <w:highlight w:val="none"/>
                <w:lang w:val="en-US" w:eastAsia="zh-CN" w:bidi="ar-SA"/>
              </w:rPr>
              <w:t>石家庄玉晶玻璃有限公司产生的蒸汽</w:t>
            </w:r>
            <w:r>
              <w:rPr>
                <w:rFonts w:hint="eastAsia" w:ascii="Times New Roman" w:hAnsi="Times New Roman" w:eastAsia="宋体" w:cs="Times New Roman"/>
                <w:color w:val="auto"/>
                <w:kern w:val="2"/>
                <w:sz w:val="24"/>
                <w:szCs w:val="24"/>
                <w:highlight w:val="none"/>
                <w:lang w:val="en-US" w:eastAsia="zh-CN" w:bidi="ar-SA"/>
              </w:rPr>
              <w:t>。</w:t>
            </w:r>
            <w:r>
              <w:rPr>
                <w:rFonts w:hint="eastAsia" w:cs="Times New Roman"/>
                <w:color w:val="auto"/>
                <w:kern w:val="2"/>
                <w:sz w:val="24"/>
                <w:szCs w:val="24"/>
                <w:highlight w:val="none"/>
                <w:lang w:val="en-US" w:eastAsia="zh-CN" w:bidi="ar-SA"/>
              </w:rPr>
              <w:t>项目共需蒸汽2400t/a。发泡工序使用量蒸汽为480t/a（直接加热）；成型及烘干工序为串联使用，使用量蒸汽为1920t/a。项目所用蒸汽为饱和蒸汽。压力为0.8~1.0MPa，温度为170℃~175℃，蒸汽由管网直接输送至厂区蒸汽储罐内，调压0.6MPa，温度降为165℃。</w:t>
            </w:r>
          </w:p>
          <w:p w14:paraId="66E052F6">
            <w:pPr>
              <w:pStyle w:val="120"/>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360" w:lineRule="auto"/>
              <w:ind w:leftChars="0" w:firstLine="480" w:firstLineChars="200"/>
              <w:textAlignment w:val="auto"/>
              <w:rPr>
                <w:rFonts w:hint="eastAsia"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发泡机出料时，由于出料口下方设有加热装置，蒸汽全部随工艺废气进入集气管道内，后经气液分离器处理（液态水排入冷却循环水系统）；烘干工序蒸汽来源为成型工序余热及新蒸汽，采用间接加热（盘管），蒸汽在喷盘管内因温度降低成为液态，液态水全部排入冷却水循环系统（水箱+冷却塔）。</w:t>
            </w:r>
          </w:p>
          <w:p w14:paraId="6ECD6FEC">
            <w:pPr>
              <w:pStyle w:val="120"/>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360" w:lineRule="auto"/>
              <w:ind w:leftChars="0" w:firstLine="420" w:firstLineChars="200"/>
              <w:textAlignment w:val="auto"/>
              <w:rPr>
                <w:rFonts w:hint="eastAsia"/>
                <w:color w:val="auto"/>
                <w:sz w:val="24"/>
                <w:szCs w:val="24"/>
                <w:highlight w:val="none"/>
                <w:lang w:val="en-US" w:eastAsia="zh-CN"/>
              </w:rPr>
            </w:pPr>
            <w:r>
              <w:rPr>
                <w:color w:val="auto"/>
                <w:sz w:val="21"/>
              </w:rPr>
              <mc:AlternateContent>
                <mc:Choice Requires="wpg">
                  <w:drawing>
                    <wp:anchor distT="0" distB="0" distL="114300" distR="114300" simplePos="0" relativeHeight="251695104" behindDoc="0" locked="0" layoutInCell="1" allowOverlap="1">
                      <wp:simplePos x="0" y="0"/>
                      <wp:positionH relativeFrom="column">
                        <wp:posOffset>173355</wp:posOffset>
                      </wp:positionH>
                      <wp:positionV relativeFrom="paragraph">
                        <wp:posOffset>49530</wp:posOffset>
                      </wp:positionV>
                      <wp:extent cx="4676140" cy="2498725"/>
                      <wp:effectExtent l="0" t="0" r="0" b="0"/>
                      <wp:wrapNone/>
                      <wp:docPr id="68" name="组合 137"/>
                      <wp:cNvGraphicFramePr/>
                      <a:graphic xmlns:a="http://schemas.openxmlformats.org/drawingml/2006/main">
                        <a:graphicData uri="http://schemas.microsoft.com/office/word/2010/wordprocessingGroup">
                          <wpg:wgp>
                            <wpg:cNvGrpSpPr/>
                            <wpg:grpSpPr>
                              <a:xfrm>
                                <a:off x="0" y="0"/>
                                <a:ext cx="4676140" cy="2498725"/>
                                <a:chOff x="6267" y="571512"/>
                                <a:chExt cx="7364" cy="3935"/>
                              </a:xfrm>
                            </wpg:grpSpPr>
                            <wpg:grpSp>
                              <wpg:cNvPr id="23" name="组合 53"/>
                              <wpg:cNvGrpSpPr/>
                              <wpg:grpSpPr>
                                <a:xfrm>
                                  <a:off x="6267" y="571635"/>
                                  <a:ext cx="5417" cy="3813"/>
                                  <a:chOff x="1705" y="589025"/>
                                  <a:chExt cx="5417" cy="3813"/>
                                </a:xfrm>
                              </wpg:grpSpPr>
                              <wps:wsp>
                                <wps:cNvPr id="2" name="直接箭头连接符 10"/>
                                <wps:cNvCnPr>
                                  <a:endCxn id="148" idx="1"/>
                                </wps:cNvCnPr>
                                <wps:spPr>
                                  <a:xfrm flipV="1">
                                    <a:off x="2638" y="589356"/>
                                    <a:ext cx="1034" cy="11"/>
                                  </a:xfrm>
                                  <a:prstGeom prst="straightConnector1">
                                    <a:avLst/>
                                  </a:prstGeom>
                                  <a:ln w="9525" cap="flat" cmpd="sng">
                                    <a:solidFill>
                                      <a:srgbClr val="000000"/>
                                    </a:solidFill>
                                    <a:prstDash val="solid"/>
                                    <a:round/>
                                    <a:headEnd type="none" w="med" len="med"/>
                                    <a:tailEnd type="arrow" w="med" len="med"/>
                                  </a:ln>
                                </wps:spPr>
                                <wps:bodyPr/>
                              </wps:wsp>
                              <wps:wsp>
                                <wps:cNvPr id="4" name="文本框 11"/>
                                <wps:cNvSpPr txBox="1"/>
                                <wps:spPr>
                                  <a:xfrm>
                                    <a:off x="3657" y="589128"/>
                                    <a:ext cx="753" cy="446"/>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5106BDDD">
                                      <w:pPr>
                                        <w:rPr>
                                          <w:rFonts w:hint="default" w:eastAsia="宋体"/>
                                          <w:lang w:val="en-US" w:eastAsia="zh-CN"/>
                                        </w:rPr>
                                      </w:pPr>
                                      <w:r>
                                        <w:rPr>
                                          <w:rFonts w:hint="eastAsia"/>
                                          <w:lang w:val="en-US" w:eastAsia="zh-CN"/>
                                        </w:rPr>
                                        <w:t>发泡</w:t>
                                      </w:r>
                                    </w:p>
                                  </w:txbxContent>
                                </wps:txbx>
                                <wps:bodyPr vert="horz" wrap="square" anchor="t" anchorCtr="0" upright="1"/>
                              </wps:wsp>
                              <wps:wsp>
                                <wps:cNvPr id="5" name="文本框 15"/>
                                <wps:cNvSpPr txBox="1"/>
                                <wps:spPr>
                                  <a:xfrm>
                                    <a:off x="1800" y="590807"/>
                                    <a:ext cx="1108" cy="446"/>
                                  </a:xfrm>
                                  <a:prstGeom prst="rect">
                                    <a:avLst/>
                                  </a:prstGeom>
                                  <a:noFill/>
                                  <a:ln w="6350">
                                    <a:noFill/>
                                  </a:ln>
                                </wps:spPr>
                                <wps:txbx>
                                  <w:txbxContent>
                                    <w:p w14:paraId="6B2B02AA">
                                      <w:pPr>
                                        <w:rPr>
                                          <w:rFonts w:hint="eastAsia" w:eastAsia="宋体"/>
                                          <w:lang w:val="en-US" w:eastAsia="zh-CN"/>
                                        </w:rPr>
                                      </w:pPr>
                                      <w:r>
                                        <w:rPr>
                                          <w:rFonts w:hint="eastAsia"/>
                                          <w:lang w:val="en-US" w:eastAsia="zh-CN"/>
                                        </w:rPr>
                                        <w:t>蒸汽</w:t>
                                      </w:r>
                                    </w:p>
                                  </w:txbxContent>
                                </wps:txbx>
                                <wps:bodyPr vert="horz" wrap="square" anchor="t" anchorCtr="0" upright="1"/>
                              </wps:wsp>
                              <wps:wsp>
                                <wps:cNvPr id="6" name="文本框 17"/>
                                <wps:cNvSpPr txBox="1"/>
                                <wps:spPr>
                                  <a:xfrm>
                                    <a:off x="4309" y="592060"/>
                                    <a:ext cx="881" cy="378"/>
                                  </a:xfrm>
                                  <a:prstGeom prst="rect">
                                    <a:avLst/>
                                  </a:prstGeom>
                                  <a:noFill/>
                                  <a:ln w="6350">
                                    <a:noFill/>
                                  </a:ln>
                                </wps:spPr>
                                <wps:txbx>
                                  <w:txbxContent>
                                    <w:p w14:paraId="02EBDC2F">
                                      <w:pPr>
                                        <w:rPr>
                                          <w:rFonts w:hint="default" w:eastAsia="宋体"/>
                                          <w:lang w:val="en-US" w:eastAsia="zh-CN"/>
                                        </w:rPr>
                                      </w:pPr>
                                      <w:r>
                                        <w:rPr>
                                          <w:rFonts w:hint="eastAsia"/>
                                          <w:lang w:val="en-US" w:eastAsia="zh-CN"/>
                                        </w:rPr>
                                        <w:t>1920</w:t>
                                      </w:r>
                                    </w:p>
                                  </w:txbxContent>
                                </wps:txbx>
                                <wps:bodyPr vert="horz" wrap="square" anchor="t" anchorCtr="0" upright="1"/>
                              </wps:wsp>
                              <wpg:grpSp>
                                <wpg:cNvPr id="9" name="组合 2"/>
                                <wpg:cNvGrpSpPr/>
                                <wpg:grpSpPr>
                                  <a:xfrm>
                                    <a:off x="4984" y="590022"/>
                                    <a:ext cx="2138" cy="2816"/>
                                    <a:chOff x="6330" y="591113"/>
                                    <a:chExt cx="2138" cy="2816"/>
                                  </a:xfrm>
                                </wpg:grpSpPr>
                                <wps:wsp>
                                  <wps:cNvPr id="7" name="文本框 28"/>
                                  <wps:cNvSpPr txBox="1"/>
                                  <wps:spPr>
                                    <a:xfrm>
                                      <a:off x="6330" y="593219"/>
                                      <a:ext cx="782" cy="710"/>
                                    </a:xfrm>
                                    <a:prstGeom prst="rect">
                                      <a:avLst/>
                                    </a:prstGeom>
                                    <a:noFill/>
                                    <a:ln w="6350">
                                      <a:noFill/>
                                    </a:ln>
                                  </wps:spPr>
                                  <wps:txbx>
                                    <w:txbxContent>
                                      <w:p w14:paraId="3C2737CD">
                                        <w:pPr>
                                          <w:rPr>
                                            <w:rFonts w:hint="default" w:eastAsia="宋体"/>
                                            <w:lang w:val="en-US" w:eastAsia="zh-CN"/>
                                          </w:rPr>
                                        </w:pPr>
                                        <w:r>
                                          <w:rPr>
                                            <w:rFonts w:hint="eastAsia"/>
                                            <w:lang w:val="en-US" w:eastAsia="zh-CN"/>
                                          </w:rPr>
                                          <w:t>冷却系统</w:t>
                                        </w:r>
                                      </w:p>
                                    </w:txbxContent>
                                  </wps:txbx>
                                  <wps:bodyPr vert="horz" wrap="square" anchor="t" anchorCtr="0" upright="1"/>
                                </wps:wsp>
                                <wps:wsp>
                                  <wps:cNvPr id="8" name="直接箭头连接符 78"/>
                                  <wps:cNvCnPr>
                                    <a:endCxn id="148" idx="1"/>
                                  </wps:cNvCnPr>
                                  <wps:spPr>
                                    <a:xfrm flipV="1">
                                      <a:off x="8468" y="591113"/>
                                      <a:ext cx="0" cy="667"/>
                                    </a:xfrm>
                                    <a:prstGeom prst="straightConnector1">
                                      <a:avLst/>
                                    </a:prstGeom>
                                    <a:ln w="9525" cap="flat" cmpd="sng">
                                      <a:solidFill>
                                        <a:srgbClr val="000000"/>
                                      </a:solidFill>
                                      <a:prstDash val="solid"/>
                                      <a:round/>
                                      <a:headEnd type="none" w="med" len="med"/>
                                      <a:tailEnd type="none" w="med" len="med"/>
                                    </a:ln>
                                  </wps:spPr>
                                  <wps:bodyPr/>
                                </wps:wsp>
                              </wpg:grpSp>
                              <wps:wsp>
                                <wps:cNvPr id="10" name="直接箭头连接符 8"/>
                                <wps:cNvCnPr>
                                  <a:endCxn id="148" idx="1"/>
                                </wps:cNvCnPr>
                                <wps:spPr>
                                  <a:xfrm flipH="1">
                                    <a:off x="3873" y="591339"/>
                                    <a:ext cx="17" cy="883"/>
                                  </a:xfrm>
                                  <a:prstGeom prst="straightConnector1">
                                    <a:avLst/>
                                  </a:prstGeom>
                                  <a:ln w="9525" cap="flat" cmpd="sng">
                                    <a:solidFill>
                                      <a:srgbClr val="000000"/>
                                    </a:solidFill>
                                    <a:prstDash val="solid"/>
                                    <a:round/>
                                    <a:headEnd type="none" w="med" len="med"/>
                                    <a:tailEnd type="arrow" w="med" len="med"/>
                                  </a:ln>
                                </wps:spPr>
                                <wps:bodyPr/>
                              </wps:wsp>
                              <wps:wsp>
                                <wps:cNvPr id="11" name="直接箭头连接符 20"/>
                                <wps:cNvCnPr>
                                  <a:endCxn id="148" idx="1"/>
                                </wps:cNvCnPr>
                                <wps:spPr>
                                  <a:xfrm>
                                    <a:off x="2621" y="592402"/>
                                    <a:ext cx="835" cy="3"/>
                                  </a:xfrm>
                                  <a:prstGeom prst="straightConnector1">
                                    <a:avLst/>
                                  </a:prstGeom>
                                  <a:ln w="9525" cap="flat" cmpd="sng">
                                    <a:solidFill>
                                      <a:srgbClr val="000000"/>
                                    </a:solidFill>
                                    <a:prstDash val="solid"/>
                                    <a:round/>
                                    <a:headEnd type="none" w="med" len="med"/>
                                    <a:tailEnd type="arrow" w="med" len="med"/>
                                  </a:ln>
                                </wps:spPr>
                                <wps:bodyPr/>
                              </wps:wsp>
                              <wpg:grpSp>
                                <wpg:cNvPr id="17" name="组合 21"/>
                                <wpg:cNvGrpSpPr/>
                                <wpg:grpSpPr>
                                  <a:xfrm>
                                    <a:off x="3450" y="592198"/>
                                    <a:ext cx="1547" cy="446"/>
                                    <a:chOff x="3786" y="592235"/>
                                    <a:chExt cx="1547" cy="446"/>
                                  </a:xfrm>
                                </wpg:grpSpPr>
                                <wps:wsp>
                                  <wps:cNvPr id="12" name="文本框 5"/>
                                  <wps:cNvSpPr txBox="1"/>
                                  <wps:spPr>
                                    <a:xfrm>
                                      <a:off x="3786" y="592235"/>
                                      <a:ext cx="819" cy="446"/>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468FF417">
                                        <w:pPr>
                                          <w:rPr>
                                            <w:rFonts w:hint="default" w:eastAsia="宋体"/>
                                            <w:lang w:val="en-US" w:eastAsia="zh-CN"/>
                                          </w:rPr>
                                        </w:pPr>
                                        <w:r>
                                          <w:rPr>
                                            <w:rFonts w:hint="eastAsia"/>
                                            <w:lang w:val="en-US" w:eastAsia="zh-CN"/>
                                          </w:rPr>
                                          <w:t>烘干</w:t>
                                        </w:r>
                                      </w:p>
                                    </w:txbxContent>
                                  </wps:txbx>
                                  <wps:bodyPr vert="horz" wrap="square" anchor="t" anchorCtr="0" upright="1"/>
                                </wps:wsp>
                                <wps:wsp>
                                  <wps:cNvPr id="15" name="直接箭头连接符 9"/>
                                  <wps:cNvCnPr>
                                    <a:endCxn id="148" idx="1"/>
                                  </wps:cNvCnPr>
                                  <wps:spPr>
                                    <a:xfrm>
                                      <a:off x="4635" y="592476"/>
                                      <a:ext cx="698" cy="0"/>
                                    </a:xfrm>
                                    <a:prstGeom prst="straightConnector1">
                                      <a:avLst/>
                                    </a:prstGeom>
                                    <a:ln w="12700" cap="flat" cmpd="sng">
                                      <a:solidFill>
                                        <a:srgbClr val="000000"/>
                                      </a:solidFill>
                                      <a:prstDash val="sysDash"/>
                                      <a:round/>
                                      <a:headEnd type="none" w="med" len="med"/>
                                      <a:tailEnd type="arrow" w="med" len="med"/>
                                    </a:ln>
                                  </wps:spPr>
                                  <wps:bodyPr/>
                                </wps:wsp>
                              </wpg:grpSp>
                              <wps:wsp>
                                <wps:cNvPr id="18" name="直接连接符 23"/>
                                <wps:cNvCnPr>
                                  <a:endCxn id="148" idx="1"/>
                                </wps:cNvCnPr>
                                <wps:spPr>
                                  <a:xfrm>
                                    <a:off x="2606" y="589355"/>
                                    <a:ext cx="16" cy="3084"/>
                                  </a:xfrm>
                                  <a:prstGeom prst="line">
                                    <a:avLst/>
                                  </a:prstGeom>
                                  <a:ln w="12700" cap="flat" cmpd="sng">
                                    <a:solidFill>
                                      <a:srgbClr val="000000"/>
                                    </a:solidFill>
                                    <a:prstDash val="solid"/>
                                    <a:round/>
                                    <a:headEnd type="none" w="med" len="med"/>
                                    <a:tailEnd type="none" w="med" len="med"/>
                                  </a:ln>
                                </wps:spPr>
                                <wps:bodyPr/>
                              </wps:wsp>
                              <wps:wsp>
                                <wps:cNvPr id="20" name="直接箭头连接符 47"/>
                                <wps:cNvCnPr>
                                  <a:endCxn id="148" idx="1"/>
                                </wps:cNvCnPr>
                                <wps:spPr>
                                  <a:xfrm>
                                    <a:off x="1718" y="590723"/>
                                    <a:ext cx="858" cy="0"/>
                                  </a:xfrm>
                                  <a:prstGeom prst="straightConnector1">
                                    <a:avLst/>
                                  </a:prstGeom>
                                  <a:ln w="9525" cap="flat" cmpd="sng">
                                    <a:solidFill>
                                      <a:srgbClr val="000000"/>
                                    </a:solidFill>
                                    <a:prstDash val="solid"/>
                                    <a:round/>
                                    <a:headEnd type="none" w="med" len="med"/>
                                    <a:tailEnd type="arrow" w="med" len="med"/>
                                  </a:ln>
                                </wps:spPr>
                                <wps:bodyPr/>
                              </wps:wsp>
                              <wps:wsp>
                                <wps:cNvPr id="21" name="文本框 48"/>
                                <wps:cNvSpPr txBox="1"/>
                                <wps:spPr>
                                  <a:xfrm>
                                    <a:off x="2738" y="589025"/>
                                    <a:ext cx="644" cy="446"/>
                                  </a:xfrm>
                                  <a:prstGeom prst="rect">
                                    <a:avLst/>
                                  </a:prstGeom>
                                  <a:noFill/>
                                  <a:ln w="6350">
                                    <a:noFill/>
                                  </a:ln>
                                </wps:spPr>
                                <wps:txbx>
                                  <w:txbxContent>
                                    <w:p w14:paraId="224C13F3">
                                      <w:pPr>
                                        <w:rPr>
                                          <w:rFonts w:hint="default" w:eastAsia="宋体"/>
                                          <w:highlight w:val="none"/>
                                          <w:lang w:val="en-US" w:eastAsia="zh-CN"/>
                                        </w:rPr>
                                      </w:pPr>
                                      <w:r>
                                        <w:rPr>
                                          <w:rFonts w:hint="eastAsia"/>
                                          <w:highlight w:val="none"/>
                                          <w:lang w:val="en-US" w:eastAsia="zh-CN"/>
                                        </w:rPr>
                                        <w:t>480</w:t>
                                      </w:r>
                                    </w:p>
                                  </w:txbxContent>
                                </wps:txbx>
                                <wps:bodyPr vert="horz" wrap="square" anchor="t" anchorCtr="0" upright="1"/>
                              </wps:wsp>
                              <wps:wsp>
                                <wps:cNvPr id="22" name="文本框 52"/>
                                <wps:cNvSpPr txBox="1"/>
                                <wps:spPr>
                                  <a:xfrm>
                                    <a:off x="1705" y="590373"/>
                                    <a:ext cx="880" cy="446"/>
                                  </a:xfrm>
                                  <a:prstGeom prst="rect">
                                    <a:avLst/>
                                  </a:prstGeom>
                                  <a:noFill/>
                                  <a:ln w="6350">
                                    <a:noFill/>
                                  </a:ln>
                                </wps:spPr>
                                <wps:txbx>
                                  <w:txbxContent>
                                    <w:p w14:paraId="7B9DF0CD">
                                      <w:pPr>
                                        <w:rPr>
                                          <w:rFonts w:hint="default" w:eastAsia="宋体"/>
                                          <w:highlight w:val="none"/>
                                          <w:lang w:val="en-US" w:eastAsia="zh-CN"/>
                                        </w:rPr>
                                      </w:pPr>
                                      <w:r>
                                        <w:rPr>
                                          <w:rFonts w:hint="eastAsia"/>
                                          <w:highlight w:val="none"/>
                                          <w:lang w:val="en-US" w:eastAsia="zh-CN"/>
                                        </w:rPr>
                                        <w:t>2400</w:t>
                                      </w:r>
                                    </w:p>
                                  </w:txbxContent>
                                </wps:txbx>
                                <wps:bodyPr vert="horz" wrap="square" anchor="t" anchorCtr="0" upright="1"/>
                              </wps:wsp>
                            </wpg:grpSp>
                            <wps:wsp>
                              <wps:cNvPr id="26" name="直接箭头连接符 94"/>
                              <wps:cNvCnPr>
                                <a:endCxn id="148" idx="1"/>
                              </wps:cNvCnPr>
                              <wps:spPr>
                                <a:xfrm flipV="1">
                                  <a:off x="7140" y="573715"/>
                                  <a:ext cx="961" cy="7"/>
                                </a:xfrm>
                                <a:prstGeom prst="straightConnector1">
                                  <a:avLst/>
                                </a:prstGeom>
                                <a:ln w="9525" cap="flat" cmpd="sng">
                                  <a:solidFill>
                                    <a:srgbClr val="000000"/>
                                  </a:solidFill>
                                  <a:prstDash val="solid"/>
                                  <a:round/>
                                  <a:headEnd type="none" w="med" len="med"/>
                                  <a:tailEnd type="arrow" w="med" len="med"/>
                                </a:ln>
                              </wps:spPr>
                              <wps:bodyPr/>
                            </wps:wsp>
                            <wps:wsp>
                              <wps:cNvPr id="28" name="文本框 95"/>
                              <wps:cNvSpPr txBox="1"/>
                              <wps:spPr>
                                <a:xfrm>
                                  <a:off x="8091" y="573451"/>
                                  <a:ext cx="753" cy="446"/>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0B7BC0B7">
                                    <w:pPr>
                                      <w:rPr>
                                        <w:rFonts w:hint="default" w:eastAsia="宋体"/>
                                        <w:lang w:val="en-US" w:eastAsia="zh-CN"/>
                                      </w:rPr>
                                    </w:pPr>
                                    <w:r>
                                      <w:rPr>
                                        <w:rFonts w:hint="eastAsia"/>
                                        <w:lang w:val="en-US" w:eastAsia="zh-CN"/>
                                      </w:rPr>
                                      <w:t>成型</w:t>
                                    </w:r>
                                  </w:p>
                                </w:txbxContent>
                              </wps:txbx>
                              <wps:bodyPr vert="horz" wrap="square" anchor="t" anchorCtr="0" upright="1"/>
                            </wps:wsp>
                            <wps:wsp>
                              <wps:cNvPr id="29" name="文本框 96"/>
                              <wps:cNvSpPr txBox="1"/>
                              <wps:spPr>
                                <a:xfrm>
                                  <a:off x="7189" y="573314"/>
                                  <a:ext cx="812" cy="446"/>
                                </a:xfrm>
                                <a:prstGeom prst="rect">
                                  <a:avLst/>
                                </a:prstGeom>
                                <a:noFill/>
                                <a:ln w="6350">
                                  <a:noFill/>
                                </a:ln>
                              </wps:spPr>
                              <wps:txbx>
                                <w:txbxContent>
                                  <w:p w14:paraId="6CEED9C1">
                                    <w:pPr>
                                      <w:rPr>
                                        <w:rFonts w:hint="default" w:eastAsia="宋体"/>
                                        <w:highlight w:val="none"/>
                                        <w:lang w:val="en-US" w:eastAsia="zh-CN"/>
                                      </w:rPr>
                                    </w:pPr>
                                    <w:r>
                                      <w:rPr>
                                        <w:rFonts w:hint="eastAsia"/>
                                        <w:highlight w:val="none"/>
                                        <w:lang w:val="en-US" w:eastAsia="zh-CN"/>
                                      </w:rPr>
                                      <w:t>1680</w:t>
                                    </w:r>
                                  </w:p>
                                </w:txbxContent>
                              </wps:txbx>
                              <wps:bodyPr vert="horz" wrap="square" anchor="t" anchorCtr="0" upright="1"/>
                            </wps:wsp>
                            <wps:wsp>
                              <wps:cNvPr id="30" name="文本框 97"/>
                              <wps:cNvSpPr txBox="1"/>
                              <wps:spPr>
                                <a:xfrm>
                                  <a:off x="7162" y="574587"/>
                                  <a:ext cx="744" cy="446"/>
                                </a:xfrm>
                                <a:prstGeom prst="rect">
                                  <a:avLst/>
                                </a:prstGeom>
                                <a:noFill/>
                                <a:ln w="6350">
                                  <a:noFill/>
                                </a:ln>
                              </wps:spPr>
                              <wps:txbx>
                                <w:txbxContent>
                                  <w:p w14:paraId="63977E5E">
                                    <w:pPr>
                                      <w:rPr>
                                        <w:rFonts w:hint="default" w:eastAsia="宋体"/>
                                        <w:highlight w:val="none"/>
                                        <w:lang w:val="en-US" w:eastAsia="zh-CN"/>
                                      </w:rPr>
                                    </w:pPr>
                                    <w:r>
                                      <w:rPr>
                                        <w:rFonts w:hint="eastAsia"/>
                                        <w:highlight w:val="none"/>
                                        <w:lang w:val="en-US" w:eastAsia="zh-CN"/>
                                      </w:rPr>
                                      <w:t>240</w:t>
                                    </w:r>
                                  </w:p>
                                </w:txbxContent>
                              </wps:txbx>
                              <wps:bodyPr vert="horz" wrap="square" anchor="t" anchorCtr="0" upright="1"/>
                            </wps:wsp>
                            <wps:wsp>
                              <wps:cNvPr id="33" name="直接连接符 99"/>
                              <wps:cNvCnPr>
                                <a:endCxn id="148" idx="1"/>
                              </wps:cNvCnPr>
                              <wps:spPr>
                                <a:xfrm>
                                  <a:off x="10450" y="572316"/>
                                  <a:ext cx="0" cy="434"/>
                                </a:xfrm>
                                <a:prstGeom prst="line">
                                  <a:avLst/>
                                </a:prstGeom>
                                <a:ln w="12700" cap="flat" cmpd="sng">
                                  <a:solidFill>
                                    <a:srgbClr val="000000"/>
                                  </a:solidFill>
                                  <a:prstDash val="solid"/>
                                  <a:round/>
                                  <a:headEnd type="none" w="med" len="med"/>
                                  <a:tailEnd type="arrow" w="med" len="med"/>
                                </a:ln>
                              </wps:spPr>
                              <wps:bodyPr/>
                            </wps:wsp>
                            <wps:wsp>
                              <wps:cNvPr id="34" name="直接箭头连接符 100"/>
                              <wps:cNvCnPr>
                                <a:endCxn id="148" idx="1"/>
                              </wps:cNvCnPr>
                              <wps:spPr>
                                <a:xfrm flipV="1">
                                  <a:off x="9024" y="571972"/>
                                  <a:ext cx="1034" cy="11"/>
                                </a:xfrm>
                                <a:prstGeom prst="straightConnector1">
                                  <a:avLst/>
                                </a:prstGeom>
                                <a:ln w="9525" cap="flat" cmpd="sng">
                                  <a:solidFill>
                                    <a:srgbClr val="000000"/>
                                  </a:solidFill>
                                  <a:prstDash val="solid"/>
                                  <a:round/>
                                  <a:headEnd type="none" w="med" len="med"/>
                                  <a:tailEnd type="arrow" w="med" len="med"/>
                                </a:ln>
                              </wps:spPr>
                              <wps:bodyPr/>
                            </wps:wsp>
                            <wps:wsp>
                              <wps:cNvPr id="47" name="直接箭头连接符 101"/>
                              <wps:cNvCnPr>
                                <a:endCxn id="148" idx="1"/>
                              </wps:cNvCnPr>
                              <wps:spPr>
                                <a:xfrm>
                                  <a:off x="11075" y="572971"/>
                                  <a:ext cx="651" cy="4"/>
                                </a:xfrm>
                                <a:prstGeom prst="straightConnector1">
                                  <a:avLst/>
                                </a:prstGeom>
                                <a:ln w="9525" cap="flat" cmpd="sng">
                                  <a:solidFill>
                                    <a:srgbClr val="000000"/>
                                  </a:solidFill>
                                  <a:prstDash val="solid"/>
                                  <a:round/>
                                  <a:headEnd type="none" w="med" len="med"/>
                                  <a:tailEnd type="none" w="med" len="med"/>
                                </a:ln>
                              </wps:spPr>
                              <wps:bodyPr/>
                            </wps:wsp>
                            <wps:wsp>
                              <wps:cNvPr id="48" name="文本框 102"/>
                              <wps:cNvSpPr txBox="1"/>
                              <wps:spPr>
                                <a:xfrm>
                                  <a:off x="10075" y="571611"/>
                                  <a:ext cx="970" cy="67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2550097D">
                                    <w:pPr>
                                      <w:rPr>
                                        <w:rFonts w:hint="default" w:eastAsia="宋体"/>
                                        <w:lang w:val="en-US" w:eastAsia="zh-CN"/>
                                      </w:rPr>
                                    </w:pPr>
                                    <w:r>
                                      <w:rPr>
                                        <w:rFonts w:hint="eastAsia"/>
                                        <w:lang w:val="en-US" w:eastAsia="zh-CN"/>
                                      </w:rPr>
                                      <w:t>集气罩收集</w:t>
                                    </w:r>
                                  </w:p>
                                </w:txbxContent>
                              </wps:txbx>
                              <wps:bodyPr vert="horz" wrap="square" anchor="t" anchorCtr="0" upright="1"/>
                            </wps:wsp>
                            <wps:wsp>
                              <wps:cNvPr id="49" name="文本框 103"/>
                              <wps:cNvSpPr txBox="1"/>
                              <wps:spPr>
                                <a:xfrm>
                                  <a:off x="9949" y="572722"/>
                                  <a:ext cx="1117" cy="758"/>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798FB46D">
                                    <w:pPr>
                                      <w:rPr>
                                        <w:rFonts w:hint="default" w:eastAsia="宋体"/>
                                        <w:lang w:val="en-US" w:eastAsia="zh-CN"/>
                                      </w:rPr>
                                    </w:pPr>
                                    <w:r>
                                      <w:rPr>
                                        <w:rFonts w:hint="eastAsia"/>
                                        <w:lang w:val="en-US" w:eastAsia="zh-CN"/>
                                      </w:rPr>
                                      <w:t>气液分离装置</w:t>
                                    </w:r>
                                  </w:p>
                                </w:txbxContent>
                              </wps:txbx>
                              <wps:bodyPr vert="horz" wrap="square" anchor="t" anchorCtr="0" upright="1"/>
                            </wps:wsp>
                            <wps:wsp>
                              <wps:cNvPr id="51" name="直接箭头连接符 104"/>
                              <wps:cNvCnPr>
                                <a:endCxn id="148" idx="1"/>
                              </wps:cNvCnPr>
                              <wps:spPr>
                                <a:xfrm flipV="1">
                                  <a:off x="11703" y="572606"/>
                                  <a:ext cx="604" cy="9"/>
                                </a:xfrm>
                                <a:prstGeom prst="straightConnector1">
                                  <a:avLst/>
                                </a:prstGeom>
                                <a:ln w="9525" cap="flat" cmpd="sng">
                                  <a:solidFill>
                                    <a:srgbClr val="000000"/>
                                  </a:solidFill>
                                  <a:prstDash val="solid"/>
                                  <a:round/>
                                  <a:headEnd type="none" w="med" len="med"/>
                                  <a:tailEnd type="arrow" w="med" len="med"/>
                                </a:ln>
                              </wps:spPr>
                              <wps:bodyPr/>
                            </wps:wsp>
                            <wps:wsp>
                              <wps:cNvPr id="52" name="直接箭头连接符 105"/>
                              <wps:cNvCnPr>
                                <a:endCxn id="148" idx="1"/>
                              </wps:cNvCnPr>
                              <wps:spPr>
                                <a:xfrm flipV="1">
                                  <a:off x="11671" y="573286"/>
                                  <a:ext cx="604" cy="9"/>
                                </a:xfrm>
                                <a:prstGeom prst="straightConnector1">
                                  <a:avLst/>
                                </a:prstGeom>
                                <a:ln w="9525" cap="flat" cmpd="sng">
                                  <a:solidFill>
                                    <a:srgbClr val="000000"/>
                                  </a:solidFill>
                                  <a:prstDash val="solid"/>
                                  <a:round/>
                                  <a:headEnd type="none" w="med" len="med"/>
                                  <a:tailEnd type="arrow" w="med" len="med"/>
                                </a:ln>
                              </wps:spPr>
                              <wps:bodyPr/>
                            </wps:wsp>
                            <wps:wsp>
                              <wps:cNvPr id="53" name="文本框 106"/>
                              <wps:cNvSpPr txBox="1"/>
                              <wps:spPr>
                                <a:xfrm>
                                  <a:off x="12360" y="572424"/>
                                  <a:ext cx="1142" cy="403"/>
                                </a:xfrm>
                                <a:prstGeom prst="rect">
                                  <a:avLst/>
                                </a:prstGeom>
                                <a:noFill/>
                                <a:ln w="6350">
                                  <a:noFill/>
                                </a:ln>
                              </wps:spPr>
                              <wps:txbx>
                                <w:txbxContent>
                                  <w:p w14:paraId="42D20E4D">
                                    <w:pPr>
                                      <w:rPr>
                                        <w:rFonts w:hint="default" w:eastAsia="宋体"/>
                                        <w:lang w:val="en-US" w:eastAsia="zh-CN"/>
                                      </w:rPr>
                                    </w:pPr>
                                    <w:r>
                                      <w:rPr>
                                        <w:rFonts w:hint="eastAsia"/>
                                        <w:lang w:val="en-US" w:eastAsia="zh-CN"/>
                                      </w:rPr>
                                      <w:t>冷却系统</w:t>
                                    </w:r>
                                  </w:p>
                                </w:txbxContent>
                              </wps:txbx>
                              <wps:bodyPr vert="horz" wrap="square" anchor="t" anchorCtr="0" upright="1"/>
                            </wps:wsp>
                            <wps:wsp>
                              <wps:cNvPr id="54" name="文本框 107"/>
                              <wps:cNvSpPr txBox="1"/>
                              <wps:spPr>
                                <a:xfrm>
                                  <a:off x="12227" y="573074"/>
                                  <a:ext cx="1405" cy="454"/>
                                </a:xfrm>
                                <a:prstGeom prst="rect">
                                  <a:avLst/>
                                </a:prstGeom>
                                <a:noFill/>
                                <a:ln w="6350">
                                  <a:noFill/>
                                </a:ln>
                              </wps:spPr>
                              <wps:txbx>
                                <w:txbxContent>
                                  <w:p w14:paraId="3A5D19F4">
                                    <w:pPr>
                                      <w:rPr>
                                        <w:rFonts w:hint="default" w:eastAsia="宋体"/>
                                        <w:lang w:val="en-US" w:eastAsia="zh-CN"/>
                                      </w:rPr>
                                    </w:pPr>
                                    <w:r>
                                      <w:rPr>
                                        <w:rFonts w:hint="eastAsia"/>
                                        <w:lang w:val="en-US" w:eastAsia="zh-CN"/>
                                      </w:rPr>
                                      <w:t>DA001排放</w:t>
                                    </w:r>
                                  </w:p>
                                </w:txbxContent>
                              </wps:txbx>
                              <wps:bodyPr vert="horz" wrap="square" anchor="t" anchorCtr="0" upright="1"/>
                            </wps:wsp>
                            <wps:wsp>
                              <wps:cNvPr id="55" name="文本框 110"/>
                              <wps:cNvSpPr txBox="1"/>
                              <wps:spPr>
                                <a:xfrm>
                                  <a:off x="8324" y="574158"/>
                                  <a:ext cx="812" cy="446"/>
                                </a:xfrm>
                                <a:prstGeom prst="rect">
                                  <a:avLst/>
                                </a:prstGeom>
                                <a:noFill/>
                                <a:ln w="6350">
                                  <a:noFill/>
                                </a:ln>
                              </wps:spPr>
                              <wps:txbx>
                                <w:txbxContent>
                                  <w:p w14:paraId="257C1239">
                                    <w:pPr>
                                      <w:rPr>
                                        <w:rFonts w:hint="default" w:eastAsia="宋体"/>
                                        <w:highlight w:val="none"/>
                                        <w:lang w:val="en-US" w:eastAsia="zh-CN"/>
                                      </w:rPr>
                                    </w:pPr>
                                    <w:r>
                                      <w:rPr>
                                        <w:rFonts w:hint="eastAsia"/>
                                        <w:highlight w:val="none"/>
                                        <w:lang w:val="en-US" w:eastAsia="zh-CN"/>
                                      </w:rPr>
                                      <w:t>1680</w:t>
                                    </w:r>
                                  </w:p>
                                </w:txbxContent>
                              </wps:txbx>
                              <wps:bodyPr vert="horz" wrap="square" anchor="t" anchorCtr="0" upright="1"/>
                            </wps:wsp>
                            <wps:wsp>
                              <wps:cNvPr id="56" name="文本框 147"/>
                              <wps:cNvSpPr txBox="1"/>
                              <wps:spPr>
                                <a:xfrm>
                                  <a:off x="9169" y="571512"/>
                                  <a:ext cx="644" cy="446"/>
                                </a:xfrm>
                                <a:prstGeom prst="rect">
                                  <a:avLst/>
                                </a:prstGeom>
                                <a:noFill/>
                                <a:ln w="6350">
                                  <a:noFill/>
                                </a:ln>
                              </wps:spPr>
                              <wps:txbx>
                                <w:txbxContent>
                                  <w:p w14:paraId="102F7E6C">
                                    <w:pPr>
                                      <w:rPr>
                                        <w:rFonts w:hint="default" w:eastAsia="宋体"/>
                                        <w:highlight w:val="none"/>
                                        <w:lang w:val="en-US" w:eastAsia="zh-CN"/>
                                      </w:rPr>
                                    </w:pPr>
                                    <w:r>
                                      <w:rPr>
                                        <w:rFonts w:hint="eastAsia"/>
                                        <w:highlight w:val="none"/>
                                        <w:lang w:val="en-US" w:eastAsia="zh-CN"/>
                                      </w:rPr>
                                      <w:t>480</w:t>
                                    </w:r>
                                  </w:p>
                                </w:txbxContent>
                              </wps:txbx>
                              <wps:bodyPr vert="horz" wrap="square" anchor="t" anchorCtr="0" upright="1"/>
                            </wps:wsp>
                            <wps:wsp>
                              <wps:cNvPr id="58" name="文本框 154"/>
                              <wps:cNvSpPr txBox="1"/>
                              <wps:spPr>
                                <a:xfrm>
                                  <a:off x="10481" y="572242"/>
                                  <a:ext cx="677" cy="446"/>
                                </a:xfrm>
                                <a:prstGeom prst="rect">
                                  <a:avLst/>
                                </a:prstGeom>
                                <a:noFill/>
                                <a:ln w="6350">
                                  <a:noFill/>
                                </a:ln>
                              </wps:spPr>
                              <wps:txbx>
                                <w:txbxContent>
                                  <w:p w14:paraId="0E152CD4">
                                    <w:pPr>
                                      <w:rPr>
                                        <w:rFonts w:hint="default" w:eastAsia="宋体"/>
                                        <w:highlight w:val="none"/>
                                        <w:lang w:val="en-US" w:eastAsia="zh-CN"/>
                                      </w:rPr>
                                    </w:pPr>
                                    <w:r>
                                      <w:rPr>
                                        <w:rFonts w:hint="eastAsia"/>
                                        <w:highlight w:val="none"/>
                                        <w:lang w:val="en-US" w:eastAsia="zh-CN"/>
                                      </w:rPr>
                                      <w:t>480</w:t>
                                    </w:r>
                                  </w:p>
                                </w:txbxContent>
                              </wps:txbx>
                              <wps:bodyPr vert="horz" wrap="square" anchor="t" anchorCtr="0" upright="1"/>
                            </wps:wsp>
                            <wps:wsp>
                              <wps:cNvPr id="64" name="文本框 155"/>
                              <wps:cNvSpPr txBox="1"/>
                              <wps:spPr>
                                <a:xfrm>
                                  <a:off x="11637" y="572182"/>
                                  <a:ext cx="677" cy="446"/>
                                </a:xfrm>
                                <a:prstGeom prst="rect">
                                  <a:avLst/>
                                </a:prstGeom>
                                <a:noFill/>
                                <a:ln w="6350">
                                  <a:noFill/>
                                </a:ln>
                              </wps:spPr>
                              <wps:txbx>
                                <w:txbxContent>
                                  <w:p w14:paraId="125BBAD8">
                                    <w:pPr>
                                      <w:rPr>
                                        <w:rFonts w:hint="default" w:eastAsia="宋体"/>
                                        <w:highlight w:val="none"/>
                                        <w:lang w:val="en-US" w:eastAsia="zh-CN"/>
                                      </w:rPr>
                                    </w:pPr>
                                    <w:r>
                                      <w:rPr>
                                        <w:rFonts w:hint="eastAsia"/>
                                        <w:highlight w:val="none"/>
                                        <w:lang w:val="en-US" w:eastAsia="zh-CN"/>
                                      </w:rPr>
                                      <w:t>456</w:t>
                                    </w:r>
                                  </w:p>
                                </w:txbxContent>
                              </wps:txbx>
                              <wps:bodyPr vert="horz" wrap="square" anchor="t" anchorCtr="0" upright="1"/>
                            </wps:wsp>
                            <wps:wsp>
                              <wps:cNvPr id="65" name="文本框 157"/>
                              <wps:cNvSpPr txBox="1"/>
                              <wps:spPr>
                                <a:xfrm>
                                  <a:off x="11693" y="572872"/>
                                  <a:ext cx="677" cy="446"/>
                                </a:xfrm>
                                <a:prstGeom prst="rect">
                                  <a:avLst/>
                                </a:prstGeom>
                                <a:noFill/>
                                <a:ln w="6350">
                                  <a:noFill/>
                                </a:ln>
                              </wps:spPr>
                              <wps:txbx>
                                <w:txbxContent>
                                  <w:p w14:paraId="225946B5">
                                    <w:pPr>
                                      <w:rPr>
                                        <w:rFonts w:hint="default" w:eastAsia="宋体"/>
                                        <w:highlight w:val="none"/>
                                        <w:lang w:val="en-US" w:eastAsia="zh-CN"/>
                                      </w:rPr>
                                    </w:pPr>
                                    <w:r>
                                      <w:rPr>
                                        <w:rFonts w:hint="eastAsia"/>
                                        <w:highlight w:val="none"/>
                                        <w:lang w:val="en-US" w:eastAsia="zh-CN"/>
                                      </w:rPr>
                                      <w:t>24</w:t>
                                    </w:r>
                                  </w:p>
                                </w:txbxContent>
                              </wps:txbx>
                              <wps:bodyPr vert="horz" wrap="square" anchor="t" anchorCtr="0" upright="1"/>
                            </wps:wsp>
                          </wpg:wgp>
                        </a:graphicData>
                      </a:graphic>
                    </wp:anchor>
                  </w:drawing>
                </mc:Choice>
                <mc:Fallback>
                  <w:pict>
                    <v:group id="组合 137" o:spid="_x0000_s1026" o:spt="203" style="position:absolute;left:0pt;margin-left:13.65pt;margin-top:3.9pt;height:196.75pt;width:368.2pt;z-index:251695104;mso-width-relative:page;mso-height-relative:page;" coordorigin="6267,571512" coordsize="7364,3935" o:gfxdata="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">
                      <o:lock v:ext="edit" aspectratio="f"/>
                      <v:group id="组合 53" o:spid="_x0000_s1026" o:spt="203" style="position:absolute;left:6267;top:571635;height:3813;width:5417;" coordorigin="1705,589025" coordsize="5417,3813" o:gfxdata="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zLDF370AAADbAAAADwAAAAAAAAABACAAAAAiAAAAZHJzL2Rvd25yZXYueG1s&#10;UEsBAhQAFAAAAAgAh07iQDMvBZ47AAAAOQAAABUAAAAAAAAAAQAgAAAADAEAAGRycy9ncm91cHNo&#10;YXBleG1sLnhtbFBLBQYAAAAABgAGAGABAADJAwAAAAA=&#10;">
                        <o:lock v:ext="edit" aspectratio="f"/>
                        <v:shape id="直接箭头连接符 10" o:spid="_x0000_s1026" o:spt="32" type="#_x0000_t32" style="position:absolute;left:2638;top:589356;flip:y;height:11;width:1034;" filled="f" stroked="t" coordsize="21600,21600" o:gfxdata="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tgPly8AAAA&#10;2g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shape>
                        <v:shape id="文本框 11" o:spid="_x0000_s1026" o:spt="202" type="#_x0000_t202" style="position:absolute;left:3657;top:589128;height:446;width:753;" fillcolor="#FFFFFF" filled="t" stroked="t" coordsize="21600,21600" o:gfxdata="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HZVC/C2AAAA2gAAAA8A&#10;AAAAAAAAAQAgAAAAIgAAAGRycy9kb3ducmV2LnhtbFBLAQIUABQAAAAIAIdO4kAzLwWeOwAAADkA&#10;AAAQAAAAAAAAAAEAIAAAAAUBAABkcnMvc2hhcGV4bWwueG1sUEsFBgAAAAAGAAYAWwEAAK8DAAAA&#10;AA==&#10;">
                          <v:fill on="t" focussize="0,0"/>
                          <v:stroke weight="0.5pt" color="#000000" joinstyle="round"/>
                          <v:imagedata o:title=""/>
                          <o:lock v:ext="edit" aspectratio="f"/>
                          <v:textbox>
                            <w:txbxContent>
                              <w:p w14:paraId="5106BDDD">
                                <w:pPr>
                                  <w:rPr>
                                    <w:rFonts w:hint="default" w:eastAsia="宋体"/>
                                    <w:lang w:val="en-US" w:eastAsia="zh-CN"/>
                                  </w:rPr>
                                </w:pPr>
                                <w:r>
                                  <w:rPr>
                                    <w:rFonts w:hint="eastAsia"/>
                                    <w:lang w:val="en-US" w:eastAsia="zh-CN"/>
                                  </w:rPr>
                                  <w:t>发泡</w:t>
                                </w:r>
                              </w:p>
                            </w:txbxContent>
                          </v:textbox>
                        </v:shape>
                        <v:shape id="文本框 15" o:spid="_x0000_s1026" o:spt="202" type="#_x0000_t202" style="position:absolute;left:1800;top:590807;height:446;width:1108;" filled="f" stroked="f" coordsize="21600,21600" o:gfxdata="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EkpHL4A&#10;AADa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6B2B02AA">
                                <w:pPr>
                                  <w:rPr>
                                    <w:rFonts w:hint="eastAsia" w:eastAsia="宋体"/>
                                    <w:lang w:val="en-US" w:eastAsia="zh-CN"/>
                                  </w:rPr>
                                </w:pPr>
                                <w:r>
                                  <w:rPr>
                                    <w:rFonts w:hint="eastAsia"/>
                                    <w:lang w:val="en-US" w:eastAsia="zh-CN"/>
                                  </w:rPr>
                                  <w:t>蒸汽</w:t>
                                </w:r>
                              </w:p>
                            </w:txbxContent>
                          </v:textbox>
                        </v:shape>
                        <v:shape id="文本框 17" o:spid="_x0000_s1026" o:spt="202" type="#_x0000_t202" style="position:absolute;left:4309;top:592060;height:378;width:881;" filled="f" stroked="f" coordsize="21600,21600" o:gfxdata="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m7drvQAA&#10;ANo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02EBDC2F">
                                <w:pPr>
                                  <w:rPr>
                                    <w:rFonts w:hint="default" w:eastAsia="宋体"/>
                                    <w:lang w:val="en-US" w:eastAsia="zh-CN"/>
                                  </w:rPr>
                                </w:pPr>
                                <w:r>
                                  <w:rPr>
                                    <w:rFonts w:hint="eastAsia"/>
                                    <w:lang w:val="en-US" w:eastAsia="zh-CN"/>
                                  </w:rPr>
                                  <w:t>1920</w:t>
                                </w:r>
                              </w:p>
                            </w:txbxContent>
                          </v:textbox>
                        </v:shape>
                        <v:group id="组合 2" o:spid="_x0000_s1026" o:spt="203" style="position:absolute;left:4984;top:590022;height:2816;width:2138;" coordorigin="6330,591113" coordsize="2138,2816" o:gfxdata="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PW/Q36+AAAA2gAAAA8AAAAAAAAAAQAgAAAAIgAAAGRycy9kb3ducmV2Lnht&#10;bFBLAQIUABQAAAAIAIdO4kAzLwWeOwAAADkAAAAVAAAAAAAAAAEAIAAAAA0BAABkcnMvZ3JvdXBz&#10;aGFwZXhtbC54bWxQSwUGAAAAAAYABgBgAQAAygMAAAAA&#10;">
                          <o:lock v:ext="edit" aspectratio="f"/>
                          <v:shape id="文本框 28" o:spid="_x0000_s1026" o:spt="202" type="#_x0000_t202" style="position:absolute;left:6330;top:593219;height:710;width:782;" filled="f" stroked="f" coordsize="21600,21600" o:gfxdata="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PXEvC/&#10;AAAA2g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3C2737CD">
                                  <w:pPr>
                                    <w:rPr>
                                      <w:rFonts w:hint="default" w:eastAsia="宋体"/>
                                      <w:lang w:val="en-US" w:eastAsia="zh-CN"/>
                                    </w:rPr>
                                  </w:pPr>
                                  <w:r>
                                    <w:rPr>
                                      <w:rFonts w:hint="eastAsia"/>
                                      <w:lang w:val="en-US" w:eastAsia="zh-CN"/>
                                    </w:rPr>
                                    <w:t>冷却系统</w:t>
                                  </w:r>
                                </w:p>
                              </w:txbxContent>
                            </v:textbox>
                          </v:shape>
                          <v:shape id="直接箭头连接符 78" o:spid="_x0000_s1026" o:spt="32" type="#_x0000_t32" style="position:absolute;left:8468;top:591113;flip:y;height:667;width:0;" filled="f" stroked="t" coordsize="21600,21600" o:gfxdata="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B/Qq9tAAAANoAAAAPAAAA&#10;AAAAAAEAIAAAACIAAABkcnMvZG93bnJldi54bWxQSwECFAAUAAAACACHTuJAMy8FnjsAAAA5AAAA&#10;EAAAAAAAAAABACAAAAADAQAAZHJzL3NoYXBleG1sLnhtbFBLBQYAAAAABgAGAFsBAACtAwAAAAA=&#10;">
                            <v:fill on="f" focussize="0,0"/>
                            <v:stroke color="#000000" joinstyle="round"/>
                            <v:imagedata o:title=""/>
                            <o:lock v:ext="edit" aspectratio="f"/>
                          </v:shape>
                        </v:group>
                        <v:shape id="直接箭头连接符 8" o:spid="_x0000_s1026" o:spt="32" type="#_x0000_t32" style="position:absolute;left:3873;top:591339;flip:x;height:883;width:17;" filled="f" stroked="t" coordsize="21600,21600" o:gfxdata="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bCpfr4A&#10;AADb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shape>
                        <v:shape id="直接箭头连接符 20" o:spid="_x0000_s1026" o:spt="32" type="#_x0000_t32" style="position:absolute;left:2621;top:592402;height:3;width:835;" filled="f" stroked="t" coordsize="21600,21600" o:gfxdata="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MXDfq5AAAA2wAA&#10;AA8AAAAAAAAAAQAgAAAAIgAAAGRycy9kb3ducmV2LnhtbFBLAQIUABQAAAAIAIdO4kAzLwWeOwAA&#10;ADkAAAAQAAAAAAAAAAEAIAAAAAgBAABkcnMvc2hhcGV4bWwueG1sUEsFBgAAAAAGAAYAWwEAALID&#10;AAAAAA==&#10;">
                          <v:fill on="f" focussize="0,0"/>
                          <v:stroke color="#000000" joinstyle="round" endarrow="open"/>
                          <v:imagedata o:title=""/>
                          <o:lock v:ext="edit" aspectratio="f"/>
                        </v:shape>
                        <v:group id="组合 21" o:spid="_x0000_s1026" o:spt="203" style="position:absolute;left:3450;top:592198;height:446;width:1547;" coordorigin="3786,592235" coordsize="1547,446" o:gfxdata="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fecJYb0AAADbAAAADwAAAAAAAAABACAAAAAiAAAAZHJzL2Rvd25yZXYueG1s&#10;UEsBAhQAFAAAAAgAh07iQDMvBZ47AAAAOQAAABUAAAAAAAAAAQAgAAAADAEAAGRycy9ncm91cHNo&#10;YXBleG1sLnhtbFBLBQYAAAAABgAGAGABAADJAwAAAAA=&#10;">
                          <o:lock v:ext="edit" aspectratio="f"/>
                          <v:shape id="文本框 5" o:spid="_x0000_s1026" o:spt="202" type="#_x0000_t202" style="position:absolute;left:3786;top:592235;height:446;width:819;" fillcolor="#FFFFFF" filled="t" stroked="t" coordsize="21600,21600" o:gfxdata="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BjarnKtAAAANsAAAAPAAAA&#10;AAAAAAEAIAAAACIAAABkcnMvZG93bnJldi54bWxQSwECFAAUAAAACACHTuJAMy8FnjsAAAA5AAAA&#10;EAAAAAAAAAABACAAAAADAQAAZHJzL3NoYXBleG1sLnhtbFBLBQYAAAAABgAGAFsBAACtAwAAAAA=&#10;">
                            <v:fill on="t" focussize="0,0"/>
                            <v:stroke weight="0.5pt" color="#000000" joinstyle="round"/>
                            <v:imagedata o:title=""/>
                            <o:lock v:ext="edit" aspectratio="f"/>
                            <v:textbox>
                              <w:txbxContent>
                                <w:p w14:paraId="468FF417">
                                  <w:pPr>
                                    <w:rPr>
                                      <w:rFonts w:hint="default" w:eastAsia="宋体"/>
                                      <w:lang w:val="en-US" w:eastAsia="zh-CN"/>
                                    </w:rPr>
                                  </w:pPr>
                                  <w:r>
                                    <w:rPr>
                                      <w:rFonts w:hint="eastAsia"/>
                                      <w:lang w:val="en-US" w:eastAsia="zh-CN"/>
                                    </w:rPr>
                                    <w:t>烘干</w:t>
                                  </w:r>
                                </w:p>
                              </w:txbxContent>
                            </v:textbox>
                          </v:shape>
                          <v:shape id="直接箭头连接符 9" o:spid="_x0000_s1026" o:spt="32" type="#_x0000_t32" style="position:absolute;left:4635;top:592476;height:0;width:698;" filled="f" stroked="t" coordsize="21600,21600" o:gfxdata="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NgnOugAAANsA&#10;AAAPAAAAAAAAAAEAIAAAACIAAABkcnMvZG93bnJldi54bWxQSwECFAAUAAAACACHTuJAMy8FnjsA&#10;AAA5AAAAEAAAAAAAAAABACAAAAAJAQAAZHJzL3NoYXBleG1sLnhtbFBLBQYAAAAABgAGAFsBAACz&#10;AwAAAAA=&#10;">
                            <v:fill on="f" focussize="0,0"/>
                            <v:stroke weight="1pt" color="#000000" joinstyle="round" dashstyle="3 1" endarrow="open"/>
                            <v:imagedata o:title=""/>
                            <o:lock v:ext="edit" aspectratio="f"/>
                          </v:shape>
                        </v:group>
                        <v:line id="直接连接符 23" o:spid="_x0000_s1026" o:spt="20" style="position:absolute;left:2606;top:589355;height:3084;width:16;" filled="f" stroked="t" coordsize="21600,21600" o:gfxdata="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Qf3rr4A&#10;AADb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shape id="直接箭头连接符 47" o:spid="_x0000_s1026" o:spt="32" type="#_x0000_t32" style="position:absolute;left:1718;top:590723;height:0;width:858;" filled="f" stroked="t" coordsize="21600,21600" o:gfxdata="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I3Yty5AAAA2wAA&#10;AA8AAAAAAAAAAQAgAAAAIgAAAGRycy9kb3ducmV2LnhtbFBLAQIUABQAAAAIAIdO4kAzLwWeOwAA&#10;ADkAAAAQAAAAAAAAAAEAIAAAAAgBAABkcnMvc2hhcGV4bWwueG1sUEsFBgAAAAAGAAYAWwEAALID&#10;AAAAAA==&#10;">
                          <v:fill on="f" focussize="0,0"/>
                          <v:stroke color="#000000" joinstyle="round" endarrow="open"/>
                          <v:imagedata o:title=""/>
                          <o:lock v:ext="edit" aspectratio="f"/>
                        </v:shape>
                        <v:shape id="文本框 48" o:spid="_x0000_s1026" o:spt="202" type="#_x0000_t202" style="position:absolute;left:2738;top:589025;height:446;width:644;" filled="f" stroked="f" coordsize="21600,21600" o:gfxdata="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qBCamvQAA&#10;ANs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224C13F3">
                                <w:pPr>
                                  <w:rPr>
                                    <w:rFonts w:hint="default" w:eastAsia="宋体"/>
                                    <w:highlight w:val="none"/>
                                    <w:lang w:val="en-US" w:eastAsia="zh-CN"/>
                                  </w:rPr>
                                </w:pPr>
                                <w:r>
                                  <w:rPr>
                                    <w:rFonts w:hint="eastAsia"/>
                                    <w:highlight w:val="none"/>
                                    <w:lang w:val="en-US" w:eastAsia="zh-CN"/>
                                  </w:rPr>
                                  <w:t>480</w:t>
                                </w:r>
                              </w:p>
                            </w:txbxContent>
                          </v:textbox>
                        </v:shape>
                        <v:shape id="文本框 52" o:spid="_x0000_s1026" o:spt="202" type="#_x0000_t202" style="position:absolute;left:1705;top:590373;height:446;width:880;" filled="f" stroked="f" coordsize="21600,21600" o:gfxdata="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rWuNG/&#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7B9DF0CD">
                                <w:pPr>
                                  <w:rPr>
                                    <w:rFonts w:hint="default" w:eastAsia="宋体"/>
                                    <w:highlight w:val="none"/>
                                    <w:lang w:val="en-US" w:eastAsia="zh-CN"/>
                                  </w:rPr>
                                </w:pPr>
                                <w:r>
                                  <w:rPr>
                                    <w:rFonts w:hint="eastAsia"/>
                                    <w:highlight w:val="none"/>
                                    <w:lang w:val="en-US" w:eastAsia="zh-CN"/>
                                  </w:rPr>
                                  <w:t>2400</w:t>
                                </w:r>
                              </w:p>
                            </w:txbxContent>
                          </v:textbox>
                        </v:shape>
                      </v:group>
                      <v:shape id="直接箭头连接符 94" o:spid="_x0000_s1026" o:spt="32" type="#_x0000_t32" style="position:absolute;left:7140;top:573715;flip:y;height:7;width:961;" filled="f" stroked="t" coordsize="21600,21600" o:gfxdata="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eV4s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shape>
                      <v:shape id="文本框 95" o:spid="_x0000_s1026" o:spt="202" type="#_x0000_t202" style="position:absolute;left:8091;top:573451;height:446;width:753;" fillcolor="#FFFFFF" filled="t" stroked="t" coordsize="21600,21600" o:gfxdata="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M7kSdtAAAANsAAAAPAAAA&#10;AAAAAAEAIAAAACIAAABkcnMvZG93bnJldi54bWxQSwECFAAUAAAACACHTuJAMy8FnjsAAAA5AAAA&#10;EAAAAAAAAAABACAAAAADAQAAZHJzL3NoYXBleG1sLnhtbFBLBQYAAAAABgAGAFsBAACtAwAAAAA=&#10;">
                        <v:fill on="t" focussize="0,0"/>
                        <v:stroke weight="0.5pt" color="#000000" joinstyle="round"/>
                        <v:imagedata o:title=""/>
                        <o:lock v:ext="edit" aspectratio="f"/>
                        <v:textbox>
                          <w:txbxContent>
                            <w:p w14:paraId="0B7BC0B7">
                              <w:pPr>
                                <w:rPr>
                                  <w:rFonts w:hint="default" w:eastAsia="宋体"/>
                                  <w:lang w:val="en-US" w:eastAsia="zh-CN"/>
                                </w:rPr>
                              </w:pPr>
                              <w:r>
                                <w:rPr>
                                  <w:rFonts w:hint="eastAsia"/>
                                  <w:lang w:val="en-US" w:eastAsia="zh-CN"/>
                                </w:rPr>
                                <w:t>成型</w:t>
                              </w:r>
                            </w:p>
                          </w:txbxContent>
                        </v:textbox>
                      </v:shape>
                      <v:shape id="文本框 96" o:spid="_x0000_s1026" o:spt="202" type="#_x0000_t202" style="position:absolute;left:7189;top:573314;height:446;width:812;" filled="f" stroked="f" coordsize="21600,21600" o:gfxdata="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RyKqC/&#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6CEED9C1">
                              <w:pPr>
                                <w:rPr>
                                  <w:rFonts w:hint="default" w:eastAsia="宋体"/>
                                  <w:highlight w:val="none"/>
                                  <w:lang w:val="en-US" w:eastAsia="zh-CN"/>
                                </w:rPr>
                              </w:pPr>
                              <w:r>
                                <w:rPr>
                                  <w:rFonts w:hint="eastAsia"/>
                                  <w:highlight w:val="none"/>
                                  <w:lang w:val="en-US" w:eastAsia="zh-CN"/>
                                </w:rPr>
                                <w:t>1680</w:t>
                              </w:r>
                            </w:p>
                          </w:txbxContent>
                        </v:textbox>
                      </v:shape>
                      <v:shape id="文本框 97" o:spid="_x0000_s1026" o:spt="202" type="#_x0000_t202" style="position:absolute;left:7162;top:574587;height:446;width:744;" filled="f" stroked="f" coordsize="21600,21600" o:gfxdata="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JEV4LsAAADb&#10;AAAADwAAAAAAAAABACAAAAAiAAAAZHJzL2Rvd25yZXYueG1sUEsBAhQAFAAAAAgAh07iQDMvBZ47&#10;AAAAOQAAABAAAAAAAAAAAQAgAAAACgEAAGRycy9zaGFwZXhtbC54bWxQSwUGAAAAAAYABgBbAQAA&#10;tAMAAAAA&#10;">
                        <v:fill on="f" focussize="0,0"/>
                        <v:stroke on="f" weight="0.5pt"/>
                        <v:imagedata o:title=""/>
                        <o:lock v:ext="edit" aspectratio="f"/>
                        <v:textbox>
                          <w:txbxContent>
                            <w:p w14:paraId="63977E5E">
                              <w:pPr>
                                <w:rPr>
                                  <w:rFonts w:hint="default" w:eastAsia="宋体"/>
                                  <w:highlight w:val="none"/>
                                  <w:lang w:val="en-US" w:eastAsia="zh-CN"/>
                                </w:rPr>
                              </w:pPr>
                              <w:r>
                                <w:rPr>
                                  <w:rFonts w:hint="eastAsia"/>
                                  <w:highlight w:val="none"/>
                                  <w:lang w:val="en-US" w:eastAsia="zh-CN"/>
                                </w:rPr>
                                <w:t>240</w:t>
                              </w:r>
                            </w:p>
                          </w:txbxContent>
                        </v:textbox>
                      </v:shape>
                      <v:line id="直接连接符 99" o:spid="_x0000_s1026" o:spt="20" style="position:absolute;left:10450;top:572316;height:434;width:0;" filled="f" stroked="t" coordsize="21600,21600" o:gfxdata="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FenovQAA&#10;ANsAAAAPAAAAAAAAAAEAIAAAACIAAABkcnMvZG93bnJldi54bWxQSwECFAAUAAAACACHTuJAMy8F&#10;njsAAAA5AAAAEAAAAAAAAAABACAAAAAMAQAAZHJzL3NoYXBleG1sLnhtbFBLBQYAAAAABgAGAFsB&#10;AAC2AwAAAAA=&#10;">
                        <v:fill on="f" focussize="0,0"/>
                        <v:stroke weight="1pt" color="#000000" joinstyle="round" endarrow="open"/>
                        <v:imagedata o:title=""/>
                        <o:lock v:ext="edit" aspectratio="f"/>
                      </v:line>
                      <v:shape id="直接箭头连接符 100" o:spid="_x0000_s1026" o:spt="32" type="#_x0000_t32" style="position:absolute;left:9024;top:571972;flip:y;height:11;width:1034;" filled="f" stroked="t" coordsize="21600,21600" o:gfxdata="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T7zHb4A&#10;AADbAAAADwAAAAAAAAABACAAAAAiAAAAZHJzL2Rvd25yZXYueG1sUEsBAhQAFAAAAAgAh07iQDMv&#10;BZ47AAAAOQAAABAAAAAAAAAAAQAgAAAADQEAAGRycy9zaGFwZXhtbC54bWxQSwUGAAAAAAYABgBb&#10;AQAAtwMAAAAA&#10;">
                        <v:fill on="f" focussize="0,0"/>
                        <v:stroke color="#000000" joinstyle="round" endarrow="open"/>
                        <v:imagedata o:title=""/>
                        <o:lock v:ext="edit" aspectratio="f"/>
                      </v:shape>
                      <v:shape id="直接箭头连接符 101" o:spid="_x0000_s1026" o:spt="32" type="#_x0000_t32" style="position:absolute;left:11075;top:572971;height:4;width:651;" filled="f" stroked="t" coordsize="21600,21600" o:gfxdata="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ASYQm8AAAA&#10;2wAAAA8AAAAAAAAAAQAgAAAAIgAAAGRycy9kb3ducmV2LnhtbFBLAQIUABQAAAAIAIdO4kAzLwWe&#10;OwAAADkAAAAQAAAAAAAAAAEAIAAAAAsBAABkcnMvc2hhcGV4bWwueG1sUEsFBgAAAAAGAAYAWwEA&#10;ALUDAAAAAA==&#10;">
                        <v:fill on="f" focussize="0,0"/>
                        <v:stroke color="#000000" joinstyle="round"/>
                        <v:imagedata o:title=""/>
                        <o:lock v:ext="edit" aspectratio="f"/>
                      </v:shape>
                      <v:shape id="文本框 102" o:spid="_x0000_s1026" o:spt="202" type="#_x0000_t202" style="position:absolute;left:10075;top:571611;height:679;width:970;" fillcolor="#FFFFFF" filled="t" stroked="t" coordsize="21600,21600" o:gfxdata="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RMaE9tAAAANsAAAAPAAAA&#10;AAAAAAEAIAAAACIAAABkcnMvZG93bnJldi54bWxQSwECFAAUAAAACACHTuJAMy8FnjsAAAA5AAAA&#10;EAAAAAAAAAABACAAAAADAQAAZHJzL3NoYXBleG1sLnhtbFBLBQYAAAAABgAGAFsBAACtAwAAAAA=&#10;">
                        <v:fill on="t" focussize="0,0"/>
                        <v:stroke weight="0.5pt" color="#000000" joinstyle="round"/>
                        <v:imagedata o:title=""/>
                        <o:lock v:ext="edit" aspectratio="f"/>
                        <v:textbox>
                          <w:txbxContent>
                            <w:p w14:paraId="2550097D">
                              <w:pPr>
                                <w:rPr>
                                  <w:rFonts w:hint="default" w:eastAsia="宋体"/>
                                  <w:lang w:val="en-US" w:eastAsia="zh-CN"/>
                                </w:rPr>
                              </w:pPr>
                              <w:r>
                                <w:rPr>
                                  <w:rFonts w:hint="eastAsia"/>
                                  <w:lang w:val="en-US" w:eastAsia="zh-CN"/>
                                </w:rPr>
                                <w:t>集气罩收集</w:t>
                              </w:r>
                            </w:p>
                          </w:txbxContent>
                        </v:textbox>
                      </v:shape>
                      <v:shape id="文本框 103" o:spid="_x0000_s1026" o:spt="202" type="#_x0000_t202" style="position:absolute;left:9949;top:572722;height:758;width:1117;" fillcolor="#FFFFFF" filled="t" stroked="t" coordsize="21600,21600" o:gfxdata="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fQSmtwAAANsAAAAP&#10;AAAAAAAAAAEAIAAAACIAAABkcnMvZG93bnJldi54bWxQSwECFAAUAAAACACHTuJAMy8FnjsAAAA5&#10;AAAAEAAAAAAAAAABACAAAAAGAQAAZHJzL3NoYXBleG1sLnhtbFBLBQYAAAAABgAGAFsBAACwAwAA&#10;AAA=&#10;">
                        <v:fill on="t" focussize="0,0"/>
                        <v:stroke weight="0.5pt" color="#000000" joinstyle="round"/>
                        <v:imagedata o:title=""/>
                        <o:lock v:ext="edit" aspectratio="f"/>
                        <v:textbox>
                          <w:txbxContent>
                            <w:p w14:paraId="798FB46D">
                              <w:pPr>
                                <w:rPr>
                                  <w:rFonts w:hint="default" w:eastAsia="宋体"/>
                                  <w:lang w:val="en-US" w:eastAsia="zh-CN"/>
                                </w:rPr>
                              </w:pPr>
                              <w:r>
                                <w:rPr>
                                  <w:rFonts w:hint="eastAsia"/>
                                  <w:lang w:val="en-US" w:eastAsia="zh-CN"/>
                                </w:rPr>
                                <w:t>气液分离装置</w:t>
                              </w:r>
                            </w:p>
                          </w:txbxContent>
                        </v:textbox>
                      </v:shape>
                      <v:shape id="直接箭头连接符 104" o:spid="_x0000_s1026" o:spt="32" type="#_x0000_t32" style="position:absolute;left:11703;top:572606;flip:y;height:9;width:604;" filled="f" stroked="t" coordsize="21600,21600" o:gfxdata="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lrUl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shape>
                      <v:shape id="直接箭头连接符 105" o:spid="_x0000_s1026" o:spt="32" type="#_x0000_t32" style="position:absolute;left:11671;top:573286;flip:y;height:9;width:604;" filled="f" stroked="t" coordsize="21600,21600" o:gfxdata="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0RCtSvQAA&#10;ANsAAAAPAAAAAAAAAAEAIAAAACIAAABkcnMvZG93bnJldi54bWxQSwECFAAUAAAACACHTuJAMy8F&#10;njsAAAA5AAAAEAAAAAAAAAABACAAAAAMAQAAZHJzL3NoYXBleG1sLnhtbFBLBQYAAAAABgAGAFsB&#10;AAC2AwAAAAA=&#10;">
                        <v:fill on="f" focussize="0,0"/>
                        <v:stroke color="#000000" joinstyle="round" endarrow="open"/>
                        <v:imagedata o:title=""/>
                        <o:lock v:ext="edit" aspectratio="f"/>
                      </v:shape>
                      <v:shape id="文本框 106" o:spid="_x0000_s1026" o:spt="202" type="#_x0000_t202" style="position:absolute;left:12360;top:572424;height:403;width:1142;" filled="f" stroked="f" coordsize="21600,21600" o:gfxdata="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2cbje/&#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42D20E4D">
                              <w:pPr>
                                <w:rPr>
                                  <w:rFonts w:hint="default" w:eastAsia="宋体"/>
                                  <w:lang w:val="en-US" w:eastAsia="zh-CN"/>
                                </w:rPr>
                              </w:pPr>
                              <w:r>
                                <w:rPr>
                                  <w:rFonts w:hint="eastAsia"/>
                                  <w:lang w:val="en-US" w:eastAsia="zh-CN"/>
                                </w:rPr>
                                <w:t>冷却系统</w:t>
                              </w:r>
                            </w:p>
                          </w:txbxContent>
                        </v:textbox>
                      </v:shape>
                      <v:shape id="文本框 107" o:spid="_x0000_s1026" o:spt="202" type="#_x0000_t202" style="position:absolute;left:12227;top:573074;height:454;width:1405;" filled="f" stroked="f" coordsize="21600,21600" o:gfxdata="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J19kO/&#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3A5D19F4">
                              <w:pPr>
                                <w:rPr>
                                  <w:rFonts w:hint="default" w:eastAsia="宋体"/>
                                  <w:lang w:val="en-US" w:eastAsia="zh-CN"/>
                                </w:rPr>
                              </w:pPr>
                              <w:r>
                                <w:rPr>
                                  <w:rFonts w:hint="eastAsia"/>
                                  <w:lang w:val="en-US" w:eastAsia="zh-CN"/>
                                </w:rPr>
                                <w:t>DA001排放</w:t>
                              </w:r>
                            </w:p>
                          </w:txbxContent>
                        </v:textbox>
                      </v:shape>
                      <v:shape id="文本框 110" o:spid="_x0000_s1026" o:spt="202" type="#_x0000_t202" style="position:absolute;left:8324;top:574158;height:446;width:812;" filled="f" stroked="f" coordsize="21600,21600" o:gfxdata="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TlT2L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257C1239">
                              <w:pPr>
                                <w:rPr>
                                  <w:rFonts w:hint="default" w:eastAsia="宋体"/>
                                  <w:highlight w:val="none"/>
                                  <w:lang w:val="en-US" w:eastAsia="zh-CN"/>
                                </w:rPr>
                              </w:pPr>
                              <w:r>
                                <w:rPr>
                                  <w:rFonts w:hint="eastAsia"/>
                                  <w:highlight w:val="none"/>
                                  <w:lang w:val="en-US" w:eastAsia="zh-CN"/>
                                </w:rPr>
                                <w:t>1680</w:t>
                              </w:r>
                            </w:p>
                          </w:txbxContent>
                        </v:textbox>
                      </v:shape>
                      <v:shape id="文本框 147" o:spid="_x0000_s1026" o:spt="202" type="#_x0000_t202" style="position:absolute;left:9169;top:571512;height:446;width:644;" filled="f" stroked="f" coordsize="21600,21600" o:gfxdata="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evNr7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102F7E6C">
                              <w:pPr>
                                <w:rPr>
                                  <w:rFonts w:hint="default" w:eastAsia="宋体"/>
                                  <w:highlight w:val="none"/>
                                  <w:lang w:val="en-US" w:eastAsia="zh-CN"/>
                                </w:rPr>
                              </w:pPr>
                              <w:r>
                                <w:rPr>
                                  <w:rFonts w:hint="eastAsia"/>
                                  <w:highlight w:val="none"/>
                                  <w:lang w:val="en-US" w:eastAsia="zh-CN"/>
                                </w:rPr>
                                <w:t>480</w:t>
                              </w:r>
                            </w:p>
                          </w:txbxContent>
                        </v:textbox>
                      </v:shape>
                      <v:shape id="文本框 154" o:spid="_x0000_s1026" o:spt="202" type="#_x0000_t202" style="position:absolute;left:10481;top:572242;height:446;width:677;" filled="f" stroked="f" coordsize="21600,21600" o:gfxdata="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ozj8RrgAAADbAAAA&#10;DwAAAAAAAAABACAAAAAiAAAAZHJzL2Rvd25yZXYueG1sUEsBAhQAFAAAAAgAh07iQDMvBZ47AAAA&#10;OQAAABAAAAAAAAAAAQAgAAAABwEAAGRycy9zaGFwZXhtbC54bWxQSwUGAAAAAAYABgBbAQAAsQMA&#10;AAAA&#10;">
                        <v:fill on="f" focussize="0,0"/>
                        <v:stroke on="f" weight="0.5pt"/>
                        <v:imagedata o:title=""/>
                        <o:lock v:ext="edit" aspectratio="f"/>
                        <v:textbox>
                          <w:txbxContent>
                            <w:p w14:paraId="0E152CD4">
                              <w:pPr>
                                <w:rPr>
                                  <w:rFonts w:hint="default" w:eastAsia="宋体"/>
                                  <w:highlight w:val="none"/>
                                  <w:lang w:val="en-US" w:eastAsia="zh-CN"/>
                                </w:rPr>
                              </w:pPr>
                              <w:r>
                                <w:rPr>
                                  <w:rFonts w:hint="eastAsia"/>
                                  <w:highlight w:val="none"/>
                                  <w:lang w:val="en-US" w:eastAsia="zh-CN"/>
                                </w:rPr>
                                <w:t>480</w:t>
                              </w:r>
                            </w:p>
                          </w:txbxContent>
                        </v:textbox>
                      </v:shape>
                      <v:shape id="文本框 155" o:spid="_x0000_s1026" o:spt="202" type="#_x0000_t202" style="position:absolute;left:11637;top:572182;height:446;width:677;" filled="f" stroked="f" coordsize="21600,21600" o:gfxdata="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wZPP6/&#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125BBAD8">
                              <w:pPr>
                                <w:rPr>
                                  <w:rFonts w:hint="default" w:eastAsia="宋体"/>
                                  <w:highlight w:val="none"/>
                                  <w:lang w:val="en-US" w:eastAsia="zh-CN"/>
                                </w:rPr>
                              </w:pPr>
                              <w:r>
                                <w:rPr>
                                  <w:rFonts w:hint="eastAsia"/>
                                  <w:highlight w:val="none"/>
                                  <w:lang w:val="en-US" w:eastAsia="zh-CN"/>
                                </w:rPr>
                                <w:t>456</w:t>
                              </w:r>
                            </w:p>
                          </w:txbxContent>
                        </v:textbox>
                      </v:shape>
                      <v:shape id="文本框 157" o:spid="_x0000_s1026" o:spt="202" type="#_x0000_t202" style="position:absolute;left:11693;top:572872;height:446;width:677;" filled="f" stroked="f" coordsize="21600,21600" o:gfxdata="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1WZZ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225946B5">
                              <w:pPr>
                                <w:rPr>
                                  <w:rFonts w:hint="default" w:eastAsia="宋体"/>
                                  <w:highlight w:val="none"/>
                                  <w:lang w:val="en-US" w:eastAsia="zh-CN"/>
                                </w:rPr>
                              </w:pPr>
                              <w:r>
                                <w:rPr>
                                  <w:rFonts w:hint="eastAsia"/>
                                  <w:highlight w:val="none"/>
                                  <w:lang w:val="en-US" w:eastAsia="zh-CN"/>
                                </w:rPr>
                                <w:t>24</w:t>
                              </w:r>
                            </w:p>
                          </w:txbxContent>
                        </v:textbox>
                      </v:shape>
                    </v:group>
                  </w:pict>
                </mc:Fallback>
              </mc:AlternateContent>
            </w:r>
          </w:p>
          <w:p w14:paraId="62394DE2">
            <w:pPr>
              <w:pStyle w:val="2"/>
              <w:rPr>
                <w:rFonts w:hint="eastAsia"/>
                <w:color w:val="auto"/>
                <w:highlight w:val="none"/>
                <w:lang w:val="en-US" w:eastAsia="zh-CN"/>
              </w:rPr>
            </w:pPr>
          </w:p>
          <w:p w14:paraId="597134CB">
            <w:pPr>
              <w:keepNext w:val="0"/>
              <w:keepLines w:val="0"/>
              <w:pageBreakBefore w:val="0"/>
              <w:widowControl w:val="0"/>
              <w:numPr>
                <w:ilvl w:val="0"/>
                <w:numId w:val="0"/>
              </w:numPr>
              <w:tabs>
                <w:tab w:val="left" w:pos="8647"/>
              </w:tabs>
              <w:kinsoku/>
              <w:wordWrap/>
              <w:overflowPunct/>
              <w:topLinePunct w:val="0"/>
              <w:autoSpaceDE/>
              <w:autoSpaceDN/>
              <w:bidi w:val="0"/>
              <w:adjustRightInd/>
              <w:snapToGrid w:val="0"/>
              <w:spacing w:line="360" w:lineRule="auto"/>
              <w:ind w:leftChars="200"/>
              <w:jc w:val="left"/>
              <w:textAlignment w:val="auto"/>
              <w:rPr>
                <w:rFonts w:hint="eastAsia"/>
                <w:color w:val="auto"/>
                <w:sz w:val="24"/>
                <w:szCs w:val="24"/>
                <w:highlight w:val="none"/>
                <w:lang w:val="en-US" w:eastAsia="zh-CN"/>
              </w:rPr>
            </w:pPr>
          </w:p>
          <w:p w14:paraId="2D8F7189">
            <w:pPr>
              <w:keepNext w:val="0"/>
              <w:keepLines w:val="0"/>
              <w:pageBreakBefore w:val="0"/>
              <w:widowControl w:val="0"/>
              <w:numPr>
                <w:ilvl w:val="0"/>
                <w:numId w:val="0"/>
              </w:numPr>
              <w:tabs>
                <w:tab w:val="left" w:pos="8647"/>
              </w:tabs>
              <w:kinsoku/>
              <w:wordWrap/>
              <w:overflowPunct/>
              <w:topLinePunct w:val="0"/>
              <w:autoSpaceDE/>
              <w:autoSpaceDN/>
              <w:bidi w:val="0"/>
              <w:adjustRightInd/>
              <w:snapToGrid w:val="0"/>
              <w:spacing w:line="360" w:lineRule="auto"/>
              <w:ind w:leftChars="200"/>
              <w:jc w:val="left"/>
              <w:textAlignment w:val="auto"/>
              <w:rPr>
                <w:rFonts w:hint="eastAsia"/>
                <w:color w:val="auto"/>
                <w:sz w:val="24"/>
                <w:szCs w:val="24"/>
                <w:highlight w:val="none"/>
                <w:lang w:val="en-US" w:eastAsia="zh-CN"/>
              </w:rPr>
            </w:pPr>
          </w:p>
          <w:p w14:paraId="476A0E9C">
            <w:pPr>
              <w:keepNext w:val="0"/>
              <w:keepLines w:val="0"/>
              <w:pageBreakBefore w:val="0"/>
              <w:widowControl w:val="0"/>
              <w:numPr>
                <w:ilvl w:val="0"/>
                <w:numId w:val="0"/>
              </w:numPr>
              <w:tabs>
                <w:tab w:val="left" w:pos="8647"/>
              </w:tabs>
              <w:kinsoku/>
              <w:wordWrap/>
              <w:overflowPunct/>
              <w:topLinePunct w:val="0"/>
              <w:autoSpaceDE/>
              <w:autoSpaceDN/>
              <w:bidi w:val="0"/>
              <w:adjustRightInd/>
              <w:snapToGrid w:val="0"/>
              <w:spacing w:line="360" w:lineRule="auto"/>
              <w:ind w:leftChars="200"/>
              <w:jc w:val="left"/>
              <w:textAlignment w:val="auto"/>
              <w:rPr>
                <w:rFonts w:hint="eastAsia"/>
                <w:color w:val="auto"/>
                <w:sz w:val="24"/>
                <w:szCs w:val="24"/>
                <w:highlight w:val="none"/>
                <w:lang w:val="en-US" w:eastAsia="zh-CN"/>
              </w:rPr>
            </w:pPr>
          </w:p>
          <w:p w14:paraId="4D6480ED">
            <w:pPr>
              <w:keepNext w:val="0"/>
              <w:keepLines w:val="0"/>
              <w:pageBreakBefore w:val="0"/>
              <w:widowControl w:val="0"/>
              <w:numPr>
                <w:ilvl w:val="0"/>
                <w:numId w:val="0"/>
              </w:numPr>
              <w:tabs>
                <w:tab w:val="left" w:pos="8647"/>
              </w:tabs>
              <w:kinsoku/>
              <w:wordWrap/>
              <w:overflowPunct/>
              <w:topLinePunct w:val="0"/>
              <w:autoSpaceDE/>
              <w:autoSpaceDN/>
              <w:bidi w:val="0"/>
              <w:adjustRightInd/>
              <w:snapToGrid w:val="0"/>
              <w:spacing w:line="360" w:lineRule="auto"/>
              <w:ind w:leftChars="200"/>
              <w:jc w:val="left"/>
              <w:textAlignment w:val="auto"/>
              <w:rPr>
                <w:rFonts w:hint="eastAsia"/>
                <w:color w:val="auto"/>
                <w:sz w:val="24"/>
                <w:szCs w:val="24"/>
                <w:highlight w:val="none"/>
                <w:lang w:val="en-US" w:eastAsia="zh-CN"/>
              </w:rPr>
            </w:pPr>
          </w:p>
          <w:p w14:paraId="387A9ADC">
            <w:pPr>
              <w:keepNext w:val="0"/>
              <w:keepLines w:val="0"/>
              <w:pageBreakBefore w:val="0"/>
              <w:widowControl w:val="0"/>
              <w:numPr>
                <w:ilvl w:val="0"/>
                <w:numId w:val="0"/>
              </w:numPr>
              <w:tabs>
                <w:tab w:val="left" w:pos="8647"/>
              </w:tabs>
              <w:kinsoku/>
              <w:wordWrap/>
              <w:overflowPunct/>
              <w:topLinePunct w:val="0"/>
              <w:autoSpaceDE/>
              <w:autoSpaceDN/>
              <w:bidi w:val="0"/>
              <w:adjustRightInd/>
              <w:snapToGrid w:val="0"/>
              <w:spacing w:line="360" w:lineRule="auto"/>
              <w:ind w:leftChars="200"/>
              <w:jc w:val="left"/>
              <w:textAlignment w:val="auto"/>
              <w:rPr>
                <w:rFonts w:hint="eastAsia"/>
                <w:color w:val="auto"/>
                <w:sz w:val="24"/>
                <w:szCs w:val="24"/>
                <w:highlight w:val="none"/>
                <w:lang w:val="en-US" w:eastAsia="zh-CN"/>
              </w:rPr>
            </w:pPr>
          </w:p>
          <w:p w14:paraId="7791F248">
            <w:pPr>
              <w:keepNext w:val="0"/>
              <w:keepLines w:val="0"/>
              <w:pageBreakBefore w:val="0"/>
              <w:widowControl w:val="0"/>
              <w:numPr>
                <w:ilvl w:val="0"/>
                <w:numId w:val="0"/>
              </w:numPr>
              <w:tabs>
                <w:tab w:val="left" w:pos="8647"/>
              </w:tabs>
              <w:kinsoku/>
              <w:wordWrap/>
              <w:overflowPunct/>
              <w:topLinePunct w:val="0"/>
              <w:autoSpaceDE/>
              <w:autoSpaceDN/>
              <w:bidi w:val="0"/>
              <w:adjustRightInd/>
              <w:snapToGrid w:val="0"/>
              <w:spacing w:line="360" w:lineRule="auto"/>
              <w:ind w:leftChars="200"/>
              <w:jc w:val="left"/>
              <w:textAlignment w:val="auto"/>
              <w:rPr>
                <w:rFonts w:hint="eastAsia"/>
                <w:color w:val="auto"/>
                <w:sz w:val="24"/>
                <w:szCs w:val="24"/>
                <w:highlight w:val="none"/>
                <w:lang w:val="en-US" w:eastAsia="zh-CN"/>
              </w:rPr>
            </w:pPr>
          </w:p>
          <w:p w14:paraId="44D72AF0">
            <w:pPr>
              <w:keepNext w:val="0"/>
              <w:keepLines w:val="0"/>
              <w:pageBreakBefore w:val="0"/>
              <w:widowControl w:val="0"/>
              <w:numPr>
                <w:ilvl w:val="0"/>
                <w:numId w:val="0"/>
              </w:numPr>
              <w:tabs>
                <w:tab w:val="left" w:pos="8647"/>
              </w:tabs>
              <w:kinsoku/>
              <w:wordWrap/>
              <w:overflowPunct/>
              <w:topLinePunct w:val="0"/>
              <w:autoSpaceDE/>
              <w:autoSpaceDN/>
              <w:bidi w:val="0"/>
              <w:adjustRightInd/>
              <w:snapToGrid w:val="0"/>
              <w:spacing w:line="360" w:lineRule="auto"/>
              <w:jc w:val="left"/>
              <w:textAlignment w:val="auto"/>
              <w:rPr>
                <w:rFonts w:hint="eastAsia"/>
                <w:color w:val="auto"/>
                <w:sz w:val="24"/>
                <w:szCs w:val="24"/>
                <w:highlight w:val="none"/>
                <w:lang w:val="en-US" w:eastAsia="zh-CN"/>
              </w:rPr>
            </w:pPr>
          </w:p>
          <w:p w14:paraId="3D87618F">
            <w:pPr>
              <w:jc w:val="center"/>
              <w:rPr>
                <w:rFonts w:hint="eastAsia"/>
                <w:color w:val="auto"/>
                <w:sz w:val="24"/>
                <w:szCs w:val="24"/>
                <w:highlight w:val="none"/>
                <w:lang w:val="en-US" w:eastAsia="zh-CN"/>
              </w:rPr>
            </w:pPr>
            <w:r>
              <w:rPr>
                <w:rFonts w:hint="default"/>
                <w:b/>
                <w:bCs/>
                <w:color w:val="auto"/>
                <w:sz w:val="24"/>
                <w:szCs w:val="24"/>
                <w:highlight w:val="none"/>
                <w:lang w:val="en-US" w:eastAsia="zh-CN"/>
              </w:rPr>
              <w:t>图</w:t>
            </w:r>
            <w:r>
              <w:rPr>
                <w:rFonts w:hint="eastAsia"/>
                <w:b/>
                <w:bCs/>
                <w:color w:val="auto"/>
                <w:sz w:val="24"/>
                <w:szCs w:val="24"/>
                <w:highlight w:val="none"/>
                <w:lang w:val="en-US" w:eastAsia="zh-CN"/>
              </w:rPr>
              <w:t>2</w:t>
            </w:r>
            <w:r>
              <w:rPr>
                <w:rFonts w:hint="default"/>
                <w:b/>
                <w:bCs/>
                <w:color w:val="auto"/>
                <w:sz w:val="24"/>
                <w:szCs w:val="24"/>
                <w:highlight w:val="none"/>
                <w:lang w:val="en-US" w:eastAsia="zh-CN"/>
              </w:rPr>
              <w:t>-</w:t>
            </w:r>
            <w:r>
              <w:rPr>
                <w:rFonts w:hint="eastAsia"/>
                <w:b/>
                <w:bCs/>
                <w:color w:val="auto"/>
                <w:sz w:val="24"/>
                <w:szCs w:val="24"/>
                <w:highlight w:val="none"/>
                <w:lang w:val="en-US" w:eastAsia="zh-CN"/>
              </w:rPr>
              <w:t>2</w:t>
            </w:r>
            <w:r>
              <w:rPr>
                <w:rFonts w:hint="default"/>
                <w:b/>
                <w:bCs/>
                <w:color w:val="auto"/>
                <w:sz w:val="24"/>
                <w:szCs w:val="24"/>
                <w:highlight w:val="none"/>
                <w:lang w:val="en-US" w:eastAsia="zh-CN"/>
              </w:rPr>
              <w:t xml:space="preserve"> </w:t>
            </w:r>
            <w:r>
              <w:rPr>
                <w:rFonts w:hint="eastAsia"/>
                <w:b/>
                <w:bCs/>
                <w:color w:val="auto"/>
                <w:sz w:val="24"/>
                <w:szCs w:val="24"/>
                <w:highlight w:val="none"/>
                <w:lang w:val="en-US" w:eastAsia="zh-CN"/>
              </w:rPr>
              <w:t>本项目蒸汽</w:t>
            </w:r>
            <w:r>
              <w:rPr>
                <w:rFonts w:hint="default"/>
                <w:b/>
                <w:bCs/>
                <w:color w:val="auto"/>
                <w:sz w:val="24"/>
                <w:szCs w:val="24"/>
                <w:highlight w:val="none"/>
                <w:lang w:val="en-US" w:eastAsia="zh-CN"/>
              </w:rPr>
              <w:t>平衡图</w:t>
            </w:r>
            <w:r>
              <w:rPr>
                <w:rFonts w:hint="default"/>
                <w:b/>
                <w:bCs/>
                <w:color w:val="auto"/>
                <w:sz w:val="24"/>
                <w:szCs w:val="24"/>
                <w:highlight w:val="none"/>
              </w:rPr>
              <w:t>（单位</w:t>
            </w:r>
            <w:r>
              <w:rPr>
                <w:rFonts w:hint="default"/>
                <w:b/>
                <w:bCs/>
                <w:color w:val="auto"/>
                <w:sz w:val="24"/>
                <w:szCs w:val="24"/>
                <w:highlight w:val="none"/>
                <w:lang w:eastAsia="zh-CN"/>
              </w:rPr>
              <w:t>：</w:t>
            </w:r>
            <w:r>
              <w:rPr>
                <w:rFonts w:hint="eastAsia"/>
                <w:b/>
                <w:bCs/>
                <w:color w:val="auto"/>
                <w:sz w:val="24"/>
                <w:szCs w:val="24"/>
                <w:highlight w:val="none"/>
                <w:lang w:val="en-US" w:eastAsia="zh-CN"/>
              </w:rPr>
              <w:t>t</w:t>
            </w:r>
            <w:r>
              <w:rPr>
                <w:rFonts w:hint="default"/>
                <w:b/>
                <w:bCs/>
                <w:color w:val="auto"/>
                <w:sz w:val="24"/>
                <w:szCs w:val="24"/>
                <w:highlight w:val="none"/>
              </w:rPr>
              <w:t>/</w:t>
            </w:r>
            <w:r>
              <w:rPr>
                <w:rFonts w:hint="eastAsia"/>
                <w:b/>
                <w:bCs/>
                <w:color w:val="auto"/>
                <w:sz w:val="24"/>
                <w:szCs w:val="24"/>
                <w:highlight w:val="none"/>
                <w:lang w:val="en-US" w:eastAsia="zh-CN"/>
              </w:rPr>
              <w:t>a</w:t>
            </w:r>
            <w:r>
              <w:rPr>
                <w:rFonts w:hint="default"/>
                <w:b/>
                <w:bCs/>
                <w:color w:val="auto"/>
                <w:sz w:val="24"/>
                <w:szCs w:val="24"/>
                <w:highlight w:val="none"/>
              </w:rPr>
              <w:t>）</w:t>
            </w:r>
          </w:p>
          <w:p w14:paraId="3652F505">
            <w:pPr>
              <w:keepNext w:val="0"/>
              <w:keepLines w:val="0"/>
              <w:pageBreakBefore w:val="0"/>
              <w:widowControl w:val="0"/>
              <w:numPr>
                <w:ilvl w:val="0"/>
                <w:numId w:val="0"/>
              </w:numPr>
              <w:tabs>
                <w:tab w:val="left" w:pos="8647"/>
              </w:tabs>
              <w:kinsoku/>
              <w:wordWrap/>
              <w:overflowPunct/>
              <w:topLinePunct w:val="0"/>
              <w:autoSpaceDE/>
              <w:autoSpaceDN/>
              <w:bidi w:val="0"/>
              <w:adjustRightInd/>
              <w:snapToGrid w:val="0"/>
              <w:spacing w:line="360" w:lineRule="auto"/>
              <w:ind w:leftChars="200"/>
              <w:jc w:val="left"/>
              <w:textAlignment w:val="auto"/>
              <w:rPr>
                <w:rFonts w:hint="eastAsia"/>
                <w:color w:val="auto"/>
                <w:sz w:val="24"/>
                <w:szCs w:val="24"/>
                <w:highlight w:val="none"/>
                <w:lang w:val="en-US" w:eastAsia="zh-CN"/>
              </w:rPr>
            </w:pPr>
            <w:r>
              <w:rPr>
                <w:rFonts w:hint="eastAsia"/>
                <w:color w:val="auto"/>
                <w:sz w:val="24"/>
                <w:szCs w:val="24"/>
                <w:highlight w:val="none"/>
                <w:lang w:val="en-US" w:eastAsia="zh-CN"/>
              </w:rPr>
              <w:t>11.平面布置</w:t>
            </w:r>
          </w:p>
          <w:p w14:paraId="4CA6D5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项目租赁1座生产车间，生产车间内西侧为生产区、东侧为成品区及一般固废贮存区。车间外配套建设蒸汽储罐、空气储罐、冷却系统、环保系统、原料库房、危废间等辅助设施。车间门口位于西南角，紧邻门口南侧为原料库房。危废间位于厂区外西北侧。</w:t>
            </w:r>
          </w:p>
          <w:p w14:paraId="45063F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color w:val="auto"/>
                <w:highlight w:val="none"/>
                <w:lang w:val="en-US" w:eastAsia="zh-CN"/>
              </w:rPr>
            </w:pPr>
            <w:r>
              <w:rPr>
                <w:rFonts w:hint="eastAsia" w:cs="Times New Roman"/>
                <w:color w:val="auto"/>
                <w:kern w:val="2"/>
                <w:sz w:val="24"/>
                <w:szCs w:val="24"/>
                <w:highlight w:val="none"/>
                <w:lang w:val="en-US" w:eastAsia="zh-CN" w:bidi="ar-SA"/>
              </w:rPr>
              <w:t>生产区内自北向南依次为成型机、烘干房、切割区，烘干房上部为料仓、西侧为发泡区，按生产工艺流程图布置，便于操作，减少物料运输距离，同时污染物产生点较集中，便于收集。</w:t>
            </w:r>
          </w:p>
        </w:tc>
      </w:tr>
      <w:tr w14:paraId="10500F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65" w:hRule="atLeast"/>
          <w:jc w:val="center"/>
        </w:trPr>
        <w:tc>
          <w:tcPr>
            <w:tcW w:w="646" w:type="dxa"/>
            <w:noWrap w:val="0"/>
            <w:vAlign w:val="center"/>
          </w:tcPr>
          <w:p w14:paraId="51CF95D4">
            <w:pPr>
              <w:pStyle w:val="30"/>
              <w:adjustRightInd w:val="0"/>
              <w:snapToGrid w:val="0"/>
              <w:spacing w:before="0" w:beforeAutospacing="0" w:after="0" w:afterAutospacing="0"/>
              <w:jc w:val="center"/>
              <w:rPr>
                <w:rFonts w:ascii="Times New Roman" w:hAnsi="Times New Roman"/>
                <w:color w:val="auto"/>
                <w:szCs w:val="24"/>
                <w:highlight w:val="none"/>
              </w:rPr>
            </w:pPr>
            <w:r>
              <w:rPr>
                <w:rFonts w:ascii="Times New Roman" w:hAnsi="Times New Roman"/>
                <w:color w:val="auto"/>
                <w:szCs w:val="24"/>
                <w:highlight w:val="none"/>
              </w:rPr>
              <w:t>工艺流程和产排污环节</w:t>
            </w:r>
          </w:p>
        </w:tc>
        <w:tc>
          <w:tcPr>
            <w:tcW w:w="8338" w:type="dxa"/>
            <w:noWrap w:val="0"/>
            <w:vAlign w:val="top"/>
          </w:tcPr>
          <w:p w14:paraId="6DDF37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eastAsia" w:ascii="Times New Roman" w:hAnsi="Times New Roman" w:cs="Times New Roman"/>
                <w:color w:val="auto"/>
                <w:kern w:val="2"/>
                <w:sz w:val="24"/>
                <w:szCs w:val="24"/>
                <w:highlight w:val="none"/>
                <w:lang w:val="en-US" w:eastAsia="zh-CN" w:bidi="ar-SA"/>
              </w:rPr>
              <w:t>一、施工期工艺流程及排污节点</w:t>
            </w:r>
          </w:p>
          <w:p w14:paraId="55845D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color w:val="auto"/>
                <w:sz w:val="24"/>
                <w:highlight w:val="none"/>
                <w:lang w:val="en-US" w:eastAsia="zh-CN"/>
              </w:rPr>
            </w:pPr>
            <w:r>
              <w:rPr>
                <w:rFonts w:hint="eastAsia"/>
                <w:color w:val="auto"/>
                <w:sz w:val="24"/>
                <w:szCs w:val="24"/>
                <w:highlight w:val="none"/>
                <w:lang w:val="en-US" w:eastAsia="zh-CN"/>
              </w:rPr>
              <w:t>项目利用</w:t>
            </w:r>
            <w:r>
              <w:rPr>
                <w:rFonts w:hint="eastAsia" w:cs="Times New Roman"/>
                <w:color w:val="auto"/>
                <w:sz w:val="24"/>
                <w:highlight w:val="none"/>
                <w:lang w:val="en-US" w:eastAsia="zh-CN"/>
              </w:rPr>
              <w:t>隆泰家具2号车间厂房为</w:t>
            </w:r>
            <w:r>
              <w:rPr>
                <w:rFonts w:hint="eastAsia"/>
                <w:color w:val="auto"/>
                <w:sz w:val="24"/>
                <w:szCs w:val="24"/>
                <w:highlight w:val="none"/>
                <w:lang w:val="en-US" w:eastAsia="zh-CN"/>
              </w:rPr>
              <w:t>主要生产区，并在厂房外新增建构筑物面积约53</w:t>
            </w:r>
            <w:r>
              <w:rPr>
                <w:rFonts w:hint="default"/>
                <w:color w:val="auto"/>
                <w:sz w:val="24"/>
                <w:szCs w:val="24"/>
                <w:highlight w:val="none"/>
                <w:lang w:val="en-US" w:eastAsia="zh-CN"/>
              </w:rPr>
              <w:t>m</w:t>
            </w:r>
            <w:r>
              <w:rPr>
                <w:rFonts w:hint="default"/>
                <w:color w:val="auto"/>
                <w:sz w:val="24"/>
                <w:szCs w:val="24"/>
                <w:highlight w:val="none"/>
                <w:vertAlign w:val="superscript"/>
                <w:lang w:val="en-US" w:eastAsia="zh-CN"/>
              </w:rPr>
              <w:t>2</w:t>
            </w:r>
            <w:r>
              <w:rPr>
                <w:rFonts w:hint="eastAsia"/>
                <w:color w:val="auto"/>
                <w:sz w:val="24"/>
                <w:szCs w:val="24"/>
                <w:highlight w:val="none"/>
                <w:vertAlign w:val="baseline"/>
                <w:lang w:val="en-US" w:eastAsia="zh-CN"/>
              </w:rPr>
              <w:t>的</w:t>
            </w:r>
            <w:r>
              <w:rPr>
                <w:rFonts w:hint="eastAsia"/>
                <w:color w:val="auto"/>
                <w:sz w:val="24"/>
                <w:szCs w:val="24"/>
                <w:highlight w:val="none"/>
                <w:lang w:val="en-US" w:eastAsia="zh-CN"/>
              </w:rPr>
              <w:t>辅助用房</w:t>
            </w:r>
            <w:r>
              <w:rPr>
                <w:rFonts w:hint="eastAsia"/>
                <w:color w:val="auto"/>
                <w:sz w:val="24"/>
                <w:highlight w:val="none"/>
                <w:lang w:val="en-US" w:eastAsia="zh-CN"/>
              </w:rPr>
              <w:t>。项目仅为设备的安装和车间外危废间、循环水池、原料库房等辅助用房的建设。辅助用房采用彩钢结构，不涉及大规模的土建工程。故施工期环境污染主要为彩钢房建设过程中产生噪声和设备安装噪声、极少量的扬尘。施工结束后影响消除，对环境影响较短。施工过程中避免夜间施工，降低对周边环境的影响。</w:t>
            </w:r>
          </w:p>
          <w:p w14:paraId="62D41B7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二、营运期工艺流程及排污节点</w:t>
            </w:r>
          </w:p>
          <w:p w14:paraId="44D14910">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imes New Roman" w:hAnsi="Times New Roman"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项目使用的</w:t>
            </w:r>
            <w:r>
              <w:rPr>
                <w:rFonts w:hint="eastAsia" w:ascii="Times New Roman" w:hAnsi="Times New Roman" w:eastAsia="宋体" w:cs="Times New Roman"/>
                <w:color w:val="auto"/>
                <w:kern w:val="2"/>
                <w:sz w:val="24"/>
                <w:szCs w:val="24"/>
                <w:highlight w:val="none"/>
                <w:lang w:val="en-US" w:eastAsia="zh-CN" w:bidi="ar-SA"/>
              </w:rPr>
              <w:t>可发性聚苯乙烯颗粒（粒径</w:t>
            </w:r>
            <w:r>
              <w:rPr>
                <w:rFonts w:hint="eastAsia" w:ascii="Times New Roman" w:hAnsi="Times New Roman" w:eastAsia="宋体" w:cs="Times New Roman"/>
                <w:b w:val="0"/>
                <w:bCs/>
                <w:color w:val="auto"/>
                <w:kern w:val="0"/>
                <w:sz w:val="24"/>
                <w:szCs w:val="24"/>
                <w:highlight w:val="none"/>
                <w:vertAlign w:val="baseline"/>
                <w:lang w:val="en-US" w:eastAsia="zh-CN"/>
              </w:rPr>
              <w:t>0.75</w:t>
            </w:r>
            <w:r>
              <w:rPr>
                <w:rFonts w:hint="eastAsia" w:cs="Times New Roman"/>
                <w:b w:val="0"/>
                <w:bCs/>
                <w:color w:val="auto"/>
                <w:kern w:val="0"/>
                <w:sz w:val="24"/>
                <w:szCs w:val="24"/>
                <w:highlight w:val="none"/>
                <w:vertAlign w:val="baseline"/>
                <w:lang w:val="en-US" w:eastAsia="zh-CN"/>
              </w:rPr>
              <w:t>～</w:t>
            </w:r>
            <w:r>
              <w:rPr>
                <w:rFonts w:hint="eastAsia" w:ascii="Times New Roman" w:hAnsi="Times New Roman" w:eastAsia="宋体" w:cs="Times New Roman"/>
                <w:b w:val="0"/>
                <w:bCs/>
                <w:color w:val="auto"/>
                <w:kern w:val="0"/>
                <w:sz w:val="24"/>
                <w:szCs w:val="24"/>
                <w:highlight w:val="none"/>
                <w:vertAlign w:val="baseline"/>
                <w:lang w:val="en-US" w:eastAsia="zh-CN"/>
              </w:rPr>
              <w:t>0.95mm</w:t>
            </w:r>
            <w:r>
              <w:rPr>
                <w:rFonts w:hint="eastAsia" w:ascii="Times New Roman" w:hAnsi="Times New Roman" w:eastAsia="宋体" w:cs="Times New Roman"/>
                <w:color w:val="auto"/>
                <w:kern w:val="2"/>
                <w:sz w:val="24"/>
                <w:szCs w:val="24"/>
                <w:highlight w:val="none"/>
                <w:lang w:val="en-US" w:eastAsia="zh-CN" w:bidi="ar-SA"/>
              </w:rPr>
              <w:t>）</w:t>
            </w:r>
            <w:r>
              <w:rPr>
                <w:rFonts w:hint="eastAsia" w:cs="Times New Roman"/>
                <w:color w:val="auto"/>
                <w:kern w:val="2"/>
                <w:sz w:val="24"/>
                <w:szCs w:val="24"/>
                <w:highlight w:val="none"/>
                <w:lang w:val="en-US" w:eastAsia="zh-CN" w:bidi="ar-SA"/>
              </w:rPr>
              <w:t>是</w:t>
            </w:r>
            <w:r>
              <w:rPr>
                <w:rFonts w:hint="eastAsia" w:ascii="Times New Roman" w:hAnsi="Times New Roman" w:cs="Times New Roman"/>
                <w:color w:val="auto"/>
                <w:kern w:val="2"/>
                <w:sz w:val="24"/>
                <w:szCs w:val="24"/>
                <w:highlight w:val="none"/>
                <w:lang w:val="en-US" w:eastAsia="zh-CN" w:bidi="ar-SA"/>
              </w:rPr>
              <w:t>聚苯乙烯、戊烷（混合的异构体）、甲基八溴醚</w:t>
            </w:r>
            <w:r>
              <w:rPr>
                <w:rFonts w:hint="eastAsia" w:cs="Times New Roman"/>
                <w:color w:val="auto"/>
                <w:kern w:val="2"/>
                <w:sz w:val="24"/>
                <w:szCs w:val="24"/>
                <w:highlight w:val="none"/>
                <w:lang w:val="en-US" w:eastAsia="zh-CN" w:bidi="ar-SA"/>
              </w:rPr>
              <w:t>经过加工的</w:t>
            </w:r>
            <w:r>
              <w:rPr>
                <w:rFonts w:hint="eastAsia" w:ascii="Times New Roman" w:hAnsi="Times New Roman" w:eastAsia="宋体" w:cs="Times New Roman"/>
                <w:color w:val="auto"/>
                <w:kern w:val="2"/>
                <w:sz w:val="24"/>
                <w:szCs w:val="24"/>
                <w:highlight w:val="none"/>
                <w:lang w:val="en-US" w:eastAsia="zh-CN" w:bidi="ar-SA"/>
              </w:rPr>
              <w:t>粒径</w:t>
            </w:r>
            <w:r>
              <w:rPr>
                <w:rFonts w:hint="eastAsia" w:ascii="Times New Roman" w:hAnsi="Times New Roman" w:eastAsia="宋体" w:cs="Times New Roman"/>
                <w:b w:val="0"/>
                <w:bCs/>
                <w:color w:val="auto"/>
                <w:kern w:val="0"/>
                <w:sz w:val="24"/>
                <w:szCs w:val="24"/>
                <w:highlight w:val="none"/>
                <w:vertAlign w:val="baseline"/>
                <w:lang w:val="en-US" w:eastAsia="zh-CN"/>
              </w:rPr>
              <w:t>0.75</w:t>
            </w:r>
            <w:r>
              <w:rPr>
                <w:rFonts w:hint="eastAsia" w:cs="Times New Roman"/>
                <w:b w:val="0"/>
                <w:bCs/>
                <w:color w:val="auto"/>
                <w:kern w:val="0"/>
                <w:sz w:val="24"/>
                <w:szCs w:val="24"/>
                <w:highlight w:val="none"/>
                <w:vertAlign w:val="baseline"/>
                <w:lang w:val="en-US" w:eastAsia="zh-CN"/>
              </w:rPr>
              <w:t>～</w:t>
            </w:r>
            <w:r>
              <w:rPr>
                <w:rFonts w:hint="eastAsia" w:ascii="Times New Roman" w:hAnsi="Times New Roman" w:eastAsia="宋体" w:cs="Times New Roman"/>
                <w:b w:val="0"/>
                <w:bCs/>
                <w:color w:val="auto"/>
                <w:kern w:val="0"/>
                <w:sz w:val="24"/>
                <w:szCs w:val="24"/>
                <w:highlight w:val="none"/>
                <w:vertAlign w:val="baseline"/>
                <w:lang w:val="en-US" w:eastAsia="zh-CN"/>
              </w:rPr>
              <w:t>0.95mm</w:t>
            </w:r>
            <w:r>
              <w:rPr>
                <w:rFonts w:hint="eastAsia" w:cs="Times New Roman"/>
                <w:b w:val="0"/>
                <w:bCs/>
                <w:color w:val="auto"/>
                <w:kern w:val="0"/>
                <w:sz w:val="24"/>
                <w:szCs w:val="24"/>
                <w:highlight w:val="none"/>
                <w:vertAlign w:val="baseline"/>
                <w:lang w:val="en-US" w:eastAsia="zh-CN"/>
              </w:rPr>
              <w:t>球状颗粒物</w:t>
            </w:r>
            <w:r>
              <w:rPr>
                <w:rFonts w:hint="eastAsia" w:cs="Times New Roman"/>
                <w:color w:val="auto"/>
                <w:kern w:val="2"/>
                <w:sz w:val="24"/>
                <w:szCs w:val="24"/>
                <w:highlight w:val="none"/>
                <w:lang w:val="en-US" w:eastAsia="zh-CN" w:bidi="ar-SA"/>
              </w:rPr>
              <w:t>，均为新料且不含色母，故项目无配料、混合生产过程，不使用脱模剂。生产工艺及参数一致，仅成型机使用模具不同，项目模具均为外购，不生产。</w:t>
            </w:r>
          </w:p>
          <w:p w14:paraId="3D81DBDE">
            <w:pPr>
              <w:keepNext w:val="0"/>
              <w:keepLines w:val="0"/>
              <w:pageBreakBefore w:val="0"/>
              <w:widowControl/>
              <w:numPr>
                <w:ilvl w:val="0"/>
                <w:numId w:val="20"/>
              </w:numPr>
              <w:kinsoku/>
              <w:wordWrap/>
              <w:overflowPunct/>
              <w:topLinePunct w:val="0"/>
              <w:autoSpaceDE/>
              <w:autoSpaceDN/>
              <w:bidi w:val="0"/>
              <w:adjustRightInd w:val="0"/>
              <w:snapToGrid w:val="0"/>
              <w:spacing w:line="360" w:lineRule="auto"/>
              <w:ind w:firstLine="480" w:firstLineChars="200"/>
              <w:jc w:val="left"/>
              <w:textAlignment w:val="auto"/>
              <w:rPr>
                <w:rFonts w:hint="eastAsia"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上料</w:t>
            </w:r>
          </w:p>
          <w:p w14:paraId="7B707759">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eastAsia"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项目</w:t>
            </w:r>
            <w:r>
              <w:rPr>
                <w:rFonts w:hint="eastAsia" w:cs="Times New Roman"/>
                <w:color w:val="auto"/>
                <w:kern w:val="2"/>
                <w:sz w:val="24"/>
                <w:szCs w:val="24"/>
                <w:highlight w:val="none"/>
                <w:lang w:val="en-US" w:eastAsia="zh-CN" w:bidi="ar-SA"/>
              </w:rPr>
              <w:t>使用的</w:t>
            </w:r>
            <w:r>
              <w:rPr>
                <w:rFonts w:hint="eastAsia" w:ascii="Times New Roman" w:hAnsi="Times New Roman" w:eastAsia="宋体" w:cs="Times New Roman"/>
                <w:color w:val="auto"/>
                <w:kern w:val="2"/>
                <w:sz w:val="24"/>
                <w:szCs w:val="24"/>
                <w:highlight w:val="none"/>
                <w:lang w:val="en-US" w:eastAsia="zh-CN" w:bidi="ar-SA"/>
              </w:rPr>
              <w:t>可发性聚苯乙烯颗粒（粒径</w:t>
            </w:r>
            <w:r>
              <w:rPr>
                <w:rFonts w:hint="eastAsia" w:ascii="Times New Roman" w:hAnsi="Times New Roman" w:eastAsia="宋体" w:cs="Times New Roman"/>
                <w:b w:val="0"/>
                <w:bCs/>
                <w:color w:val="auto"/>
                <w:kern w:val="0"/>
                <w:sz w:val="24"/>
                <w:szCs w:val="24"/>
                <w:highlight w:val="none"/>
                <w:vertAlign w:val="baseline"/>
                <w:lang w:val="en-US" w:eastAsia="zh-CN"/>
              </w:rPr>
              <w:t>0.75</w:t>
            </w:r>
            <w:r>
              <w:rPr>
                <w:rFonts w:hint="eastAsia" w:cs="Times New Roman"/>
                <w:b w:val="0"/>
                <w:bCs/>
                <w:color w:val="auto"/>
                <w:kern w:val="0"/>
                <w:sz w:val="24"/>
                <w:szCs w:val="24"/>
                <w:highlight w:val="none"/>
                <w:vertAlign w:val="baseline"/>
                <w:lang w:val="en-US" w:eastAsia="zh-CN"/>
              </w:rPr>
              <w:t>～</w:t>
            </w:r>
            <w:r>
              <w:rPr>
                <w:rFonts w:hint="eastAsia" w:ascii="Times New Roman" w:hAnsi="Times New Roman" w:eastAsia="宋体" w:cs="Times New Roman"/>
                <w:b w:val="0"/>
                <w:bCs/>
                <w:color w:val="auto"/>
                <w:kern w:val="0"/>
                <w:sz w:val="24"/>
                <w:szCs w:val="24"/>
                <w:highlight w:val="none"/>
                <w:vertAlign w:val="baseline"/>
                <w:lang w:val="en-US" w:eastAsia="zh-CN"/>
              </w:rPr>
              <w:t>0.95mm</w:t>
            </w:r>
            <w:r>
              <w:rPr>
                <w:rFonts w:hint="eastAsia" w:ascii="Times New Roman" w:hAnsi="Times New Roman" w:eastAsia="宋体" w:cs="Times New Roman"/>
                <w:color w:val="auto"/>
                <w:kern w:val="2"/>
                <w:sz w:val="24"/>
                <w:szCs w:val="24"/>
                <w:highlight w:val="none"/>
                <w:lang w:val="en-US" w:eastAsia="zh-CN" w:bidi="ar-SA"/>
              </w:rPr>
              <w:t>）</w:t>
            </w:r>
            <w:r>
              <w:rPr>
                <w:rFonts w:hint="eastAsia" w:cs="Times New Roman"/>
                <w:color w:val="auto"/>
                <w:kern w:val="2"/>
                <w:sz w:val="24"/>
                <w:szCs w:val="24"/>
                <w:highlight w:val="none"/>
                <w:lang w:val="en-US" w:eastAsia="zh-CN" w:bidi="ar-SA"/>
              </w:rPr>
              <w:t>不使用回收、废旧料，</w:t>
            </w:r>
            <w:r>
              <w:rPr>
                <w:rFonts w:hint="eastAsia" w:ascii="Times New Roman" w:hAnsi="Times New Roman" w:eastAsia="宋体" w:cs="Times New Roman"/>
                <w:color w:val="auto"/>
                <w:kern w:val="2"/>
                <w:sz w:val="24"/>
                <w:szCs w:val="24"/>
                <w:highlight w:val="none"/>
                <w:lang w:val="en-US" w:eastAsia="zh-CN" w:bidi="ar-SA"/>
              </w:rPr>
              <w:t>使用吨包盛装，生产时使用吊车将吨包</w:t>
            </w:r>
            <w:r>
              <w:rPr>
                <w:rFonts w:hint="eastAsia" w:cs="Times New Roman"/>
                <w:color w:val="auto"/>
                <w:kern w:val="2"/>
                <w:sz w:val="24"/>
                <w:szCs w:val="24"/>
                <w:highlight w:val="none"/>
                <w:lang w:val="en-US" w:eastAsia="zh-CN" w:bidi="ar-SA"/>
              </w:rPr>
              <w:t>吊</w:t>
            </w:r>
            <w:r>
              <w:rPr>
                <w:rFonts w:hint="eastAsia" w:ascii="Times New Roman" w:hAnsi="Times New Roman" w:eastAsia="宋体" w:cs="Times New Roman"/>
                <w:color w:val="auto"/>
                <w:kern w:val="2"/>
                <w:sz w:val="24"/>
                <w:szCs w:val="24"/>
                <w:highlight w:val="none"/>
                <w:lang w:val="en-US" w:eastAsia="zh-CN" w:bidi="ar-SA"/>
              </w:rPr>
              <w:t>起，运送至料斗上方</w:t>
            </w:r>
            <w:r>
              <w:rPr>
                <w:rFonts w:hint="eastAsia" w:cs="Times New Roman"/>
                <w:color w:val="auto"/>
                <w:kern w:val="2"/>
                <w:sz w:val="24"/>
                <w:szCs w:val="24"/>
                <w:highlight w:val="none"/>
                <w:lang w:val="en-US" w:eastAsia="zh-CN" w:bidi="ar-SA"/>
              </w:rPr>
              <w:t>时</w:t>
            </w:r>
            <w:r>
              <w:rPr>
                <w:rFonts w:hint="eastAsia" w:ascii="Times New Roman" w:hAnsi="Times New Roman" w:eastAsia="宋体" w:cs="Times New Roman"/>
                <w:color w:val="auto"/>
                <w:kern w:val="2"/>
                <w:sz w:val="24"/>
                <w:szCs w:val="24"/>
                <w:highlight w:val="none"/>
                <w:lang w:val="en-US" w:eastAsia="zh-CN" w:bidi="ar-SA"/>
              </w:rPr>
              <w:t>在底部划开，</w:t>
            </w:r>
            <w:r>
              <w:rPr>
                <w:rFonts w:hint="eastAsia" w:cs="Times New Roman"/>
                <w:color w:val="auto"/>
                <w:kern w:val="2"/>
                <w:sz w:val="24"/>
                <w:szCs w:val="24"/>
                <w:highlight w:val="none"/>
                <w:lang w:val="en-US" w:eastAsia="zh-CN" w:bidi="ar-SA"/>
              </w:rPr>
              <w:t>坐</w:t>
            </w:r>
            <w:r>
              <w:rPr>
                <w:rFonts w:hint="eastAsia" w:ascii="Times New Roman" w:hAnsi="Times New Roman" w:eastAsia="宋体" w:cs="Times New Roman"/>
                <w:color w:val="auto"/>
                <w:kern w:val="2"/>
                <w:sz w:val="24"/>
                <w:szCs w:val="24"/>
                <w:highlight w:val="none"/>
                <w:lang w:val="en-US" w:eastAsia="zh-CN" w:bidi="ar-SA"/>
              </w:rPr>
              <w:t>到料斗上。真空泵将聚苯乙烯颗粒</w:t>
            </w:r>
            <w:r>
              <w:rPr>
                <w:rFonts w:hint="eastAsia" w:cs="Times New Roman"/>
                <w:color w:val="auto"/>
                <w:kern w:val="2"/>
                <w:sz w:val="24"/>
                <w:szCs w:val="24"/>
                <w:highlight w:val="none"/>
                <w:lang w:val="en-US" w:eastAsia="zh-CN" w:bidi="ar-SA"/>
              </w:rPr>
              <w:t>从料斗</w:t>
            </w:r>
            <w:r>
              <w:rPr>
                <w:rFonts w:hint="eastAsia" w:ascii="Times New Roman" w:hAnsi="Times New Roman" w:eastAsia="宋体" w:cs="Times New Roman"/>
                <w:color w:val="auto"/>
                <w:kern w:val="2"/>
                <w:sz w:val="24"/>
                <w:szCs w:val="24"/>
                <w:highlight w:val="none"/>
                <w:lang w:val="en-US" w:eastAsia="zh-CN" w:bidi="ar-SA"/>
              </w:rPr>
              <w:t>抽至</w:t>
            </w:r>
            <w:r>
              <w:rPr>
                <w:rFonts w:hint="eastAsia" w:cs="Times New Roman"/>
                <w:color w:val="auto"/>
                <w:kern w:val="2"/>
                <w:sz w:val="24"/>
                <w:szCs w:val="24"/>
                <w:highlight w:val="none"/>
                <w:lang w:val="en-US" w:eastAsia="zh-CN" w:bidi="ar-SA"/>
              </w:rPr>
              <w:t>密闭</w:t>
            </w:r>
            <w:r>
              <w:rPr>
                <w:rFonts w:hint="eastAsia" w:ascii="Times New Roman" w:hAnsi="Times New Roman" w:eastAsia="宋体" w:cs="Times New Roman"/>
                <w:color w:val="auto"/>
                <w:kern w:val="2"/>
                <w:sz w:val="24"/>
                <w:szCs w:val="24"/>
                <w:highlight w:val="none"/>
                <w:lang w:val="en-US" w:eastAsia="zh-CN" w:bidi="ar-SA"/>
              </w:rPr>
              <w:t>预发泡设备腔内</w:t>
            </w:r>
            <w:r>
              <w:rPr>
                <w:rFonts w:hint="eastAsia" w:cs="Times New Roman"/>
                <w:color w:val="auto"/>
                <w:kern w:val="2"/>
                <w:sz w:val="24"/>
                <w:szCs w:val="24"/>
                <w:highlight w:val="none"/>
                <w:lang w:val="en-US" w:eastAsia="zh-CN" w:bidi="ar-SA"/>
              </w:rPr>
              <w:t>，无粉尘排放</w:t>
            </w:r>
            <w:r>
              <w:rPr>
                <w:rFonts w:hint="eastAsia" w:ascii="Times New Roman" w:hAnsi="Times New Roman" w:eastAsia="宋体" w:cs="Times New Roman"/>
                <w:color w:val="auto"/>
                <w:kern w:val="2"/>
                <w:sz w:val="24"/>
                <w:szCs w:val="24"/>
                <w:highlight w:val="none"/>
                <w:lang w:val="en-US" w:eastAsia="zh-CN" w:bidi="ar-SA"/>
              </w:rPr>
              <w:t>。</w:t>
            </w:r>
          </w:p>
          <w:p w14:paraId="5F2A1182">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default" w:ascii="Times New Roman" w:hAnsi="Times New Roman" w:eastAsia="宋体" w:cs="Times New Roman"/>
                <w:b/>
                <w:bCs/>
                <w:color w:val="auto"/>
                <w:kern w:val="2"/>
                <w:sz w:val="24"/>
                <w:szCs w:val="24"/>
                <w:highlight w:val="none"/>
                <w:lang w:val="en-US" w:eastAsia="zh-CN" w:bidi="ar-SA"/>
              </w:rPr>
            </w:pPr>
            <w:r>
              <w:rPr>
                <w:rFonts w:hint="eastAsia" w:cs="Times New Roman"/>
                <w:b/>
                <w:bCs/>
                <w:color w:val="auto"/>
                <w:kern w:val="2"/>
                <w:sz w:val="24"/>
                <w:szCs w:val="24"/>
                <w:highlight w:val="none"/>
                <w:lang w:val="en-US" w:eastAsia="zh-CN" w:bidi="ar-SA"/>
              </w:rPr>
              <w:t>该工序产污节点为</w:t>
            </w:r>
            <w:r>
              <w:rPr>
                <w:rFonts w:hint="eastAsia" w:ascii="Times New Roman" w:hAnsi="Times New Roman" w:eastAsia="宋体" w:cs="Times New Roman"/>
                <w:b/>
                <w:bCs/>
                <w:color w:val="auto"/>
                <w:kern w:val="2"/>
                <w:sz w:val="24"/>
                <w:szCs w:val="24"/>
                <w:highlight w:val="none"/>
                <w:lang w:val="en-US" w:eastAsia="zh-CN" w:bidi="ar-SA"/>
              </w:rPr>
              <w:t>真空泵运转噪声N1</w:t>
            </w:r>
            <w:r>
              <w:rPr>
                <w:rFonts w:hint="eastAsia" w:cs="Times New Roman"/>
                <w:b/>
                <w:bCs/>
                <w:color w:val="auto"/>
                <w:kern w:val="2"/>
                <w:sz w:val="24"/>
                <w:szCs w:val="24"/>
                <w:highlight w:val="none"/>
                <w:lang w:val="en-US" w:eastAsia="zh-CN" w:bidi="ar-SA"/>
              </w:rPr>
              <w:t>、废包装S1</w:t>
            </w:r>
            <w:r>
              <w:rPr>
                <w:rFonts w:hint="eastAsia" w:ascii="Times New Roman" w:hAnsi="Times New Roman" w:eastAsia="宋体" w:cs="Times New Roman"/>
                <w:b/>
                <w:bCs/>
                <w:color w:val="auto"/>
                <w:kern w:val="2"/>
                <w:sz w:val="24"/>
                <w:szCs w:val="24"/>
                <w:highlight w:val="none"/>
                <w:lang w:val="en-US" w:eastAsia="zh-CN" w:bidi="ar-SA"/>
              </w:rPr>
              <w:t>。</w:t>
            </w:r>
          </w:p>
          <w:p w14:paraId="5067C634">
            <w:pPr>
              <w:keepNext w:val="0"/>
              <w:keepLines w:val="0"/>
              <w:pageBreakBefore w:val="0"/>
              <w:widowControl/>
              <w:numPr>
                <w:ilvl w:val="0"/>
                <w:numId w:val="2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发泡</w:t>
            </w:r>
          </w:p>
          <w:p w14:paraId="3CE78C61">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可发性聚苯乙烯颗粒进入预发泡机腔体，同时将蒸汽通入，在蒸汽加热的作用下（温度控制在9</w:t>
            </w:r>
            <w:r>
              <w:rPr>
                <w:rFonts w:hint="eastAsia" w:cs="Times New Roman"/>
                <w:color w:val="auto"/>
                <w:kern w:val="2"/>
                <w:sz w:val="24"/>
                <w:szCs w:val="24"/>
                <w:highlight w:val="none"/>
                <w:lang w:val="en-US" w:eastAsia="zh-CN" w:bidi="ar-SA"/>
              </w:rPr>
              <w:t>0</w:t>
            </w:r>
            <w:r>
              <w:rPr>
                <w:rFonts w:hint="eastAsia" w:ascii="Times New Roman" w:hAnsi="Times New Roman" w:eastAsia="宋体" w:cs="Times New Roman"/>
                <w:color w:val="auto"/>
                <w:kern w:val="2"/>
                <w:sz w:val="24"/>
                <w:szCs w:val="24"/>
                <w:highlight w:val="none"/>
                <w:lang w:val="en-US" w:eastAsia="zh-CN" w:bidi="ar-SA"/>
              </w:rPr>
              <w:t>℃~</w:t>
            </w:r>
            <w:r>
              <w:rPr>
                <w:rFonts w:hint="eastAsia" w:cs="Times New Roman"/>
                <w:color w:val="auto"/>
                <w:kern w:val="2"/>
                <w:sz w:val="24"/>
                <w:szCs w:val="24"/>
                <w:highlight w:val="none"/>
                <w:lang w:val="en-US" w:eastAsia="zh-CN" w:bidi="ar-SA"/>
              </w:rPr>
              <w:t>95</w:t>
            </w:r>
            <w:r>
              <w:rPr>
                <w:rFonts w:hint="eastAsia" w:ascii="Times New Roman" w:hAnsi="Times New Roman" w:eastAsia="宋体" w:cs="Times New Roman"/>
                <w:color w:val="auto"/>
                <w:kern w:val="2"/>
                <w:sz w:val="24"/>
                <w:szCs w:val="24"/>
                <w:highlight w:val="none"/>
                <w:lang w:val="en-US" w:eastAsia="zh-CN" w:bidi="ar-SA"/>
              </w:rPr>
              <w:t>℃），聚苯乙烯在戊烷的作用下发生膨胀成为2.5</w:t>
            </w:r>
            <w:r>
              <w:rPr>
                <w:rFonts w:hint="eastAsia" w:cs="Times New Roman"/>
                <w:color w:val="auto"/>
                <w:kern w:val="2"/>
                <w:sz w:val="24"/>
                <w:szCs w:val="24"/>
                <w:highlight w:val="none"/>
                <w:lang w:val="en-US" w:eastAsia="zh-CN" w:bidi="ar-SA"/>
              </w:rPr>
              <w:t>～</w:t>
            </w:r>
            <w:r>
              <w:rPr>
                <w:rFonts w:hint="eastAsia" w:ascii="Times New Roman" w:hAnsi="Times New Roman" w:eastAsia="宋体" w:cs="Times New Roman"/>
                <w:color w:val="auto"/>
                <w:kern w:val="2"/>
                <w:sz w:val="24"/>
                <w:szCs w:val="24"/>
                <w:highlight w:val="none"/>
                <w:lang w:val="en-US" w:eastAsia="zh-CN" w:bidi="ar-SA"/>
              </w:rPr>
              <w:t>4.0mm的颗粒</w:t>
            </w:r>
            <w:r>
              <w:rPr>
                <w:rFonts w:hint="eastAsia" w:cs="Times New Roman"/>
                <w:color w:val="auto"/>
                <w:kern w:val="2"/>
                <w:sz w:val="24"/>
                <w:szCs w:val="24"/>
                <w:highlight w:val="none"/>
                <w:lang w:val="en-US" w:eastAsia="zh-CN" w:bidi="ar-SA"/>
              </w:rPr>
              <w:t>，其主要原理</w:t>
            </w:r>
            <w:r>
              <w:rPr>
                <w:rFonts w:hint="eastAsia" w:ascii="Times New Roman" w:hAnsi="Times New Roman" w:eastAsia="宋体" w:cs="Times New Roman"/>
                <w:color w:val="auto"/>
                <w:kern w:val="2"/>
                <w:sz w:val="24"/>
                <w:szCs w:val="24"/>
                <w:highlight w:val="none"/>
                <w:lang w:val="en-US" w:eastAsia="zh-CN" w:bidi="ar-SA"/>
              </w:rPr>
              <w:t>为发泡剂受热气化产生压力而使珠粒膨胀形成互不连通的泡孔。</w:t>
            </w:r>
          </w:p>
          <w:p w14:paraId="12CC13FA">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预发泡机出料口上方设置集气罩，对出料过程</w:t>
            </w:r>
            <w:r>
              <w:rPr>
                <w:rFonts w:hint="eastAsia" w:cs="Times New Roman"/>
                <w:color w:val="auto"/>
                <w:kern w:val="2"/>
                <w:sz w:val="24"/>
                <w:szCs w:val="24"/>
                <w:highlight w:val="none"/>
                <w:lang w:val="en-US" w:eastAsia="zh-CN" w:bidi="ar-SA"/>
              </w:rPr>
              <w:t>废气进行</w:t>
            </w:r>
            <w:r>
              <w:rPr>
                <w:rFonts w:hint="eastAsia" w:ascii="Times New Roman" w:hAnsi="Times New Roman" w:eastAsia="宋体" w:cs="Times New Roman"/>
                <w:color w:val="auto"/>
                <w:kern w:val="2"/>
                <w:sz w:val="24"/>
                <w:szCs w:val="24"/>
                <w:highlight w:val="none"/>
                <w:lang w:val="en-US" w:eastAsia="zh-CN" w:bidi="ar-SA"/>
              </w:rPr>
              <w:t>收集。在预发泡加热、膨胀、出料全过程中，颗粒内部发泡剂（戊烷等挥发性有机物）已在90℃～95℃高温及持续蒸汽环境下充分受热、气化、释放，经预发泡、出料并经集气罩收集后，珠粒表面及内部残留的有机发泡剂已基本挥发完全，物料进入后续熟化工段时不再产生有机废气。</w:t>
            </w:r>
          </w:p>
          <w:p w14:paraId="634FD98C">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default" w:ascii="Times New Roman" w:hAnsi="Times New Roman" w:eastAsia="宋体" w:cs="Times New Roman"/>
                <w:b/>
                <w:bCs/>
                <w:color w:val="auto"/>
                <w:kern w:val="2"/>
                <w:sz w:val="24"/>
                <w:szCs w:val="24"/>
                <w:highlight w:val="none"/>
                <w:lang w:val="en-US" w:eastAsia="zh-CN" w:bidi="ar-SA"/>
              </w:rPr>
            </w:pPr>
            <w:r>
              <w:rPr>
                <w:rFonts w:hint="eastAsia" w:cs="Times New Roman"/>
                <w:b/>
                <w:bCs/>
                <w:color w:val="auto"/>
                <w:kern w:val="2"/>
                <w:sz w:val="24"/>
                <w:szCs w:val="24"/>
                <w:highlight w:val="none"/>
                <w:lang w:val="en-US" w:eastAsia="zh-CN" w:bidi="ar-SA"/>
              </w:rPr>
              <w:t>该工序产污节点为</w:t>
            </w:r>
            <w:r>
              <w:rPr>
                <w:rFonts w:hint="eastAsia" w:ascii="Times New Roman" w:hAnsi="Times New Roman" w:eastAsia="宋体" w:cs="Times New Roman"/>
                <w:b/>
                <w:bCs/>
                <w:color w:val="auto"/>
                <w:kern w:val="2"/>
                <w:sz w:val="24"/>
                <w:szCs w:val="24"/>
                <w:highlight w:val="none"/>
                <w:lang w:val="en-US" w:eastAsia="zh-CN" w:bidi="ar-SA"/>
              </w:rPr>
              <w:t>挥发性有机物G1</w:t>
            </w:r>
            <w:r>
              <w:rPr>
                <w:rFonts w:hint="eastAsia" w:cs="Times New Roman"/>
                <w:b/>
                <w:bCs/>
                <w:color w:val="auto"/>
                <w:kern w:val="2"/>
                <w:sz w:val="24"/>
                <w:szCs w:val="24"/>
                <w:highlight w:val="none"/>
                <w:lang w:val="en-US" w:eastAsia="zh-CN" w:bidi="ar-SA"/>
              </w:rPr>
              <w:t>、</w:t>
            </w:r>
            <w:r>
              <w:rPr>
                <w:rFonts w:hint="eastAsia" w:ascii="Times New Roman" w:hAnsi="Times New Roman" w:eastAsia="宋体" w:cs="Times New Roman"/>
                <w:b/>
                <w:bCs/>
                <w:color w:val="auto"/>
                <w:kern w:val="2"/>
                <w:sz w:val="24"/>
                <w:szCs w:val="24"/>
                <w:highlight w:val="none"/>
                <w:lang w:val="en-US" w:eastAsia="zh-CN" w:bidi="ar-SA"/>
              </w:rPr>
              <w:t>发泡机运转噪声N2</w:t>
            </w:r>
            <w:r>
              <w:rPr>
                <w:rFonts w:hint="eastAsia" w:cs="Times New Roman"/>
                <w:b/>
                <w:bCs/>
                <w:color w:val="auto"/>
                <w:kern w:val="2"/>
                <w:sz w:val="24"/>
                <w:szCs w:val="24"/>
                <w:highlight w:val="none"/>
                <w:lang w:val="en-US" w:eastAsia="zh-CN" w:bidi="ar-SA"/>
              </w:rPr>
              <w:t>、蒸汽冷凝水W2</w:t>
            </w:r>
            <w:r>
              <w:rPr>
                <w:rFonts w:hint="eastAsia" w:ascii="Times New Roman" w:hAnsi="Times New Roman" w:eastAsia="宋体" w:cs="Times New Roman"/>
                <w:b/>
                <w:bCs/>
                <w:color w:val="auto"/>
                <w:kern w:val="2"/>
                <w:sz w:val="24"/>
                <w:szCs w:val="24"/>
                <w:highlight w:val="none"/>
                <w:lang w:val="en-US" w:eastAsia="zh-CN" w:bidi="ar-SA"/>
              </w:rPr>
              <w:t>。</w:t>
            </w:r>
          </w:p>
          <w:p w14:paraId="03740E81">
            <w:pPr>
              <w:keepNext w:val="0"/>
              <w:keepLines w:val="0"/>
              <w:pageBreakBefore w:val="0"/>
              <w:widowControl/>
              <w:numPr>
                <w:ilvl w:val="0"/>
                <w:numId w:val="20"/>
              </w:numPr>
              <w:suppressLineNumbers w:val="0"/>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熟化</w:t>
            </w:r>
            <w:r>
              <w:rPr>
                <w:rFonts w:hint="eastAsia" w:cs="Times New Roman"/>
                <w:color w:val="auto"/>
                <w:kern w:val="2"/>
                <w:sz w:val="24"/>
                <w:szCs w:val="24"/>
                <w:highlight w:val="none"/>
                <w:lang w:val="en-US" w:eastAsia="zh-CN" w:bidi="ar-SA"/>
              </w:rPr>
              <w:t>仓</w:t>
            </w:r>
          </w:p>
          <w:p w14:paraId="563BEEF1">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eastAsia"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发泡后珠粒经过空气冷却，泡孔内气孔的发泡剂和水蒸气被冷凝成液体，使泡孔内形成了负压。在空气中暴露一段时间，使空气逐步渗入泡孔，令泡孔内外压力保持平衡，使冷凝的发泡剂再渗入粒子中去，以防止成型后收缩。发好的泡粒仍为球状，但体积膨胀增大约20-60倍，流动性较好，通过发泡机配置的风机将泡粒通过密闭管道送入熟化仓，在熟化仓进行熟化。熟化温度为30℃，项目熟化时间为4小时。即熟化指让预发泡的物料慢慢逐步跟空气接触，慢慢吸收空气后达到稳定状态，储存在物料仓中，此过程无废气产生。</w:t>
            </w:r>
          </w:p>
          <w:p w14:paraId="394EE986">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Chars="200"/>
              <w:jc w:val="left"/>
              <w:textAlignment w:val="auto"/>
              <w:rPr>
                <w:rFonts w:hint="default" w:ascii="Times New Roman" w:hAnsi="Times New Roman" w:eastAsia="宋体" w:cs="Times New Roman"/>
                <w:b/>
                <w:bCs/>
                <w:color w:val="auto"/>
                <w:kern w:val="2"/>
                <w:sz w:val="24"/>
                <w:szCs w:val="24"/>
                <w:highlight w:val="none"/>
                <w:lang w:val="en-US" w:eastAsia="zh-CN" w:bidi="ar-SA"/>
              </w:rPr>
            </w:pPr>
            <w:r>
              <w:rPr>
                <w:rFonts w:hint="eastAsia" w:cs="Times New Roman"/>
                <w:b/>
                <w:bCs/>
                <w:color w:val="auto"/>
                <w:kern w:val="2"/>
                <w:sz w:val="24"/>
                <w:szCs w:val="24"/>
                <w:highlight w:val="none"/>
                <w:lang w:val="en-US" w:eastAsia="zh-CN" w:bidi="ar-SA"/>
              </w:rPr>
              <w:t>该工序产污节点为熟化过程产生输送设备噪声N3。</w:t>
            </w:r>
          </w:p>
          <w:p w14:paraId="0B745310">
            <w:pPr>
              <w:keepNext w:val="0"/>
              <w:keepLines w:val="0"/>
              <w:pageBreakBefore w:val="0"/>
              <w:widowControl/>
              <w:numPr>
                <w:ilvl w:val="0"/>
                <w:numId w:val="2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成型</w:t>
            </w:r>
            <w:r>
              <w:rPr>
                <w:rFonts w:hint="eastAsia" w:cs="Times New Roman"/>
                <w:color w:val="auto"/>
                <w:kern w:val="2"/>
                <w:sz w:val="24"/>
                <w:szCs w:val="24"/>
                <w:highlight w:val="none"/>
                <w:lang w:val="en-US" w:eastAsia="zh-CN" w:bidi="ar-SA"/>
              </w:rPr>
              <w:t>：</w:t>
            </w:r>
            <w:r>
              <w:rPr>
                <w:rFonts w:hint="eastAsia" w:ascii="Times New Roman" w:hAnsi="Times New Roman" w:eastAsia="宋体" w:cs="Times New Roman"/>
                <w:color w:val="auto"/>
                <w:kern w:val="2"/>
                <w:sz w:val="24"/>
                <w:szCs w:val="24"/>
                <w:highlight w:val="none"/>
                <w:lang w:val="en-US" w:eastAsia="zh-CN" w:bidi="ar-SA"/>
              </w:rPr>
              <w:t>熟化好的聚苯乙烯颗粒经管道输送至成型机的模具内，包括通蒸气加热和冷却定型</w:t>
            </w:r>
            <w:r>
              <w:rPr>
                <w:rFonts w:hint="eastAsia" w:cs="Times New Roman"/>
                <w:color w:val="auto"/>
                <w:kern w:val="2"/>
                <w:sz w:val="24"/>
                <w:szCs w:val="24"/>
                <w:highlight w:val="none"/>
                <w:lang w:val="en-US" w:eastAsia="zh-CN" w:bidi="ar-SA"/>
              </w:rPr>
              <w:t>两个阶段</w:t>
            </w:r>
            <w:r>
              <w:rPr>
                <w:rFonts w:hint="eastAsia" w:ascii="Times New Roman" w:hAnsi="Times New Roman" w:eastAsia="宋体" w:cs="Times New Roman"/>
                <w:color w:val="auto"/>
                <w:kern w:val="2"/>
                <w:sz w:val="24"/>
                <w:szCs w:val="24"/>
                <w:highlight w:val="none"/>
                <w:lang w:val="en-US" w:eastAsia="zh-CN" w:bidi="ar-SA"/>
              </w:rPr>
              <w:t>。</w:t>
            </w:r>
            <w:r>
              <w:rPr>
                <w:rFonts w:hint="eastAsia"/>
                <w:color w:val="auto"/>
                <w:sz w:val="24"/>
                <w:szCs w:val="24"/>
                <w:highlight w:val="none"/>
                <w:vertAlign w:val="baseline"/>
                <w:lang w:val="en-US" w:eastAsia="zh-CN"/>
              </w:rPr>
              <w:t>成型过程先将蒸汽通入模具外腔对聚苯乙烯发泡后的颗粒</w:t>
            </w:r>
            <w:r>
              <w:rPr>
                <w:rFonts w:hint="eastAsia" w:ascii="Times New Roman" w:hAnsi="Times New Roman" w:eastAsia="宋体" w:cs="Times New Roman"/>
                <w:color w:val="auto"/>
                <w:kern w:val="2"/>
                <w:sz w:val="24"/>
                <w:szCs w:val="24"/>
                <w:highlight w:val="none"/>
                <w:lang w:val="en-US" w:eastAsia="zh-CN" w:bidi="ar-SA"/>
              </w:rPr>
              <w:t>加热到1</w:t>
            </w:r>
            <w:r>
              <w:rPr>
                <w:rFonts w:hint="eastAsia" w:cs="Times New Roman"/>
                <w:color w:val="auto"/>
                <w:kern w:val="2"/>
                <w:sz w:val="24"/>
                <w:szCs w:val="24"/>
                <w:highlight w:val="none"/>
                <w:lang w:val="en-US" w:eastAsia="zh-CN" w:bidi="ar-SA"/>
              </w:rPr>
              <w:t>00</w:t>
            </w:r>
            <w:r>
              <w:rPr>
                <w:rFonts w:hint="eastAsia" w:ascii="宋体" w:hAnsi="宋体" w:eastAsia="宋体" w:cs="宋体"/>
                <w:color w:val="auto"/>
                <w:kern w:val="2"/>
                <w:sz w:val="24"/>
                <w:szCs w:val="24"/>
                <w:highlight w:val="none"/>
                <w:lang w:val="en-US" w:eastAsia="zh-CN" w:bidi="ar-SA"/>
              </w:rPr>
              <w:t>℃。</w:t>
            </w:r>
            <w:r>
              <w:rPr>
                <w:rFonts w:hint="eastAsia" w:ascii="Times New Roman" w:hAnsi="Times New Roman" w:eastAsia="宋体" w:cs="Times New Roman"/>
                <w:color w:val="auto"/>
                <w:kern w:val="2"/>
                <w:sz w:val="24"/>
                <w:szCs w:val="24"/>
                <w:highlight w:val="none"/>
                <w:lang w:val="en-US" w:eastAsia="zh-CN" w:bidi="ar-SA"/>
              </w:rPr>
              <w:t>在约20</w:t>
            </w:r>
            <w:r>
              <w:rPr>
                <w:rFonts w:hint="eastAsia" w:cs="Times New Roman"/>
                <w:color w:val="auto"/>
                <w:kern w:val="2"/>
                <w:sz w:val="24"/>
                <w:szCs w:val="24"/>
                <w:highlight w:val="none"/>
                <w:lang w:val="en-US" w:eastAsia="zh-CN" w:bidi="ar-SA"/>
              </w:rPr>
              <w:t>～65</w:t>
            </w:r>
            <w:r>
              <w:rPr>
                <w:rFonts w:hint="eastAsia" w:ascii="Times New Roman" w:hAnsi="Times New Roman" w:eastAsia="宋体" w:cs="Times New Roman"/>
                <w:color w:val="auto"/>
                <w:kern w:val="2"/>
                <w:sz w:val="24"/>
                <w:szCs w:val="24"/>
                <w:highlight w:val="none"/>
                <w:lang w:val="en-US" w:eastAsia="zh-CN" w:bidi="ar-SA"/>
              </w:rPr>
              <w:t>秒的短促加热时间内，空气</w:t>
            </w:r>
            <w:r>
              <w:rPr>
                <w:rFonts w:hint="eastAsia" w:cs="Times New Roman"/>
                <w:color w:val="auto"/>
                <w:kern w:val="2"/>
                <w:sz w:val="24"/>
                <w:szCs w:val="24"/>
                <w:highlight w:val="none"/>
                <w:lang w:val="en-US" w:eastAsia="zh-CN" w:bidi="ar-SA"/>
              </w:rPr>
              <w:t>来</w:t>
            </w:r>
            <w:r>
              <w:rPr>
                <w:rFonts w:hint="eastAsia" w:ascii="Times New Roman" w:hAnsi="Times New Roman" w:eastAsia="宋体" w:cs="Times New Roman"/>
                <w:color w:val="auto"/>
                <w:kern w:val="2"/>
                <w:sz w:val="24"/>
                <w:szCs w:val="24"/>
                <w:highlight w:val="none"/>
                <w:lang w:val="en-US" w:eastAsia="zh-CN" w:bidi="ar-SA"/>
              </w:rPr>
              <w:t>不及逸出，受热膨胀产生压力，压力的总和大于颗粒外面所加热的蒸气压力，此时聚合物软化，并由于泡孔内的压力</w:t>
            </w:r>
            <w:r>
              <w:rPr>
                <w:rFonts w:hint="eastAsia" w:cs="Times New Roman"/>
                <w:color w:val="auto"/>
                <w:kern w:val="2"/>
                <w:sz w:val="24"/>
                <w:szCs w:val="24"/>
                <w:highlight w:val="none"/>
                <w:lang w:val="en-US" w:eastAsia="zh-CN" w:bidi="ar-SA"/>
              </w:rPr>
              <w:t>大于</w:t>
            </w:r>
            <w:r>
              <w:rPr>
                <w:rFonts w:hint="eastAsia" w:ascii="Times New Roman" w:hAnsi="Times New Roman" w:eastAsia="宋体" w:cs="Times New Roman"/>
                <w:color w:val="auto"/>
                <w:kern w:val="2"/>
                <w:sz w:val="24"/>
                <w:szCs w:val="24"/>
                <w:highlight w:val="none"/>
                <w:lang w:val="en-US" w:eastAsia="zh-CN" w:bidi="ar-SA"/>
              </w:rPr>
              <w:t>外面的压力，颗粒又再度膨胀，并胀满颗粒之间的间隙而结成整块，形成与模具形状相同的泡沫</w:t>
            </w:r>
            <w:r>
              <w:rPr>
                <w:rFonts w:hint="eastAsia" w:ascii="Times New Roman" w:hAnsi="Times New Roman" w:eastAsia="宋体" w:cs="Times New Roman"/>
                <w:color w:val="auto"/>
                <w:kern w:val="2"/>
                <w:sz w:val="24"/>
                <w:szCs w:val="24"/>
                <w:highlight w:val="none"/>
                <w:lang w:val="en-US" w:eastAsia="zh-CN" w:bidi="ar-SA"/>
              </w:rPr>
              <w:fldChar w:fldCharType="begin"/>
            </w:r>
            <w:r>
              <w:rPr>
                <w:rFonts w:hint="eastAsia" w:ascii="Times New Roman" w:hAnsi="Times New Roman" w:eastAsia="宋体" w:cs="Times New Roman"/>
                <w:color w:val="auto"/>
                <w:kern w:val="2"/>
                <w:sz w:val="24"/>
                <w:szCs w:val="24"/>
                <w:highlight w:val="none"/>
                <w:lang w:val="en-US" w:eastAsia="zh-CN" w:bidi="ar-SA"/>
              </w:rPr>
              <w:instrText xml:space="preserve"> HYPERLINK "http://www.pvc123.com/suliao/zhipin.html" \t "https://www.pvc123.com/news/_blank" </w:instrText>
            </w:r>
            <w:r>
              <w:rPr>
                <w:rFonts w:hint="eastAsia" w:ascii="Times New Roman" w:hAnsi="Times New Roman" w:eastAsia="宋体" w:cs="Times New Roman"/>
                <w:color w:val="auto"/>
                <w:kern w:val="2"/>
                <w:sz w:val="24"/>
                <w:szCs w:val="24"/>
                <w:highlight w:val="none"/>
                <w:lang w:val="en-US" w:eastAsia="zh-CN" w:bidi="ar-SA"/>
              </w:rPr>
              <w:fldChar w:fldCharType="separate"/>
            </w:r>
            <w:r>
              <w:rPr>
                <w:rFonts w:hint="eastAsia" w:ascii="Times New Roman" w:hAnsi="Times New Roman" w:eastAsia="宋体" w:cs="Times New Roman"/>
                <w:color w:val="auto"/>
                <w:kern w:val="2"/>
                <w:sz w:val="24"/>
                <w:szCs w:val="24"/>
                <w:highlight w:val="none"/>
                <w:lang w:val="en-US" w:eastAsia="zh-CN" w:bidi="ar-SA"/>
              </w:rPr>
              <w:t>塑料制品</w:t>
            </w:r>
            <w:r>
              <w:rPr>
                <w:rFonts w:hint="eastAsia" w:ascii="Times New Roman" w:hAnsi="Times New Roman" w:eastAsia="宋体" w:cs="Times New Roman"/>
                <w:color w:val="auto"/>
                <w:kern w:val="2"/>
                <w:sz w:val="24"/>
                <w:szCs w:val="24"/>
                <w:highlight w:val="none"/>
                <w:lang w:val="en-US" w:eastAsia="zh-CN" w:bidi="ar-SA"/>
              </w:rPr>
              <w:fldChar w:fldCharType="end"/>
            </w:r>
            <w:r>
              <w:rPr>
                <w:rFonts w:hint="eastAsia" w:cs="Times New Roman"/>
                <w:color w:val="auto"/>
                <w:kern w:val="2"/>
                <w:sz w:val="24"/>
                <w:szCs w:val="24"/>
                <w:highlight w:val="none"/>
                <w:lang w:val="en-US" w:eastAsia="zh-CN" w:bidi="ar-SA"/>
              </w:rPr>
              <w:t>。</w:t>
            </w:r>
          </w:p>
          <w:p w14:paraId="5444B24A">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eastAsia" w:cs="Times New Roman"/>
                <w:color w:val="auto"/>
                <w:kern w:val="2"/>
                <w:sz w:val="24"/>
                <w:szCs w:val="24"/>
                <w:highlight w:val="none"/>
                <w:lang w:val="en-US" w:eastAsia="zh-CN" w:bidi="ar-SA"/>
              </w:rPr>
            </w:pPr>
            <w:r>
              <w:rPr>
                <w:rFonts w:hint="eastAsia"/>
                <w:color w:val="auto"/>
                <w:sz w:val="24"/>
                <w:szCs w:val="24"/>
                <w:highlight w:val="none"/>
                <w:vertAlign w:val="baseline"/>
                <w:lang w:val="en-US" w:eastAsia="zh-CN"/>
              </w:rPr>
              <w:t>成型后</w:t>
            </w:r>
            <w:r>
              <w:rPr>
                <w:rFonts w:hint="eastAsia" w:cs="Times New Roman"/>
                <w:color w:val="auto"/>
                <w:kern w:val="2"/>
                <w:sz w:val="24"/>
                <w:szCs w:val="24"/>
                <w:highlight w:val="none"/>
                <w:lang w:val="en-US" w:eastAsia="zh-CN" w:bidi="ar-SA"/>
              </w:rPr>
              <w:t>采用水冷系统间接降温，并在模具腔内抽真空使产品脱模。蒸汽不与物料直接接触且不使用脱模剂，蒸汽直接进入烘干工序加热系统；真空泵废气采用管道收集后排入废气治理设施。</w:t>
            </w:r>
          </w:p>
          <w:p w14:paraId="696E4D8D">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left"/>
              <w:textAlignment w:val="auto"/>
              <w:rPr>
                <w:rFonts w:hint="eastAsia" w:cs="Times New Roman"/>
                <w:color w:val="auto"/>
                <w:kern w:val="2"/>
                <w:sz w:val="24"/>
                <w:szCs w:val="24"/>
                <w:highlight w:val="none"/>
                <w:lang w:val="en-US" w:eastAsia="zh-CN" w:bidi="ar-SA"/>
              </w:rPr>
            </w:pPr>
            <w:r>
              <w:rPr>
                <w:rFonts w:hint="eastAsia" w:ascii="宋体" w:hAnsi="宋体" w:cs="宋体"/>
                <w:b/>
                <w:bCs/>
                <w:color w:val="auto"/>
                <w:kern w:val="0"/>
                <w:sz w:val="24"/>
                <w:szCs w:val="24"/>
                <w:highlight w:val="none"/>
                <w:lang w:val="en-US" w:eastAsia="zh-CN" w:bidi="ar"/>
              </w:rPr>
              <w:t xml:space="preserve">   </w:t>
            </w:r>
            <w:r>
              <w:rPr>
                <w:rFonts w:hint="eastAsia" w:cs="Times New Roman"/>
                <w:b/>
                <w:bCs/>
                <w:color w:val="auto"/>
                <w:kern w:val="2"/>
                <w:sz w:val="24"/>
                <w:szCs w:val="24"/>
                <w:highlight w:val="none"/>
                <w:lang w:val="en-US" w:eastAsia="zh-CN" w:bidi="ar-SA"/>
              </w:rPr>
              <w:t>该工序产污节点为</w:t>
            </w:r>
            <w:r>
              <w:rPr>
                <w:rFonts w:hint="eastAsia" w:ascii="Times New Roman" w:hAnsi="Times New Roman" w:eastAsia="宋体" w:cs="Times New Roman"/>
                <w:b/>
                <w:bCs/>
                <w:color w:val="auto"/>
                <w:kern w:val="2"/>
                <w:sz w:val="24"/>
                <w:szCs w:val="24"/>
                <w:highlight w:val="none"/>
                <w:lang w:val="en-US" w:eastAsia="zh-CN" w:bidi="ar-SA"/>
              </w:rPr>
              <w:t>设备运转噪声N</w:t>
            </w:r>
            <w:r>
              <w:rPr>
                <w:rFonts w:hint="eastAsia" w:cs="Times New Roman"/>
                <w:b/>
                <w:bCs/>
                <w:color w:val="auto"/>
                <w:kern w:val="2"/>
                <w:sz w:val="24"/>
                <w:szCs w:val="24"/>
                <w:highlight w:val="none"/>
                <w:lang w:val="en-US" w:eastAsia="zh-CN" w:bidi="ar-SA"/>
              </w:rPr>
              <w:t>3</w:t>
            </w:r>
            <w:r>
              <w:rPr>
                <w:rFonts w:hint="eastAsia" w:ascii="Times New Roman" w:hAnsi="Times New Roman" w:eastAsia="宋体" w:cs="Times New Roman"/>
                <w:b/>
                <w:bCs/>
                <w:color w:val="auto"/>
                <w:kern w:val="2"/>
                <w:sz w:val="24"/>
                <w:szCs w:val="24"/>
                <w:highlight w:val="none"/>
                <w:lang w:val="en-US" w:eastAsia="zh-CN" w:bidi="ar-SA"/>
              </w:rPr>
              <w:t>、挥发性有机气体G</w:t>
            </w:r>
            <w:r>
              <w:rPr>
                <w:rFonts w:hint="eastAsia" w:cs="Times New Roman"/>
                <w:b/>
                <w:bCs/>
                <w:color w:val="auto"/>
                <w:kern w:val="2"/>
                <w:sz w:val="24"/>
                <w:szCs w:val="24"/>
                <w:highlight w:val="none"/>
                <w:lang w:val="en-US" w:eastAsia="zh-CN" w:bidi="ar-SA"/>
              </w:rPr>
              <w:t>2（含真空泵抽真空废气）</w:t>
            </w:r>
            <w:r>
              <w:rPr>
                <w:rFonts w:hint="eastAsia" w:ascii="Times New Roman" w:hAnsi="Times New Roman" w:eastAsia="宋体" w:cs="Times New Roman"/>
                <w:b/>
                <w:bCs/>
                <w:color w:val="auto"/>
                <w:kern w:val="2"/>
                <w:sz w:val="24"/>
                <w:szCs w:val="24"/>
                <w:highlight w:val="none"/>
                <w:lang w:val="en-US" w:eastAsia="zh-CN" w:bidi="ar-SA"/>
              </w:rPr>
              <w:t>、</w:t>
            </w:r>
            <w:r>
              <w:rPr>
                <w:rFonts w:hint="eastAsia" w:cs="Times New Roman"/>
                <w:b/>
                <w:bCs/>
                <w:color w:val="auto"/>
                <w:kern w:val="2"/>
                <w:sz w:val="24"/>
                <w:szCs w:val="24"/>
                <w:highlight w:val="none"/>
                <w:lang w:val="en-US" w:eastAsia="zh-CN" w:bidi="ar-SA"/>
              </w:rPr>
              <w:t>不合格品S2、冷却循环水W1</w:t>
            </w:r>
            <w:r>
              <w:rPr>
                <w:rFonts w:hint="eastAsia" w:ascii="Times New Roman" w:hAnsi="Times New Roman" w:eastAsia="宋体" w:cs="Times New Roman"/>
                <w:b/>
                <w:bCs/>
                <w:color w:val="auto"/>
                <w:kern w:val="2"/>
                <w:sz w:val="24"/>
                <w:szCs w:val="24"/>
                <w:highlight w:val="none"/>
                <w:lang w:val="en-US" w:eastAsia="zh-CN" w:bidi="ar-SA"/>
              </w:rPr>
              <w:t>。</w:t>
            </w:r>
          </w:p>
          <w:p w14:paraId="6233082E">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eastAsia"/>
                <w:color w:val="auto"/>
                <w:sz w:val="24"/>
                <w:szCs w:val="24"/>
                <w:highlight w:val="none"/>
                <w:vertAlign w:val="baseline"/>
                <w:lang w:val="en-US" w:eastAsia="zh-CN"/>
              </w:rPr>
            </w:pPr>
            <w:r>
              <w:rPr>
                <w:rFonts w:hint="eastAsia"/>
                <w:color w:val="auto"/>
                <w:sz w:val="24"/>
                <w:szCs w:val="24"/>
                <w:highlight w:val="none"/>
                <w:vertAlign w:val="baseline"/>
                <w:lang w:val="en-US" w:eastAsia="zh-CN"/>
              </w:rPr>
              <w:t>（5）烘干工序</w:t>
            </w:r>
          </w:p>
          <w:p w14:paraId="3251C608">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eastAsia"/>
                <w:color w:val="auto"/>
                <w:sz w:val="24"/>
                <w:szCs w:val="24"/>
                <w:highlight w:val="none"/>
                <w:vertAlign w:val="baseline"/>
                <w:lang w:val="en-US" w:eastAsia="zh-CN"/>
              </w:rPr>
            </w:pPr>
            <w:r>
              <w:rPr>
                <w:rFonts w:hint="eastAsia"/>
                <w:color w:val="auto"/>
                <w:sz w:val="24"/>
                <w:szCs w:val="24"/>
                <w:highlight w:val="none"/>
                <w:vertAlign w:val="baseline"/>
                <w:lang w:val="en-US" w:eastAsia="zh-CN"/>
              </w:rPr>
              <w:t>脱模后的半成品产品进入烘干室烘干，去除表面少量水分。烘干房由</w:t>
            </w:r>
            <w:r>
              <w:rPr>
                <w:rFonts w:hint="eastAsia"/>
                <w:bCs/>
                <w:color w:val="auto"/>
                <w:kern w:val="0"/>
                <w:sz w:val="24"/>
                <w:highlight w:val="none"/>
                <w:lang w:val="en-US" w:eastAsia="zh-CN"/>
              </w:rPr>
              <w:t>石家庄玉晶玻璃有限公司</w:t>
            </w:r>
            <w:r>
              <w:rPr>
                <w:rFonts w:hint="eastAsia"/>
                <w:color w:val="auto"/>
                <w:sz w:val="24"/>
                <w:szCs w:val="24"/>
                <w:highlight w:val="none"/>
                <w:vertAlign w:val="baseline"/>
                <w:lang w:val="en-US" w:eastAsia="zh-CN"/>
              </w:rPr>
              <w:t>蒸汽作为热源及成型工序的余热，烘干室设有蒸汽管道、与物料间接接触，半成品进烘房定型2小时，烘房温度40~45℃。</w:t>
            </w:r>
          </w:p>
          <w:p w14:paraId="73525048">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eastAsia" w:eastAsia="宋体"/>
                <w:color w:val="auto"/>
                <w:sz w:val="24"/>
                <w:szCs w:val="24"/>
                <w:highlight w:val="none"/>
                <w:vertAlign w:val="baseline"/>
                <w:lang w:val="en-US" w:eastAsia="zh-CN"/>
              </w:rPr>
            </w:pPr>
            <w:r>
              <w:rPr>
                <w:rFonts w:hint="eastAsia" w:eastAsia="宋体"/>
                <w:color w:val="auto"/>
                <w:sz w:val="24"/>
                <w:szCs w:val="24"/>
                <w:highlight w:val="none"/>
                <w:vertAlign w:val="baseline"/>
                <w:lang w:val="en-US" w:eastAsia="zh-CN"/>
              </w:rPr>
              <w:t>烘干室的蒸汽管道与半成品为间接接触方式，蒸汽仅作为传热介质在管道内循环，不与半成品表面发生接触，不存在因蒸汽携带有机成分而产生VOCs排放的可能；烘干工序温度严格控制在40~45℃，该温度远低于EPS半成品中残留发泡剂戊烷的挥发温度。在此温度条件下，半成品内残留的少量戊烷不会逸散，仅能去除表面附着的物理水分，无有机污染物挥发。烘干工序仅为物理干燥过程，不涉及任何有机助剂、脱模剂、粘合剂等辅料的使用，不存在因添加化学品而产生VOCs排放的情况。</w:t>
            </w:r>
          </w:p>
          <w:p w14:paraId="207B75FE">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eastAsia"/>
                <w:color w:val="auto"/>
                <w:lang w:val="en-US" w:eastAsia="zh-CN"/>
              </w:rPr>
            </w:pPr>
            <w:r>
              <w:rPr>
                <w:rFonts w:hint="eastAsia" w:eastAsia="宋体"/>
                <w:color w:val="auto"/>
                <w:sz w:val="24"/>
                <w:szCs w:val="24"/>
                <w:highlight w:val="none"/>
                <w:vertAlign w:val="baseline"/>
                <w:lang w:val="en-US" w:eastAsia="zh-CN"/>
              </w:rPr>
              <w:t>蒸汽进入烘干室加热盘管释放潜热、完成换热后，凝结为高温冷凝水，通过密闭冷凝水回收管道集中收集，全部回流</w:t>
            </w:r>
            <w:r>
              <w:rPr>
                <w:rFonts w:hint="eastAsia"/>
                <w:color w:val="auto"/>
                <w:sz w:val="24"/>
                <w:szCs w:val="24"/>
                <w:highlight w:val="none"/>
                <w:vertAlign w:val="baseline"/>
                <w:lang w:val="en-US" w:eastAsia="zh-CN"/>
              </w:rPr>
              <w:t>至冷却循环系统（水箱+喷淋塔）</w:t>
            </w:r>
            <w:r>
              <w:rPr>
                <w:rFonts w:ascii="宋体" w:hAnsi="宋体" w:eastAsia="宋体" w:cs="宋体"/>
                <w:color w:val="auto"/>
                <w:sz w:val="24"/>
                <w:szCs w:val="24"/>
              </w:rPr>
              <w:t>。</w:t>
            </w:r>
          </w:p>
          <w:p w14:paraId="6F5452C8">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2" w:firstLineChars="200"/>
              <w:jc w:val="left"/>
              <w:textAlignment w:val="auto"/>
              <w:rPr>
                <w:rFonts w:hint="default"/>
                <w:color w:val="auto"/>
                <w:highlight w:val="none"/>
                <w:lang w:val="en-US" w:eastAsia="zh-CN"/>
              </w:rPr>
            </w:pPr>
            <w:r>
              <w:rPr>
                <w:rFonts w:hint="eastAsia" w:cs="Times New Roman"/>
                <w:b/>
                <w:bCs/>
                <w:color w:val="auto"/>
                <w:kern w:val="2"/>
                <w:sz w:val="24"/>
                <w:szCs w:val="24"/>
                <w:highlight w:val="none"/>
                <w:lang w:val="en-US" w:eastAsia="zh-CN" w:bidi="ar-SA"/>
              </w:rPr>
              <w:t>该工序产污节点为蒸汽冷水W2</w:t>
            </w:r>
            <w:r>
              <w:rPr>
                <w:rFonts w:hint="eastAsia" w:ascii="Times New Roman" w:hAnsi="Times New Roman" w:eastAsia="宋体" w:cs="Times New Roman"/>
                <w:b/>
                <w:bCs/>
                <w:color w:val="auto"/>
                <w:kern w:val="2"/>
                <w:sz w:val="24"/>
                <w:szCs w:val="24"/>
                <w:highlight w:val="none"/>
                <w:lang w:val="en-US" w:eastAsia="zh-CN" w:bidi="ar-SA"/>
              </w:rPr>
              <w:t>。</w:t>
            </w:r>
          </w:p>
          <w:p w14:paraId="4E642995">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eastAsia"/>
                <w:color w:val="auto"/>
                <w:sz w:val="24"/>
                <w:szCs w:val="24"/>
                <w:highlight w:val="none"/>
                <w:vertAlign w:val="baseline"/>
                <w:lang w:val="en-US" w:eastAsia="zh-CN"/>
              </w:rPr>
            </w:pPr>
            <w:r>
              <w:rPr>
                <w:rFonts w:hint="eastAsia"/>
                <w:color w:val="auto"/>
                <w:sz w:val="24"/>
                <w:szCs w:val="24"/>
                <w:highlight w:val="none"/>
                <w:vertAlign w:val="baseline"/>
                <w:lang w:val="en-US" w:eastAsia="zh-CN"/>
              </w:rPr>
              <w:t>（6）切割</w:t>
            </w:r>
          </w:p>
          <w:p w14:paraId="1FB51BD2">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eastAsia"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塑料板材根据产品规格需要进行切割，切板机为电导切割，切割后的成品入库，边角料进行统一收集后外售。</w:t>
            </w:r>
          </w:p>
          <w:p w14:paraId="2CE1C480">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2" w:firstLineChars="200"/>
              <w:jc w:val="left"/>
              <w:textAlignment w:val="auto"/>
              <w:rPr>
                <w:rFonts w:hint="eastAsia"/>
                <w:color w:val="auto"/>
                <w:highlight w:val="none"/>
                <w:lang w:val="en-US" w:eastAsia="zh-CN"/>
              </w:rPr>
            </w:pPr>
            <w:r>
              <w:rPr>
                <w:rFonts w:hint="eastAsia" w:cs="Times New Roman"/>
                <w:b/>
                <w:bCs/>
                <w:color w:val="auto"/>
                <w:kern w:val="2"/>
                <w:sz w:val="24"/>
                <w:szCs w:val="24"/>
                <w:highlight w:val="none"/>
                <w:lang w:val="en-US" w:eastAsia="zh-CN" w:bidi="ar-SA"/>
              </w:rPr>
              <w:t>该工序产污节点为</w:t>
            </w:r>
            <w:r>
              <w:rPr>
                <w:rFonts w:hint="eastAsia" w:ascii="Times New Roman" w:hAnsi="Times New Roman" w:eastAsia="宋体" w:cs="Times New Roman"/>
                <w:b/>
                <w:bCs/>
                <w:color w:val="auto"/>
                <w:kern w:val="2"/>
                <w:sz w:val="24"/>
                <w:szCs w:val="24"/>
                <w:highlight w:val="none"/>
                <w:lang w:val="en-US" w:eastAsia="zh-CN" w:bidi="ar-SA"/>
              </w:rPr>
              <w:t>挥发性有机气体G</w:t>
            </w:r>
            <w:r>
              <w:rPr>
                <w:rFonts w:hint="eastAsia" w:cs="Times New Roman"/>
                <w:b/>
                <w:bCs/>
                <w:color w:val="auto"/>
                <w:kern w:val="2"/>
                <w:sz w:val="24"/>
                <w:szCs w:val="24"/>
                <w:highlight w:val="none"/>
                <w:lang w:val="en-US" w:eastAsia="zh-CN" w:bidi="ar-SA"/>
              </w:rPr>
              <w:t>3、边角料S3</w:t>
            </w:r>
            <w:r>
              <w:rPr>
                <w:rFonts w:hint="eastAsia" w:ascii="Times New Roman" w:hAnsi="Times New Roman" w:eastAsia="宋体" w:cs="Times New Roman"/>
                <w:b/>
                <w:bCs/>
                <w:color w:val="auto"/>
                <w:kern w:val="2"/>
                <w:sz w:val="24"/>
                <w:szCs w:val="24"/>
                <w:highlight w:val="none"/>
                <w:lang w:val="en-US" w:eastAsia="zh-CN" w:bidi="ar-SA"/>
              </w:rPr>
              <w:t>。</w:t>
            </w:r>
          </w:p>
          <w:p w14:paraId="1E206644">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default"/>
                <w:color w:val="auto"/>
                <w:sz w:val="24"/>
                <w:szCs w:val="24"/>
                <w:highlight w:val="none"/>
                <w:vertAlign w:val="baseline"/>
                <w:lang w:val="en-US" w:eastAsia="zh-CN"/>
              </w:rPr>
            </w:pPr>
            <w:r>
              <w:rPr>
                <w:rFonts w:hint="eastAsia"/>
                <w:color w:val="auto"/>
                <w:sz w:val="24"/>
                <w:szCs w:val="24"/>
                <w:highlight w:val="none"/>
                <w:vertAlign w:val="baseline"/>
                <w:lang w:val="en-US" w:eastAsia="zh-CN"/>
              </w:rPr>
              <w:t>（7）包装</w:t>
            </w:r>
          </w:p>
          <w:p w14:paraId="2F699812">
            <w:pPr>
              <w:keepNext w:val="0"/>
              <w:keepLines w:val="0"/>
              <w:widowControl/>
              <w:suppressLineNumbers w:val="0"/>
              <w:spacing w:line="360" w:lineRule="auto"/>
              <w:ind w:firstLine="480" w:firstLineChars="200"/>
              <w:jc w:val="left"/>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部分小尺寸泡沫板需要人工装袋</w:t>
            </w:r>
            <w:r>
              <w:rPr>
                <w:rFonts w:hint="eastAsia" w:ascii="宋体" w:hAnsi="宋体" w:cs="宋体"/>
                <w:color w:val="auto"/>
                <w:kern w:val="0"/>
                <w:sz w:val="24"/>
                <w:szCs w:val="24"/>
                <w:highlight w:val="none"/>
                <w:lang w:val="en-US" w:eastAsia="zh-CN" w:bidi="ar"/>
              </w:rPr>
              <w:t>，人工扎口</w:t>
            </w:r>
            <w:r>
              <w:rPr>
                <w:rFonts w:hint="eastAsia" w:ascii="宋体" w:hAnsi="宋体" w:eastAsia="宋体" w:cs="宋体"/>
                <w:color w:val="auto"/>
                <w:kern w:val="0"/>
                <w:sz w:val="24"/>
                <w:szCs w:val="24"/>
                <w:highlight w:val="none"/>
                <w:lang w:val="en-US" w:eastAsia="zh-CN" w:bidi="ar"/>
              </w:rPr>
              <w:t>，其余</w:t>
            </w:r>
            <w:r>
              <w:rPr>
                <w:rFonts w:hint="eastAsia" w:ascii="宋体" w:hAnsi="宋体" w:cs="宋体"/>
                <w:color w:val="auto"/>
                <w:kern w:val="0"/>
                <w:sz w:val="24"/>
                <w:szCs w:val="24"/>
                <w:highlight w:val="none"/>
                <w:lang w:val="en-US" w:eastAsia="zh-CN" w:bidi="ar"/>
              </w:rPr>
              <w:t>产品</w:t>
            </w:r>
            <w:r>
              <w:rPr>
                <w:rFonts w:hint="eastAsia" w:ascii="宋体" w:hAnsi="宋体" w:eastAsia="宋体" w:cs="宋体"/>
                <w:color w:val="auto"/>
                <w:kern w:val="0"/>
                <w:sz w:val="24"/>
                <w:szCs w:val="24"/>
                <w:highlight w:val="none"/>
                <w:lang w:val="en-US" w:eastAsia="zh-CN" w:bidi="ar"/>
              </w:rPr>
              <w:t>无需包装。</w:t>
            </w:r>
          </w:p>
          <w:p w14:paraId="7A179B80">
            <w:pPr>
              <w:pStyle w:val="43"/>
              <w:rPr>
                <w:rFonts w:hint="eastAsia" w:ascii="宋体" w:hAnsi="宋体" w:eastAsia="宋体" w:cs="宋体"/>
                <w:color w:val="auto"/>
                <w:kern w:val="0"/>
                <w:sz w:val="24"/>
                <w:szCs w:val="24"/>
                <w:highlight w:val="none"/>
                <w:lang w:val="en-US" w:eastAsia="zh-CN" w:bidi="ar"/>
              </w:rPr>
            </w:pPr>
          </w:p>
          <w:p w14:paraId="7D337AA3">
            <w:pPr>
              <w:pStyle w:val="45"/>
              <w:rPr>
                <w:rFonts w:hint="eastAsia" w:ascii="宋体" w:hAnsi="宋体" w:eastAsia="宋体" w:cs="宋体"/>
                <w:color w:val="auto"/>
                <w:kern w:val="0"/>
                <w:sz w:val="24"/>
                <w:szCs w:val="24"/>
                <w:highlight w:val="none"/>
                <w:lang w:val="en-US" w:eastAsia="zh-CN" w:bidi="ar"/>
              </w:rPr>
            </w:pPr>
          </w:p>
          <w:p w14:paraId="3C7C4D11">
            <w:pPr>
              <w:rPr>
                <w:rFonts w:hint="eastAsia" w:ascii="宋体" w:hAnsi="宋体" w:eastAsia="宋体" w:cs="宋体"/>
                <w:color w:val="auto"/>
                <w:kern w:val="0"/>
                <w:sz w:val="24"/>
                <w:szCs w:val="24"/>
                <w:highlight w:val="none"/>
                <w:lang w:val="en-US" w:eastAsia="zh-CN" w:bidi="ar"/>
              </w:rPr>
            </w:pPr>
          </w:p>
          <w:p w14:paraId="468A9CA1">
            <w:pPr>
              <w:pStyle w:val="43"/>
              <w:rPr>
                <w:rFonts w:hint="eastAsia" w:ascii="宋体" w:hAnsi="宋体" w:eastAsia="宋体" w:cs="宋体"/>
                <w:color w:val="auto"/>
                <w:kern w:val="0"/>
                <w:sz w:val="24"/>
                <w:szCs w:val="24"/>
                <w:highlight w:val="none"/>
                <w:lang w:val="en-US" w:eastAsia="zh-CN" w:bidi="ar"/>
              </w:rPr>
            </w:pPr>
          </w:p>
          <w:p w14:paraId="0AA76195">
            <w:pPr>
              <w:pStyle w:val="45"/>
              <w:rPr>
                <w:rFonts w:hint="eastAsia" w:ascii="宋体" w:hAnsi="宋体" w:eastAsia="宋体" w:cs="宋体"/>
                <w:color w:val="auto"/>
                <w:kern w:val="0"/>
                <w:sz w:val="24"/>
                <w:szCs w:val="24"/>
                <w:highlight w:val="none"/>
                <w:lang w:val="en-US" w:eastAsia="zh-CN" w:bidi="ar"/>
              </w:rPr>
            </w:pPr>
          </w:p>
          <w:p w14:paraId="17844673">
            <w:pPr>
              <w:rPr>
                <w:rFonts w:hint="eastAsia" w:ascii="宋体" w:hAnsi="宋体" w:eastAsia="宋体" w:cs="宋体"/>
                <w:color w:val="auto"/>
                <w:kern w:val="0"/>
                <w:sz w:val="24"/>
                <w:szCs w:val="24"/>
                <w:highlight w:val="none"/>
                <w:lang w:val="en-US" w:eastAsia="zh-CN" w:bidi="ar"/>
              </w:rPr>
            </w:pPr>
          </w:p>
          <w:p w14:paraId="00A76CB5">
            <w:pPr>
              <w:pStyle w:val="43"/>
              <w:rPr>
                <w:rFonts w:hint="eastAsia" w:ascii="宋体" w:hAnsi="宋体" w:eastAsia="宋体" w:cs="宋体"/>
                <w:color w:val="auto"/>
                <w:kern w:val="0"/>
                <w:sz w:val="24"/>
                <w:szCs w:val="24"/>
                <w:highlight w:val="none"/>
                <w:lang w:val="en-US" w:eastAsia="zh-CN" w:bidi="ar"/>
              </w:rPr>
            </w:pPr>
          </w:p>
          <w:p w14:paraId="0C95DA38">
            <w:pPr>
              <w:pStyle w:val="45"/>
              <w:rPr>
                <w:rFonts w:hint="eastAsia" w:ascii="宋体" w:hAnsi="宋体" w:eastAsia="宋体" w:cs="宋体"/>
                <w:color w:val="auto"/>
                <w:kern w:val="0"/>
                <w:sz w:val="24"/>
                <w:szCs w:val="24"/>
                <w:highlight w:val="none"/>
                <w:lang w:val="en-US" w:eastAsia="zh-CN" w:bidi="ar"/>
              </w:rPr>
            </w:pPr>
          </w:p>
          <w:p w14:paraId="4D75C023">
            <w:pPr>
              <w:rPr>
                <w:rFonts w:hint="eastAsia" w:ascii="宋体" w:hAnsi="宋体" w:eastAsia="宋体" w:cs="宋体"/>
                <w:color w:val="auto"/>
                <w:kern w:val="0"/>
                <w:sz w:val="24"/>
                <w:szCs w:val="24"/>
                <w:highlight w:val="none"/>
                <w:lang w:val="en-US" w:eastAsia="zh-CN" w:bidi="ar"/>
              </w:rPr>
            </w:pPr>
          </w:p>
          <w:p w14:paraId="3BDBC4B8">
            <w:pPr>
              <w:pStyle w:val="43"/>
              <w:rPr>
                <w:rFonts w:hint="eastAsia" w:ascii="宋体" w:hAnsi="宋体" w:eastAsia="宋体" w:cs="宋体"/>
                <w:color w:val="auto"/>
                <w:kern w:val="0"/>
                <w:sz w:val="24"/>
                <w:szCs w:val="24"/>
                <w:highlight w:val="none"/>
                <w:lang w:val="en-US" w:eastAsia="zh-CN" w:bidi="ar"/>
              </w:rPr>
            </w:pPr>
          </w:p>
          <w:p w14:paraId="59BA4EBC">
            <w:pPr>
              <w:pStyle w:val="45"/>
              <w:rPr>
                <w:rFonts w:hint="eastAsia"/>
                <w:color w:val="auto"/>
                <w:lang w:val="en-US" w:eastAsia="zh-CN"/>
              </w:rPr>
            </w:pPr>
          </w:p>
          <w:p w14:paraId="7AD79A30">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color w:val="auto"/>
                <w:highlight w:val="none"/>
                <w:lang w:val="en-US" w:eastAsia="zh-CN"/>
              </w:rPr>
            </w:pPr>
            <w:r>
              <w:rPr>
                <w:color w:val="auto"/>
                <w:sz w:val="24"/>
                <w:highlight w:val="none"/>
              </w:rPr>
              <mc:AlternateContent>
                <mc:Choice Requires="wps">
                  <w:drawing>
                    <wp:anchor distT="0" distB="0" distL="114300" distR="114300" simplePos="0" relativeHeight="251672576" behindDoc="0" locked="0" layoutInCell="1" allowOverlap="1">
                      <wp:simplePos x="0" y="0"/>
                      <wp:positionH relativeFrom="column">
                        <wp:posOffset>1677670</wp:posOffset>
                      </wp:positionH>
                      <wp:positionV relativeFrom="paragraph">
                        <wp:posOffset>50165</wp:posOffset>
                      </wp:positionV>
                      <wp:extent cx="942975" cy="234950"/>
                      <wp:effectExtent l="0" t="0" r="0" b="0"/>
                      <wp:wrapNone/>
                      <wp:docPr id="186" name="文本框 186"/>
                      <wp:cNvGraphicFramePr/>
                      <a:graphic xmlns:a="http://schemas.openxmlformats.org/drawingml/2006/main">
                        <a:graphicData uri="http://schemas.microsoft.com/office/word/2010/wordprocessingShape">
                          <wps:wsp>
                            <wps:cNvSpPr txBox="1"/>
                            <wps:spPr>
                              <a:xfrm>
                                <a:off x="3227070" y="1703705"/>
                                <a:ext cx="942975" cy="234950"/>
                              </a:xfrm>
                              <a:prstGeom prst="rect">
                                <a:avLst/>
                              </a:prstGeom>
                              <a:noFill/>
                              <a:ln w="6350">
                                <a:noFill/>
                              </a:ln>
                              <a:effectLst/>
                            </wps:spPr>
                            <wps:txbx>
                              <w:txbxContent>
                                <w:p w14:paraId="4FBD8000">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eastAsia="宋体"/>
                                      <w:lang w:val="en-US" w:eastAsia="zh-CN"/>
                                    </w:rPr>
                                    <w:t>G</w:t>
                                  </w:r>
                                  <w:r>
                                    <w:rPr>
                                      <w:rFonts w:hint="eastAsia"/>
                                      <w:lang w:val="en-US" w:eastAsia="zh-CN"/>
                                    </w:rPr>
                                    <w:t>1</w:t>
                                  </w:r>
                                  <w:r>
                                    <w:rPr>
                                      <w:rFonts w:hint="eastAsia" w:eastAsia="宋体"/>
                                      <w:lang w:val="en-US" w:eastAsia="zh-CN"/>
                                    </w:rPr>
                                    <w:t>、N2</w:t>
                                  </w:r>
                                  <w:r>
                                    <w:rPr>
                                      <w:rFonts w:hint="eastAsia"/>
                                      <w:lang w:val="en-US" w:eastAsia="zh-CN"/>
                                    </w:rPr>
                                    <w:t>、W2</w:t>
                                  </w:r>
                                </w:p>
                              </w:txbxContent>
                            </wps:txbx>
                            <wps:bodyPr vert="horz" wrap="square" anchor="t" anchorCtr="0" upright="1"/>
                          </wps:wsp>
                        </a:graphicData>
                      </a:graphic>
                    </wp:anchor>
                  </w:drawing>
                </mc:Choice>
                <mc:Fallback>
                  <w:pict>
                    <v:shape id="_x0000_s1026" o:spid="_x0000_s1026" o:spt="202" type="#_x0000_t202" style="position:absolute;left:0pt;margin-left:132.1pt;margin-top:3.95pt;height:18.5pt;width:74.25pt;z-index:251672576;mso-width-relative:page;mso-height-relative:page;" filled="f" stroked="f" coordsize="21600,21600" o:gfxdata="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D87VJra&#10;AAAACAEAAA8AAAAAAAAAAQAgAAAAIgAAAGRycy9kb3ducmV2LnhtbFBLAQIUABQAAAAIAIdO4kDn&#10;NTaU5QEAAKcDAAAOAAAAAAAAAAEAIAAAACkBAABkcnMvZTJvRG9jLnhtbFBLBQYAAAAABgAGAFkB&#10;AACABQAAAAA=&#10;">
                      <v:fill on="f" focussize="0,0"/>
                      <v:stroke on="f" weight="0.5pt"/>
                      <v:imagedata o:title=""/>
                      <o:lock v:ext="edit" aspectratio="f"/>
                      <v:textbox>
                        <w:txbxContent>
                          <w:p w14:paraId="4FBD8000">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eastAsia="宋体"/>
                                <w:lang w:val="en-US" w:eastAsia="zh-CN"/>
                              </w:rPr>
                              <w:t>G</w:t>
                            </w:r>
                            <w:r>
                              <w:rPr>
                                <w:rFonts w:hint="eastAsia"/>
                                <w:lang w:val="en-US" w:eastAsia="zh-CN"/>
                              </w:rPr>
                              <w:t>1</w:t>
                            </w:r>
                            <w:r>
                              <w:rPr>
                                <w:rFonts w:hint="eastAsia" w:eastAsia="宋体"/>
                                <w:lang w:val="en-US" w:eastAsia="zh-CN"/>
                              </w:rPr>
                              <w:t>、N2</w:t>
                            </w:r>
                            <w:r>
                              <w:rPr>
                                <w:rFonts w:hint="eastAsia"/>
                                <w:lang w:val="en-US" w:eastAsia="zh-CN"/>
                              </w:rPr>
                              <w:t>、W2</w:t>
                            </w:r>
                          </w:p>
                        </w:txbxContent>
                      </v:textbox>
                    </v:shape>
                  </w:pict>
                </mc:Fallback>
              </mc:AlternateContent>
            </w:r>
            <w:r>
              <w:rPr>
                <w:color w:val="auto"/>
                <w:highlight w:val="none"/>
              </w:rPr>
              <mc:AlternateContent>
                <mc:Choice Requires="wps">
                  <w:drawing>
                    <wp:anchor distT="0" distB="0" distL="114300" distR="114300" simplePos="0" relativeHeight="251680768" behindDoc="0" locked="0" layoutInCell="1" allowOverlap="1">
                      <wp:simplePos x="0" y="0"/>
                      <wp:positionH relativeFrom="column">
                        <wp:posOffset>3347085</wp:posOffset>
                      </wp:positionH>
                      <wp:positionV relativeFrom="paragraph">
                        <wp:posOffset>64135</wp:posOffset>
                      </wp:positionV>
                      <wp:extent cx="1607820" cy="22479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607820" cy="224790"/>
                              </a:xfrm>
                              <a:prstGeom prst="rect">
                                <a:avLst/>
                              </a:prstGeom>
                              <a:noFill/>
                              <a:ln w="6350">
                                <a:noFill/>
                              </a:ln>
                              <a:effectLst/>
                            </wps:spPr>
                            <wps:txbx>
                              <w:txbxContent>
                                <w:p w14:paraId="42381789">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eastAsia="宋体"/>
                                      <w:lang w:val="en-US" w:eastAsia="zh-CN"/>
                                    </w:rPr>
                                    <w:t>G</w:t>
                                  </w:r>
                                  <w:r>
                                    <w:rPr>
                                      <w:rFonts w:hint="eastAsia"/>
                                      <w:lang w:val="en-US" w:eastAsia="zh-CN"/>
                                    </w:rPr>
                                    <w:t>2、N4、S2、S3、W1</w:t>
                                  </w:r>
                                </w:p>
                              </w:txbxContent>
                            </wps:txbx>
                            <wps:bodyPr vert="horz" wrap="square" anchor="t" anchorCtr="0" upright="1"/>
                          </wps:wsp>
                        </a:graphicData>
                      </a:graphic>
                    </wp:anchor>
                  </w:drawing>
                </mc:Choice>
                <mc:Fallback>
                  <w:pict>
                    <v:shape id="_x0000_s1026" o:spid="_x0000_s1026" o:spt="202" type="#_x0000_t202" style="position:absolute;left:0pt;margin-left:263.55pt;margin-top:5.05pt;height:17.7pt;width:126.6pt;z-index:251680768;mso-width-relative:page;mso-height-relative:page;" filled="f" stroked="f" coordsize="21600,21600" o:gfxdata="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iIlSUdoAAAAJAQAADwAAAAAA&#10;AAABACAAAAAiAAAAZHJzL2Rvd25yZXYueG1sUEsBAhQAFAAAAAgAh07iQDQG5SHYAQAAmgMAAA4A&#10;AAAAAAAAAQAgAAAAKQEAAGRycy9lMm9Eb2MueG1sUEsFBgAAAAAGAAYAWQEAAHMFAAAAAA==&#10;">
                      <v:fill on="f" focussize="0,0"/>
                      <v:stroke on="f" weight="0.5pt"/>
                      <v:imagedata o:title=""/>
                      <o:lock v:ext="edit" aspectratio="f"/>
                      <v:textbox>
                        <w:txbxContent>
                          <w:p w14:paraId="42381789">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eastAsia="宋体"/>
                                <w:lang w:val="en-US" w:eastAsia="zh-CN"/>
                              </w:rPr>
                              <w:t>G</w:t>
                            </w:r>
                            <w:r>
                              <w:rPr>
                                <w:rFonts w:hint="eastAsia"/>
                                <w:lang w:val="en-US" w:eastAsia="zh-CN"/>
                              </w:rPr>
                              <w:t>2、N4、S2、S3、W1</w:t>
                            </w:r>
                          </w:p>
                        </w:txbxContent>
                      </v:textbox>
                    </v:shape>
                  </w:pict>
                </mc:Fallback>
              </mc:AlternateContent>
            </w:r>
            <w:r>
              <w:rPr>
                <w:color w:val="auto"/>
                <w:sz w:val="24"/>
                <w:highlight w:val="none"/>
              </w:rPr>
              <mc:AlternateContent>
                <mc:Choice Requires="wps">
                  <w:drawing>
                    <wp:anchor distT="0" distB="0" distL="114300" distR="114300" simplePos="0" relativeHeight="251679744" behindDoc="0" locked="0" layoutInCell="1" allowOverlap="1">
                      <wp:simplePos x="0" y="0"/>
                      <wp:positionH relativeFrom="column">
                        <wp:posOffset>2882265</wp:posOffset>
                      </wp:positionH>
                      <wp:positionV relativeFrom="paragraph">
                        <wp:posOffset>57150</wp:posOffset>
                      </wp:positionV>
                      <wp:extent cx="439420" cy="224790"/>
                      <wp:effectExtent l="0" t="0" r="0" b="0"/>
                      <wp:wrapNone/>
                      <wp:docPr id="25" name="文本框 25"/>
                      <wp:cNvGraphicFramePr/>
                      <a:graphic xmlns:a="http://schemas.openxmlformats.org/drawingml/2006/main">
                        <a:graphicData uri="http://schemas.microsoft.com/office/word/2010/wordprocessingShape">
                          <wps:wsp>
                            <wps:cNvSpPr txBox="1"/>
                            <wps:spPr>
                              <a:xfrm>
                                <a:off x="4228465" y="1698625"/>
                                <a:ext cx="439420" cy="224790"/>
                              </a:xfrm>
                              <a:prstGeom prst="rect">
                                <a:avLst/>
                              </a:prstGeom>
                              <a:noFill/>
                              <a:ln w="6350">
                                <a:noFill/>
                              </a:ln>
                              <a:effectLst/>
                            </wps:spPr>
                            <wps:txbx>
                              <w:txbxContent>
                                <w:p w14:paraId="367165BA">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N3</w:t>
                                  </w:r>
                                </w:p>
                              </w:txbxContent>
                            </wps:txbx>
                            <wps:bodyPr vert="horz" wrap="square" anchor="t" anchorCtr="0" upright="1"/>
                          </wps:wsp>
                        </a:graphicData>
                      </a:graphic>
                    </wp:anchor>
                  </w:drawing>
                </mc:Choice>
                <mc:Fallback>
                  <w:pict>
                    <v:shape id="_x0000_s1026" o:spid="_x0000_s1026" o:spt="202" type="#_x0000_t202" style="position:absolute;left:0pt;margin-left:226.95pt;margin-top:4.5pt;height:17.7pt;width:34.6pt;z-index:251679744;mso-width-relative:page;mso-height-relative:page;" filled="f" stroked="f" coordsize="21600,21600" o:gfxdata="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PRugqtoA&#10;AAAIAQAADwAAAAAAAAABACAAAAAiAAAAZHJzL2Rvd25yZXYueG1sUEsBAhQAFAAAAAgAh07iQFS9&#10;naHkAQAApQMAAA4AAAAAAAAAAQAgAAAAKQEAAGRycy9lMm9Eb2MueG1sUEsFBgAAAAAGAAYAWQEA&#10;AH8FAAAAAA==&#10;">
                      <v:fill on="f" focussize="0,0"/>
                      <v:stroke on="f" weight="0.5pt"/>
                      <v:imagedata o:title=""/>
                      <o:lock v:ext="edit" aspectratio="f"/>
                      <v:textbox>
                        <w:txbxContent>
                          <w:p w14:paraId="367165BA">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N3</w:t>
                            </w:r>
                          </w:p>
                        </w:txbxContent>
                      </v:textbox>
                    </v:shape>
                  </w:pict>
                </mc:Fallback>
              </mc:AlternateContent>
            </w:r>
            <w:r>
              <w:rPr>
                <w:color w:val="auto"/>
                <w:sz w:val="24"/>
                <w:highlight w:val="none"/>
              </w:rPr>
              <mc:AlternateContent>
                <mc:Choice Requires="wps">
                  <w:drawing>
                    <wp:anchor distT="0" distB="0" distL="114300" distR="114300" simplePos="0" relativeHeight="251671552" behindDoc="0" locked="0" layoutInCell="1" allowOverlap="1">
                      <wp:simplePos x="0" y="0"/>
                      <wp:positionH relativeFrom="column">
                        <wp:posOffset>702310</wp:posOffset>
                      </wp:positionH>
                      <wp:positionV relativeFrom="paragraph">
                        <wp:posOffset>64770</wp:posOffset>
                      </wp:positionV>
                      <wp:extent cx="941070" cy="224790"/>
                      <wp:effectExtent l="0" t="0" r="0" b="0"/>
                      <wp:wrapNone/>
                      <wp:docPr id="184" name="文本框 184"/>
                      <wp:cNvGraphicFramePr/>
                      <a:graphic xmlns:a="http://schemas.openxmlformats.org/drawingml/2006/main">
                        <a:graphicData uri="http://schemas.microsoft.com/office/word/2010/wordprocessingShape">
                          <wps:wsp>
                            <wps:cNvSpPr txBox="1"/>
                            <wps:spPr>
                              <a:xfrm>
                                <a:off x="2040255" y="1718310"/>
                                <a:ext cx="941070" cy="224790"/>
                              </a:xfrm>
                              <a:prstGeom prst="rect">
                                <a:avLst/>
                              </a:prstGeom>
                              <a:noFill/>
                              <a:ln w="6350">
                                <a:noFill/>
                              </a:ln>
                              <a:effectLst/>
                            </wps:spPr>
                            <wps:txbx>
                              <w:txbxContent>
                                <w:p w14:paraId="6D61BC9D">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eastAsia="宋体"/>
                                      <w:lang w:val="en-US" w:eastAsia="zh-CN"/>
                                    </w:rPr>
                                    <w:t>N1</w:t>
                                  </w:r>
                                  <w:r>
                                    <w:rPr>
                                      <w:rFonts w:hint="eastAsia"/>
                                      <w:lang w:val="en-US" w:eastAsia="zh-CN"/>
                                    </w:rPr>
                                    <w:t>、S1</w:t>
                                  </w:r>
                                </w:p>
                              </w:txbxContent>
                            </wps:txbx>
                            <wps:bodyPr vert="horz" wrap="square" anchor="t" anchorCtr="0" upright="1"/>
                          </wps:wsp>
                        </a:graphicData>
                      </a:graphic>
                    </wp:anchor>
                  </w:drawing>
                </mc:Choice>
                <mc:Fallback>
                  <w:pict>
                    <v:shape id="_x0000_s1026" o:spid="_x0000_s1026" o:spt="202" type="#_x0000_t202" style="position:absolute;left:0pt;margin-left:55.3pt;margin-top:5.1pt;height:17.7pt;width:74.1pt;z-index:251671552;mso-width-relative:page;mso-height-relative:page;" filled="f" stroked="f" coordsize="21600,21600" o:gfxdata="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pjRxJ1wAA&#10;AAkBAAAPAAAAAAAAAAEAIAAAACIAAABkcnMvZG93bnJldi54bWxQSwECFAAUAAAACACHTuJAlRYt&#10;IeYBAACnAwAADgAAAAAAAAABACAAAAAmAQAAZHJzL2Uyb0RvYy54bWxQSwUGAAAAAAYABgBZAQAA&#10;fgUAAAAA&#10;">
                      <v:fill on="f" focussize="0,0"/>
                      <v:stroke on="f" weight="0.5pt"/>
                      <v:imagedata o:title=""/>
                      <o:lock v:ext="edit" aspectratio="f"/>
                      <v:textbox>
                        <w:txbxContent>
                          <w:p w14:paraId="6D61BC9D">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eastAsia="宋体"/>
                                <w:lang w:val="en-US" w:eastAsia="zh-CN"/>
                              </w:rPr>
                              <w:t>N1</w:t>
                            </w:r>
                            <w:r>
                              <w:rPr>
                                <w:rFonts w:hint="eastAsia"/>
                                <w:lang w:val="en-US" w:eastAsia="zh-CN"/>
                              </w:rPr>
                              <w:t>、S1</w:t>
                            </w:r>
                          </w:p>
                        </w:txbxContent>
                      </v:textbox>
                    </v:shape>
                  </w:pict>
                </mc:Fallback>
              </mc:AlternateContent>
            </w:r>
          </w:p>
          <w:p w14:paraId="347062FE">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firstLine="420" w:firstLineChars="200"/>
              <w:jc w:val="left"/>
              <w:textAlignment w:val="auto"/>
              <w:rPr>
                <w:rFonts w:hint="eastAsia"/>
                <w:color w:val="auto"/>
                <w:highlight w:val="none"/>
                <w:lang w:val="en-US" w:eastAsia="zh-CN"/>
              </w:rPr>
            </w:pPr>
            <w:r>
              <w:rPr>
                <w:color w:val="auto"/>
                <w:highlight w:val="none"/>
              </w:rPr>
              <mc:AlternateContent>
                <mc:Choice Requires="wps">
                  <w:drawing>
                    <wp:anchor distT="0" distB="0" distL="114300" distR="114300" simplePos="0" relativeHeight="251683840" behindDoc="0" locked="0" layoutInCell="1" allowOverlap="1">
                      <wp:simplePos x="0" y="0"/>
                      <wp:positionH relativeFrom="column">
                        <wp:posOffset>3983990</wp:posOffset>
                      </wp:positionH>
                      <wp:positionV relativeFrom="paragraph">
                        <wp:posOffset>31115</wp:posOffset>
                      </wp:positionV>
                      <wp:extent cx="0" cy="236855"/>
                      <wp:effectExtent l="50800" t="0" r="63500" b="10795"/>
                      <wp:wrapNone/>
                      <wp:docPr id="14" name="直接箭头连接符 14"/>
                      <wp:cNvGraphicFramePr/>
                      <a:graphic xmlns:a="http://schemas.openxmlformats.org/drawingml/2006/main">
                        <a:graphicData uri="http://schemas.microsoft.com/office/word/2010/wordprocessingShape">
                          <wps:wsp>
                            <wps:cNvCnPr>
                              <a:endCxn id="148" idx="1"/>
                            </wps:cNvCnPr>
                            <wps:spPr>
                              <a:xfrm flipV="1">
                                <a:off x="0" y="0"/>
                                <a:ext cx="0" cy="236855"/>
                              </a:xfrm>
                              <a:prstGeom prst="straightConnector1">
                                <a:avLst/>
                              </a:prstGeom>
                              <a:noFill/>
                              <a:ln w="12700" cap="flat" cmpd="sng" algn="ctr">
                                <a:solidFill>
                                  <a:srgbClr val="0D0D0D">
                                    <a:lumMod val="95000"/>
                                    <a:lumOff val="5000"/>
                                  </a:srgbClr>
                                </a:solidFill>
                                <a:prstDash val="dash"/>
                                <a:tailEnd type="arrow"/>
                              </a:ln>
                              <a:effectLst/>
                            </wps:spPr>
                            <wps:bodyPr/>
                          </wps:wsp>
                        </a:graphicData>
                      </a:graphic>
                    </wp:anchor>
                  </w:drawing>
                </mc:Choice>
                <mc:Fallback>
                  <w:pict>
                    <v:shape id="_x0000_s1026" o:spid="_x0000_s1026" o:spt="32" type="#_x0000_t32" style="position:absolute;left:0pt;flip:y;margin-left:313.7pt;margin-top:2.45pt;height:18.65pt;width:0pt;z-index:251683840;mso-width-relative:page;mso-height-relative:page;" filled="f" stroked="t" coordsize="21600,21600" o:gfxdata="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OtEt7/VAAAACAEAAA8AAAAAAAAAAQAgAAAAIgAAAGRycy9kb3ducmV2LnhtbFBLAQIUABQA&#10;AAAIAIdO4kDeGjSCLAIAAEEEAAAOAAAAAAAAAAEAIAAAACQBAABkcnMvZTJvRG9jLnhtbFBLBQYA&#10;AAAABgAGAFkBAADCBQAAAAA=&#10;">
                      <v:fill on="f" focussize="0,0"/>
                      <v:stroke weight="1pt" color="#191919" joinstyle="round" dashstyle="dash" endarrow="open"/>
                      <v:imagedata o:title=""/>
                      <o:lock v:ext="edit" aspectratio="f"/>
                    </v:shape>
                  </w:pict>
                </mc:Fallback>
              </mc:AlternateContent>
            </w:r>
            <w:r>
              <w:rPr>
                <w:color w:val="auto"/>
                <w:sz w:val="21"/>
                <w:highlight w:val="none"/>
              </w:rPr>
              <mc:AlternateContent>
                <mc:Choice Requires="wps">
                  <w:drawing>
                    <wp:anchor distT="0" distB="0" distL="114300" distR="114300" simplePos="0" relativeHeight="251665408" behindDoc="0" locked="0" layoutInCell="1" allowOverlap="1">
                      <wp:simplePos x="0" y="0"/>
                      <wp:positionH relativeFrom="column">
                        <wp:posOffset>2100580</wp:posOffset>
                      </wp:positionH>
                      <wp:positionV relativeFrom="paragraph">
                        <wp:posOffset>21590</wp:posOffset>
                      </wp:positionV>
                      <wp:extent cx="0" cy="236855"/>
                      <wp:effectExtent l="50800" t="0" r="63500" b="10795"/>
                      <wp:wrapNone/>
                      <wp:docPr id="185" name="直接箭头连接符 185"/>
                      <wp:cNvGraphicFramePr/>
                      <a:graphic xmlns:a="http://schemas.openxmlformats.org/drawingml/2006/main">
                        <a:graphicData uri="http://schemas.microsoft.com/office/word/2010/wordprocessingShape">
                          <wps:wsp>
                            <wps:cNvCnPr>
                              <a:endCxn id="148" idx="1"/>
                            </wps:cNvCnPr>
                            <wps:spPr>
                              <a:xfrm flipV="1">
                                <a:off x="3438525" y="1938020"/>
                                <a:ext cx="0" cy="236855"/>
                              </a:xfrm>
                              <a:prstGeom prst="straightConnector1">
                                <a:avLst/>
                              </a:prstGeom>
                              <a:noFill/>
                              <a:ln w="12700" cap="flat" cmpd="sng" algn="ctr">
                                <a:solidFill>
                                  <a:srgbClr val="0D0D0D">
                                    <a:lumMod val="95000"/>
                                    <a:lumOff val="5000"/>
                                  </a:srgbClr>
                                </a:solidFill>
                                <a:prstDash val="dash"/>
                                <a:tailEnd type="arrow"/>
                              </a:ln>
                              <a:effectLst/>
                            </wps:spPr>
                            <wps:bodyPr/>
                          </wps:wsp>
                        </a:graphicData>
                      </a:graphic>
                    </wp:anchor>
                  </w:drawing>
                </mc:Choice>
                <mc:Fallback>
                  <w:pict>
                    <v:shape id="_x0000_s1026" o:spid="_x0000_s1026" o:spt="32" type="#_x0000_t32" style="position:absolute;left:0pt;flip:y;margin-left:165.4pt;margin-top:1.7pt;height:18.65pt;width:0pt;z-index:251665408;mso-width-relative:page;mso-height-relative:page;" filled="f" stroked="t" coordsize="21600,21600" o:gfxdata="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9AGNF9UAAAAIAQAADwAAAAAAAAABACAAAAAiAAAAZHJzL2Rv&#10;d25yZXYueG1sUEsBAhQAFAAAAAgAh07iQEhIKz49AgAATwQAAA4AAAAAAAAAAQAgAAAAJAEAAGRy&#10;cy9lMm9Eb2MueG1sUEsFBgAAAAAGAAYAWQEAANMFAAAAAA==&#10;">
                      <v:fill on="f" focussize="0,0"/>
                      <v:stroke weight="1pt" color="#191919" joinstyle="round" dashstyle="dash" endarrow="open"/>
                      <v:imagedata o:title=""/>
                      <o:lock v:ext="edit" aspectratio="f"/>
                    </v:shape>
                  </w:pict>
                </mc:Fallback>
              </mc:AlternateContent>
            </w:r>
            <w:r>
              <w:rPr>
                <w:color w:val="auto"/>
                <w:sz w:val="21"/>
                <w:highlight w:val="none"/>
              </w:rPr>
              <mc:AlternateContent>
                <mc:Choice Requires="wps">
                  <w:drawing>
                    <wp:anchor distT="0" distB="0" distL="114300" distR="114300" simplePos="0" relativeHeight="251678720" behindDoc="0" locked="0" layoutInCell="1" allowOverlap="1">
                      <wp:simplePos x="0" y="0"/>
                      <wp:positionH relativeFrom="column">
                        <wp:posOffset>3064510</wp:posOffset>
                      </wp:positionH>
                      <wp:positionV relativeFrom="paragraph">
                        <wp:posOffset>31750</wp:posOffset>
                      </wp:positionV>
                      <wp:extent cx="0" cy="236855"/>
                      <wp:effectExtent l="50800" t="0" r="63500" b="10795"/>
                      <wp:wrapNone/>
                      <wp:docPr id="19" name="直接箭头连接符 19"/>
                      <wp:cNvGraphicFramePr/>
                      <a:graphic xmlns:a="http://schemas.openxmlformats.org/drawingml/2006/main">
                        <a:graphicData uri="http://schemas.microsoft.com/office/word/2010/wordprocessingShape">
                          <wps:wsp>
                            <wps:cNvCnPr>
                              <a:endCxn id="148" idx="1"/>
                            </wps:cNvCnPr>
                            <wps:spPr>
                              <a:xfrm flipV="1">
                                <a:off x="4402455" y="1931670"/>
                                <a:ext cx="0" cy="236855"/>
                              </a:xfrm>
                              <a:prstGeom prst="straightConnector1">
                                <a:avLst/>
                              </a:prstGeom>
                              <a:noFill/>
                              <a:ln w="12700" cap="flat" cmpd="sng" algn="ctr">
                                <a:solidFill>
                                  <a:srgbClr val="0D0D0D">
                                    <a:lumMod val="95000"/>
                                    <a:lumOff val="5000"/>
                                  </a:srgbClr>
                                </a:solidFill>
                                <a:prstDash val="dash"/>
                                <a:tailEnd type="arrow"/>
                              </a:ln>
                              <a:effectLst/>
                            </wps:spPr>
                            <wps:bodyPr/>
                          </wps:wsp>
                        </a:graphicData>
                      </a:graphic>
                    </wp:anchor>
                  </w:drawing>
                </mc:Choice>
                <mc:Fallback>
                  <w:pict>
                    <v:shape id="_x0000_s1026" o:spid="_x0000_s1026" o:spt="32" type="#_x0000_t32" style="position:absolute;left:0pt;flip:y;margin-left:241.3pt;margin-top:2.5pt;height:18.65pt;width:0pt;z-index:251678720;mso-width-relative:page;mso-height-relative:page;" filled="f" stroked="t" coordsize="21600,21600" o:gfxdata="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EI8mrTWAAAACAEAAA8AAAAAAAAAAQAgAAAAIgAAAGRycy9k&#10;b3ducmV2LnhtbFBLAQIUABQAAAAIAIdO4kAv8VjzPQIAAE0EAAAOAAAAAAAAAAEAIAAAACUBAABk&#10;cnMvZTJvRG9jLnhtbFBLBQYAAAAABgAGAFkBAADUBQAAAAA=&#10;">
                      <v:fill on="f" focussize="0,0"/>
                      <v:stroke weight="1pt" color="#191919" joinstyle="round" dashstyle="dash" endarrow="open"/>
                      <v:imagedata o:title=""/>
                      <o:lock v:ext="edit" aspectratio="f"/>
                    </v:shape>
                  </w:pict>
                </mc:Fallback>
              </mc:AlternateContent>
            </w:r>
            <w:r>
              <w:rPr>
                <w:color w:val="auto"/>
                <w:sz w:val="21"/>
                <w:highlight w:val="none"/>
              </w:rPr>
              <mc:AlternateContent>
                <mc:Choice Requires="wps">
                  <w:drawing>
                    <wp:anchor distT="0" distB="0" distL="114300" distR="114300" simplePos="0" relativeHeight="251663360" behindDoc="0" locked="0" layoutInCell="1" allowOverlap="1">
                      <wp:simplePos x="0" y="0"/>
                      <wp:positionH relativeFrom="column">
                        <wp:posOffset>1336040</wp:posOffset>
                      </wp:positionH>
                      <wp:positionV relativeFrom="paragraph">
                        <wp:posOffset>28575</wp:posOffset>
                      </wp:positionV>
                      <wp:extent cx="0" cy="236855"/>
                      <wp:effectExtent l="50800" t="0" r="63500" b="10795"/>
                      <wp:wrapNone/>
                      <wp:docPr id="183" name="直接箭头连接符 183"/>
                      <wp:cNvGraphicFramePr/>
                      <a:graphic xmlns:a="http://schemas.openxmlformats.org/drawingml/2006/main">
                        <a:graphicData uri="http://schemas.microsoft.com/office/word/2010/wordprocessingShape">
                          <wps:wsp>
                            <wps:cNvCnPr>
                              <a:endCxn id="148" idx="1"/>
                            </wps:cNvCnPr>
                            <wps:spPr>
                              <a:xfrm flipV="1">
                                <a:off x="2673985" y="1911985"/>
                                <a:ext cx="0" cy="236855"/>
                              </a:xfrm>
                              <a:prstGeom prst="straightConnector1">
                                <a:avLst/>
                              </a:prstGeom>
                              <a:noFill/>
                              <a:ln w="12700" cap="flat" cmpd="sng" algn="ctr">
                                <a:solidFill>
                                  <a:srgbClr val="0D0D0D">
                                    <a:lumMod val="95000"/>
                                    <a:lumOff val="5000"/>
                                  </a:srgbClr>
                                </a:solidFill>
                                <a:prstDash val="dash"/>
                                <a:tailEnd type="arrow"/>
                              </a:ln>
                              <a:effectLst/>
                            </wps:spPr>
                            <wps:bodyPr/>
                          </wps:wsp>
                        </a:graphicData>
                      </a:graphic>
                    </wp:anchor>
                  </w:drawing>
                </mc:Choice>
                <mc:Fallback>
                  <w:pict>
                    <v:shape id="_x0000_s1026" o:spid="_x0000_s1026" o:spt="32" type="#_x0000_t32" style="position:absolute;left:0pt;flip:y;margin-left:105.2pt;margin-top:2.25pt;height:18.65pt;width:0pt;z-index:251663360;mso-width-relative:page;mso-height-relative:page;" filled="f" stroked="t" coordsize="21600,21600" o:gfxdata="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EVQPbjVAAAACAEAAA8AAAAAAAAAAQAgAAAAIgAAAGRycy9k&#10;b3ducmV2LnhtbFBLAQIUABQAAAAIAIdO4kAkSMpMPgIAAE8EAAAOAAAAAAAAAAEAIAAAACQBAABk&#10;cnMvZTJvRG9jLnhtbFBLBQYAAAAABgAGAFkBAADUBQAAAAA=&#10;">
                      <v:fill on="f" focussize="0,0"/>
                      <v:stroke weight="1pt" color="#191919" joinstyle="round" dashstyle="dash" endarrow="open"/>
                      <v:imagedata o:title=""/>
                      <o:lock v:ext="edit" aspectratio="f"/>
                    </v:shape>
                  </w:pict>
                </mc:Fallback>
              </mc:AlternateContent>
            </w:r>
            <w:r>
              <w:rPr>
                <w:color w:val="auto"/>
                <w:sz w:val="21"/>
                <w:highlight w:val="none"/>
              </w:rPr>
              <mc:AlternateContent>
                <mc:Choice Requires="wps">
                  <w:drawing>
                    <wp:anchor distT="0" distB="0" distL="114300" distR="114300" simplePos="0" relativeHeight="251660288" behindDoc="0" locked="0" layoutInCell="1" allowOverlap="1">
                      <wp:simplePos x="0" y="0"/>
                      <wp:positionH relativeFrom="column">
                        <wp:posOffset>103505</wp:posOffset>
                      </wp:positionH>
                      <wp:positionV relativeFrom="paragraph">
                        <wp:posOffset>100965</wp:posOffset>
                      </wp:positionV>
                      <wp:extent cx="640715" cy="594360"/>
                      <wp:effectExtent l="0" t="0" r="0" b="0"/>
                      <wp:wrapNone/>
                      <wp:docPr id="146" name="文本框 146"/>
                      <wp:cNvGraphicFramePr/>
                      <a:graphic xmlns:a="http://schemas.openxmlformats.org/drawingml/2006/main">
                        <a:graphicData uri="http://schemas.microsoft.com/office/word/2010/wordprocessingShape">
                          <wps:wsp>
                            <wps:cNvSpPr txBox="1"/>
                            <wps:spPr>
                              <a:xfrm>
                                <a:off x="1441450" y="1984375"/>
                                <a:ext cx="640715" cy="594360"/>
                              </a:xfrm>
                              <a:prstGeom prst="rect">
                                <a:avLst/>
                              </a:prstGeom>
                              <a:noFill/>
                              <a:ln w="6350">
                                <a:noFill/>
                              </a:ln>
                              <a:effectLst/>
                            </wps:spPr>
                            <wps:txbx>
                              <w:txbxContent>
                                <w:p w14:paraId="026C0D4A">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可发性聚苯乙烯颗粒</w:t>
                                  </w:r>
                                </w:p>
                              </w:txbxContent>
                            </wps:txbx>
                            <wps:bodyPr vert="horz" wrap="square" anchor="t" anchorCtr="0" upright="1"/>
                          </wps:wsp>
                        </a:graphicData>
                      </a:graphic>
                    </wp:anchor>
                  </w:drawing>
                </mc:Choice>
                <mc:Fallback>
                  <w:pict>
                    <v:shape id="_x0000_s1026" o:spid="_x0000_s1026" o:spt="202" type="#_x0000_t202" style="position:absolute;left:0pt;margin-left:8.15pt;margin-top:7.95pt;height:46.8pt;width:50.45pt;z-index:251660288;mso-width-relative:page;mso-height-relative:page;" filled="f" stroked="f" coordsize="21600,21600" o:gfxdata="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pTJ+2QAA&#10;AAkBAAAPAAAAAAAAAAEAIAAAACIAAABkcnMvZG93bnJldi54bWxQSwECFAAUAAAACACHTuJAIUXH&#10;DOQBAACnAwAADgAAAAAAAAABACAAAAAoAQAAZHJzL2Uyb0RvYy54bWxQSwUGAAAAAAYABgBZAQAA&#10;fgUAAAAA&#10;">
                      <v:fill on="f" focussize="0,0"/>
                      <v:stroke on="f" weight="0.5pt"/>
                      <v:imagedata o:title=""/>
                      <o:lock v:ext="edit" aspectratio="f"/>
                      <v:textbox>
                        <w:txbxContent>
                          <w:p w14:paraId="026C0D4A">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可发性聚苯乙烯颗粒</w:t>
                            </w:r>
                          </w:p>
                        </w:txbxContent>
                      </v:textbox>
                    </v:shape>
                  </w:pict>
                </mc:Fallback>
              </mc:AlternateContent>
            </w:r>
          </w:p>
          <w:p w14:paraId="175DA440">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firstLine="420" w:firstLineChars="200"/>
              <w:jc w:val="left"/>
              <w:textAlignment w:val="auto"/>
              <w:rPr>
                <w:rFonts w:hint="eastAsia"/>
                <w:color w:val="auto"/>
                <w:highlight w:val="none"/>
                <w:lang w:val="en-US" w:eastAsia="zh-CN"/>
              </w:rPr>
            </w:pPr>
            <w:r>
              <w:rPr>
                <w:color w:val="auto"/>
                <w:sz w:val="21"/>
                <w:highlight w:val="none"/>
              </w:rPr>
              <mc:AlternateContent>
                <mc:Choice Requires="wps">
                  <w:drawing>
                    <wp:anchor distT="0" distB="0" distL="114300" distR="114300" simplePos="0" relativeHeight="251670528" behindDoc="0" locked="0" layoutInCell="1" allowOverlap="1">
                      <wp:simplePos x="0" y="0"/>
                      <wp:positionH relativeFrom="column">
                        <wp:posOffset>1067435</wp:posOffset>
                      </wp:positionH>
                      <wp:positionV relativeFrom="paragraph">
                        <wp:posOffset>29845</wp:posOffset>
                      </wp:positionV>
                      <wp:extent cx="481330" cy="284480"/>
                      <wp:effectExtent l="4445" t="5080" r="9525" b="15240"/>
                      <wp:wrapNone/>
                      <wp:docPr id="182" name="文本框 182"/>
                      <wp:cNvGraphicFramePr/>
                      <a:graphic xmlns:a="http://schemas.openxmlformats.org/drawingml/2006/main">
                        <a:graphicData uri="http://schemas.microsoft.com/office/word/2010/wordprocessingShape">
                          <wps:wsp>
                            <wps:cNvSpPr txBox="1"/>
                            <wps:spPr>
                              <a:xfrm>
                                <a:off x="2405380" y="2143760"/>
                                <a:ext cx="481330" cy="284480"/>
                              </a:xfrm>
                              <a:prstGeom prst="rect">
                                <a:avLst/>
                              </a:prstGeom>
                              <a:solidFill>
                                <a:srgbClr val="FFFFFF"/>
                              </a:solidFill>
                              <a:ln w="6350" cap="flat" cmpd="sng">
                                <a:solidFill>
                                  <a:srgbClr val="000000"/>
                                </a:solidFill>
                                <a:prstDash val="solid"/>
                                <a:round/>
                                <a:headEnd type="none" w="med" len="med"/>
                                <a:tailEnd type="none" w="med" len="med"/>
                              </a:ln>
                              <a:effectLst/>
                            </wps:spPr>
                            <wps:txbx>
                              <w:txbxContent>
                                <w:p w14:paraId="08EA0E71">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eastAsia="宋体"/>
                                      <w:lang w:val="en-US" w:eastAsia="zh-CN"/>
                                    </w:rPr>
                                    <w:t>上料</w:t>
                                  </w:r>
                                </w:p>
                              </w:txbxContent>
                            </wps:txbx>
                            <wps:bodyPr vert="horz" wrap="square" anchor="t" anchorCtr="0" upright="1"/>
                          </wps:wsp>
                        </a:graphicData>
                      </a:graphic>
                    </wp:anchor>
                  </w:drawing>
                </mc:Choice>
                <mc:Fallback>
                  <w:pict>
                    <v:shape id="_x0000_s1026" o:spid="_x0000_s1026" o:spt="202" type="#_x0000_t202" style="position:absolute;left:0pt;margin-left:84.05pt;margin-top:2.35pt;height:22.4pt;width:37.9pt;z-index:251670528;mso-width-relative:page;mso-height-relative:page;" fillcolor="#FFFFFF" filled="t" stroked="t" coordsize="21600,21600" o:gfxdata="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CHslhd1QAAAAgBAAAPAAAAAAAAAAEAIAAAACIAAABkcnMvZG93bnJl&#10;di54bWxQSwECFAAUAAAACACHTuJArNV+ljkCAACGBAAADgAAAAAAAAABACAAAAAkAQAAZHJzL2Uy&#10;b0RvYy54bWxQSwUGAAAAAAYABgBZAQAAzwUAAAAA&#10;">
                      <v:fill on="t" focussize="0,0"/>
                      <v:stroke weight="0.5pt" color="#000000" joinstyle="round"/>
                      <v:imagedata o:title=""/>
                      <o:lock v:ext="edit" aspectratio="f"/>
                      <v:textbox>
                        <w:txbxContent>
                          <w:p w14:paraId="08EA0E71">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eastAsia="宋体"/>
                                <w:lang w:val="en-US" w:eastAsia="zh-CN"/>
                              </w:rPr>
                              <w:t>上料</w:t>
                            </w:r>
                          </w:p>
                        </w:txbxContent>
                      </v:textbox>
                    </v:shape>
                  </w:pict>
                </mc:Fallback>
              </mc:AlternateContent>
            </w:r>
            <w:r>
              <w:rPr>
                <w:color w:val="auto"/>
                <w:sz w:val="21"/>
                <w:highlight w:val="none"/>
              </w:rPr>
              <mc:AlternateContent>
                <mc:Choice Requires="wps">
                  <w:drawing>
                    <wp:anchor distT="0" distB="0" distL="114300" distR="114300" simplePos="0" relativeHeight="251669504" behindDoc="0" locked="0" layoutInCell="1" allowOverlap="1">
                      <wp:simplePos x="0" y="0"/>
                      <wp:positionH relativeFrom="column">
                        <wp:posOffset>666115</wp:posOffset>
                      </wp:positionH>
                      <wp:positionV relativeFrom="paragraph">
                        <wp:posOffset>160655</wp:posOffset>
                      </wp:positionV>
                      <wp:extent cx="411480" cy="0"/>
                      <wp:effectExtent l="0" t="50800" r="7620" b="63500"/>
                      <wp:wrapNone/>
                      <wp:docPr id="181" name="直接箭头连接符 181"/>
                      <wp:cNvGraphicFramePr/>
                      <a:graphic xmlns:a="http://schemas.openxmlformats.org/drawingml/2006/main">
                        <a:graphicData uri="http://schemas.microsoft.com/office/word/2010/wordprocessingShape">
                          <wps:wsp>
                            <wps:cNvCnPr>
                              <a:endCxn id="148" idx="1"/>
                            </wps:cNvCnPr>
                            <wps:spPr>
                              <a:xfrm>
                                <a:off x="2004060" y="2274570"/>
                                <a:ext cx="411480" cy="0"/>
                              </a:xfrm>
                              <a:prstGeom prst="straightConnector1">
                                <a:avLst/>
                              </a:prstGeom>
                              <a:ln w="12700" cap="flat" cmpd="sng">
                                <a:solidFill>
                                  <a:srgbClr val="000000"/>
                                </a:solidFill>
                                <a:prstDash val="solid"/>
                                <a:round/>
                                <a:headEnd type="none" w="med" len="med"/>
                                <a:tailEnd type="arrow" w="med" len="med"/>
                              </a:ln>
                              <a:effectLst/>
                            </wps:spPr>
                            <wps:bodyPr/>
                          </wps:wsp>
                        </a:graphicData>
                      </a:graphic>
                    </wp:anchor>
                  </w:drawing>
                </mc:Choice>
                <mc:Fallback>
                  <w:pict>
                    <v:shape id="_x0000_s1026" o:spid="_x0000_s1026" o:spt="32" type="#_x0000_t32" style="position:absolute;left:0pt;margin-left:52.45pt;margin-top:12.65pt;height:0pt;width:32.4pt;z-index:251669504;mso-width-relative:page;mso-height-relative:page;" filled="f" stroked="t" coordsize="21600,21600" o:gfxdata="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JnDCo7YAAAACQEAAA8AAAAAAAAAAQAgAAAAIgAAAGRycy9kb3ducmV2LnhtbFBLAQIUABQA&#10;AAAIAIdO4kDntU8QKQIAAD4EAAAOAAAAAAAAAAEAIAAAACcBAABkcnMvZTJvRG9jLnhtbFBLBQYA&#10;AAAABgAGAFkBAADCBQAAAAA=&#10;">
                      <v:fill on="f" focussize="0,0"/>
                      <v:stroke weight="1pt" color="#000000" joinstyle="round" endarrow="open"/>
                      <v:imagedata o:title=""/>
                      <o:lock v:ext="edit" aspectratio="f"/>
                    </v:shape>
                  </w:pict>
                </mc:Fallback>
              </mc:AlternateContent>
            </w:r>
            <w:r>
              <w:rPr>
                <w:color w:val="auto"/>
                <w:sz w:val="21"/>
                <w:highlight w:val="none"/>
              </w:rPr>
              <mc:AlternateContent>
                <mc:Choice Requires="wps">
                  <w:drawing>
                    <wp:anchor distT="0" distB="0" distL="114300" distR="114300" simplePos="0" relativeHeight="251666432" behindDoc="0" locked="0" layoutInCell="1" allowOverlap="1">
                      <wp:simplePos x="0" y="0"/>
                      <wp:positionH relativeFrom="column">
                        <wp:posOffset>2721610</wp:posOffset>
                      </wp:positionH>
                      <wp:positionV relativeFrom="paragraph">
                        <wp:posOffset>45720</wp:posOffset>
                      </wp:positionV>
                      <wp:extent cx="601345" cy="237490"/>
                      <wp:effectExtent l="4445" t="4445" r="22860" b="5715"/>
                      <wp:wrapNone/>
                      <wp:docPr id="151" name="文本框 151"/>
                      <wp:cNvGraphicFramePr/>
                      <a:graphic xmlns:a="http://schemas.openxmlformats.org/drawingml/2006/main">
                        <a:graphicData uri="http://schemas.microsoft.com/office/word/2010/wordprocessingShape">
                          <wps:wsp>
                            <wps:cNvSpPr txBox="1"/>
                            <wps:spPr>
                              <a:xfrm>
                                <a:off x="4059555" y="2159635"/>
                                <a:ext cx="601345" cy="237490"/>
                              </a:xfrm>
                              <a:prstGeom prst="rect">
                                <a:avLst/>
                              </a:prstGeom>
                              <a:solidFill>
                                <a:srgbClr val="FFFFFF"/>
                              </a:solidFill>
                              <a:ln w="6350" cap="flat" cmpd="sng">
                                <a:solidFill>
                                  <a:srgbClr val="000000"/>
                                </a:solidFill>
                                <a:prstDash val="solid"/>
                                <a:round/>
                                <a:headEnd type="none" w="med" len="med"/>
                                <a:tailEnd type="none" w="med" len="med"/>
                              </a:ln>
                              <a:effectLst/>
                            </wps:spPr>
                            <wps:txbx>
                              <w:txbxContent>
                                <w:p w14:paraId="38B3B0D2">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sz w:val="21"/>
                                      <w:szCs w:val="21"/>
                                      <w:lang w:val="en-US" w:eastAsia="zh-CN"/>
                                    </w:rPr>
                                  </w:pPr>
                                  <w:r>
                                    <w:rPr>
                                      <w:rFonts w:hint="eastAsia"/>
                                      <w:sz w:val="21"/>
                                      <w:szCs w:val="21"/>
                                      <w:lang w:val="en-US" w:eastAsia="zh-CN"/>
                                    </w:rPr>
                                    <w:t>熟化仓</w:t>
                                  </w:r>
                                </w:p>
                              </w:txbxContent>
                            </wps:txbx>
                            <wps:bodyPr vert="horz" wrap="square" anchor="t" anchorCtr="0" upright="1"/>
                          </wps:wsp>
                        </a:graphicData>
                      </a:graphic>
                    </wp:anchor>
                  </w:drawing>
                </mc:Choice>
                <mc:Fallback>
                  <w:pict>
                    <v:shape id="_x0000_s1026" o:spid="_x0000_s1026" o:spt="202" type="#_x0000_t202" style="position:absolute;left:0pt;margin-left:214.3pt;margin-top:3.6pt;height:18.7pt;width:47.35pt;z-index:251666432;mso-width-relative:page;mso-height-relative:page;" fillcolor="#FFFFFF" filled="t" stroked="t" coordsize="21600,21600" o:gfxdata="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IWGmDLVAAAACAEAAA8AAAAAAAAAAQAgAAAAIgAAAGRycy9k&#10;b3ducmV2LnhtbFBLAQIUABQAAAAIAIdO4kAvw9kfPgIAAIYEAAAOAAAAAAAAAAEAIAAAACQBAABk&#10;cnMvZTJvRG9jLnhtbFBLBQYAAAAABgAGAFkBAADUBQAAAAA=&#10;">
                      <v:fill on="t" focussize="0,0"/>
                      <v:stroke weight="0.5pt" color="#000000" joinstyle="round"/>
                      <v:imagedata o:title=""/>
                      <o:lock v:ext="edit" aspectratio="f"/>
                      <v:textbox>
                        <w:txbxContent>
                          <w:p w14:paraId="38B3B0D2">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sz w:val="21"/>
                                <w:szCs w:val="21"/>
                                <w:lang w:val="en-US" w:eastAsia="zh-CN"/>
                              </w:rPr>
                            </w:pPr>
                            <w:r>
                              <w:rPr>
                                <w:rFonts w:hint="eastAsia"/>
                                <w:sz w:val="21"/>
                                <w:szCs w:val="21"/>
                                <w:lang w:val="en-US" w:eastAsia="zh-CN"/>
                              </w:rPr>
                              <w:t>熟化仓</w:t>
                            </w:r>
                          </w:p>
                        </w:txbxContent>
                      </v:textbox>
                    </v:shape>
                  </w:pict>
                </mc:Fallback>
              </mc:AlternateContent>
            </w:r>
            <w:r>
              <w:rPr>
                <w:color w:val="auto"/>
                <w:sz w:val="21"/>
                <w:highlight w:val="none"/>
              </w:rPr>
              <mc:AlternateContent>
                <mc:Choice Requires="wps">
                  <w:drawing>
                    <wp:anchor distT="0" distB="0" distL="114300" distR="114300" simplePos="0" relativeHeight="251664384" behindDoc="0" locked="0" layoutInCell="1" allowOverlap="1">
                      <wp:simplePos x="0" y="0"/>
                      <wp:positionH relativeFrom="column">
                        <wp:posOffset>2384425</wp:posOffset>
                      </wp:positionH>
                      <wp:positionV relativeFrom="paragraph">
                        <wp:posOffset>145415</wp:posOffset>
                      </wp:positionV>
                      <wp:extent cx="341630" cy="10160"/>
                      <wp:effectExtent l="0" t="43180" r="1270" b="60960"/>
                      <wp:wrapNone/>
                      <wp:docPr id="150" name="直接箭头连接符 150"/>
                      <wp:cNvGraphicFramePr/>
                      <a:graphic xmlns:a="http://schemas.openxmlformats.org/drawingml/2006/main">
                        <a:graphicData uri="http://schemas.microsoft.com/office/word/2010/wordprocessingShape">
                          <wps:wsp>
                            <wps:cNvCnPr>
                              <a:endCxn id="148" idx="1"/>
                            </wps:cNvCnPr>
                            <wps:spPr>
                              <a:xfrm>
                                <a:off x="3722370" y="2259330"/>
                                <a:ext cx="341630" cy="10160"/>
                              </a:xfrm>
                              <a:prstGeom prst="straightConnector1">
                                <a:avLst/>
                              </a:prstGeom>
                              <a:ln w="12700" cap="flat" cmpd="sng">
                                <a:solidFill>
                                  <a:srgbClr val="000000"/>
                                </a:solidFill>
                                <a:prstDash val="solid"/>
                                <a:round/>
                                <a:headEnd type="none" w="med" len="med"/>
                                <a:tailEnd type="arrow" w="med" len="med"/>
                              </a:ln>
                              <a:effectLst/>
                            </wps:spPr>
                            <wps:bodyPr/>
                          </wps:wsp>
                        </a:graphicData>
                      </a:graphic>
                    </wp:anchor>
                  </w:drawing>
                </mc:Choice>
                <mc:Fallback>
                  <w:pict>
                    <v:shape id="_x0000_s1026" o:spid="_x0000_s1026" o:spt="32" type="#_x0000_t32" style="position:absolute;left:0pt;margin-left:187.75pt;margin-top:11.45pt;height:0.8pt;width:26.9pt;z-index:251664384;mso-width-relative:page;mso-height-relative:page;" filled="f" stroked="t" coordsize="21600,21600" o:gfxdata="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ANPIbP2gAAAAkBAAAPAAAAAAAAAAEAIAAAACIAAABkcnMvZG93bnJldi54bWxQ&#10;SwECFAAUAAAACACHTuJAriAlGS4CAABCBAAADgAAAAAAAAABACAAAAApAQAAZHJzL2Uyb0RvYy54&#10;bWxQSwUGAAAAAAYABgBZAQAAyQUAAAAA&#10;">
                      <v:fill on="f" focussize="0,0"/>
                      <v:stroke weight="1pt" color="#000000" joinstyle="round" endarrow="open"/>
                      <v:imagedata o:title=""/>
                      <o:lock v:ext="edit" aspectratio="f"/>
                    </v:shape>
                  </w:pict>
                </mc:Fallback>
              </mc:AlternateContent>
            </w:r>
            <w:r>
              <w:rPr>
                <w:color w:val="auto"/>
                <w:sz w:val="21"/>
                <w:highlight w:val="none"/>
              </w:rPr>
              <mc:AlternateContent>
                <mc:Choice Requires="wps">
                  <w:drawing>
                    <wp:anchor distT="0" distB="0" distL="114300" distR="114300" simplePos="0" relativeHeight="251662336" behindDoc="0" locked="0" layoutInCell="1" allowOverlap="1">
                      <wp:simplePos x="0" y="0"/>
                      <wp:positionH relativeFrom="column">
                        <wp:posOffset>1410335</wp:posOffset>
                      </wp:positionH>
                      <wp:positionV relativeFrom="paragraph">
                        <wp:posOffset>154305</wp:posOffset>
                      </wp:positionV>
                      <wp:extent cx="478790" cy="6985"/>
                      <wp:effectExtent l="0" t="45085" r="16510" b="62230"/>
                      <wp:wrapNone/>
                      <wp:docPr id="149" name="直接箭头连接符 149"/>
                      <wp:cNvGraphicFramePr/>
                      <a:graphic xmlns:a="http://schemas.openxmlformats.org/drawingml/2006/main">
                        <a:graphicData uri="http://schemas.microsoft.com/office/word/2010/wordprocessingShape">
                          <wps:wsp>
                            <wps:cNvCnPr/>
                            <wps:spPr>
                              <a:xfrm>
                                <a:off x="2748280" y="2268220"/>
                                <a:ext cx="478790" cy="6985"/>
                              </a:xfrm>
                              <a:prstGeom prst="straightConnector1">
                                <a:avLst/>
                              </a:prstGeom>
                              <a:ln w="12700" cap="flat" cmpd="sng">
                                <a:solidFill>
                                  <a:srgbClr val="000000"/>
                                </a:solidFill>
                                <a:prstDash val="solid"/>
                                <a:round/>
                                <a:headEnd type="none" w="med" len="med"/>
                                <a:tailEnd type="arrow" w="med" len="med"/>
                              </a:ln>
                              <a:effectLst/>
                            </wps:spPr>
                            <wps:bodyPr/>
                          </wps:wsp>
                        </a:graphicData>
                      </a:graphic>
                    </wp:anchor>
                  </w:drawing>
                </mc:Choice>
                <mc:Fallback>
                  <w:pict>
                    <v:shape id="_x0000_s1026" o:spid="_x0000_s1026" o:spt="32" type="#_x0000_t32" style="position:absolute;left:0pt;margin-left:111.05pt;margin-top:12.15pt;height:0.55pt;width:37.7pt;z-index:251662336;mso-width-relative:page;mso-height-relative:page;" filled="f" stroked="t" coordsize="21600,21600" o:gfxdata="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cdGo42gAA&#10;AAkBAAAPAAAAAAAAAAEAIAAAACIAAABkcnMvZG93bnJldi54bWxQSwECFAAUAAAACACHTuJAu7SP&#10;rxwCAAAYBAAADgAAAAAAAAABACAAAAApAQAAZHJzL2Uyb0RvYy54bWxQSwUGAAAAAAYABgBZAQAA&#10;twUAAAAA&#10;">
                      <v:fill on="f" focussize="0,0"/>
                      <v:stroke weight="1pt" color="#000000" joinstyle="round" endarrow="open"/>
                      <v:imagedata o:title=""/>
                      <o:lock v:ext="edit" aspectratio="f"/>
                    </v:shape>
                  </w:pict>
                </mc:Fallback>
              </mc:AlternateContent>
            </w:r>
            <w:r>
              <w:rPr>
                <w:color w:val="auto"/>
                <w:sz w:val="21"/>
                <w:highlight w:val="none"/>
              </w:rPr>
              <mc:AlternateContent>
                <mc:Choice Requires="wps">
                  <w:drawing>
                    <wp:anchor distT="0" distB="0" distL="114300" distR="114300" simplePos="0" relativeHeight="251661312" behindDoc="0" locked="0" layoutInCell="1" allowOverlap="1">
                      <wp:simplePos x="0" y="0"/>
                      <wp:positionH relativeFrom="column">
                        <wp:posOffset>1889125</wp:posOffset>
                      </wp:positionH>
                      <wp:positionV relativeFrom="paragraph">
                        <wp:posOffset>42545</wp:posOffset>
                      </wp:positionV>
                      <wp:extent cx="473710" cy="237490"/>
                      <wp:effectExtent l="4445" t="4445" r="17145" b="5715"/>
                      <wp:wrapNone/>
                      <wp:docPr id="148" name="文本框 148"/>
                      <wp:cNvGraphicFramePr/>
                      <a:graphic xmlns:a="http://schemas.openxmlformats.org/drawingml/2006/main">
                        <a:graphicData uri="http://schemas.microsoft.com/office/word/2010/wordprocessingShape">
                          <wps:wsp>
                            <wps:cNvSpPr txBox="1"/>
                            <wps:spPr>
                              <a:xfrm>
                                <a:off x="3227070" y="2156460"/>
                                <a:ext cx="473710" cy="237490"/>
                              </a:xfrm>
                              <a:prstGeom prst="rect">
                                <a:avLst/>
                              </a:prstGeom>
                              <a:solidFill>
                                <a:srgbClr val="FFFFFF"/>
                              </a:solidFill>
                              <a:ln w="6350" cap="flat" cmpd="sng">
                                <a:solidFill>
                                  <a:srgbClr val="000000"/>
                                </a:solidFill>
                                <a:prstDash val="solid"/>
                                <a:round/>
                                <a:headEnd type="none" w="med" len="med"/>
                                <a:tailEnd type="none" w="med" len="med"/>
                              </a:ln>
                              <a:effectLst/>
                            </wps:spPr>
                            <wps:txbx>
                              <w:txbxContent>
                                <w:p w14:paraId="0E7AC145">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发泡</w:t>
                                  </w:r>
                                </w:p>
                              </w:txbxContent>
                            </wps:txbx>
                            <wps:bodyPr vert="horz" wrap="square" anchor="t" anchorCtr="0" upright="1"/>
                          </wps:wsp>
                        </a:graphicData>
                      </a:graphic>
                    </wp:anchor>
                  </w:drawing>
                </mc:Choice>
                <mc:Fallback>
                  <w:pict>
                    <v:shape id="_x0000_s1026" o:spid="_x0000_s1026" o:spt="202" type="#_x0000_t202" style="position:absolute;left:0pt;margin-left:148.75pt;margin-top:3.35pt;height:18.7pt;width:37.3pt;z-index:251661312;mso-width-relative:page;mso-height-relative:page;" fillcolor="#FFFFFF" filled="t" stroked="t" coordsize="21600,21600" o:gfxdata="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4qvFWdYAAAAIAQAADwAAAAAAAAABACAAAAAiAAAAZHJzL2Rv&#10;d25yZXYueG1sUEsBAhQAFAAAAAgAh07iQCPZMrI8AgAAhgQAAA4AAAAAAAAAAQAgAAAAJQEAAGRy&#10;cy9lMm9Eb2MueG1sUEsFBgAAAAAGAAYAWQEAANMFAAAAAA==&#10;">
                      <v:fill on="t" focussize="0,0"/>
                      <v:stroke weight="0.5pt" color="#000000" joinstyle="round"/>
                      <v:imagedata o:title=""/>
                      <o:lock v:ext="edit" aspectratio="f"/>
                      <v:textbox>
                        <w:txbxContent>
                          <w:p w14:paraId="0E7AC145">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发泡</w:t>
                            </w:r>
                          </w:p>
                        </w:txbxContent>
                      </v:textbox>
                    </v:shape>
                  </w:pict>
                </mc:Fallback>
              </mc:AlternateContent>
            </w:r>
            <w:r>
              <w:rPr>
                <w:color w:val="auto"/>
                <w:highlight w:val="none"/>
              </w:rPr>
              <mc:AlternateContent>
                <mc:Choice Requires="wps">
                  <w:drawing>
                    <wp:anchor distT="0" distB="0" distL="114300" distR="114300" simplePos="0" relativeHeight="251681792" behindDoc="0" locked="0" layoutInCell="1" allowOverlap="1">
                      <wp:simplePos x="0" y="0"/>
                      <wp:positionH relativeFrom="column">
                        <wp:posOffset>3347720</wp:posOffset>
                      </wp:positionH>
                      <wp:positionV relativeFrom="paragraph">
                        <wp:posOffset>158115</wp:posOffset>
                      </wp:positionV>
                      <wp:extent cx="341630" cy="10160"/>
                      <wp:effectExtent l="0" t="43180" r="1270" b="60960"/>
                      <wp:wrapNone/>
                      <wp:docPr id="1" name="直接箭头连接符 1"/>
                      <wp:cNvGraphicFramePr/>
                      <a:graphic xmlns:a="http://schemas.openxmlformats.org/drawingml/2006/main">
                        <a:graphicData uri="http://schemas.microsoft.com/office/word/2010/wordprocessingShape">
                          <wps:wsp>
                            <wps:cNvCnPr>
                              <a:endCxn id="148" idx="1"/>
                            </wps:cNvCnPr>
                            <wps:spPr>
                              <a:xfrm>
                                <a:off x="0" y="0"/>
                                <a:ext cx="341630" cy="10160"/>
                              </a:xfrm>
                              <a:prstGeom prst="straightConnector1">
                                <a:avLst/>
                              </a:prstGeom>
                              <a:ln w="12700" cap="flat" cmpd="sng">
                                <a:solidFill>
                                  <a:srgbClr val="000000"/>
                                </a:solidFill>
                                <a:prstDash val="solid"/>
                                <a:round/>
                                <a:headEnd type="none" w="med" len="med"/>
                                <a:tailEnd type="arrow" w="med" len="med"/>
                              </a:ln>
                              <a:effectLst/>
                            </wps:spPr>
                            <wps:bodyPr/>
                          </wps:wsp>
                        </a:graphicData>
                      </a:graphic>
                    </wp:anchor>
                  </w:drawing>
                </mc:Choice>
                <mc:Fallback>
                  <w:pict>
                    <v:shape id="_x0000_s1026" o:spid="_x0000_s1026" o:spt="32" type="#_x0000_t32" style="position:absolute;left:0pt;margin-left:263.6pt;margin-top:12.45pt;height:0.8pt;width:26.9pt;z-index:251681792;mso-width-relative:page;mso-height-relative:page;" filled="f" stroked="t" coordsize="21600,21600" o:gfxdata="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P5U&#10;fubaAAAACQEAAA8AAAAAAAAAAQAgAAAAIgAAAGRycy9kb3ducmV2LnhtbFBLAQIUABQAAAAIAIdO&#10;4kBdC0DIIQIAADIEAAAOAAAAAAAAAAEAIAAAACkBAABkcnMvZTJvRG9jLnhtbFBLBQYAAAAABgAG&#10;AFkBAAC8BQAAAAA=&#10;">
                      <v:fill on="f" focussize="0,0"/>
                      <v:stroke weight="1pt" color="#000000" joinstyle="round" endarrow="open"/>
                      <v:imagedata o:title=""/>
                      <o:lock v:ext="edit" aspectratio="f"/>
                    </v:shape>
                  </w:pict>
                </mc:Fallback>
              </mc:AlternateContent>
            </w:r>
            <w:r>
              <w:rPr>
                <w:color w:val="auto"/>
                <w:highlight w:val="none"/>
              </w:rPr>
              <mc:AlternateContent>
                <mc:Choice Requires="wps">
                  <w:drawing>
                    <wp:anchor distT="0" distB="0" distL="114300" distR="114300" simplePos="0" relativeHeight="251682816" behindDoc="0" locked="0" layoutInCell="1" allowOverlap="1">
                      <wp:simplePos x="0" y="0"/>
                      <wp:positionH relativeFrom="column">
                        <wp:posOffset>3696335</wp:posOffset>
                      </wp:positionH>
                      <wp:positionV relativeFrom="paragraph">
                        <wp:posOffset>56515</wp:posOffset>
                      </wp:positionV>
                      <wp:extent cx="495935" cy="235585"/>
                      <wp:effectExtent l="4445" t="4445" r="13970" b="7620"/>
                      <wp:wrapNone/>
                      <wp:docPr id="3" name="文本框 3"/>
                      <wp:cNvGraphicFramePr/>
                      <a:graphic xmlns:a="http://schemas.openxmlformats.org/drawingml/2006/main">
                        <a:graphicData uri="http://schemas.microsoft.com/office/word/2010/wordprocessingShape">
                          <wps:wsp>
                            <wps:cNvSpPr txBox="1"/>
                            <wps:spPr>
                              <a:xfrm>
                                <a:off x="0" y="0"/>
                                <a:ext cx="495935" cy="235585"/>
                              </a:xfrm>
                              <a:prstGeom prst="rect">
                                <a:avLst/>
                              </a:prstGeom>
                              <a:solidFill>
                                <a:srgbClr val="FFFFFF"/>
                              </a:solidFill>
                              <a:ln w="6350" cap="flat" cmpd="sng">
                                <a:solidFill>
                                  <a:srgbClr val="000000"/>
                                </a:solidFill>
                                <a:prstDash val="solid"/>
                                <a:round/>
                                <a:headEnd type="none" w="med" len="med"/>
                                <a:tailEnd type="none" w="med" len="med"/>
                              </a:ln>
                              <a:effectLst/>
                            </wps:spPr>
                            <wps:txbx>
                              <w:txbxContent>
                                <w:p w14:paraId="4F9632CD">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成型</w:t>
                                  </w:r>
                                </w:p>
                              </w:txbxContent>
                            </wps:txbx>
                            <wps:bodyPr vert="horz" wrap="square" anchor="t" anchorCtr="0" upright="1"/>
                          </wps:wsp>
                        </a:graphicData>
                      </a:graphic>
                    </wp:anchor>
                  </w:drawing>
                </mc:Choice>
                <mc:Fallback>
                  <w:pict>
                    <v:shape id="_x0000_s1026" o:spid="_x0000_s1026" o:spt="202" type="#_x0000_t202" style="position:absolute;left:0pt;margin-left:291.05pt;margin-top:4.45pt;height:18.55pt;width:39.05pt;z-index:251682816;mso-width-relative:page;mso-height-relative:page;" fillcolor="#FFFFFF" filled="t" stroked="t" coordsize="21600,21600" o:gfxdata="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BxB28nVAAAACAEAAA8AAAAAAAAAAQAgAAAAIgAAAGRycy9kb3ducmV2LnhtbFBLAQIU&#10;ABQAAAAIAIdO4kC5URiTLwIAAHYEAAAOAAAAAAAAAAEAIAAAACQBAABkcnMvZTJvRG9jLnhtbFBL&#10;BQYAAAAABgAGAFkBAADFBQAAAAA=&#10;">
                      <v:fill on="t" focussize="0,0"/>
                      <v:stroke weight="0.5pt" color="#000000" joinstyle="round"/>
                      <v:imagedata o:title=""/>
                      <o:lock v:ext="edit" aspectratio="f"/>
                      <v:textbox>
                        <w:txbxContent>
                          <w:p w14:paraId="4F9632CD">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成型</w:t>
                            </w:r>
                          </w:p>
                        </w:txbxContent>
                      </v:textbox>
                    </v:shape>
                  </w:pict>
                </mc:Fallback>
              </mc:AlternateContent>
            </w:r>
          </w:p>
          <w:p w14:paraId="03DC0E78">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firstLine="420" w:firstLineChars="200"/>
              <w:jc w:val="left"/>
              <w:textAlignment w:val="auto"/>
              <w:rPr>
                <w:rFonts w:hint="eastAsia"/>
                <w:color w:val="auto"/>
                <w:highlight w:val="none"/>
                <w:lang w:val="en-US" w:eastAsia="zh-CN"/>
              </w:rPr>
            </w:pPr>
            <w:r>
              <w:rPr>
                <w:color w:val="auto"/>
                <w:sz w:val="21"/>
                <w:highlight w:val="none"/>
              </w:rPr>
              <mc:AlternateContent>
                <mc:Choice Requires="wpg">
                  <w:drawing>
                    <wp:anchor distT="0" distB="0" distL="114300" distR="114300" simplePos="0" relativeHeight="251689984" behindDoc="0" locked="0" layoutInCell="1" allowOverlap="1">
                      <wp:simplePos x="0" y="0"/>
                      <wp:positionH relativeFrom="column">
                        <wp:posOffset>3811905</wp:posOffset>
                      </wp:positionH>
                      <wp:positionV relativeFrom="paragraph">
                        <wp:posOffset>43815</wp:posOffset>
                      </wp:positionV>
                      <wp:extent cx="822960" cy="471170"/>
                      <wp:effectExtent l="0" t="0" r="0" b="0"/>
                      <wp:wrapNone/>
                      <wp:docPr id="40" name="组合 40"/>
                      <wp:cNvGraphicFramePr/>
                      <a:graphic xmlns:a="http://schemas.openxmlformats.org/drawingml/2006/main">
                        <a:graphicData uri="http://schemas.microsoft.com/office/word/2010/wordprocessingGroup">
                          <wpg:wgp>
                            <wpg:cNvGrpSpPr/>
                            <wpg:grpSpPr>
                              <a:xfrm>
                                <a:off x="0" y="0"/>
                                <a:ext cx="822960" cy="471170"/>
                                <a:chOff x="9673" y="619505"/>
                                <a:chExt cx="1296" cy="742"/>
                              </a:xfrm>
                              <a:effectLst/>
                            </wpg:grpSpPr>
                            <wps:wsp>
                              <wps:cNvPr id="27" name="文本框 174"/>
                              <wps:cNvSpPr txBox="1"/>
                              <wps:spPr>
                                <a:xfrm>
                                  <a:off x="9673" y="619791"/>
                                  <a:ext cx="1296" cy="456"/>
                                </a:xfrm>
                                <a:prstGeom prst="rect">
                                  <a:avLst/>
                                </a:prstGeom>
                                <a:noFill/>
                                <a:ln w="6350">
                                  <a:noFill/>
                                </a:ln>
                                <a:effectLst/>
                              </wps:spPr>
                              <wps:txbx>
                                <w:txbxContent>
                                  <w:p w14:paraId="58FA298D">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蒸汽、模具</w:t>
                                    </w:r>
                                  </w:p>
                                </w:txbxContent>
                              </wps:txbx>
                              <wps:bodyPr vert="horz" wrap="square" anchor="t" anchorCtr="0" upright="1"/>
                            </wps:wsp>
                            <wps:wsp>
                              <wps:cNvPr id="38" name="直接箭头连接符 38"/>
                              <wps:cNvCnPr>
                                <a:endCxn id="1073743910" idx="1"/>
                              </wps:cNvCnPr>
                              <wps:spPr>
                                <a:xfrm flipV="1">
                                  <a:off x="10051" y="619505"/>
                                  <a:ext cx="6" cy="374"/>
                                </a:xfrm>
                                <a:prstGeom prst="straightConnector1">
                                  <a:avLst/>
                                </a:prstGeom>
                                <a:ln w="12700" cap="flat" cmpd="sng">
                                  <a:solidFill>
                                    <a:srgbClr val="385D8A">
                                      <a:shade val="50000"/>
                                    </a:srgbClr>
                                  </a:solidFill>
                                  <a:prstDash val="sysDot"/>
                                  <a:round/>
                                  <a:headEnd type="none" w="med" len="med"/>
                                  <a:tailEnd type="arrow" w="med" len="med"/>
                                </a:ln>
                                <a:effectLst/>
                              </wps:spPr>
                              <wps:bodyPr/>
                            </wps:wsp>
                          </wpg:wgp>
                        </a:graphicData>
                      </a:graphic>
                    </wp:anchor>
                  </w:drawing>
                </mc:Choice>
                <mc:Fallback>
                  <w:pict>
                    <v:group id="_x0000_s1026" o:spid="_x0000_s1026" o:spt="203" style="position:absolute;left:0pt;margin-left:300.15pt;margin-top:3.45pt;height:37.1pt;width:64.8pt;z-index:251689984;mso-width-relative:page;mso-height-relative:page;" coordorigin="9673,619505" coordsize="1296,742" o:gfxdata="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DQqVu3YAAAACAEAAA8AAAAAAAAAAQAgAAAAIgAAAGRycy9kb3ducmV2LnhtbFBLAQIUABQA&#10;AAAIAIdO4kBP8lY0RgMAAGgHAAAOAAAAAAAAAAEAIAAAACcBAABkcnMvZTJvRG9jLnhtbFBLBQYA&#10;AAAABgAGAFkBAADfBgAAAAA=&#10;">
                      <o:lock v:ext="edit" aspectratio="f"/>
                      <v:shape id="文本框 174" o:spid="_x0000_s1026" o:spt="202" type="#_x0000_t202" style="position:absolute;left:9673;top:619791;height:456;width:1296;" filled="f" stroked="f" coordsize="21600,21600" o:gfxdata="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qEbS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58FA298D">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蒸汽、模具</w:t>
                              </w:r>
                            </w:p>
                          </w:txbxContent>
                        </v:textbox>
                      </v:shape>
                      <v:shape id="_x0000_s1026" o:spid="_x0000_s1026" o:spt="32" type="#_x0000_t32" style="position:absolute;left:10051;top:619505;flip:y;height:374;width:6;" filled="f" stroked="t" coordsize="21600,21600" o:gfxdata="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EJBztugAAANsA&#10;AAAPAAAAAAAAAAEAIAAAACIAAABkcnMvZG93bnJldi54bWxQSwECFAAUAAAACACHTuJAMy8FnjsA&#10;AAA5AAAAEAAAAAAAAAABACAAAAAJAQAAZHJzL3NoYXBleG1sLnhtbFBLBQYAAAAABgAGAFsBAACz&#10;AwAAAAA=&#10;">
                        <v:fill on="f" focussize="0,0"/>
                        <v:stroke weight="1pt" color="#264264" joinstyle="round" dashstyle="1 1" endarrow="open"/>
                        <v:imagedata o:title=""/>
                        <o:lock v:ext="edit" aspectratio="f"/>
                      </v:shape>
                    </v:group>
                  </w:pict>
                </mc:Fallback>
              </mc:AlternateContent>
            </w:r>
            <w:r>
              <w:rPr>
                <w:color w:val="auto"/>
                <w:highlight w:val="none"/>
              </w:rPr>
              <mc:AlternateContent>
                <mc:Choice Requires="wps">
                  <w:drawing>
                    <wp:anchor distT="0" distB="0" distL="114300" distR="114300" simplePos="0" relativeHeight="251684864" behindDoc="0" locked="0" layoutInCell="1" allowOverlap="1">
                      <wp:simplePos x="0" y="0"/>
                      <wp:positionH relativeFrom="column">
                        <wp:posOffset>3865245</wp:posOffset>
                      </wp:positionH>
                      <wp:positionV relativeFrom="paragraph">
                        <wp:posOffset>83820</wp:posOffset>
                      </wp:positionV>
                      <wp:extent cx="3810" cy="675640"/>
                      <wp:effectExtent l="50165" t="0" r="60325" b="10160"/>
                      <wp:wrapNone/>
                      <wp:docPr id="16" name="直接箭头连接符 16"/>
                      <wp:cNvGraphicFramePr/>
                      <a:graphic xmlns:a="http://schemas.openxmlformats.org/drawingml/2006/main">
                        <a:graphicData uri="http://schemas.microsoft.com/office/word/2010/wordprocessingShape">
                          <wps:wsp>
                            <wps:cNvCnPr>
                              <a:endCxn id="148" idx="1"/>
                            </wps:cNvCnPr>
                            <wps:spPr>
                              <a:xfrm flipH="1">
                                <a:off x="0" y="0"/>
                                <a:ext cx="3810" cy="675640"/>
                              </a:xfrm>
                              <a:prstGeom prst="straightConnector1">
                                <a:avLst/>
                              </a:prstGeom>
                              <a:ln w="12700" cap="flat" cmpd="sng">
                                <a:solidFill>
                                  <a:srgbClr val="000000"/>
                                </a:solidFill>
                                <a:prstDash val="solid"/>
                                <a:round/>
                                <a:headEnd type="none" w="med" len="med"/>
                                <a:tailEnd type="arrow" w="med" len="med"/>
                              </a:ln>
                              <a:effectLst/>
                            </wps:spPr>
                            <wps:bodyPr/>
                          </wps:wsp>
                        </a:graphicData>
                      </a:graphic>
                    </wp:anchor>
                  </w:drawing>
                </mc:Choice>
                <mc:Fallback>
                  <w:pict>
                    <v:shape id="_x0000_s1026" o:spid="_x0000_s1026" o:spt="32" type="#_x0000_t32" style="position:absolute;left:0pt;flip:x;margin-left:304.35pt;margin-top:6.6pt;height:53.2pt;width:0.3pt;z-index:251684864;mso-width-relative:page;mso-height-relative:page;" filled="f" stroked="t" coordsize="21600,21600" o:gfxdata="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Ox0J59cAAAAKAQAADwAAAAAAAAABACAAAAAiAAAAZHJzL2Rvd25yZXYueG1sUEsBAhQAFAAA&#10;AAgAh07iQKEmjdspAgAAPQQAAA4AAAAAAAAAAQAgAAAAJgEAAGRycy9lMm9Eb2MueG1sUEsFBgAA&#10;AAAGAAYAWQEAAMEFAAAAAA==&#10;">
                      <v:fill on="f" focussize="0,0"/>
                      <v:stroke weight="1pt" color="#000000" joinstyle="round" endarrow="open"/>
                      <v:imagedata o:title=""/>
                      <o:lock v:ext="edit" aspectratio="f"/>
                    </v:shape>
                  </w:pict>
                </mc:Fallback>
              </mc:AlternateContent>
            </w:r>
            <w:r>
              <w:rPr>
                <w:color w:val="auto"/>
                <w:sz w:val="21"/>
                <w:highlight w:val="none"/>
              </w:rPr>
              <mc:AlternateContent>
                <mc:Choice Requires="wpg">
                  <w:drawing>
                    <wp:anchor distT="0" distB="0" distL="114300" distR="114300" simplePos="0" relativeHeight="251668480" behindDoc="0" locked="0" layoutInCell="1" allowOverlap="1">
                      <wp:simplePos x="0" y="0"/>
                      <wp:positionH relativeFrom="column">
                        <wp:posOffset>1797685</wp:posOffset>
                      </wp:positionH>
                      <wp:positionV relativeFrom="paragraph">
                        <wp:posOffset>73025</wp:posOffset>
                      </wp:positionV>
                      <wp:extent cx="521335" cy="506095"/>
                      <wp:effectExtent l="0" t="0" r="0" b="0"/>
                      <wp:wrapNone/>
                      <wp:docPr id="176" name="组合 176"/>
                      <wp:cNvGraphicFramePr/>
                      <a:graphic xmlns:a="http://schemas.openxmlformats.org/drawingml/2006/main">
                        <a:graphicData uri="http://schemas.microsoft.com/office/word/2010/wordprocessingGroup">
                          <wpg:wgp>
                            <wpg:cNvGrpSpPr/>
                            <wpg:grpSpPr>
                              <a:xfrm rot="0">
                                <a:off x="3152140" y="2416810"/>
                                <a:ext cx="521335" cy="506095"/>
                                <a:chOff x="8070" y="13099"/>
                                <a:chExt cx="795" cy="797"/>
                              </a:xfrm>
                              <a:effectLst/>
                            </wpg:grpSpPr>
                            <wps:wsp>
                              <wps:cNvPr id="174" name="文本框 174"/>
                              <wps:cNvSpPr txBox="1"/>
                              <wps:spPr>
                                <a:xfrm>
                                  <a:off x="8070" y="13546"/>
                                  <a:ext cx="795" cy="350"/>
                                </a:xfrm>
                                <a:prstGeom prst="rect">
                                  <a:avLst/>
                                </a:prstGeom>
                                <a:noFill/>
                                <a:ln w="6350">
                                  <a:noFill/>
                                </a:ln>
                                <a:effectLst/>
                              </wps:spPr>
                              <wps:txbx>
                                <w:txbxContent>
                                  <w:p w14:paraId="5AC5D1C5">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蒸汽</w:t>
                                    </w:r>
                                  </w:p>
                                </w:txbxContent>
                              </wps:txbx>
                              <wps:bodyPr vert="horz" wrap="square" anchor="t" anchorCtr="0" upright="1"/>
                            </wps:wsp>
                            <wps:wsp>
                              <wps:cNvPr id="175" name="直接箭头连接符 175"/>
                              <wps:cNvCnPr>
                                <a:endCxn id="1073743910" idx="1"/>
                              </wps:cNvCnPr>
                              <wps:spPr>
                                <a:xfrm flipH="1" flipV="1">
                                  <a:off x="8415" y="13099"/>
                                  <a:ext cx="13" cy="490"/>
                                </a:xfrm>
                                <a:prstGeom prst="straightConnector1">
                                  <a:avLst/>
                                </a:prstGeom>
                                <a:ln w="12700" cap="flat" cmpd="sng">
                                  <a:solidFill>
                                    <a:srgbClr val="385D8A">
                                      <a:shade val="50000"/>
                                    </a:srgbClr>
                                  </a:solidFill>
                                  <a:prstDash val="sysDot"/>
                                  <a:round/>
                                  <a:headEnd type="none" w="med" len="med"/>
                                  <a:tailEnd type="arrow" w="med" len="med"/>
                                </a:ln>
                                <a:effectLst/>
                              </wps:spPr>
                              <wps:bodyPr/>
                            </wps:wsp>
                          </wpg:wgp>
                        </a:graphicData>
                      </a:graphic>
                    </wp:anchor>
                  </w:drawing>
                </mc:Choice>
                <mc:Fallback>
                  <w:pict>
                    <v:group id="_x0000_s1026" o:spid="_x0000_s1026" o:spt="203" style="position:absolute;left:0pt;margin-left:141.55pt;margin-top:5.75pt;height:39.85pt;width:41.05pt;z-index:251668480;mso-width-relative:page;mso-height-relative:page;" coordorigin="8070,13099" coordsize="795,797" o:gfxdata="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">
                      <o:lock v:ext="edit" aspectratio="f"/>
                      <v:shape id="_x0000_s1026" o:spid="_x0000_s1026" o:spt="202" type="#_x0000_t202" style="position:absolute;left:8070;top:13546;height:350;width:795;" filled="f" stroked="f" coordsize="21600,21600" o:gfxdata="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93jw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5AC5D1C5">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蒸汽</w:t>
                              </w:r>
                            </w:p>
                          </w:txbxContent>
                        </v:textbox>
                      </v:shape>
                      <v:shape id="_x0000_s1026" o:spid="_x0000_s1026" o:spt="32" type="#_x0000_t32" style="position:absolute;left:8415;top:13099;flip:x y;height:490;width:13;" filled="f" stroked="t" coordsize="21600,21600" o:gfxdata="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EAc9y8AAAA&#10;3AAAAA8AAAAAAAAAAQAgAAAAIgAAAGRycy9kb3ducmV2LnhtbFBLAQIUABQAAAAIAIdO4kAzLwWe&#10;OwAAADkAAAAQAAAAAAAAAAEAIAAAAAsBAABkcnMvc2hhcGV4bWwueG1sUEsFBgAAAAAGAAYAWwEA&#10;ALUDAAAAAA==&#10;">
                        <v:fill on="f" focussize="0,0"/>
                        <v:stroke weight="1pt" color="#264264" joinstyle="round" dashstyle="1 1" endarrow="open"/>
                        <v:imagedata o:title=""/>
                        <o:lock v:ext="edit" aspectratio="f"/>
                      </v:shape>
                    </v:group>
                  </w:pict>
                </mc:Fallback>
              </mc:AlternateContent>
            </w:r>
          </w:p>
          <w:p w14:paraId="55C2701B">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firstLine="420" w:firstLineChars="200"/>
              <w:jc w:val="left"/>
              <w:textAlignment w:val="auto"/>
              <w:rPr>
                <w:rFonts w:hint="eastAsia"/>
                <w:color w:val="auto"/>
                <w:highlight w:val="none"/>
                <w:lang w:val="en-US" w:eastAsia="zh-CN"/>
              </w:rPr>
            </w:pPr>
            <w:r>
              <w:rPr>
                <w:color w:val="auto"/>
                <w:highlight w:val="none"/>
              </w:rPr>
              <mc:AlternateContent>
                <mc:Choice Requires="wps">
                  <w:drawing>
                    <wp:anchor distT="0" distB="0" distL="114300" distR="114300" simplePos="0" relativeHeight="251692032" behindDoc="0" locked="0" layoutInCell="1" allowOverlap="1">
                      <wp:simplePos x="0" y="0"/>
                      <wp:positionH relativeFrom="column">
                        <wp:posOffset>3983990</wp:posOffset>
                      </wp:positionH>
                      <wp:positionV relativeFrom="paragraph">
                        <wp:posOffset>171450</wp:posOffset>
                      </wp:positionV>
                      <wp:extent cx="492125" cy="224790"/>
                      <wp:effectExtent l="0" t="0" r="0" b="0"/>
                      <wp:wrapNone/>
                      <wp:docPr id="60" name="文本框 60"/>
                      <wp:cNvGraphicFramePr/>
                      <a:graphic xmlns:a="http://schemas.openxmlformats.org/drawingml/2006/main">
                        <a:graphicData uri="http://schemas.microsoft.com/office/word/2010/wordprocessingShape">
                          <wps:wsp>
                            <wps:cNvSpPr txBox="1"/>
                            <wps:spPr>
                              <a:xfrm>
                                <a:off x="0" y="0"/>
                                <a:ext cx="492125" cy="224790"/>
                              </a:xfrm>
                              <a:prstGeom prst="rect">
                                <a:avLst/>
                              </a:prstGeom>
                              <a:noFill/>
                              <a:ln w="6350">
                                <a:noFill/>
                              </a:ln>
                              <a:effectLst/>
                            </wps:spPr>
                            <wps:txbx>
                              <w:txbxContent>
                                <w:p w14:paraId="4CE5DCE8">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W2</w:t>
                                  </w:r>
                                </w:p>
                              </w:txbxContent>
                            </wps:txbx>
                            <wps:bodyPr vert="horz" wrap="square" anchor="t" anchorCtr="0" upright="1"/>
                          </wps:wsp>
                        </a:graphicData>
                      </a:graphic>
                    </wp:anchor>
                  </w:drawing>
                </mc:Choice>
                <mc:Fallback>
                  <w:pict>
                    <v:shape id="_x0000_s1026" o:spid="_x0000_s1026" o:spt="202" type="#_x0000_t202" style="position:absolute;left:0pt;margin-left:313.7pt;margin-top:13.5pt;height:17.7pt;width:38.75pt;z-index:251692032;mso-width-relative:page;mso-height-relative:page;" filled="f" stroked="f" coordsize="21600,21600" o:gfxdata="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IgGCOHaAAAACQEAAA8AAAAA&#10;AAAAAQAgAAAAIgAAAGRycy9kb3ducmV2LnhtbFBLAQIUABQAAAAIAIdO4kCOTRbh2QEAAJkDAAAO&#10;AAAAAAAAAAEAIAAAACkBAABkcnMvZTJvRG9jLnhtbFBLBQYAAAAABgAGAFkBAAB0BQAAAAA=&#10;">
                      <v:fill on="f" focussize="0,0"/>
                      <v:stroke on="f" weight="0.5pt"/>
                      <v:imagedata o:title=""/>
                      <o:lock v:ext="edit" aspectratio="f"/>
                      <v:textbox>
                        <w:txbxContent>
                          <w:p w14:paraId="4CE5DCE8">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W2</w:t>
                            </w:r>
                          </w:p>
                        </w:txbxContent>
                      </v:textbox>
                    </v:shape>
                  </w:pict>
                </mc:Fallback>
              </mc:AlternateContent>
            </w:r>
          </w:p>
          <w:p w14:paraId="29651F97">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firstLine="420" w:firstLineChars="200"/>
              <w:jc w:val="left"/>
              <w:textAlignment w:val="auto"/>
              <w:rPr>
                <w:rFonts w:hint="eastAsia"/>
                <w:color w:val="auto"/>
                <w:highlight w:val="none"/>
                <w:lang w:val="en-US" w:eastAsia="zh-CN"/>
              </w:rPr>
            </w:pPr>
            <w:r>
              <w:rPr>
                <w:color w:val="auto"/>
                <w:highlight w:val="none"/>
              </w:rPr>
              <mc:AlternateContent>
                <mc:Choice Requires="wps">
                  <w:drawing>
                    <wp:anchor distT="0" distB="0" distL="114300" distR="114300" simplePos="0" relativeHeight="251691008" behindDoc="0" locked="0" layoutInCell="1" allowOverlap="1">
                      <wp:simplePos x="0" y="0"/>
                      <wp:positionH relativeFrom="column">
                        <wp:posOffset>4058285</wp:posOffset>
                      </wp:positionH>
                      <wp:positionV relativeFrom="paragraph">
                        <wp:posOffset>94615</wp:posOffset>
                      </wp:positionV>
                      <wp:extent cx="0" cy="236855"/>
                      <wp:effectExtent l="50800" t="0" r="63500" b="10795"/>
                      <wp:wrapNone/>
                      <wp:docPr id="59" name="直接箭头连接符 59"/>
                      <wp:cNvGraphicFramePr/>
                      <a:graphic xmlns:a="http://schemas.openxmlformats.org/drawingml/2006/main">
                        <a:graphicData uri="http://schemas.microsoft.com/office/word/2010/wordprocessingShape">
                          <wps:wsp>
                            <wps:cNvCnPr>
                              <a:endCxn id="148" idx="1"/>
                            </wps:cNvCnPr>
                            <wps:spPr>
                              <a:xfrm flipV="1">
                                <a:off x="0" y="0"/>
                                <a:ext cx="0" cy="236855"/>
                              </a:xfrm>
                              <a:prstGeom prst="straightConnector1">
                                <a:avLst/>
                              </a:prstGeom>
                              <a:noFill/>
                              <a:ln w="12700" cap="flat" cmpd="sng" algn="ctr">
                                <a:solidFill>
                                  <a:srgbClr val="0D0D0D">
                                    <a:lumMod val="95000"/>
                                    <a:lumOff val="5000"/>
                                  </a:srgbClr>
                                </a:solidFill>
                                <a:prstDash val="dash"/>
                                <a:tailEnd type="arrow"/>
                              </a:ln>
                              <a:effectLst/>
                            </wps:spPr>
                            <wps:bodyPr/>
                          </wps:wsp>
                        </a:graphicData>
                      </a:graphic>
                    </wp:anchor>
                  </w:drawing>
                </mc:Choice>
                <mc:Fallback>
                  <w:pict>
                    <v:shape id="_x0000_s1026" o:spid="_x0000_s1026" o:spt="32" type="#_x0000_t32" style="position:absolute;left:0pt;flip:y;margin-left:319.55pt;margin-top:7.45pt;height:18.65pt;width:0pt;z-index:251691008;mso-width-relative:page;mso-height-relative:page;" filled="f" stroked="t" coordsize="21600,21600" o:gfxdata="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XQuZxNcAAAAJAQAADwAAAAAAAAABACAAAAAiAAAAZHJzL2Rvd25yZXYueG1sUEsB&#10;AhQAFAAAAAgAh07iQPAIJTAvAgAAQQQAAA4AAAAAAAAAAQAgAAAAJgEAAGRycy9lMm9Eb2MueG1s&#10;UEsFBgAAAAAGAAYAWQEAAMcFAAAAAA==&#10;">
                      <v:fill on="f" focussize="0,0"/>
                      <v:stroke weight="1pt" color="#191919" joinstyle="round" dashstyle="dash" endarrow="open"/>
                      <v:imagedata o:title=""/>
                      <o:lock v:ext="edit" aspectratio="f"/>
                    </v:shape>
                  </w:pict>
                </mc:Fallback>
              </mc:AlternateContent>
            </w:r>
          </w:p>
          <w:p w14:paraId="3AC4DF80">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firstLine="420" w:firstLineChars="200"/>
              <w:jc w:val="left"/>
              <w:textAlignment w:val="auto"/>
              <w:rPr>
                <w:rFonts w:hint="eastAsia"/>
                <w:color w:val="auto"/>
                <w:highlight w:val="none"/>
                <w:lang w:val="en-US" w:eastAsia="zh-CN"/>
              </w:rPr>
            </w:pPr>
            <w:r>
              <w:rPr>
                <w:color w:val="auto"/>
                <w:sz w:val="21"/>
                <w:highlight w:val="none"/>
              </w:rPr>
              <mc:AlternateContent>
                <mc:Choice Requires="wps">
                  <w:drawing>
                    <wp:anchor distT="0" distB="0" distL="114300" distR="114300" simplePos="0" relativeHeight="251686912" behindDoc="0" locked="0" layoutInCell="1" allowOverlap="1">
                      <wp:simplePos x="0" y="0"/>
                      <wp:positionH relativeFrom="column">
                        <wp:posOffset>4554855</wp:posOffset>
                      </wp:positionH>
                      <wp:positionV relativeFrom="paragraph">
                        <wp:posOffset>91440</wp:posOffset>
                      </wp:positionV>
                      <wp:extent cx="633730" cy="584835"/>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633730" cy="584835"/>
                              </a:xfrm>
                              <a:prstGeom prst="rect">
                                <a:avLst/>
                              </a:prstGeom>
                              <a:noFill/>
                              <a:ln w="6350">
                                <a:noFill/>
                              </a:ln>
                              <a:effectLst/>
                            </wps:spPr>
                            <wps:txbx>
                              <w:txbxContent>
                                <w:p w14:paraId="08CD0BD3">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坐具、泡沫产品</w:t>
                                  </w:r>
                                </w:p>
                              </w:txbxContent>
                            </wps:txbx>
                            <wps:bodyPr vert="horz" wrap="square" anchor="t" anchorCtr="0" upright="1"/>
                          </wps:wsp>
                        </a:graphicData>
                      </a:graphic>
                    </wp:anchor>
                  </w:drawing>
                </mc:Choice>
                <mc:Fallback>
                  <w:pict>
                    <v:shape id="_x0000_s1026" o:spid="_x0000_s1026" o:spt="202" type="#_x0000_t202" style="position:absolute;left:0pt;margin-left:358.65pt;margin-top:7.2pt;height:46.05pt;width:49.9pt;z-index:251686912;mso-width-relative:page;mso-height-relative:page;" filled="f" stroked="f" coordsize="21600,21600" o:gfxdata="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mOfR79sAAAAKAQAADwAAAAAA&#10;AAABACAAAAAiAAAAZHJzL2Rvd25yZXYueG1sUEsBAhQAFAAAAAgAh07iQH8p1y/XAQAAmQMAAA4A&#10;AAAAAAAAAQAgAAAAKgEAAGRycy9lMm9Eb2MueG1sUEsFBgAAAAAGAAYAWQEAAHMFAAAAAA==&#10;">
                      <v:fill on="f" focussize="0,0"/>
                      <v:stroke on="f" weight="0.5pt"/>
                      <v:imagedata o:title=""/>
                      <o:lock v:ext="edit" aspectratio="f"/>
                      <v:textbox>
                        <w:txbxContent>
                          <w:p w14:paraId="08CD0BD3">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坐具、泡沫产品</w:t>
                            </w:r>
                          </w:p>
                        </w:txbxContent>
                      </v:textbox>
                    </v:shape>
                  </w:pict>
                </mc:Fallback>
              </mc:AlternateContent>
            </w:r>
            <w:r>
              <w:rPr>
                <w:color w:val="auto"/>
                <w:sz w:val="21"/>
                <w:highlight w:val="none"/>
              </w:rPr>
              <mc:AlternateContent>
                <mc:Choice Requires="wps">
                  <w:drawing>
                    <wp:anchor distT="0" distB="0" distL="114300" distR="114300" simplePos="0" relativeHeight="251675648" behindDoc="0" locked="0" layoutInCell="1" allowOverlap="1">
                      <wp:simplePos x="0" y="0"/>
                      <wp:positionH relativeFrom="column">
                        <wp:posOffset>4204970</wp:posOffset>
                      </wp:positionH>
                      <wp:positionV relativeFrom="paragraph">
                        <wp:posOffset>181610</wp:posOffset>
                      </wp:positionV>
                      <wp:extent cx="425450" cy="5080"/>
                      <wp:effectExtent l="0" t="49530" r="12700" b="59690"/>
                      <wp:wrapNone/>
                      <wp:docPr id="69" name="直接箭头连接符 69"/>
                      <wp:cNvGraphicFramePr/>
                      <a:graphic xmlns:a="http://schemas.openxmlformats.org/drawingml/2006/main">
                        <a:graphicData uri="http://schemas.microsoft.com/office/word/2010/wordprocessingShape">
                          <wps:wsp>
                            <wps:cNvCnPr>
                              <a:endCxn id="148" idx="1"/>
                            </wps:cNvCnPr>
                            <wps:spPr>
                              <a:xfrm flipV="1">
                                <a:off x="4720590" y="2805430"/>
                                <a:ext cx="425450" cy="5080"/>
                              </a:xfrm>
                              <a:prstGeom prst="straightConnector1">
                                <a:avLst/>
                              </a:prstGeom>
                              <a:ln w="12700" cap="flat" cmpd="sng">
                                <a:solidFill>
                                  <a:srgbClr val="000000"/>
                                </a:solidFill>
                                <a:prstDash val="solid"/>
                                <a:round/>
                                <a:headEnd type="none" w="med" len="med"/>
                                <a:tailEnd type="arrow" w="med" len="med"/>
                              </a:ln>
                              <a:effectLst/>
                            </wps:spPr>
                            <wps:bodyPr/>
                          </wps:wsp>
                        </a:graphicData>
                      </a:graphic>
                    </wp:anchor>
                  </w:drawing>
                </mc:Choice>
                <mc:Fallback>
                  <w:pict>
                    <v:shape id="_x0000_s1026" o:spid="_x0000_s1026" o:spt="32" type="#_x0000_t32" style="position:absolute;left:0pt;flip:y;margin-left:331.1pt;margin-top:14.3pt;height:0.4pt;width:33.5pt;z-index:251675648;mso-width-relative:page;mso-height-relative:page;" filled="f" stroked="t" coordsize="21600,21600" o:gfxdata="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GKwfDjXAAAACQEAAA8AAAAAAAAAAQAgAAAAIgAAAGRycy9kb3ducmV2&#10;LnhtbFBLAQIUABQAAAAIAIdO4kAw+2+gNgIAAEkEAAAOAAAAAAAAAAEAIAAAACYBAABkcnMvZTJv&#10;RG9jLnhtbFBLBQYAAAAABgAGAFkBAADOBQAAAAA=&#10;">
                      <v:fill on="f" focussize="0,0"/>
                      <v:stroke weight="1pt" color="#000000" joinstyle="round" endarrow="open"/>
                      <v:imagedata o:title=""/>
                      <o:lock v:ext="edit" aspectratio="f"/>
                    </v:shape>
                  </w:pict>
                </mc:Fallback>
              </mc:AlternateContent>
            </w:r>
            <w:r>
              <w:rPr>
                <w:color w:val="auto"/>
                <w:sz w:val="21"/>
                <w:highlight w:val="none"/>
              </w:rPr>
              <mc:AlternateContent>
                <mc:Choice Requires="wps">
                  <w:drawing>
                    <wp:anchor distT="0" distB="0" distL="114300" distR="114300" simplePos="0" relativeHeight="251676672" behindDoc="0" locked="0" layoutInCell="1" allowOverlap="1">
                      <wp:simplePos x="0" y="0"/>
                      <wp:positionH relativeFrom="column">
                        <wp:posOffset>2894965</wp:posOffset>
                      </wp:positionH>
                      <wp:positionV relativeFrom="paragraph">
                        <wp:posOffset>85725</wp:posOffset>
                      </wp:positionV>
                      <wp:extent cx="495935" cy="222250"/>
                      <wp:effectExtent l="0" t="0" r="0" b="0"/>
                      <wp:wrapNone/>
                      <wp:docPr id="177" name="文本框 177"/>
                      <wp:cNvGraphicFramePr/>
                      <a:graphic xmlns:a="http://schemas.openxmlformats.org/drawingml/2006/main">
                        <a:graphicData uri="http://schemas.microsoft.com/office/word/2010/wordprocessingShape">
                          <wps:wsp>
                            <wps:cNvSpPr txBox="1"/>
                            <wps:spPr>
                              <a:xfrm>
                                <a:off x="2760345" y="2829560"/>
                                <a:ext cx="495935" cy="222250"/>
                              </a:xfrm>
                              <a:prstGeom prst="rect">
                                <a:avLst/>
                              </a:prstGeom>
                              <a:noFill/>
                              <a:ln w="6350">
                                <a:noFill/>
                              </a:ln>
                              <a:effectLst/>
                            </wps:spPr>
                            <wps:txbx>
                              <w:txbxContent>
                                <w:p w14:paraId="756EFC28">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蒸汽</w:t>
                                  </w:r>
                                </w:p>
                              </w:txbxContent>
                            </wps:txbx>
                            <wps:bodyPr vert="horz" wrap="square" anchor="t" anchorCtr="0" upright="1"/>
                          </wps:wsp>
                        </a:graphicData>
                      </a:graphic>
                    </wp:anchor>
                  </w:drawing>
                </mc:Choice>
                <mc:Fallback>
                  <w:pict>
                    <v:shape id="_x0000_s1026" o:spid="_x0000_s1026" o:spt="202" type="#_x0000_t202" style="position:absolute;left:0pt;margin-left:227.95pt;margin-top:6.75pt;height:17.5pt;width:39.05pt;z-index:251676672;mso-width-relative:page;mso-height-relative:page;" filled="f" stroked="f" coordsize="21600,21600" o:gfxdata="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O4FfZjZAAAA&#10;CQEAAA8AAAAAAAAAAQAgAAAAIgAAAGRycy9kb3ducmV2LnhtbFBLAQIUABQAAAAIAIdO4kAuquNU&#10;4wEAAKcDAAAOAAAAAAAAAAEAIAAAACgBAABkcnMvZTJvRG9jLnhtbFBLBQYAAAAABgAGAFkBAAB9&#10;BQAAAAA=&#10;">
                      <v:fill on="f" focussize="0,0"/>
                      <v:stroke on="f" weight="0.5pt"/>
                      <v:imagedata o:title=""/>
                      <o:lock v:ext="edit" aspectratio="f"/>
                      <v:textbox>
                        <w:txbxContent>
                          <w:p w14:paraId="756EFC28">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蒸汽</w:t>
                            </w:r>
                          </w:p>
                        </w:txbxContent>
                      </v:textbox>
                    </v:shape>
                  </w:pict>
                </mc:Fallback>
              </mc:AlternateContent>
            </w:r>
            <w:r>
              <w:rPr>
                <w:color w:val="auto"/>
                <w:sz w:val="21"/>
                <w:highlight w:val="none"/>
              </w:rPr>
              <mc:AlternateContent>
                <mc:Choice Requires="wps">
                  <w:drawing>
                    <wp:anchor distT="0" distB="0" distL="114300" distR="114300" simplePos="0" relativeHeight="251674624" behindDoc="0" locked="0" layoutInCell="1" allowOverlap="1">
                      <wp:simplePos x="0" y="0"/>
                      <wp:positionH relativeFrom="column">
                        <wp:posOffset>3323590</wp:posOffset>
                      </wp:positionH>
                      <wp:positionV relativeFrom="paragraph">
                        <wp:posOffset>207645</wp:posOffset>
                      </wp:positionV>
                      <wp:extent cx="380365" cy="0"/>
                      <wp:effectExtent l="0" t="50800" r="635" b="63500"/>
                      <wp:wrapNone/>
                      <wp:docPr id="173" name="直接箭头连接符 173"/>
                      <wp:cNvGraphicFramePr/>
                      <a:graphic xmlns:a="http://schemas.openxmlformats.org/drawingml/2006/main">
                        <a:graphicData uri="http://schemas.microsoft.com/office/word/2010/wordprocessingShape">
                          <wps:wsp>
                            <wps:cNvCnPr>
                              <a:endCxn id="148" idx="1"/>
                            </wps:cNvCnPr>
                            <wps:spPr>
                              <a:xfrm>
                                <a:off x="4333240" y="2816860"/>
                                <a:ext cx="380365" cy="0"/>
                              </a:xfrm>
                              <a:prstGeom prst="straightConnector1">
                                <a:avLst/>
                              </a:prstGeom>
                              <a:ln w="12700" cap="flat" cmpd="sng">
                                <a:solidFill>
                                  <a:srgbClr val="385D8A">
                                    <a:shade val="50000"/>
                                  </a:srgbClr>
                                </a:solidFill>
                                <a:prstDash val="sysDot"/>
                                <a:round/>
                                <a:headEnd type="none" w="med" len="med"/>
                                <a:tailEnd type="arrow" w="med" len="med"/>
                              </a:ln>
                              <a:effectLst/>
                            </wps:spPr>
                            <wps:bodyPr/>
                          </wps:wsp>
                        </a:graphicData>
                      </a:graphic>
                    </wp:anchor>
                  </w:drawing>
                </mc:Choice>
                <mc:Fallback>
                  <w:pict>
                    <v:shape id="_x0000_s1026" o:spid="_x0000_s1026" o:spt="32" type="#_x0000_t32" style="position:absolute;left:0pt;margin-left:261.7pt;margin-top:16.35pt;height:0pt;width:29.95pt;z-index:251674624;mso-width-relative:page;mso-height-relative:page;" filled="f" stroked="t" coordsize="21600,21600" o:gfxdata="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LpnfvzXAAAACQEAAA8AAAAAAAAAAQAgAAAAIgAA&#10;AGRycy9kb3ducmV2LnhtbFBLAQIUABQAAAAIAIdO4kCrUUU+QgIAAGAEAAAOAAAAAAAAAAEAIAAA&#10;ACYBAABkcnMvZTJvRG9jLnhtbFBLBQYAAAAABgAGAFkBAADaBQAAAAA=&#10;">
                      <v:fill on="f" focussize="0,0"/>
                      <v:stroke weight="1pt" color="#264264" joinstyle="round" dashstyle="1 1" endarrow="open"/>
                      <v:imagedata o:title=""/>
                      <o:lock v:ext="edit" aspectratio="f"/>
                    </v:shape>
                  </w:pict>
                </mc:Fallback>
              </mc:AlternateContent>
            </w:r>
            <w:r>
              <w:rPr>
                <w:color w:val="auto"/>
                <w:highlight w:val="none"/>
              </w:rPr>
              <mc:AlternateContent>
                <mc:Choice Requires="wps">
                  <w:drawing>
                    <wp:anchor distT="0" distB="0" distL="114300" distR="114300" simplePos="0" relativeHeight="251685888" behindDoc="0" locked="0" layoutInCell="1" allowOverlap="1">
                      <wp:simplePos x="0" y="0"/>
                      <wp:positionH relativeFrom="column">
                        <wp:posOffset>3712210</wp:posOffset>
                      </wp:positionH>
                      <wp:positionV relativeFrom="paragraph">
                        <wp:posOffset>77470</wp:posOffset>
                      </wp:positionV>
                      <wp:extent cx="495935" cy="235585"/>
                      <wp:effectExtent l="4445" t="4445" r="13970" b="7620"/>
                      <wp:wrapNone/>
                      <wp:docPr id="24" name="文本框 24"/>
                      <wp:cNvGraphicFramePr/>
                      <a:graphic xmlns:a="http://schemas.openxmlformats.org/drawingml/2006/main">
                        <a:graphicData uri="http://schemas.microsoft.com/office/word/2010/wordprocessingShape">
                          <wps:wsp>
                            <wps:cNvSpPr txBox="1"/>
                            <wps:spPr>
                              <a:xfrm>
                                <a:off x="0" y="0"/>
                                <a:ext cx="495935" cy="235585"/>
                              </a:xfrm>
                              <a:prstGeom prst="rect">
                                <a:avLst/>
                              </a:prstGeom>
                              <a:solidFill>
                                <a:srgbClr val="FFFFFF"/>
                              </a:solidFill>
                              <a:ln w="6350" cap="flat" cmpd="sng">
                                <a:solidFill>
                                  <a:srgbClr val="000000"/>
                                </a:solidFill>
                                <a:prstDash val="solid"/>
                                <a:round/>
                                <a:headEnd type="none" w="med" len="med"/>
                                <a:tailEnd type="none" w="med" len="med"/>
                              </a:ln>
                              <a:effectLst/>
                            </wps:spPr>
                            <wps:txbx>
                              <w:txbxContent>
                                <w:p w14:paraId="000A9C95">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烘干</w:t>
                                  </w:r>
                                </w:p>
                              </w:txbxContent>
                            </wps:txbx>
                            <wps:bodyPr vert="horz" wrap="square" anchor="t" anchorCtr="0" upright="1"/>
                          </wps:wsp>
                        </a:graphicData>
                      </a:graphic>
                    </wp:anchor>
                  </w:drawing>
                </mc:Choice>
                <mc:Fallback>
                  <w:pict>
                    <v:shape id="_x0000_s1026" o:spid="_x0000_s1026" o:spt="202" type="#_x0000_t202" style="position:absolute;left:0pt;margin-left:292.3pt;margin-top:6.1pt;height:18.55pt;width:39.05pt;z-index:251685888;mso-width-relative:page;mso-height-relative:page;" fillcolor="#FFFFFF" filled="t" stroked="t" coordsize="21600,21600" o:gfxdata="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H1hf7/WAAAACQEAAA8AAAAAAAAAAQAgAAAAIgAAAGRycy9kb3ducmV2LnhtbFBL&#10;AQIUABQAAAAIAIdO4kBw5ZP8MQIAAHgEAAAOAAAAAAAAAAEAIAAAACUBAABkcnMvZTJvRG9jLnht&#10;bFBLBQYAAAAABgAGAFkBAADIBQAAAAA=&#10;">
                      <v:fill on="t" focussize="0,0"/>
                      <v:stroke weight="0.5pt" color="#000000" joinstyle="round"/>
                      <v:imagedata o:title=""/>
                      <o:lock v:ext="edit" aspectratio="f"/>
                      <v:textbox>
                        <w:txbxContent>
                          <w:p w14:paraId="000A9C95">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烘干</w:t>
                            </w:r>
                          </w:p>
                        </w:txbxContent>
                      </v:textbox>
                    </v:shape>
                  </w:pict>
                </mc:Fallback>
              </mc:AlternateContent>
            </w:r>
          </w:p>
          <w:p w14:paraId="62C38BDE">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left"/>
              <w:textAlignment w:val="auto"/>
              <w:rPr>
                <w:rFonts w:hint="eastAsia"/>
                <w:color w:val="auto"/>
                <w:highlight w:val="none"/>
                <w:lang w:val="en-US" w:eastAsia="zh-CN"/>
              </w:rPr>
            </w:pPr>
            <w:r>
              <w:rPr>
                <w:color w:val="auto"/>
                <w:sz w:val="21"/>
                <w:highlight w:val="none"/>
              </w:rPr>
              <mc:AlternateContent>
                <mc:Choice Requires="wps">
                  <w:drawing>
                    <wp:anchor distT="0" distB="0" distL="114300" distR="114300" simplePos="0" relativeHeight="251677696" behindDoc="0" locked="0" layoutInCell="1" allowOverlap="1">
                      <wp:simplePos x="0" y="0"/>
                      <wp:positionH relativeFrom="column">
                        <wp:posOffset>4064000</wp:posOffset>
                      </wp:positionH>
                      <wp:positionV relativeFrom="paragraph">
                        <wp:posOffset>170180</wp:posOffset>
                      </wp:positionV>
                      <wp:extent cx="0" cy="236855"/>
                      <wp:effectExtent l="50800" t="0" r="63500" b="10795"/>
                      <wp:wrapNone/>
                      <wp:docPr id="70" name="直接箭头连接符 70"/>
                      <wp:cNvGraphicFramePr/>
                      <a:graphic xmlns:a="http://schemas.openxmlformats.org/drawingml/2006/main">
                        <a:graphicData uri="http://schemas.microsoft.com/office/word/2010/wordprocessingShape">
                          <wps:wsp>
                            <wps:cNvCnPr>
                              <a:endCxn id="148" idx="1"/>
                            </wps:cNvCnPr>
                            <wps:spPr>
                              <a:xfrm flipV="1">
                                <a:off x="5324475" y="2976245"/>
                                <a:ext cx="0" cy="236855"/>
                              </a:xfrm>
                              <a:prstGeom prst="straightConnector1">
                                <a:avLst/>
                              </a:prstGeom>
                              <a:noFill/>
                              <a:ln w="12700" cap="flat" cmpd="sng" algn="ctr">
                                <a:solidFill>
                                  <a:srgbClr val="0D0D0D">
                                    <a:lumMod val="95000"/>
                                    <a:lumOff val="5000"/>
                                  </a:srgbClr>
                                </a:solidFill>
                                <a:prstDash val="dash"/>
                                <a:tailEnd type="arrow"/>
                              </a:ln>
                              <a:effectLst/>
                            </wps:spPr>
                            <wps:bodyPr/>
                          </wps:wsp>
                        </a:graphicData>
                      </a:graphic>
                    </wp:anchor>
                  </w:drawing>
                </mc:Choice>
                <mc:Fallback>
                  <w:pict>
                    <v:shape id="_x0000_s1026" o:spid="_x0000_s1026" o:spt="32" type="#_x0000_t32" style="position:absolute;left:0pt;flip:y;margin-left:320pt;margin-top:13.4pt;height:18.65pt;width:0pt;z-index:251677696;mso-width-relative:page;mso-height-relative:page;" filled="f" stroked="t" coordsize="21600,21600" o:gfxdata="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B37F471gAAAAkBAAAPAAAAAAAAAAEAIAAAACIAAABkcnMv&#10;ZG93bnJldi54bWxQSwECFAAUAAAACACHTuJAOtGZzD4CAABNBAAADgAAAAAAAAABACAAAAAlAQAA&#10;ZHJzL2Uyb0RvYy54bWxQSwUGAAAAAAYABgBZAQAA1QUAAAAA&#10;">
                      <v:fill on="f" focussize="0,0"/>
                      <v:stroke weight="1pt" color="#191919" joinstyle="round" dashstyle="dash" endarrow="open"/>
                      <v:imagedata o:title=""/>
                      <o:lock v:ext="edit" aspectratio="f"/>
                    </v:shape>
                  </w:pict>
                </mc:Fallback>
              </mc:AlternateContent>
            </w:r>
            <w:r>
              <w:rPr>
                <w:color w:val="auto"/>
                <w:sz w:val="24"/>
                <w:highlight w:val="none"/>
              </w:rPr>
              <mc:AlternateContent>
                <mc:Choice Requires="wps">
                  <w:drawing>
                    <wp:anchor distT="0" distB="0" distL="114300" distR="114300" simplePos="0" relativeHeight="251693056" behindDoc="0" locked="0" layoutInCell="1" allowOverlap="1">
                      <wp:simplePos x="0" y="0"/>
                      <wp:positionH relativeFrom="column">
                        <wp:posOffset>3964305</wp:posOffset>
                      </wp:positionH>
                      <wp:positionV relativeFrom="paragraph">
                        <wp:posOffset>177800</wp:posOffset>
                      </wp:positionV>
                      <wp:extent cx="583565" cy="224790"/>
                      <wp:effectExtent l="0" t="0" r="0" b="0"/>
                      <wp:wrapNone/>
                      <wp:docPr id="61" name="文本框 61"/>
                      <wp:cNvGraphicFramePr/>
                      <a:graphic xmlns:a="http://schemas.openxmlformats.org/drawingml/2006/main">
                        <a:graphicData uri="http://schemas.microsoft.com/office/word/2010/wordprocessingShape">
                          <wps:wsp>
                            <wps:cNvSpPr txBox="1"/>
                            <wps:spPr>
                              <a:xfrm>
                                <a:off x="0" y="0"/>
                                <a:ext cx="583565" cy="224790"/>
                              </a:xfrm>
                              <a:prstGeom prst="rect">
                                <a:avLst/>
                              </a:prstGeom>
                              <a:noFill/>
                              <a:ln w="6350">
                                <a:noFill/>
                              </a:ln>
                              <a:effectLst/>
                            </wps:spPr>
                            <wps:txbx>
                              <w:txbxContent>
                                <w:p w14:paraId="765733D7">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eastAsia="宋体"/>
                                      <w:lang w:val="en-US" w:eastAsia="zh-CN"/>
                                    </w:rPr>
                                    <w:t>G</w:t>
                                  </w:r>
                                  <w:r>
                                    <w:rPr>
                                      <w:rFonts w:hint="eastAsia"/>
                                      <w:lang w:val="en-US" w:eastAsia="zh-CN"/>
                                    </w:rPr>
                                    <w:t>3</w:t>
                                  </w:r>
                                  <w:r>
                                    <w:rPr>
                                      <w:rFonts w:hint="eastAsia" w:eastAsia="宋体"/>
                                      <w:lang w:val="en-US" w:eastAsia="zh-CN"/>
                                    </w:rPr>
                                    <w:t>、N</w:t>
                                  </w:r>
                                  <w:r>
                                    <w:rPr>
                                      <w:rFonts w:hint="eastAsia"/>
                                      <w:lang w:val="en-US" w:eastAsia="zh-CN"/>
                                    </w:rPr>
                                    <w:t>5</w:t>
                                  </w:r>
                                </w:p>
                              </w:txbxContent>
                            </wps:txbx>
                            <wps:bodyPr vert="horz" wrap="square" anchor="t" anchorCtr="0" upright="1"/>
                          </wps:wsp>
                        </a:graphicData>
                      </a:graphic>
                    </wp:anchor>
                  </w:drawing>
                </mc:Choice>
                <mc:Fallback>
                  <w:pict>
                    <v:shape id="_x0000_s1026" o:spid="_x0000_s1026" o:spt="202" type="#_x0000_t202" style="position:absolute;left:0pt;margin-left:312.15pt;margin-top:14pt;height:17.7pt;width:45.95pt;z-index:251693056;mso-width-relative:page;mso-height-relative:page;" filled="f" stroked="f" coordsize="21600,21600" o:gfxdata="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D9pKU2gAAAAkBAAAPAAAA&#10;AAAAAAEAIAAAACIAAABkcnMvZG93bnJldi54bWxQSwECFAAUAAAACACHTuJA6D16FtoBAACZAwAA&#10;DgAAAAAAAAABACAAAAApAQAAZHJzL2Uyb0RvYy54bWxQSwUGAAAAAAYABgBZAQAAdQUAAAAA&#10;">
                      <v:fill on="f" focussize="0,0"/>
                      <v:stroke on="f" weight="0.5pt"/>
                      <v:imagedata o:title=""/>
                      <o:lock v:ext="edit" aspectratio="f"/>
                      <v:textbox>
                        <w:txbxContent>
                          <w:p w14:paraId="765733D7">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eastAsia="宋体"/>
                                <w:lang w:val="en-US" w:eastAsia="zh-CN"/>
                              </w:rPr>
                              <w:t>G</w:t>
                            </w:r>
                            <w:r>
                              <w:rPr>
                                <w:rFonts w:hint="eastAsia"/>
                                <w:lang w:val="en-US" w:eastAsia="zh-CN"/>
                              </w:rPr>
                              <w:t>3</w:t>
                            </w:r>
                            <w:r>
                              <w:rPr>
                                <w:rFonts w:hint="eastAsia" w:eastAsia="宋体"/>
                                <w:lang w:val="en-US" w:eastAsia="zh-CN"/>
                              </w:rPr>
                              <w:t>、N</w:t>
                            </w:r>
                            <w:r>
                              <w:rPr>
                                <w:rFonts w:hint="eastAsia"/>
                                <w:lang w:val="en-US" w:eastAsia="zh-CN"/>
                              </w:rPr>
                              <w:t>5</w:t>
                            </w:r>
                          </w:p>
                        </w:txbxContent>
                      </v:textbox>
                    </v:shape>
                  </w:pict>
                </mc:Fallback>
              </mc:AlternateContent>
            </w:r>
            <w:r>
              <w:rPr>
                <w:color w:val="auto"/>
                <w:sz w:val="21"/>
                <w:highlight w:val="none"/>
              </w:rPr>
              <mc:AlternateContent>
                <mc:Choice Requires="wps">
                  <w:drawing>
                    <wp:anchor distT="0" distB="0" distL="114300" distR="114300" simplePos="0" relativeHeight="251667456" behindDoc="0" locked="0" layoutInCell="1" allowOverlap="1">
                      <wp:simplePos x="0" y="0"/>
                      <wp:positionH relativeFrom="column">
                        <wp:posOffset>3937635</wp:posOffset>
                      </wp:positionH>
                      <wp:positionV relativeFrom="paragraph">
                        <wp:posOffset>97155</wp:posOffset>
                      </wp:positionV>
                      <wp:extent cx="7620" cy="426085"/>
                      <wp:effectExtent l="44450" t="0" r="62230" b="12065"/>
                      <wp:wrapNone/>
                      <wp:docPr id="153" name="直接箭头连接符 153"/>
                      <wp:cNvGraphicFramePr/>
                      <a:graphic xmlns:a="http://schemas.openxmlformats.org/drawingml/2006/main">
                        <a:graphicData uri="http://schemas.microsoft.com/office/word/2010/wordprocessingShape">
                          <wps:wsp>
                            <wps:cNvCnPr>
                              <a:endCxn id="148" idx="1"/>
                            </wps:cNvCnPr>
                            <wps:spPr>
                              <a:xfrm>
                                <a:off x="5231765" y="2425065"/>
                                <a:ext cx="7620" cy="426085"/>
                              </a:xfrm>
                              <a:prstGeom prst="straightConnector1">
                                <a:avLst/>
                              </a:prstGeom>
                              <a:ln w="12700" cap="flat" cmpd="sng">
                                <a:solidFill>
                                  <a:srgbClr val="000000"/>
                                </a:solidFill>
                                <a:prstDash val="solid"/>
                                <a:round/>
                                <a:headEnd type="none" w="med" len="med"/>
                                <a:tailEnd type="arrow" w="med" len="med"/>
                              </a:ln>
                              <a:effectLst/>
                            </wps:spPr>
                            <wps:bodyPr/>
                          </wps:wsp>
                        </a:graphicData>
                      </a:graphic>
                    </wp:anchor>
                  </w:drawing>
                </mc:Choice>
                <mc:Fallback>
                  <w:pict>
                    <v:shape id="_x0000_s1026" o:spid="_x0000_s1026" o:spt="32" type="#_x0000_t32" style="position:absolute;left:0pt;margin-left:310.05pt;margin-top:7.65pt;height:33.55pt;width:0.6pt;z-index:251667456;mso-width-relative:page;mso-height-relative:page;" filled="f" stroked="t" coordsize="21600,21600" o:gfxdata="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l8F6dNkAAAAJAQAADwAAAAAAAAABACAAAAAiAAAAZHJzL2Rvd25yZXYueG1s&#10;UEsBAhQAFAAAAAgAh07iQEhOO9EwAgAAQQQAAA4AAAAAAAAAAQAgAAAAKAEAAGRycy9lMm9Eb2Mu&#10;eG1sUEsFBgAAAAAGAAYAWQEAAMoFAAAAAA==&#10;">
                      <v:fill on="f" focussize="0,0"/>
                      <v:stroke weight="1pt" color="#000000" joinstyle="round" endarrow="open"/>
                      <v:imagedata o:title=""/>
                      <o:lock v:ext="edit" aspectratio="f"/>
                    </v:shape>
                  </w:pict>
                </mc:Fallback>
              </mc:AlternateContent>
            </w:r>
          </w:p>
          <w:p w14:paraId="4ACC78FA">
            <w:pPr>
              <w:pStyle w:val="28"/>
              <w:ind w:left="0" w:leftChars="0" w:firstLine="0" w:firstLineChars="0"/>
              <w:jc w:val="both"/>
              <w:rPr>
                <w:rFonts w:hint="eastAsia" w:ascii="Times New Roman" w:hAnsi="Times New Roman" w:cs="Times New Roman"/>
                <w:b/>
                <w:bCs/>
                <w:color w:val="auto"/>
                <w:kern w:val="2"/>
                <w:sz w:val="24"/>
                <w:szCs w:val="24"/>
                <w:highlight w:val="none"/>
                <w:lang w:val="en-US" w:eastAsia="zh-CN" w:bidi="ar-SA"/>
              </w:rPr>
            </w:pPr>
          </w:p>
          <w:p w14:paraId="7655826E">
            <w:pPr>
              <w:pStyle w:val="2"/>
              <w:ind w:left="0" w:leftChars="0" w:firstLine="0" w:firstLineChars="0"/>
              <w:rPr>
                <w:rFonts w:hint="eastAsia"/>
                <w:color w:val="auto"/>
                <w:highlight w:val="none"/>
                <w:lang w:val="en-US" w:eastAsia="zh-CN"/>
              </w:rPr>
            </w:pPr>
            <w:r>
              <w:rPr>
                <w:color w:val="auto"/>
                <w:sz w:val="21"/>
                <w:highlight w:val="none"/>
              </w:rPr>
              <mc:AlternateContent>
                <mc:Choice Requires="wps">
                  <w:drawing>
                    <wp:anchor distT="0" distB="0" distL="114300" distR="114300" simplePos="0" relativeHeight="251687936" behindDoc="0" locked="0" layoutInCell="1" allowOverlap="1">
                      <wp:simplePos x="0" y="0"/>
                      <wp:positionH relativeFrom="column">
                        <wp:posOffset>3942080</wp:posOffset>
                      </wp:positionH>
                      <wp:positionV relativeFrom="paragraph">
                        <wp:posOffset>254000</wp:posOffset>
                      </wp:positionV>
                      <wp:extent cx="3175" cy="312420"/>
                      <wp:effectExtent l="48260" t="0" r="62865" b="11430"/>
                      <wp:wrapNone/>
                      <wp:docPr id="32" name="直接箭头连接符 32"/>
                      <wp:cNvGraphicFramePr/>
                      <a:graphic xmlns:a="http://schemas.openxmlformats.org/drawingml/2006/main">
                        <a:graphicData uri="http://schemas.microsoft.com/office/word/2010/wordprocessingShape">
                          <wps:wsp>
                            <wps:cNvCnPr>
                              <a:endCxn id="148" idx="1"/>
                            </wps:cNvCnPr>
                            <wps:spPr>
                              <a:xfrm>
                                <a:off x="0" y="0"/>
                                <a:ext cx="3175" cy="312420"/>
                              </a:xfrm>
                              <a:prstGeom prst="straightConnector1">
                                <a:avLst/>
                              </a:prstGeom>
                              <a:ln w="12700" cap="flat" cmpd="sng">
                                <a:solidFill>
                                  <a:srgbClr val="000000"/>
                                </a:solidFill>
                                <a:prstDash val="solid"/>
                                <a:round/>
                                <a:headEnd type="none" w="med" len="med"/>
                                <a:tailEnd type="arrow" w="med" len="med"/>
                              </a:ln>
                              <a:effectLst/>
                            </wps:spPr>
                            <wps:bodyPr/>
                          </wps:wsp>
                        </a:graphicData>
                      </a:graphic>
                    </wp:anchor>
                  </w:drawing>
                </mc:Choice>
                <mc:Fallback>
                  <w:pict>
                    <v:shape id="_x0000_s1026" o:spid="_x0000_s1026" o:spt="32" type="#_x0000_t32" style="position:absolute;left:0pt;margin-left:310.4pt;margin-top:20pt;height:24.6pt;width:0.25pt;z-index:251687936;mso-width-relative:page;mso-height-relative:page;" filled="f" stroked="t" coordsize="21600,21600" o:gfxdata="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4&#10;lrcn2gAAAAkBAAAPAAAAAAAAAAEAIAAAACIAAABkcnMvZG93bnJldi54bWxQSwECFAAUAAAACACH&#10;TuJAFivH1CICAAAzBAAADgAAAAAAAAABACAAAAApAQAAZHJzL2Uyb0RvYy54bWxQSwUGAAAAAAYA&#10;BgBZAQAAvQUAAAAA&#10;">
                      <v:fill on="f" focussize="0,0"/>
                      <v:stroke weight="1pt" color="#000000" joinstyle="round" endarrow="open"/>
                      <v:imagedata o:title=""/>
                      <o:lock v:ext="edit" aspectratio="f"/>
                    </v:shape>
                  </w:pict>
                </mc:Fallback>
              </mc:AlternateContent>
            </w:r>
            <w:r>
              <w:rPr>
                <w:color w:val="auto"/>
                <w:sz w:val="21"/>
                <w:highlight w:val="none"/>
              </w:rPr>
              <mc:AlternateContent>
                <mc:Choice Requires="wps">
                  <w:drawing>
                    <wp:anchor distT="0" distB="0" distL="114300" distR="114300" simplePos="0" relativeHeight="251673600" behindDoc="0" locked="0" layoutInCell="1" allowOverlap="1">
                      <wp:simplePos x="0" y="0"/>
                      <wp:positionH relativeFrom="column">
                        <wp:posOffset>3720465</wp:posOffset>
                      </wp:positionH>
                      <wp:positionV relativeFrom="paragraph">
                        <wp:posOffset>8255</wp:posOffset>
                      </wp:positionV>
                      <wp:extent cx="462280" cy="235585"/>
                      <wp:effectExtent l="4445" t="4445" r="9525" b="7620"/>
                      <wp:wrapNone/>
                      <wp:docPr id="156" name="文本框 156"/>
                      <wp:cNvGraphicFramePr/>
                      <a:graphic xmlns:a="http://schemas.openxmlformats.org/drawingml/2006/main">
                        <a:graphicData uri="http://schemas.microsoft.com/office/word/2010/wordprocessingShape">
                          <wps:wsp>
                            <wps:cNvSpPr txBox="1"/>
                            <wps:spPr>
                              <a:xfrm>
                                <a:off x="5924550" y="3239135"/>
                                <a:ext cx="462280" cy="235585"/>
                              </a:xfrm>
                              <a:prstGeom prst="rect">
                                <a:avLst/>
                              </a:prstGeom>
                              <a:solidFill>
                                <a:srgbClr val="FFFFFF"/>
                              </a:solidFill>
                              <a:ln w="6350" cap="flat" cmpd="sng">
                                <a:solidFill>
                                  <a:srgbClr val="000000"/>
                                </a:solidFill>
                                <a:prstDash val="solid"/>
                                <a:round/>
                                <a:headEnd type="none" w="med" len="med"/>
                                <a:tailEnd type="none" w="med" len="med"/>
                              </a:ln>
                              <a:effectLst/>
                            </wps:spPr>
                            <wps:txbx>
                              <w:txbxContent>
                                <w:p w14:paraId="1FC5F66C">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切割</w:t>
                                  </w:r>
                                </w:p>
                              </w:txbxContent>
                            </wps:txbx>
                            <wps:bodyPr vert="horz" wrap="square" anchor="t" anchorCtr="0" upright="1"/>
                          </wps:wsp>
                        </a:graphicData>
                      </a:graphic>
                    </wp:anchor>
                  </w:drawing>
                </mc:Choice>
                <mc:Fallback>
                  <w:pict>
                    <v:shape id="_x0000_s1026" o:spid="_x0000_s1026" o:spt="202" type="#_x0000_t202" style="position:absolute;left:0pt;margin-left:292.95pt;margin-top:0.65pt;height:18.55pt;width:36.4pt;z-index:251673600;mso-width-relative:page;mso-height-relative:page;" fillcolor="#FFFFFF" filled="t" stroked="t" coordsize="21600,21600" o:gfxdata="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FDCdKnVAAAACAEAAA8AAAAAAAAAAQAgAAAAIgAAAGRycy9k&#10;b3ducmV2LnhtbFBLAQIUABQAAAAIAIdO4kBTuawZPgIAAIYEAAAOAAAAAAAAAAEAIAAAACQBAABk&#10;cnMvZTJvRG9jLnhtbFBLBQYAAAAABgAGAFkBAADUBQAAAAA=&#10;">
                      <v:fill on="t" focussize="0,0"/>
                      <v:stroke weight="0.5pt" color="#000000" joinstyle="round"/>
                      <v:imagedata o:title=""/>
                      <o:lock v:ext="edit" aspectratio="f"/>
                      <v:textbox>
                        <w:txbxContent>
                          <w:p w14:paraId="1FC5F66C">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切割</w:t>
                            </w:r>
                          </w:p>
                        </w:txbxContent>
                      </v:textbox>
                    </v:shape>
                  </w:pict>
                </mc:Fallback>
              </mc:AlternateContent>
            </w:r>
          </w:p>
          <w:p w14:paraId="5A066772">
            <w:pPr>
              <w:pStyle w:val="28"/>
              <w:ind w:left="0" w:leftChars="0" w:firstLine="0" w:firstLineChars="0"/>
              <w:jc w:val="center"/>
              <w:rPr>
                <w:rFonts w:hint="eastAsia" w:ascii="Times New Roman" w:hAnsi="Times New Roman" w:cs="Times New Roman"/>
                <w:b/>
                <w:bCs/>
                <w:color w:val="auto"/>
                <w:kern w:val="2"/>
                <w:sz w:val="24"/>
                <w:szCs w:val="24"/>
                <w:highlight w:val="none"/>
                <w:lang w:val="en-US" w:eastAsia="zh-CN" w:bidi="ar-SA"/>
              </w:rPr>
            </w:pPr>
            <w:r>
              <w:rPr>
                <w:color w:val="auto"/>
                <w:sz w:val="21"/>
                <w:highlight w:val="none"/>
              </w:rPr>
              <mc:AlternateContent>
                <mc:Choice Requires="wps">
                  <w:drawing>
                    <wp:anchor distT="0" distB="0" distL="114300" distR="114300" simplePos="0" relativeHeight="251688960" behindDoc="0" locked="0" layoutInCell="1" allowOverlap="1">
                      <wp:simplePos x="0" y="0"/>
                      <wp:positionH relativeFrom="column">
                        <wp:posOffset>3554095</wp:posOffset>
                      </wp:positionH>
                      <wp:positionV relativeFrom="paragraph">
                        <wp:posOffset>216535</wp:posOffset>
                      </wp:positionV>
                      <wp:extent cx="915670" cy="255905"/>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915670" cy="255905"/>
                              </a:xfrm>
                              <a:prstGeom prst="rect">
                                <a:avLst/>
                              </a:prstGeom>
                              <a:noFill/>
                              <a:ln w="6350">
                                <a:noFill/>
                              </a:ln>
                              <a:effectLst/>
                            </wps:spPr>
                            <wps:txbx>
                              <w:txbxContent>
                                <w:p w14:paraId="14594074">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泡沫产品</w:t>
                                  </w:r>
                                </w:p>
                              </w:txbxContent>
                            </wps:txbx>
                            <wps:bodyPr vert="horz" wrap="square" anchor="t" anchorCtr="0" upright="1"/>
                          </wps:wsp>
                        </a:graphicData>
                      </a:graphic>
                    </wp:anchor>
                  </w:drawing>
                </mc:Choice>
                <mc:Fallback>
                  <w:pict>
                    <v:shape id="_x0000_s1026" o:spid="_x0000_s1026" o:spt="202" type="#_x0000_t202" style="position:absolute;left:0pt;margin-left:279.85pt;margin-top:17.05pt;height:20.15pt;width:72.1pt;z-index:251688960;mso-width-relative:page;mso-height-relative:page;" filled="f" stroked="f" coordsize="21600,21600" o:gfxdata="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7wO++3AAAAAkBAAAPAAAA&#10;AAAAAAEAIAAAACIAAABkcnMvZG93bnJldi54bWxQSwECFAAUAAAACACHTuJAWkHgSdgBAACZAwAA&#10;DgAAAAAAAAABACAAAAArAQAAZHJzL2Uyb0RvYy54bWxQSwUGAAAAAAYABgBZAQAAdQUAAAAA&#10;">
                      <v:fill on="f" focussize="0,0"/>
                      <v:stroke on="f" weight="0.5pt"/>
                      <v:imagedata o:title=""/>
                      <o:lock v:ext="edit" aspectratio="f"/>
                      <v:textbox>
                        <w:txbxContent>
                          <w:p w14:paraId="14594074">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泡沫产品</w:t>
                            </w:r>
                          </w:p>
                        </w:txbxContent>
                      </v:textbox>
                    </v:shape>
                  </w:pict>
                </mc:Fallback>
              </mc:AlternateContent>
            </w:r>
          </w:p>
          <w:p w14:paraId="7DE287F8">
            <w:pPr>
              <w:rPr>
                <w:rFonts w:hint="eastAsia"/>
                <w:color w:val="auto"/>
                <w:highlight w:val="none"/>
                <w:lang w:val="en-US" w:eastAsia="zh-CN"/>
              </w:rPr>
            </w:pPr>
          </w:p>
          <w:p w14:paraId="157DD036">
            <w:pPr>
              <w:pStyle w:val="28"/>
              <w:ind w:left="0" w:leftChars="0" w:firstLine="0" w:firstLineChars="0"/>
              <w:jc w:val="center"/>
              <w:rPr>
                <w:rFonts w:hint="eastAsia" w:ascii="Times New Roman" w:hAnsi="Times New Roman" w:cs="Times New Roman"/>
                <w:b/>
                <w:bCs/>
                <w:color w:val="auto"/>
                <w:kern w:val="2"/>
                <w:sz w:val="24"/>
                <w:szCs w:val="24"/>
                <w:highlight w:val="none"/>
                <w:lang w:val="en-US" w:eastAsia="zh-CN" w:bidi="ar-SA"/>
              </w:rPr>
            </w:pPr>
            <w:r>
              <w:rPr>
                <w:color w:val="auto"/>
                <w:sz w:val="24"/>
                <w:highlight w:val="none"/>
              </w:rPr>
              <mc:AlternateContent>
                <mc:Choice Requires="wpg">
                  <w:drawing>
                    <wp:anchor distT="0" distB="0" distL="114300" distR="114300" simplePos="0" relativeHeight="251659264" behindDoc="0" locked="0" layoutInCell="1" allowOverlap="1">
                      <wp:simplePos x="0" y="0"/>
                      <wp:positionH relativeFrom="column">
                        <wp:posOffset>2573020</wp:posOffset>
                      </wp:positionH>
                      <wp:positionV relativeFrom="paragraph">
                        <wp:posOffset>7755255</wp:posOffset>
                      </wp:positionV>
                      <wp:extent cx="4134485" cy="1747520"/>
                      <wp:effectExtent l="0" t="0" r="0" b="0"/>
                      <wp:wrapNone/>
                      <wp:docPr id="145" name="组合 145"/>
                      <wp:cNvGraphicFramePr/>
                      <a:graphic xmlns:a="http://schemas.openxmlformats.org/drawingml/2006/main">
                        <a:graphicData uri="http://schemas.microsoft.com/office/word/2010/wordprocessingGroup">
                          <wpg:wgp>
                            <wpg:cNvGrpSpPr/>
                            <wpg:grpSpPr>
                              <a:xfrm>
                                <a:off x="0" y="0"/>
                                <a:ext cx="4134485" cy="1747520"/>
                                <a:chOff x="4367" y="12496"/>
                                <a:chExt cx="6511" cy="2752"/>
                              </a:xfrm>
                              <a:effectLst/>
                            </wpg:grpSpPr>
                            <wps:wsp>
                              <wps:cNvPr id="111" name="文本框 111"/>
                              <wps:cNvSpPr txBox="1"/>
                              <wps:spPr>
                                <a:xfrm>
                                  <a:off x="4625" y="13123"/>
                                  <a:ext cx="2554" cy="418"/>
                                </a:xfrm>
                                <a:prstGeom prst="rect">
                                  <a:avLst/>
                                </a:prstGeom>
                                <a:noFill/>
                                <a:ln w="6350">
                                  <a:noFill/>
                                </a:ln>
                                <a:effectLst/>
                              </wps:spPr>
                              <wps:txbx>
                                <w:txbxContent>
                                  <w:p w14:paraId="27B7F84B">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可发性聚苯乙烯颗粒</w:t>
                                    </w:r>
                                  </w:p>
                                </w:txbxContent>
                              </wps:txbx>
                              <wps:bodyPr vert="horz" wrap="square" anchor="t" anchorCtr="0" upright="1"/>
                            </wps:wsp>
                            <wps:wsp>
                              <wps:cNvPr id="112" name="文本框 112"/>
                              <wps:cNvSpPr txBox="1"/>
                              <wps:spPr>
                                <a:xfrm>
                                  <a:off x="8523" y="12688"/>
                                  <a:ext cx="821" cy="587"/>
                                </a:xfrm>
                                <a:prstGeom prst="rect">
                                  <a:avLst/>
                                </a:prstGeom>
                                <a:noFill/>
                                <a:ln w="6350">
                                  <a:noFill/>
                                </a:ln>
                                <a:effectLst/>
                              </wps:spPr>
                              <wps:txbx>
                                <w:txbxContent>
                                  <w:p w14:paraId="0CAD3FC9">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真空负压</w:t>
                                    </w:r>
                                  </w:p>
                                </w:txbxContent>
                              </wps:txbx>
                              <wps:bodyPr vert="horz" wrap="square" anchor="t" anchorCtr="0" upright="1"/>
                            </wps:wsp>
                            <wps:wsp>
                              <wps:cNvPr id="113" name="文本框 113"/>
                              <wps:cNvSpPr txBox="1"/>
                              <wps:spPr>
                                <a:xfrm>
                                  <a:off x="7343" y="13138"/>
                                  <a:ext cx="1330" cy="374"/>
                                </a:xfrm>
                                <a:prstGeom prst="rect">
                                  <a:avLst/>
                                </a:prstGeom>
                                <a:solidFill>
                                  <a:srgbClr val="FFFFFF"/>
                                </a:solidFill>
                                <a:ln w="6350" cap="flat" cmpd="sng">
                                  <a:solidFill>
                                    <a:srgbClr val="000000"/>
                                  </a:solidFill>
                                  <a:prstDash val="solid"/>
                                  <a:round/>
                                  <a:headEnd type="none" w="med" len="med"/>
                                  <a:tailEnd type="none" w="med" len="med"/>
                                </a:ln>
                                <a:effectLst/>
                              </wps:spPr>
                              <wps:txbx>
                                <w:txbxContent>
                                  <w:p w14:paraId="674C3FCB">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eastAsia" w:eastAsia="宋体"/>
                                        <w:lang w:val="en-US" w:eastAsia="zh-CN"/>
                                      </w:rPr>
                                    </w:pPr>
                                    <w:r>
                                      <w:rPr>
                                        <w:rFonts w:hint="eastAsia"/>
                                        <w:sz w:val="24"/>
                                        <w:szCs w:val="24"/>
                                        <w:lang w:val="en-US" w:eastAsia="zh-CN"/>
                                      </w:rPr>
                                      <w:t>预发泡机</w:t>
                                    </w:r>
                                    <w:r>
                                      <w:rPr>
                                        <w:rFonts w:hint="eastAsia"/>
                                        <w:lang w:val="en-US" w:eastAsia="zh-CN"/>
                                      </w:rPr>
                                      <w:t>机</w:t>
                                    </w:r>
                                  </w:p>
                                </w:txbxContent>
                              </wps:txbx>
                              <wps:bodyPr vert="horz" wrap="square" anchor="t" anchorCtr="0" upright="1"/>
                            </wps:wsp>
                            <wps:wsp>
                              <wps:cNvPr id="114" name="直接箭头连接符 114"/>
                              <wps:cNvCnPr/>
                              <wps:spPr>
                                <a:xfrm>
                                  <a:off x="6683" y="13314"/>
                                  <a:ext cx="648" cy="0"/>
                                </a:xfrm>
                                <a:prstGeom prst="straightConnector1">
                                  <a:avLst/>
                                </a:prstGeom>
                                <a:ln w="12700" cap="flat" cmpd="sng">
                                  <a:solidFill>
                                    <a:srgbClr val="000000"/>
                                  </a:solidFill>
                                  <a:prstDash val="solid"/>
                                  <a:round/>
                                  <a:headEnd type="none" w="med" len="med"/>
                                  <a:tailEnd type="arrow" w="med" len="med"/>
                                </a:ln>
                                <a:effectLst/>
                              </wps:spPr>
                              <wps:bodyPr/>
                            </wps:wsp>
                            <wps:wsp>
                              <wps:cNvPr id="115" name="直接箭头连接符 115"/>
                              <wps:cNvCnPr/>
                              <wps:spPr>
                                <a:xfrm>
                                  <a:off x="8694" y="13314"/>
                                  <a:ext cx="648" cy="0"/>
                                </a:xfrm>
                                <a:prstGeom prst="straightConnector1">
                                  <a:avLst/>
                                </a:prstGeom>
                                <a:ln w="12700" cap="flat" cmpd="sng">
                                  <a:solidFill>
                                    <a:srgbClr val="000000"/>
                                  </a:solidFill>
                                  <a:prstDash val="solid"/>
                                  <a:round/>
                                  <a:headEnd type="none" w="med" len="med"/>
                                  <a:tailEnd type="arrow" w="med" len="med"/>
                                </a:ln>
                                <a:effectLst/>
                              </wps:spPr>
                              <wps:bodyPr/>
                            </wps:wsp>
                            <wps:wsp>
                              <wps:cNvPr id="116" name="文本框 116"/>
                              <wps:cNvSpPr txBox="1"/>
                              <wps:spPr>
                                <a:xfrm>
                                  <a:off x="9362" y="13116"/>
                                  <a:ext cx="801" cy="374"/>
                                </a:xfrm>
                                <a:prstGeom prst="rect">
                                  <a:avLst/>
                                </a:prstGeom>
                                <a:solidFill>
                                  <a:srgbClr val="FFFFFF"/>
                                </a:solidFill>
                                <a:ln w="6350" cap="flat" cmpd="sng">
                                  <a:solidFill>
                                    <a:srgbClr val="000000"/>
                                  </a:solidFill>
                                  <a:prstDash val="solid"/>
                                  <a:round/>
                                  <a:headEnd type="none" w="med" len="med"/>
                                  <a:tailEnd type="none" w="med" len="med"/>
                                </a:ln>
                                <a:effectLst/>
                              </wps:spPr>
                              <wps:txbx>
                                <w:txbxContent>
                                  <w:p w14:paraId="7A8E9F5E">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sz w:val="24"/>
                                        <w:szCs w:val="24"/>
                                        <w:lang w:val="en-US" w:eastAsia="zh-CN"/>
                                      </w:rPr>
                                      <w:t>储仓</w:t>
                                    </w:r>
                                  </w:p>
                                </w:txbxContent>
                              </wps:txbx>
                              <wps:bodyPr vert="horz" wrap="square" anchor="t" anchorCtr="0" upright="1"/>
                            </wps:wsp>
                            <wps:wsp>
                              <wps:cNvPr id="117" name="文本框 117"/>
                              <wps:cNvSpPr txBox="1"/>
                              <wps:spPr>
                                <a:xfrm>
                                  <a:off x="8736" y="13481"/>
                                  <a:ext cx="1159" cy="587"/>
                                </a:xfrm>
                                <a:prstGeom prst="rect">
                                  <a:avLst/>
                                </a:prstGeom>
                                <a:noFill/>
                                <a:ln w="6350">
                                  <a:noFill/>
                                </a:ln>
                                <a:effectLst/>
                              </wps:spPr>
                              <wps:txbx>
                                <w:txbxContent>
                                  <w:p w14:paraId="7DC2CC5F">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真空负压</w:t>
                                    </w:r>
                                  </w:p>
                                </w:txbxContent>
                              </wps:txbx>
                              <wps:bodyPr vert="horz" wrap="square" anchor="t" anchorCtr="0" upright="1"/>
                            </wps:wsp>
                            <wps:wsp>
                              <wps:cNvPr id="118" name="直接箭头连接符 118"/>
                              <wps:cNvCnPr/>
                              <wps:spPr>
                                <a:xfrm>
                                  <a:off x="9819" y="13511"/>
                                  <a:ext cx="3" cy="325"/>
                                </a:xfrm>
                                <a:prstGeom prst="straightConnector1">
                                  <a:avLst/>
                                </a:prstGeom>
                                <a:ln w="12700" cap="flat" cmpd="sng">
                                  <a:solidFill>
                                    <a:srgbClr val="000000"/>
                                  </a:solidFill>
                                  <a:prstDash val="solid"/>
                                  <a:round/>
                                  <a:headEnd type="none" w="med" len="med"/>
                                  <a:tailEnd type="arrow" w="med" len="med"/>
                                </a:ln>
                                <a:effectLst/>
                              </wps:spPr>
                              <wps:bodyPr/>
                            </wps:wsp>
                            <wps:wsp>
                              <wps:cNvPr id="119" name="文本框 119"/>
                              <wps:cNvSpPr txBox="1"/>
                              <wps:spPr>
                                <a:xfrm>
                                  <a:off x="9242" y="14804"/>
                                  <a:ext cx="1636" cy="445"/>
                                </a:xfrm>
                                <a:prstGeom prst="rect">
                                  <a:avLst/>
                                </a:prstGeom>
                                <a:noFill/>
                                <a:ln w="6350">
                                  <a:noFill/>
                                </a:ln>
                                <a:effectLst/>
                              </wps:spPr>
                              <wps:txbx>
                                <w:txbxContent>
                                  <w:p w14:paraId="60C3DDDB">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空腔建筑模块</w:t>
                                    </w:r>
                                  </w:p>
                                </w:txbxContent>
                              </wps:txbx>
                              <wps:bodyPr vert="horz" wrap="square" anchor="t" anchorCtr="0" upright="1"/>
                            </wps:wsp>
                            <wps:wsp>
                              <wps:cNvPr id="120" name="直接箭头连接符 120"/>
                              <wps:cNvCnPr/>
                              <wps:spPr>
                                <a:xfrm>
                                  <a:off x="10066" y="14511"/>
                                  <a:ext cx="3" cy="315"/>
                                </a:xfrm>
                                <a:prstGeom prst="straightConnector1">
                                  <a:avLst/>
                                </a:prstGeom>
                                <a:ln w="12700" cap="flat" cmpd="sng">
                                  <a:solidFill>
                                    <a:srgbClr val="000000"/>
                                  </a:solidFill>
                                  <a:prstDash val="solid"/>
                                  <a:round/>
                                  <a:headEnd type="none" w="med" len="med"/>
                                  <a:tailEnd type="arrow" w="med" len="med"/>
                                </a:ln>
                                <a:effectLst/>
                              </wps:spPr>
                              <wps:bodyPr/>
                            </wps:wsp>
                            <wps:wsp>
                              <wps:cNvPr id="121" name="文本框 121"/>
                              <wps:cNvSpPr txBox="1"/>
                              <wps:spPr>
                                <a:xfrm>
                                  <a:off x="9689" y="13850"/>
                                  <a:ext cx="762" cy="634"/>
                                </a:xfrm>
                                <a:prstGeom prst="rect">
                                  <a:avLst/>
                                </a:prstGeom>
                                <a:solidFill>
                                  <a:srgbClr val="FFFFFF"/>
                                </a:solidFill>
                                <a:ln w="6350" cap="flat" cmpd="sng">
                                  <a:solidFill>
                                    <a:srgbClr val="000000"/>
                                  </a:solidFill>
                                  <a:prstDash val="solid"/>
                                  <a:round/>
                                  <a:headEnd type="none" w="med" len="med"/>
                                  <a:tailEnd type="none" w="med" len="med"/>
                                </a:ln>
                                <a:effectLst/>
                              </wps:spPr>
                              <wps:txbx>
                                <w:txbxContent>
                                  <w:p w14:paraId="2337DCB8">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成型机</w:t>
                                    </w:r>
                                  </w:p>
                                </w:txbxContent>
                              </wps:txbx>
                              <wps:bodyPr vert="horz" wrap="square" anchor="t" anchorCtr="0" upright="1"/>
                            </wps:wsp>
                            <wps:wsp>
                              <wps:cNvPr id="122" name="文本框 122"/>
                              <wps:cNvSpPr txBox="1"/>
                              <wps:spPr>
                                <a:xfrm>
                                  <a:off x="8502" y="13779"/>
                                  <a:ext cx="915" cy="527"/>
                                </a:xfrm>
                                <a:prstGeom prst="rect">
                                  <a:avLst/>
                                </a:prstGeom>
                                <a:noFill/>
                                <a:ln w="6350">
                                  <a:noFill/>
                                </a:ln>
                                <a:effectLst/>
                              </wps:spPr>
                              <wps:txbx>
                                <w:txbxContent>
                                  <w:p w14:paraId="0372BF5F">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模具</w:t>
                                    </w:r>
                                  </w:p>
                                </w:txbxContent>
                              </wps:txbx>
                              <wps:bodyPr vert="horz" wrap="square" anchor="t" anchorCtr="0" upright="1"/>
                            </wps:wsp>
                            <wps:wsp>
                              <wps:cNvPr id="123" name="文本框 123"/>
                              <wps:cNvSpPr txBox="1"/>
                              <wps:spPr>
                                <a:xfrm>
                                  <a:off x="4691" y="13965"/>
                                  <a:ext cx="1121" cy="418"/>
                                </a:xfrm>
                                <a:prstGeom prst="rect">
                                  <a:avLst/>
                                </a:prstGeom>
                                <a:noFill/>
                                <a:ln w="6350">
                                  <a:noFill/>
                                </a:ln>
                                <a:effectLst/>
                              </wps:spPr>
                              <wps:txbx>
                                <w:txbxContent>
                                  <w:p w14:paraId="7A8791B5">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螺纹钢</w:t>
                                    </w:r>
                                  </w:p>
                                </w:txbxContent>
                              </wps:txbx>
                              <wps:bodyPr vert="horz" wrap="square" anchor="t" anchorCtr="0" upright="1"/>
                            </wps:wsp>
                            <wps:wsp>
                              <wps:cNvPr id="124" name="直接箭头连接符 124"/>
                              <wps:cNvCnPr/>
                              <wps:spPr>
                                <a:xfrm>
                                  <a:off x="5516" y="14169"/>
                                  <a:ext cx="648" cy="0"/>
                                </a:xfrm>
                                <a:prstGeom prst="straightConnector1">
                                  <a:avLst/>
                                </a:prstGeom>
                                <a:ln w="12700" cap="flat" cmpd="sng">
                                  <a:solidFill>
                                    <a:srgbClr val="000000"/>
                                  </a:solidFill>
                                  <a:prstDash val="solid"/>
                                  <a:round/>
                                  <a:headEnd type="none" w="med" len="med"/>
                                  <a:tailEnd type="arrow" w="med" len="med"/>
                                </a:ln>
                                <a:effectLst/>
                              </wps:spPr>
                              <wps:bodyPr/>
                            </wps:wsp>
                            <wps:wsp>
                              <wps:cNvPr id="125" name="文本框 125"/>
                              <wps:cNvSpPr txBox="1"/>
                              <wps:spPr>
                                <a:xfrm>
                                  <a:off x="6008" y="13972"/>
                                  <a:ext cx="1121" cy="418"/>
                                </a:xfrm>
                                <a:prstGeom prst="rect">
                                  <a:avLst/>
                                </a:prstGeom>
                                <a:noFill/>
                                <a:ln w="6350">
                                  <a:noFill/>
                                </a:ln>
                                <a:effectLst/>
                              </wps:spPr>
                              <wps:txbx>
                                <w:txbxContent>
                                  <w:p w14:paraId="3D081B85">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切断机</w:t>
                                    </w:r>
                                  </w:p>
                                </w:txbxContent>
                              </wps:txbx>
                              <wps:bodyPr vert="horz" wrap="square" anchor="t" anchorCtr="0" upright="1"/>
                            </wps:wsp>
                            <wps:wsp>
                              <wps:cNvPr id="126" name="文本框 126"/>
                              <wps:cNvSpPr txBox="1"/>
                              <wps:spPr>
                                <a:xfrm>
                                  <a:off x="4367" y="14609"/>
                                  <a:ext cx="1617" cy="418"/>
                                </a:xfrm>
                                <a:prstGeom prst="rect">
                                  <a:avLst/>
                                </a:prstGeom>
                                <a:noFill/>
                                <a:ln w="6350">
                                  <a:noFill/>
                                </a:ln>
                                <a:effectLst/>
                              </wps:spPr>
                              <wps:txbx>
                                <w:txbxContent>
                                  <w:p w14:paraId="020A02CB">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聚丙烯颗粒</w:t>
                                    </w:r>
                                  </w:p>
                                </w:txbxContent>
                              </wps:txbx>
                              <wps:bodyPr vert="horz" wrap="square" anchor="t" anchorCtr="0" upright="1"/>
                            </wps:wsp>
                            <wps:wsp>
                              <wps:cNvPr id="127" name="直接箭头连接符 127"/>
                              <wps:cNvCnPr/>
                              <wps:spPr>
                                <a:xfrm>
                                  <a:off x="5534" y="14839"/>
                                  <a:ext cx="648" cy="0"/>
                                </a:xfrm>
                                <a:prstGeom prst="straightConnector1">
                                  <a:avLst/>
                                </a:prstGeom>
                                <a:ln w="12700" cap="flat" cmpd="sng">
                                  <a:solidFill>
                                    <a:srgbClr val="000000"/>
                                  </a:solidFill>
                                  <a:prstDash val="solid"/>
                                  <a:round/>
                                  <a:headEnd type="none" w="med" len="med"/>
                                  <a:tailEnd type="arrow" w="med" len="med"/>
                                </a:ln>
                                <a:effectLst/>
                              </wps:spPr>
                              <wps:bodyPr/>
                            </wps:wsp>
                            <wps:wsp>
                              <wps:cNvPr id="128" name="文本框 128"/>
                              <wps:cNvSpPr txBox="1"/>
                              <wps:spPr>
                                <a:xfrm>
                                  <a:off x="6061" y="14669"/>
                                  <a:ext cx="1121" cy="418"/>
                                </a:xfrm>
                                <a:prstGeom prst="rect">
                                  <a:avLst/>
                                </a:prstGeom>
                                <a:noFill/>
                                <a:ln w="6350">
                                  <a:noFill/>
                                </a:ln>
                                <a:effectLst/>
                              </wps:spPr>
                              <wps:txbx>
                                <w:txbxContent>
                                  <w:p w14:paraId="44CD32EC">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注塑机</w:t>
                                    </w:r>
                                  </w:p>
                                </w:txbxContent>
                              </wps:txbx>
                              <wps:bodyPr vert="horz" wrap="square" anchor="t" anchorCtr="0" upright="1"/>
                            </wps:wsp>
                            <wps:wsp>
                              <wps:cNvPr id="129" name="直接箭头连接符 129"/>
                              <wps:cNvCnPr/>
                              <wps:spPr>
                                <a:xfrm>
                                  <a:off x="9299" y="14419"/>
                                  <a:ext cx="411" cy="0"/>
                                </a:xfrm>
                                <a:prstGeom prst="straightConnector1">
                                  <a:avLst/>
                                </a:prstGeom>
                                <a:ln w="12700" cap="flat" cmpd="sng">
                                  <a:solidFill>
                                    <a:srgbClr val="000000"/>
                                  </a:solidFill>
                                  <a:prstDash val="solid"/>
                                  <a:round/>
                                  <a:headEnd type="none" w="med" len="med"/>
                                  <a:tailEnd type="arrow" w="med" len="med"/>
                                </a:ln>
                                <a:effectLst/>
                              </wps:spPr>
                              <wps:bodyPr/>
                            </wps:wsp>
                            <wps:wsp>
                              <wps:cNvPr id="130" name="文本框 130"/>
                              <wps:cNvSpPr txBox="1"/>
                              <wps:spPr>
                                <a:xfrm>
                                  <a:off x="7771" y="14242"/>
                                  <a:ext cx="915" cy="417"/>
                                </a:xfrm>
                                <a:prstGeom prst="rect">
                                  <a:avLst/>
                                </a:prstGeom>
                                <a:noFill/>
                                <a:ln w="6350">
                                  <a:noFill/>
                                </a:ln>
                                <a:effectLst/>
                              </wps:spPr>
                              <wps:txbx>
                                <w:txbxContent>
                                  <w:p w14:paraId="0304DBDC">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模具</w:t>
                                    </w:r>
                                  </w:p>
                                </w:txbxContent>
                              </wps:txbx>
                              <wps:bodyPr vert="horz" wrap="square" anchor="t" anchorCtr="0" upright="1"/>
                            </wps:wsp>
                            <wps:wsp>
                              <wps:cNvPr id="131" name="直接箭头连接符 131"/>
                              <wps:cNvCnPr/>
                              <wps:spPr>
                                <a:xfrm>
                                  <a:off x="8361" y="14418"/>
                                  <a:ext cx="412" cy="0"/>
                                </a:xfrm>
                                <a:prstGeom prst="straightConnector1">
                                  <a:avLst/>
                                </a:prstGeom>
                                <a:ln w="12700" cap="flat" cmpd="sng">
                                  <a:solidFill>
                                    <a:srgbClr val="000000"/>
                                  </a:solidFill>
                                  <a:prstDash val="solid"/>
                                  <a:round/>
                                  <a:headEnd type="none" w="med" len="med"/>
                                  <a:tailEnd type="arrow" w="med" len="med"/>
                                </a:ln>
                                <a:effectLst/>
                              </wps:spPr>
                              <wps:bodyPr/>
                            </wps:wsp>
                            <wps:wsp>
                              <wps:cNvPr id="132" name="文本框 132"/>
                              <wps:cNvSpPr txBox="1"/>
                              <wps:spPr>
                                <a:xfrm>
                                  <a:off x="8696" y="14148"/>
                                  <a:ext cx="756" cy="622"/>
                                </a:xfrm>
                                <a:prstGeom prst="rect">
                                  <a:avLst/>
                                </a:prstGeom>
                                <a:noFill/>
                                <a:ln w="6350">
                                  <a:noFill/>
                                </a:ln>
                                <a:effectLst/>
                              </wps:spPr>
                              <wps:txbx>
                                <w:txbxContent>
                                  <w:p w14:paraId="0E1E4A2F">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骨架配件</w:t>
                                    </w:r>
                                  </w:p>
                                </w:txbxContent>
                              </wps:txbx>
                              <wps:bodyPr vert="horz" wrap="square" anchor="t" anchorCtr="0" upright="1"/>
                            </wps:wsp>
                            <wpg:grpSp>
                              <wpg:cNvPr id="137" name="组合 137"/>
                              <wpg:cNvGrpSpPr/>
                              <wpg:grpSpPr>
                                <a:xfrm>
                                  <a:off x="6800" y="14145"/>
                                  <a:ext cx="1144" cy="719"/>
                                  <a:chOff x="7204" y="14029"/>
                                  <a:chExt cx="1144" cy="719"/>
                                </a:xfrm>
                                <a:effectLst/>
                              </wpg:grpSpPr>
                              <wps:wsp>
                                <wps:cNvPr id="133" name="直接箭头连接符 133"/>
                                <wps:cNvCnPr/>
                                <wps:spPr>
                                  <a:xfrm>
                                    <a:off x="7700" y="14332"/>
                                    <a:ext cx="648" cy="0"/>
                                  </a:xfrm>
                                  <a:prstGeom prst="straightConnector1">
                                    <a:avLst/>
                                  </a:prstGeom>
                                  <a:ln w="12700" cap="flat" cmpd="sng">
                                    <a:solidFill>
                                      <a:srgbClr val="000000"/>
                                    </a:solidFill>
                                    <a:prstDash val="solid"/>
                                    <a:round/>
                                    <a:headEnd type="none" w="med" len="med"/>
                                    <a:tailEnd type="arrow" w="med" len="med"/>
                                  </a:ln>
                                  <a:effectLst/>
                                </wps:spPr>
                                <wps:bodyPr/>
                              </wps:wsp>
                              <wps:wsp>
                                <wps:cNvPr id="134" name="直接连接符 134"/>
                                <wps:cNvCnPr/>
                                <wps:spPr>
                                  <a:xfrm>
                                    <a:off x="7204" y="14029"/>
                                    <a:ext cx="491" cy="0"/>
                                  </a:xfrm>
                                  <a:prstGeom prst="line">
                                    <a:avLst/>
                                  </a:prstGeom>
                                  <a:ln w="12700" cap="flat" cmpd="sng">
                                    <a:solidFill>
                                      <a:srgbClr val="000000"/>
                                    </a:solidFill>
                                    <a:prstDash val="solid"/>
                                    <a:round/>
                                    <a:headEnd type="none" w="med" len="med"/>
                                    <a:tailEnd type="arrow" w="med" len="med"/>
                                  </a:ln>
                                  <a:effectLst/>
                                </wps:spPr>
                                <wps:bodyPr upright="1"/>
                              </wps:wsp>
                              <wps:wsp>
                                <wps:cNvPr id="135" name="直接连接符 135"/>
                                <wps:cNvCnPr/>
                                <wps:spPr>
                                  <a:xfrm>
                                    <a:off x="7283" y="14719"/>
                                    <a:ext cx="410" cy="0"/>
                                  </a:xfrm>
                                  <a:prstGeom prst="line">
                                    <a:avLst/>
                                  </a:prstGeom>
                                  <a:ln w="12700" cap="flat" cmpd="sng">
                                    <a:solidFill>
                                      <a:srgbClr val="000000"/>
                                    </a:solidFill>
                                    <a:prstDash val="solid"/>
                                    <a:round/>
                                    <a:headEnd type="none" w="med" len="med"/>
                                    <a:tailEnd type="arrow" w="med" len="med"/>
                                  </a:ln>
                                  <a:effectLst/>
                                </wps:spPr>
                                <wps:bodyPr upright="1"/>
                              </wps:wsp>
                              <wps:wsp>
                                <wps:cNvPr id="136" name="直接连接符 136"/>
                                <wps:cNvCnPr/>
                                <wps:spPr>
                                  <a:xfrm>
                                    <a:off x="7695" y="14036"/>
                                    <a:ext cx="17" cy="712"/>
                                  </a:xfrm>
                                  <a:prstGeom prst="line">
                                    <a:avLst/>
                                  </a:prstGeom>
                                  <a:ln w="12700" cap="flat" cmpd="sng">
                                    <a:solidFill>
                                      <a:srgbClr val="000000"/>
                                    </a:solidFill>
                                    <a:prstDash val="solid"/>
                                    <a:round/>
                                    <a:headEnd type="none" w="med" len="med"/>
                                    <a:tailEnd type="arrow" w="med" len="med"/>
                                  </a:ln>
                                  <a:effectLst/>
                                </wps:spPr>
                                <wps:bodyPr upright="1"/>
                              </wps:wsp>
                            </wpg:grpSp>
                            <wps:wsp>
                              <wps:cNvPr id="138" name="直接箭头连接符 138"/>
                              <wps:cNvCnPr/>
                              <wps:spPr>
                                <a:xfrm>
                                  <a:off x="9062" y="13971"/>
                                  <a:ext cx="648" cy="0"/>
                                </a:xfrm>
                                <a:prstGeom prst="straightConnector1">
                                  <a:avLst/>
                                </a:prstGeom>
                                <a:ln w="12700" cap="flat" cmpd="sng">
                                  <a:solidFill>
                                    <a:srgbClr val="000000"/>
                                  </a:solidFill>
                                  <a:prstDash val="solid"/>
                                  <a:round/>
                                  <a:headEnd type="none" w="med" len="med"/>
                                  <a:tailEnd type="arrow" w="med" len="med"/>
                                </a:ln>
                                <a:effectLst/>
                              </wps:spPr>
                              <wps:bodyPr/>
                            </wps:wsp>
                            <wpg:grpSp>
                              <wpg:cNvPr id="141" name="组合 141"/>
                              <wpg:cNvGrpSpPr/>
                              <wpg:grpSpPr>
                                <a:xfrm>
                                  <a:off x="7578" y="12496"/>
                                  <a:ext cx="712" cy="631"/>
                                  <a:chOff x="8329" y="11942"/>
                                  <a:chExt cx="712" cy="631"/>
                                </a:xfrm>
                                <a:effectLst/>
                              </wpg:grpSpPr>
                              <wps:wsp>
                                <wps:cNvPr id="139" name="文本框 139"/>
                                <wps:cNvSpPr txBox="1"/>
                                <wps:spPr>
                                  <a:xfrm>
                                    <a:off x="8329" y="11942"/>
                                    <a:ext cx="713" cy="350"/>
                                  </a:xfrm>
                                  <a:prstGeom prst="rect">
                                    <a:avLst/>
                                  </a:prstGeom>
                                  <a:noFill/>
                                  <a:ln w="6350">
                                    <a:noFill/>
                                  </a:ln>
                                  <a:effectLst/>
                                </wps:spPr>
                                <wps:txbx>
                                  <w:txbxContent>
                                    <w:p w14:paraId="3AB9A294">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蒸汽</w:t>
                                      </w:r>
                                    </w:p>
                                  </w:txbxContent>
                                </wps:txbx>
                                <wps:bodyPr vert="horz" wrap="square" anchor="t" anchorCtr="0" upright="1"/>
                              </wps:wsp>
                              <wps:wsp>
                                <wps:cNvPr id="140" name="直接箭头连接符 140"/>
                                <wps:cNvCnPr/>
                                <wps:spPr>
                                  <a:xfrm>
                                    <a:off x="8701" y="12249"/>
                                    <a:ext cx="3" cy="325"/>
                                  </a:xfrm>
                                  <a:prstGeom prst="straightConnector1">
                                    <a:avLst/>
                                  </a:prstGeom>
                                  <a:ln w="12700" cap="flat" cmpd="sng">
                                    <a:solidFill>
                                      <a:srgbClr val="000000"/>
                                    </a:solidFill>
                                    <a:prstDash val="solid"/>
                                    <a:round/>
                                    <a:headEnd type="none" w="med" len="med"/>
                                    <a:tailEnd type="arrow" w="med" len="med"/>
                                  </a:ln>
                                  <a:effectLst/>
                                </wps:spPr>
                                <wps:bodyPr/>
                              </wps:wsp>
                            </wpg:grpSp>
                            <wpg:grpSp>
                              <wpg:cNvPr id="144" name="组合 144"/>
                              <wpg:cNvGrpSpPr/>
                              <wpg:grpSpPr>
                                <a:xfrm>
                                  <a:off x="10070" y="13227"/>
                                  <a:ext cx="712" cy="631"/>
                                  <a:chOff x="8329" y="11942"/>
                                  <a:chExt cx="712" cy="631"/>
                                </a:xfrm>
                                <a:effectLst/>
                              </wpg:grpSpPr>
                              <wps:wsp>
                                <wps:cNvPr id="142" name="文本框 142"/>
                                <wps:cNvSpPr txBox="1"/>
                                <wps:spPr>
                                  <a:xfrm>
                                    <a:off x="8329" y="11942"/>
                                    <a:ext cx="713" cy="350"/>
                                  </a:xfrm>
                                  <a:prstGeom prst="rect">
                                    <a:avLst/>
                                  </a:prstGeom>
                                  <a:noFill/>
                                  <a:ln w="6350">
                                    <a:noFill/>
                                  </a:ln>
                                  <a:effectLst/>
                                </wps:spPr>
                                <wps:txbx>
                                  <w:txbxContent>
                                    <w:p w14:paraId="2EC1F8BB">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蒸汽</w:t>
                                      </w:r>
                                    </w:p>
                                  </w:txbxContent>
                                </wps:txbx>
                                <wps:bodyPr vert="horz" wrap="square" anchor="t" anchorCtr="0" upright="1"/>
                              </wps:wsp>
                              <wps:wsp>
                                <wps:cNvPr id="143" name="直接箭头连接符 143"/>
                                <wps:cNvCnPr/>
                                <wps:spPr>
                                  <a:xfrm>
                                    <a:off x="8701" y="12249"/>
                                    <a:ext cx="3" cy="325"/>
                                  </a:xfrm>
                                  <a:prstGeom prst="straightConnector1">
                                    <a:avLst/>
                                  </a:prstGeom>
                                  <a:ln w="12700" cap="flat" cmpd="sng">
                                    <a:solidFill>
                                      <a:srgbClr val="000000"/>
                                    </a:solidFill>
                                    <a:prstDash val="solid"/>
                                    <a:round/>
                                    <a:headEnd type="none" w="med" len="med"/>
                                    <a:tailEnd type="arrow" w="med" len="med"/>
                                  </a:ln>
                                  <a:effectLst/>
                                </wps:spPr>
                                <wps:bodyPr/>
                              </wps:wsp>
                            </wpg:grpSp>
                          </wpg:wgp>
                        </a:graphicData>
                      </a:graphic>
                    </wp:anchor>
                  </w:drawing>
                </mc:Choice>
                <mc:Fallback>
                  <w:pict>
                    <v:group id="_x0000_s1026" o:spid="_x0000_s1026" o:spt="203" style="position:absolute;left:0pt;margin-left:202.6pt;margin-top:610.65pt;height:137.6pt;width:325.55pt;z-index:251659264;mso-width-relative:page;mso-height-relative:page;" coordorigin="4367,12496" coordsize="6511,2752" o:gfxdata="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">
                      <o:lock v:ext="edit" aspectratio="f"/>
                      <v:shape id="_x0000_s1026" o:spid="_x0000_s1026" o:spt="202" type="#_x0000_t202" style="position:absolute;left:4625;top:13123;height:418;width:2554;" filled="f" stroked="f" coordsize="21600,21600" o:gfxdata="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V8+yL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27B7F84B">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可发性聚苯乙烯颗粒</w:t>
                              </w:r>
                            </w:p>
                          </w:txbxContent>
                        </v:textbox>
                      </v:shape>
                      <v:shape id="_x0000_s1026" o:spid="_x0000_s1026" o:spt="202" type="#_x0000_t202" style="position:absolute;left:8523;top:12688;height:587;width:821;" filled="f" stroked="f" coordsize="21600,21600" o:gfxdata="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Y2gv7sAAADc&#10;AAAADwAAAAAAAAABACAAAAAiAAAAZHJzL2Rvd25yZXYueG1sUEsBAhQAFAAAAAgAh07iQDMvBZ47&#10;AAAAOQAAABAAAAAAAAAAAQAgAAAACgEAAGRycy9zaGFwZXhtbC54bWxQSwUGAAAAAAYABgBbAQAA&#10;tAMAAAAA&#10;">
                        <v:fill on="f" focussize="0,0"/>
                        <v:stroke on="f" weight="0.5pt"/>
                        <v:imagedata o:title=""/>
                        <o:lock v:ext="edit" aspectratio="f"/>
                        <v:textbox>
                          <w:txbxContent>
                            <w:p w14:paraId="0CAD3FC9">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真空负压</w:t>
                              </w:r>
                            </w:p>
                          </w:txbxContent>
                        </v:textbox>
                      </v:shape>
                      <v:shape id="_x0000_s1026" o:spid="_x0000_s1026" o:spt="202" type="#_x0000_t202" style="position:absolute;left:7343;top:13138;height:374;width:1330;" fillcolor="#FFFFFF" filled="t" stroked="t" coordsize="21600,21600" o:gfxdata="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Ba8enLUAAADcAAAADwAA&#10;AAAAAAABACAAAAAiAAAAZHJzL2Rvd25yZXYueG1sUEsBAhQAFAAAAAgAh07iQDMvBZ47AAAAOQAA&#10;ABAAAAAAAAAAAQAgAAAABAEAAGRycy9zaGFwZXhtbC54bWxQSwUGAAAAAAYABgBbAQAArgMAAAAA&#10;">
                        <v:fill on="t" focussize="0,0"/>
                        <v:stroke weight="0.5pt" color="#000000" joinstyle="round"/>
                        <v:imagedata o:title=""/>
                        <o:lock v:ext="edit" aspectratio="f"/>
                        <v:textbox>
                          <w:txbxContent>
                            <w:p w14:paraId="674C3FCB">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eastAsia" w:eastAsia="宋体"/>
                                  <w:lang w:val="en-US" w:eastAsia="zh-CN"/>
                                </w:rPr>
                              </w:pPr>
                              <w:r>
                                <w:rPr>
                                  <w:rFonts w:hint="eastAsia"/>
                                  <w:sz w:val="24"/>
                                  <w:szCs w:val="24"/>
                                  <w:lang w:val="en-US" w:eastAsia="zh-CN"/>
                                </w:rPr>
                                <w:t>预发泡机</w:t>
                              </w:r>
                              <w:r>
                                <w:rPr>
                                  <w:rFonts w:hint="eastAsia"/>
                                  <w:lang w:val="en-US" w:eastAsia="zh-CN"/>
                                </w:rPr>
                                <w:t>机</w:t>
                              </w:r>
                            </w:p>
                          </w:txbxContent>
                        </v:textbox>
                      </v:shape>
                      <v:shape id="_x0000_s1026" o:spid="_x0000_s1026" o:spt="32" type="#_x0000_t32" style="position:absolute;left:6683;top:13314;height:0;width:648;" filled="f" stroked="t" coordsize="21600,21600" o:gfxdata="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B3nw7vQAA&#10;ANwAAAAPAAAAAAAAAAEAIAAAACIAAABkcnMvZG93bnJldi54bWxQSwECFAAUAAAACACHTuJAMy8F&#10;njsAAAA5AAAAEAAAAAAAAAABACAAAAAMAQAAZHJzL3NoYXBleG1sLnhtbFBLBQYAAAAABgAGAFsB&#10;AAC2AwAAAAA=&#10;">
                        <v:fill on="f" focussize="0,0"/>
                        <v:stroke weight="1pt" color="#000000" joinstyle="round" endarrow="open"/>
                        <v:imagedata o:title=""/>
                        <o:lock v:ext="edit" aspectratio="f"/>
                      </v:shape>
                      <v:shape id="_x0000_s1026" o:spid="_x0000_s1026" o:spt="32" type="#_x0000_t32" style="position:absolute;left:8694;top:13314;height:0;width:648;" filled="f" stroked="t" coordsize="21600,21600" o:gfxdata="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uktmgvQAA&#10;ANwAAAAPAAAAAAAAAAEAIAAAACIAAABkcnMvZG93bnJldi54bWxQSwECFAAUAAAACACHTuJAMy8F&#10;njsAAAA5AAAAEAAAAAAAAAABACAAAAAMAQAAZHJzL3NoYXBleG1sLnhtbFBLBQYAAAAABgAGAFsB&#10;AAC2AwAAAAA=&#10;">
                        <v:fill on="f" focussize="0,0"/>
                        <v:stroke weight="1pt" color="#000000" joinstyle="round" endarrow="open"/>
                        <v:imagedata o:title=""/>
                        <o:lock v:ext="edit" aspectratio="f"/>
                      </v:shape>
                      <v:shape id="_x0000_s1026" o:spid="_x0000_s1026" o:spt="202" type="#_x0000_t202" style="position:absolute;left:9362;top:13116;height:374;width:801;" fillcolor="#FFFFFF" filled="t" stroked="t" coordsize="21600,21600" o:gfxdata="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Fdi9BLUAAADcAAAADwAA&#10;AAAAAAABACAAAAAiAAAAZHJzL2Rvd25yZXYueG1sUEsBAhQAFAAAAAgAh07iQDMvBZ47AAAAOQAA&#10;ABAAAAAAAAAAAQAgAAAABAEAAGRycy9zaGFwZXhtbC54bWxQSwUGAAAAAAYABgBbAQAArgMAAAAA&#10;">
                        <v:fill on="t" focussize="0,0"/>
                        <v:stroke weight="0.5pt" color="#000000" joinstyle="round"/>
                        <v:imagedata o:title=""/>
                        <o:lock v:ext="edit" aspectratio="f"/>
                        <v:textbox>
                          <w:txbxContent>
                            <w:p w14:paraId="7A8E9F5E">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sz w:val="24"/>
                                  <w:szCs w:val="24"/>
                                  <w:lang w:val="en-US" w:eastAsia="zh-CN"/>
                                </w:rPr>
                                <w:t>储仓</w:t>
                              </w:r>
                            </w:p>
                          </w:txbxContent>
                        </v:textbox>
                      </v:shape>
                      <v:shape id="_x0000_s1026" o:spid="_x0000_s1026" o:spt="202" type="#_x0000_t202" style="position:absolute;left:8736;top:13481;height:587;width:1159;" filled="f" stroked="f" coordsize="21600,21600" o:gfxdata="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X6Aye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7DC2CC5F">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真空负压</w:t>
                              </w:r>
                            </w:p>
                          </w:txbxContent>
                        </v:textbox>
                      </v:shape>
                      <v:shape id="_x0000_s1026" o:spid="_x0000_s1026" o:spt="32" type="#_x0000_t32" style="position:absolute;left:9819;top:13511;height:325;width:3;" filled="f" stroked="t" coordsize="21600,21600" o:gfxdata="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CTdj6/&#10;AAAA3AAAAA8AAAAAAAAAAQAgAAAAIgAAAGRycy9kb3ducmV2LnhtbFBLAQIUABQAAAAIAIdO4kAz&#10;LwWeOwAAADkAAAAQAAAAAAAAAAEAIAAAAA4BAABkcnMvc2hhcGV4bWwueG1sUEsFBgAAAAAGAAYA&#10;WwEAALgDAAAAAA==&#10;">
                        <v:fill on="f" focussize="0,0"/>
                        <v:stroke weight="1pt" color="#000000" joinstyle="round" endarrow="open"/>
                        <v:imagedata o:title=""/>
                        <o:lock v:ext="edit" aspectratio="f"/>
                      </v:shape>
                      <v:shape id="_x0000_s1026" o:spid="_x0000_s1026" o:spt="202" type="#_x0000_t202" style="position:absolute;left:9242;top:14804;height:445;width:1636;" filled="f" stroked="f" coordsize="21600,21600" o:gfxdata="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ykyzr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60C3DDDB">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空腔建筑模块</w:t>
                              </w:r>
                            </w:p>
                          </w:txbxContent>
                        </v:textbox>
                      </v:shape>
                      <v:shape id="_x0000_s1026" o:spid="_x0000_s1026" o:spt="32" type="#_x0000_t32" style="position:absolute;left:10066;top:14511;height:315;width:3;" filled="f" stroked="t" coordsize="21600,21600" o:gfxdata="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CJsIW/&#10;AAAA3AAAAA8AAAAAAAAAAQAgAAAAIgAAAGRycy9kb3ducmV2LnhtbFBLAQIUABQAAAAIAIdO4kAz&#10;LwWeOwAAADkAAAAQAAAAAAAAAAEAIAAAAA4BAABkcnMvc2hhcGV4bWwueG1sUEsFBgAAAAAGAAYA&#10;WwEAALgDAAAAAA==&#10;">
                        <v:fill on="f" focussize="0,0"/>
                        <v:stroke weight="1pt" color="#000000" joinstyle="round" endarrow="open"/>
                        <v:imagedata o:title=""/>
                        <o:lock v:ext="edit" aspectratio="f"/>
                      </v:shape>
                      <v:shape id="_x0000_s1026" o:spid="_x0000_s1026" o:spt="202" type="#_x0000_t202" style="position:absolute;left:9689;top:13850;height:634;width:762;" fillcolor="#FFFFFF" filled="t" stroked="t" coordsize="21600,21600" o:gfxdata="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F3vzbUAAADcAAAADwAA&#10;AAAAAAABACAAAAAiAAAAZHJzL2Rvd25yZXYueG1sUEsBAhQAFAAAAAgAh07iQDMvBZ47AAAAOQAA&#10;ABAAAAAAAAAAAQAgAAAABAEAAGRycy9zaGFwZXhtbC54bWxQSwUGAAAAAAYABgBbAQAArgMAAAAA&#10;">
                        <v:fill on="t" focussize="0,0"/>
                        <v:stroke weight="0.5pt" color="#000000" joinstyle="round"/>
                        <v:imagedata o:title=""/>
                        <o:lock v:ext="edit" aspectratio="f"/>
                        <v:textbox>
                          <w:txbxContent>
                            <w:p w14:paraId="2337DCB8">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成型机</w:t>
                              </w:r>
                            </w:p>
                          </w:txbxContent>
                        </v:textbox>
                      </v:shape>
                      <v:shape id="_x0000_s1026" o:spid="_x0000_s1026" o:spt="202" type="#_x0000_t202" style="position:absolute;left:8502;top:13779;height:527;width:915;" filled="f" stroked="f" coordsize="21600,21600" o:gfxdata="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FqArsAAADc&#10;AAAADwAAAAAAAAABACAAAAAiAAAAZHJzL2Rvd25yZXYueG1sUEsBAhQAFAAAAAgAh07iQDMvBZ47&#10;AAAAOQAAABAAAAAAAAAAAQAgAAAACgEAAGRycy9zaGFwZXhtbC54bWxQSwUGAAAAAAYABgBbAQAA&#10;tAMAAAAA&#10;">
                        <v:fill on="f" focussize="0,0"/>
                        <v:stroke on="f" weight="0.5pt"/>
                        <v:imagedata o:title=""/>
                        <o:lock v:ext="edit" aspectratio="f"/>
                        <v:textbox>
                          <w:txbxContent>
                            <w:p w14:paraId="0372BF5F">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模具</w:t>
                              </w:r>
                            </w:p>
                          </w:txbxContent>
                        </v:textbox>
                      </v:shape>
                      <v:shape id="_x0000_s1026" o:spid="_x0000_s1026" o:spt="202" type="#_x0000_t202" style="position:absolute;left:4691;top:13965;height:418;width:1121;" filled="f" stroked="f" coordsize="21600,21600" o:gfxdata="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Stz5m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7A8791B5">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螺纹钢</w:t>
                              </w:r>
                            </w:p>
                          </w:txbxContent>
                        </v:textbox>
                      </v:shape>
                      <v:shape id="_x0000_s1026" o:spid="_x0000_s1026" o:spt="32" type="#_x0000_t32" style="position:absolute;left:5516;top:14169;height:0;width:648;" filled="f" stroked="t" coordsize="21600,21600" o:gfxdata="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sraGvQAA&#10;ANwAAAAPAAAAAAAAAAEAIAAAACIAAABkcnMvZG93bnJldi54bWxQSwECFAAUAAAACACHTuJAMy8F&#10;njsAAAA5AAAAEAAAAAAAAAABACAAAAAMAQAAZHJzL3NoYXBleG1sLnhtbFBLBQYAAAAABgAGAFsB&#10;AAC2AwAAAAA=&#10;">
                        <v:fill on="f" focussize="0,0"/>
                        <v:stroke weight="1pt" color="#000000" joinstyle="round" endarrow="open"/>
                        <v:imagedata o:title=""/>
                        <o:lock v:ext="edit" aspectratio="f"/>
                      </v:shape>
                      <v:shape id="_x0000_s1026" o:spid="_x0000_s1026" o:spt="202" type="#_x0000_t202" style="position:absolute;left:6008;top:13972;height:418;width:1121;" filled="f" stroked="f" coordsize="21600,21600" o:gfxdata="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0CPJ2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3D081B85">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切断机</w:t>
                              </w:r>
                            </w:p>
                          </w:txbxContent>
                        </v:textbox>
                      </v:shape>
                      <v:shape id="_x0000_s1026" o:spid="_x0000_s1026" o:spt="202" type="#_x0000_t202" style="position:absolute;left:4367;top:14609;height:418;width:1617;" filled="f" stroked="f" coordsize="21600,21600" o:gfxdata="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NpsAb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020A02CB">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聚丙烯颗粒</w:t>
                              </w:r>
                            </w:p>
                          </w:txbxContent>
                        </v:textbox>
                      </v:shape>
                      <v:shape id="_x0000_s1026" o:spid="_x0000_s1026" o:spt="32" type="#_x0000_t32" style="position:absolute;left:5534;top:14839;height:0;width:648;" filled="f" stroked="t" coordsize="21600,21600" o:gfxdata="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CjxvQAA&#10;ANwAAAAPAAAAAAAAAAEAIAAAACIAAABkcnMvZG93bnJldi54bWxQSwECFAAUAAAACACHTuJAMy8F&#10;njsAAAA5AAAAEAAAAAAAAAABACAAAAAMAQAAZHJzL3NoYXBleG1sLnhtbFBLBQYAAAAABgAGAFsB&#10;AAC2AwAAAAA=&#10;">
                        <v:fill on="f" focussize="0,0"/>
                        <v:stroke weight="1pt" color="#000000" joinstyle="round" endarrow="open"/>
                        <v:imagedata o:title=""/>
                        <o:lock v:ext="edit" aspectratio="f"/>
                      </v:shape>
                      <v:shape id="_x0000_s1026" o:spid="_x0000_s1026" o:spt="202" type="#_x0000_t202" style="position:absolute;left:6061;top:14669;height:418;width:1121;" filled="f" stroked="f" coordsize="21600,21600" o:gfxdata="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aCV3o&#10;wAAAANwAAAAPAAAAAAAAAAEAIAAAACIAAABkcnMvZG93bnJldi54bWxQSwECFAAUAAAACACHTuJA&#10;My8FnjsAAAA5AAAAEAAAAAAAAAABACAAAAAPAQAAZHJzL3NoYXBleG1sLnhtbFBLBQYAAAAABgAG&#10;AFsBAAC5AwAAAAA=&#10;">
                        <v:fill on="f" focussize="0,0"/>
                        <v:stroke on="f" weight="0.5pt"/>
                        <v:imagedata o:title=""/>
                        <o:lock v:ext="edit" aspectratio="f"/>
                        <v:textbox>
                          <w:txbxContent>
                            <w:p w14:paraId="44CD32EC">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注塑机</w:t>
                              </w:r>
                            </w:p>
                          </w:txbxContent>
                        </v:textbox>
                      </v:shape>
                      <v:shape id="_x0000_s1026" o:spid="_x0000_s1026" o:spt="32" type="#_x0000_t32" style="position:absolute;left:9299;top:14419;height:0;width:411;" filled="f" stroked="t" coordsize="21600,21600" o:gfxdata="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bMZGLsAAADc&#10;AAAADwAAAAAAAAABACAAAAAiAAAAZHJzL2Rvd25yZXYueG1sUEsBAhQAFAAAAAgAh07iQDMvBZ47&#10;AAAAOQAAABAAAAAAAAAAAQAgAAAACgEAAGRycy9zaGFwZXhtbC54bWxQSwUGAAAAAAYABgBbAQAA&#10;tAMAAAAA&#10;">
                        <v:fill on="f" focussize="0,0"/>
                        <v:stroke weight="1pt" color="#000000" joinstyle="round" endarrow="open"/>
                        <v:imagedata o:title=""/>
                        <o:lock v:ext="edit" aspectratio="f"/>
                      </v:shape>
                      <v:shape id="_x0000_s1026" o:spid="_x0000_s1026" o:spt="202" type="#_x0000_t202" style="position:absolute;left:7771;top:14242;height:417;width:915;" filled="f" stroked="f" coordsize="21600,21600" o:gfxdata="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hpscz&#10;wAAAANwAAAAPAAAAAAAAAAEAIAAAACIAAABkcnMvZG93bnJldi54bWxQSwECFAAUAAAACACHTuJA&#10;My8FnjsAAAA5AAAAEAAAAAAAAAABACAAAAAPAQAAZHJzL3NoYXBleG1sLnhtbFBLBQYAAAAABgAG&#10;AFsBAAC5AwAAAAA=&#10;">
                        <v:fill on="f" focussize="0,0"/>
                        <v:stroke on="f" weight="0.5pt"/>
                        <v:imagedata o:title=""/>
                        <o:lock v:ext="edit" aspectratio="f"/>
                        <v:textbox>
                          <w:txbxContent>
                            <w:p w14:paraId="0304DBDC">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模具</w:t>
                              </w:r>
                            </w:p>
                          </w:txbxContent>
                        </v:textbox>
                      </v:shape>
                      <v:shape id="_x0000_s1026" o:spid="_x0000_s1026" o:spt="32" type="#_x0000_t32" style="position:absolute;left:8361;top:14418;height:0;width:412;" filled="f" stroked="t" coordsize="21600,21600" o:gfxdata="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HIPDvQAA&#10;ANwAAAAPAAAAAAAAAAEAIAAAACIAAABkcnMvZG93bnJldi54bWxQSwECFAAUAAAACACHTuJAMy8F&#10;njsAAAA5AAAAEAAAAAAAAAABACAAAAAMAQAAZHJzL3NoYXBleG1sLnhtbFBLBQYAAAAABgAGAFsB&#10;AAC2AwAAAAA=&#10;">
                        <v:fill on="f" focussize="0,0"/>
                        <v:stroke weight="1pt" color="#000000" joinstyle="round" endarrow="open"/>
                        <v:imagedata o:title=""/>
                        <o:lock v:ext="edit" aspectratio="f"/>
                      </v:shape>
                      <v:shape id="_x0000_s1026" o:spid="_x0000_s1026" o:spt="202" type="#_x0000_t202" style="position:absolute;left:8696;top:14148;height:622;width:756;" filled="f" stroked="f" coordsize="21600,21600" o:gfxdata="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44/N+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0E1E4A2F">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骨架配件</w:t>
                              </w:r>
                            </w:p>
                          </w:txbxContent>
                        </v:textbox>
                      </v:shape>
                      <v:group id="_x0000_s1026" o:spid="_x0000_s1026" o:spt="203" style="position:absolute;left:6800;top:14145;height:719;width:1144;" coordorigin="7204,14029" coordsize="1144,719" o:gfxdata="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MH88YvAAAANwAAAAPAAAAAAAAAAEAIAAAACIAAABkcnMvZG93bnJldi54bWxQ&#10;SwECFAAUAAAACACHTuJAMy8FnjsAAAA5AAAAFQAAAAAAAAABACAAAAALAQAAZHJzL2dyb3Vwc2hh&#10;cGV4bWwueG1sUEsFBgAAAAAGAAYAYAEAAMgDAAAAAA==&#10;">
                        <o:lock v:ext="edit" aspectratio="f"/>
                        <v:shape id="_x0000_s1026" o:spid="_x0000_s1026" o:spt="32" type="#_x0000_t32" style="position:absolute;left:7700;top:14332;height:0;width:648;" filled="f" stroked="t" coordsize="21600,21600" o:gfxdata="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YK4L7sAAADc&#10;AAAADwAAAAAAAAABACAAAAAiAAAAZHJzL2Rvd25yZXYueG1sUEsBAhQAFAAAAAgAh07iQDMvBZ47&#10;AAAAOQAAABAAAAAAAAAAAQAgAAAACgEAAGRycy9zaGFwZXhtbC54bWxQSwUGAAAAAAYABgBbAQAA&#10;tAMAAAAA&#10;">
                          <v:fill on="f" focussize="0,0"/>
                          <v:stroke weight="1pt" color="#000000" joinstyle="round" endarrow="open"/>
                          <v:imagedata o:title=""/>
                          <o:lock v:ext="edit" aspectratio="f"/>
                        </v:shape>
                        <v:line id="_x0000_s1026" o:spid="_x0000_s1026" o:spt="20" style="position:absolute;left:7204;top:14029;height:0;width:491;" filled="f" stroked="t" coordsize="21600,21600" o:gfxdata="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WFmvQugAAANwA&#10;AAAPAAAAAAAAAAEAIAAAACIAAABkcnMvZG93bnJldi54bWxQSwECFAAUAAAACACHTuJAMy8FnjsA&#10;AAA5AAAAEAAAAAAAAAABACAAAAAJAQAAZHJzL3NoYXBleG1sLnhtbFBLBQYAAAAABgAGAFsBAACz&#10;AwAAAAA=&#10;">
                          <v:fill on="f" focussize="0,0"/>
                          <v:stroke weight="1pt" color="#000000" joinstyle="round" endarrow="open"/>
                          <v:imagedata o:title=""/>
                          <o:lock v:ext="edit" aspectratio="f"/>
                        </v:line>
                        <v:line id="_x0000_s1026" o:spid="_x0000_s1026" o:spt="20" style="position:absolute;left:7283;top:14719;height:0;width:410;" filled="f" stroked="t" coordsize="21600,21600" o:gfxdata="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5Ws5LugAAANwA&#10;AAAPAAAAAAAAAAEAIAAAACIAAABkcnMvZG93bnJldi54bWxQSwECFAAUAAAACACHTuJAMy8FnjsA&#10;AAA5AAAAEAAAAAAAAAABACAAAAAJAQAAZHJzL3NoYXBleG1sLnhtbFBLBQYAAAAABgAGAFsBAACz&#10;AwAAAAA=&#10;">
                          <v:fill on="f" focussize="0,0"/>
                          <v:stroke weight="1pt" color="#000000" joinstyle="round" endarrow="open"/>
                          <v:imagedata o:title=""/>
                          <o:lock v:ext="edit" aspectratio="f"/>
                        </v:line>
                        <v:line id="_x0000_s1026" o:spid="_x0000_s1026" o:spt="20" style="position:absolute;left:7695;top:14036;height:712;width:17;" filled="f" stroked="t" coordsize="21600,21600" o:gfxdata="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JiFA8ugAAANwA&#10;AAAPAAAAAAAAAAEAIAAAACIAAABkcnMvZG93bnJldi54bWxQSwECFAAUAAAACACHTuJAMy8FnjsA&#10;AAA5AAAAEAAAAAAAAAABACAAAAAJAQAAZHJzL3NoYXBleG1sLnhtbFBLBQYAAAAABgAGAFsBAACz&#10;AwAAAAA=&#10;">
                          <v:fill on="f" focussize="0,0"/>
                          <v:stroke weight="1pt" color="#000000" joinstyle="round" endarrow="open"/>
                          <v:imagedata o:title=""/>
                          <o:lock v:ext="edit" aspectratio="f"/>
                        </v:line>
                      </v:group>
                      <v:shape id="_x0000_s1026" o:spid="_x0000_s1026" o:spt="32" type="#_x0000_t32" style="position:absolute;left:9062;top:13971;height:0;width:648;" filled="f" stroked="t" coordsize="21600,21600" o:gfxdata="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smKl6/&#10;AAAA3AAAAA8AAAAAAAAAAQAgAAAAIgAAAGRycy9kb3ducmV2LnhtbFBLAQIUABQAAAAIAIdO4kAz&#10;LwWeOwAAADkAAAAQAAAAAAAAAAEAIAAAAA4BAABkcnMvc2hhcGV4bWwueG1sUEsFBgAAAAAGAAYA&#10;WwEAALgDAAAAAA==&#10;">
                        <v:fill on="f" focussize="0,0"/>
                        <v:stroke weight="1pt" color="#000000" joinstyle="round" endarrow="open"/>
                        <v:imagedata o:title=""/>
                        <o:lock v:ext="edit" aspectratio="f"/>
                      </v:shape>
                      <v:group id="_x0000_s1026" o:spid="_x0000_s1026" o:spt="203" style="position:absolute;left:7578;top:12496;height:631;width:712;" coordorigin="8329,11942" coordsize="712,631" o:gfxdata="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0vIGKvAAAANwAAAAPAAAAAAAAAAEAIAAAACIAAABkcnMvZG93bnJldi54bWxQ&#10;SwECFAAUAAAACACHTuJAMy8FnjsAAAA5AAAAFQAAAAAAAAABACAAAAALAQAAZHJzL2dyb3Vwc2hh&#10;cGV4bWwueG1sUEsFBgAAAAAGAAYAYAEAAMgDAAAAAA==&#10;">
                        <o:lock v:ext="edit" aspectratio="f"/>
                        <v:shape id="_x0000_s1026" o:spid="_x0000_s1026" o:spt="202" type="#_x0000_t202" style="position:absolute;left:8329;top:11942;height:350;width:713;" filled="f" stroked="f" coordsize="21600,21600" o:gfxdata="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Jxurr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3AB9A294">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蒸汽</w:t>
                                </w:r>
                              </w:p>
                            </w:txbxContent>
                          </v:textbox>
                        </v:shape>
                        <v:shape id="_x0000_s1026" o:spid="_x0000_s1026" o:spt="32" type="#_x0000_t32" style="position:absolute;left:8701;top:12249;height:325;width:3;" filled="f" stroked="t" coordsize="21600,21600" o:gfxdata="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1WVSW/&#10;AAAA3AAAAA8AAAAAAAAAAQAgAAAAIgAAAGRycy9kb3ducmV2LnhtbFBLAQIUABQAAAAIAIdO4kAz&#10;LwWeOwAAADkAAAAQAAAAAAAAAAEAIAAAAA4BAABkcnMvc2hhcGV4bWwueG1sUEsFBgAAAAAGAAYA&#10;WwEAALgDAAAAAA==&#10;">
                          <v:fill on="f" focussize="0,0"/>
                          <v:stroke weight="1pt" color="#000000" joinstyle="round" endarrow="open"/>
                          <v:imagedata o:title=""/>
                          <o:lock v:ext="edit" aspectratio="f"/>
                        </v:shape>
                      </v:group>
                      <v:group id="_x0000_s1026" o:spid="_x0000_s1026" o:spt="203" style="position:absolute;left:10070;top:13227;height:631;width:712;" coordorigin="8329,11942" coordsize="712,631" o:gfxdata="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kyyISvAAAANwAAAAPAAAAAAAAAAEAIAAAACIAAABkcnMvZG93bnJldi54bWxQ&#10;SwECFAAUAAAACACHTuJAMy8FnjsAAAA5AAAAFQAAAAAAAAABACAAAAALAQAAZHJzL2dyb3Vwc2hh&#10;cGV4bWwueG1sUEsFBgAAAAAGAAYAYAEAAMgDAAAAAA==&#10;">
                        <o:lock v:ext="edit" aspectratio="f"/>
                        <v:shape id="_x0000_s1026" o:spid="_x0000_s1026" o:spt="202" type="#_x0000_t202" style="position:absolute;left:8329;top:11942;height:350;width:713;" filled="f" stroked="f" coordsize="21600,21600" o:gfxdata="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Y+j6K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2EC1F8BB">
                                <w:pPr>
                                  <w:keepNext w:val="0"/>
                                  <w:keepLines w:val="0"/>
                                  <w:pageBreakBefore w:val="0"/>
                                  <w:widowControl w:val="0"/>
                                  <w:kinsoku/>
                                  <w:wordWrap/>
                                  <w:overflowPunct/>
                                  <w:topLinePunct w:val="0"/>
                                  <w:bidi w:val="0"/>
                                  <w:adjustRightInd/>
                                  <w:snapToGrid/>
                                  <w:spacing w:line="240" w:lineRule="exact"/>
                                  <w:ind w:firstLine="0" w:firstLineChars="0"/>
                                  <w:textAlignment w:val="auto"/>
                                  <w:rPr>
                                    <w:rFonts w:hint="default" w:eastAsia="宋体"/>
                                    <w:lang w:val="en-US" w:eastAsia="zh-CN"/>
                                  </w:rPr>
                                </w:pPr>
                                <w:r>
                                  <w:rPr>
                                    <w:rFonts w:hint="eastAsia"/>
                                    <w:lang w:val="en-US" w:eastAsia="zh-CN"/>
                                  </w:rPr>
                                  <w:t>蒸汽</w:t>
                                </w:r>
                              </w:p>
                            </w:txbxContent>
                          </v:textbox>
                        </v:shape>
                        <v:shape id="_x0000_s1026" o:spid="_x0000_s1026" o:spt="32" type="#_x0000_t32" style="position:absolute;left:8701;top:12249;height:325;width:3;" filled="f" stroked="t" coordsize="21600,21600" o:gfxdata="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hMtSvQAA&#10;ANwAAAAPAAAAAAAAAAEAIAAAACIAAABkcnMvZG93bnJldi54bWxQSwECFAAUAAAACACHTuJAMy8F&#10;njsAAAA5AAAAEAAAAAAAAAABACAAAAAMAQAAZHJzL3NoYXBleG1sLnhtbFBLBQYAAAAABgAGAFsB&#10;AAC2AwAAAAA=&#10;">
                          <v:fill on="f" focussize="0,0"/>
                          <v:stroke weight="1pt" color="#000000" joinstyle="round" endarrow="open"/>
                          <v:imagedata o:title=""/>
                          <o:lock v:ext="edit" aspectratio="f"/>
                        </v:shape>
                      </v:group>
                    </v:group>
                  </w:pict>
                </mc:Fallback>
              </mc:AlternateContent>
            </w:r>
            <w:r>
              <w:rPr>
                <w:rFonts w:hint="eastAsia" w:ascii="Times New Roman" w:hAnsi="Times New Roman" w:cs="Times New Roman"/>
                <w:b/>
                <w:bCs/>
                <w:color w:val="auto"/>
                <w:kern w:val="2"/>
                <w:sz w:val="24"/>
                <w:szCs w:val="24"/>
                <w:highlight w:val="none"/>
                <w:lang w:val="en-US" w:eastAsia="zh-CN" w:bidi="ar-SA"/>
              </w:rPr>
              <w:t>附图2-</w:t>
            </w:r>
            <w:r>
              <w:rPr>
                <w:rFonts w:hint="eastAsia" w:cs="Times New Roman"/>
                <w:b/>
                <w:bCs/>
                <w:color w:val="auto"/>
                <w:kern w:val="2"/>
                <w:sz w:val="24"/>
                <w:szCs w:val="24"/>
                <w:highlight w:val="none"/>
                <w:lang w:val="en-US" w:eastAsia="zh-CN" w:bidi="ar-SA"/>
              </w:rPr>
              <w:t>3</w:t>
            </w:r>
            <w:r>
              <w:rPr>
                <w:rFonts w:hint="eastAsia" w:ascii="Times New Roman" w:hAnsi="Times New Roman" w:cs="Times New Roman"/>
                <w:b/>
                <w:bCs/>
                <w:color w:val="auto"/>
                <w:kern w:val="2"/>
                <w:sz w:val="24"/>
                <w:szCs w:val="24"/>
                <w:highlight w:val="none"/>
                <w:lang w:val="en-US" w:eastAsia="zh-CN" w:bidi="ar-SA"/>
              </w:rPr>
              <w:t>工艺流程和排污节点</w:t>
            </w:r>
          </w:p>
          <w:p w14:paraId="0353C759">
            <w:pPr>
              <w:pStyle w:val="28"/>
              <w:ind w:left="0" w:leftChars="0" w:firstLine="0" w:firstLineChars="0"/>
              <w:jc w:val="center"/>
              <w:rPr>
                <w:rFonts w:hint="default"/>
                <w:color w:val="auto"/>
                <w:highlight w:val="none"/>
                <w:lang w:val="en-US" w:eastAsia="zh-CN"/>
              </w:rPr>
            </w:pPr>
            <w:r>
              <w:rPr>
                <w:rFonts w:hint="eastAsia" w:ascii="Times New Roman" w:hAnsi="Times New Roman" w:cs="Times New Roman"/>
                <w:b/>
                <w:bCs/>
                <w:color w:val="auto"/>
                <w:kern w:val="2"/>
                <w:sz w:val="24"/>
                <w:szCs w:val="24"/>
                <w:highlight w:val="none"/>
                <w:lang w:val="en-US" w:eastAsia="zh-CN" w:bidi="ar-SA"/>
              </w:rPr>
              <w:t>表2</w:t>
            </w:r>
            <w:r>
              <w:rPr>
                <w:rFonts w:hint="eastAsia" w:cs="Times New Roman"/>
                <w:b/>
                <w:bCs/>
                <w:color w:val="auto"/>
                <w:kern w:val="2"/>
                <w:sz w:val="24"/>
                <w:szCs w:val="24"/>
                <w:highlight w:val="none"/>
                <w:lang w:val="en-US" w:eastAsia="zh-CN" w:bidi="ar-SA"/>
              </w:rPr>
              <w:t>-8</w:t>
            </w:r>
            <w:r>
              <w:rPr>
                <w:rFonts w:hint="eastAsia" w:ascii="Times New Roman" w:hAnsi="Times New Roman" w:cs="Times New Roman"/>
                <w:b/>
                <w:bCs/>
                <w:color w:val="auto"/>
                <w:kern w:val="2"/>
                <w:sz w:val="24"/>
                <w:szCs w:val="24"/>
                <w:highlight w:val="none"/>
                <w:lang w:val="en-US" w:eastAsia="zh-CN" w:bidi="ar-SA"/>
              </w:rPr>
              <w:t xml:space="preserve">  </w:t>
            </w:r>
            <w:r>
              <w:rPr>
                <w:rFonts w:hint="eastAsia" w:cs="Times New Roman"/>
                <w:b/>
                <w:bCs/>
                <w:color w:val="auto"/>
                <w:kern w:val="2"/>
                <w:sz w:val="24"/>
                <w:szCs w:val="24"/>
                <w:highlight w:val="none"/>
                <w:lang w:val="en-US" w:eastAsia="zh-CN" w:bidi="ar-SA"/>
              </w:rPr>
              <w:t>本项目</w:t>
            </w:r>
            <w:r>
              <w:rPr>
                <w:rFonts w:hint="eastAsia" w:ascii="Times New Roman" w:hAnsi="Times New Roman" w:cs="Times New Roman"/>
                <w:b/>
                <w:bCs/>
                <w:color w:val="auto"/>
                <w:kern w:val="2"/>
                <w:sz w:val="24"/>
                <w:szCs w:val="24"/>
                <w:highlight w:val="none"/>
                <w:lang w:val="en-US" w:eastAsia="zh-CN" w:bidi="ar-SA"/>
              </w:rPr>
              <w:t>生产过程产排污因子</w:t>
            </w:r>
          </w:p>
          <w:tbl>
            <w:tblPr>
              <w:tblStyle w:val="34"/>
              <w:tblW w:w="5000"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42"/>
              <w:gridCol w:w="502"/>
              <w:gridCol w:w="1107"/>
              <w:gridCol w:w="1586"/>
              <w:gridCol w:w="1130"/>
              <w:gridCol w:w="733"/>
              <w:gridCol w:w="1435"/>
              <w:gridCol w:w="1186"/>
            </w:tblGrid>
            <w:tr w14:paraId="686E58A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noWrap w:val="0"/>
                  <w:vAlign w:val="center"/>
                </w:tcPr>
                <w:p w14:paraId="4E2DD173">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类别</w:t>
                  </w:r>
                </w:p>
              </w:tc>
              <w:tc>
                <w:tcPr>
                  <w:tcW w:w="990" w:type="pct"/>
                  <w:gridSpan w:val="2"/>
                  <w:noWrap w:val="0"/>
                  <w:vAlign w:val="center"/>
                </w:tcPr>
                <w:p w14:paraId="160CEDA7">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污染物</w:t>
                  </w:r>
                </w:p>
              </w:tc>
              <w:tc>
                <w:tcPr>
                  <w:tcW w:w="976" w:type="pct"/>
                  <w:noWrap w:val="0"/>
                  <w:vAlign w:val="center"/>
                </w:tcPr>
                <w:p w14:paraId="0BC38841">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产污环节</w:t>
                  </w:r>
                </w:p>
              </w:tc>
              <w:tc>
                <w:tcPr>
                  <w:tcW w:w="696" w:type="pct"/>
                  <w:noWrap w:val="0"/>
                  <w:vAlign w:val="center"/>
                </w:tcPr>
                <w:p w14:paraId="21333677">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污染因子</w:t>
                  </w:r>
                </w:p>
              </w:tc>
              <w:tc>
                <w:tcPr>
                  <w:tcW w:w="451" w:type="pct"/>
                  <w:noWrap w:val="0"/>
                  <w:vAlign w:val="center"/>
                </w:tcPr>
                <w:p w14:paraId="20BF0608">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排放规律</w:t>
                  </w:r>
                </w:p>
              </w:tc>
              <w:tc>
                <w:tcPr>
                  <w:tcW w:w="1613" w:type="pct"/>
                  <w:gridSpan w:val="2"/>
                  <w:noWrap w:val="0"/>
                  <w:vAlign w:val="center"/>
                </w:tcPr>
                <w:p w14:paraId="518CE972">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治理措施</w:t>
                  </w:r>
                </w:p>
              </w:tc>
            </w:tr>
            <w:tr w14:paraId="72DE4CF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9" w:hRule="atLeast"/>
                <w:jc w:val="center"/>
              </w:trPr>
              <w:tc>
                <w:tcPr>
                  <w:tcW w:w="272" w:type="pct"/>
                  <w:vMerge w:val="restart"/>
                  <w:shd w:val="clear" w:color="auto" w:fill="FFFFFF"/>
                  <w:noWrap w:val="0"/>
                  <w:vAlign w:val="center"/>
                </w:tcPr>
                <w:p w14:paraId="09657AD0">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废气</w:t>
                  </w:r>
                </w:p>
              </w:tc>
              <w:tc>
                <w:tcPr>
                  <w:tcW w:w="309" w:type="pct"/>
                  <w:shd w:val="clear" w:color="auto" w:fill="FFFFFF"/>
                  <w:noWrap w:val="0"/>
                  <w:vAlign w:val="center"/>
                </w:tcPr>
                <w:p w14:paraId="14F176CC">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G</w:t>
                  </w:r>
                  <w:r>
                    <w:rPr>
                      <w:rFonts w:hint="eastAsia" w:cs="Times New Roman"/>
                      <w:color w:val="auto"/>
                      <w:sz w:val="21"/>
                      <w:szCs w:val="21"/>
                      <w:highlight w:val="none"/>
                      <w:lang w:val="en-US" w:eastAsia="zh-CN"/>
                    </w:rPr>
                    <w:t>1</w:t>
                  </w:r>
                </w:p>
              </w:tc>
              <w:tc>
                <w:tcPr>
                  <w:tcW w:w="681" w:type="pct"/>
                  <w:vMerge w:val="restart"/>
                  <w:shd w:val="clear" w:color="auto" w:fill="FFFFFF"/>
                  <w:noWrap w:val="0"/>
                  <w:vAlign w:val="center"/>
                </w:tcPr>
                <w:p w14:paraId="2AC184F0">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聚苯乙烯</w:t>
                  </w:r>
                  <w:r>
                    <w:rPr>
                      <w:rFonts w:hint="eastAsia" w:cs="Times New Roman"/>
                      <w:color w:val="auto"/>
                      <w:sz w:val="21"/>
                      <w:szCs w:val="21"/>
                      <w:highlight w:val="none"/>
                      <w:lang w:val="en-US" w:eastAsia="zh-CN"/>
                    </w:rPr>
                    <w:t>加热</w:t>
                  </w:r>
                  <w:r>
                    <w:rPr>
                      <w:rFonts w:hint="default" w:ascii="Times New Roman" w:hAnsi="Times New Roman" w:eastAsia="宋体" w:cs="Times New Roman"/>
                      <w:color w:val="auto"/>
                      <w:sz w:val="21"/>
                      <w:szCs w:val="21"/>
                      <w:highlight w:val="none"/>
                      <w:lang w:val="en-US" w:eastAsia="zh-CN"/>
                    </w:rPr>
                    <w:t>热废气</w:t>
                  </w:r>
                </w:p>
              </w:tc>
              <w:tc>
                <w:tcPr>
                  <w:tcW w:w="976" w:type="pct"/>
                  <w:shd w:val="clear" w:color="auto" w:fill="FFFFFF"/>
                  <w:noWrap w:val="0"/>
                  <w:vAlign w:val="center"/>
                </w:tcPr>
                <w:p w14:paraId="2DEAAFA9">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发泡</w:t>
                  </w:r>
                </w:p>
              </w:tc>
              <w:tc>
                <w:tcPr>
                  <w:tcW w:w="696" w:type="pct"/>
                  <w:vMerge w:val="restart"/>
                  <w:shd w:val="clear" w:color="auto" w:fill="FFFFFF"/>
                  <w:noWrap w:val="0"/>
                  <w:vAlign w:val="center"/>
                </w:tcPr>
                <w:p w14:paraId="1C01BF8C">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苯乙烯、非甲烷总烃、臭气浓度</w:t>
                  </w:r>
                </w:p>
              </w:tc>
              <w:tc>
                <w:tcPr>
                  <w:tcW w:w="451" w:type="pct"/>
                  <w:shd w:val="clear" w:color="auto" w:fill="FFFFFF"/>
                  <w:noWrap w:val="0"/>
                  <w:vAlign w:val="center"/>
                </w:tcPr>
                <w:p w14:paraId="6BE45518">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间断</w:t>
                  </w:r>
                </w:p>
              </w:tc>
              <w:tc>
                <w:tcPr>
                  <w:tcW w:w="883" w:type="pct"/>
                  <w:shd w:val="clear" w:color="auto" w:fill="FFFFFF"/>
                  <w:noWrap w:val="0"/>
                  <w:vAlign w:val="center"/>
                </w:tcPr>
                <w:p w14:paraId="691A4C37">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设备密闭，出料口设集气罩</w:t>
                  </w:r>
                  <w:r>
                    <w:rPr>
                      <w:rFonts w:hint="eastAsia"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气液分离预处理装置</w:t>
                  </w:r>
                </w:p>
              </w:tc>
              <w:tc>
                <w:tcPr>
                  <w:tcW w:w="730" w:type="pct"/>
                  <w:vMerge w:val="restart"/>
                  <w:shd w:val="clear" w:color="auto" w:fill="FFFFFF"/>
                  <w:noWrap w:val="0"/>
                  <w:vAlign w:val="center"/>
                </w:tcPr>
                <w:p w14:paraId="6CD31A48">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活性炭吸附TA00</w:t>
                  </w:r>
                  <w:r>
                    <w:rPr>
                      <w:rFonts w:hint="eastAsia"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-脱附催化燃烧</w:t>
                  </w:r>
                  <w:r>
                    <w:rPr>
                      <w:rFonts w:hint="default" w:ascii="Times New Roman" w:hAnsi="Times New Roman" w:eastAsia="宋体" w:cs="Times New Roman"/>
                      <w:color w:val="auto"/>
                      <w:sz w:val="21"/>
                      <w:szCs w:val="21"/>
                      <w:highlight w:val="none"/>
                      <w:lang w:val="en-US" w:eastAsia="zh-CN"/>
                    </w:rPr>
                    <w:t>TA00</w:t>
                  </w:r>
                  <w:r>
                    <w:rPr>
                      <w:rFonts w:hint="eastAsia"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val="en-US" w:eastAsia="zh-CN"/>
                    </w:rPr>
                    <w:t>处理后经15m高排气筒DA001排放</w:t>
                  </w:r>
                </w:p>
              </w:tc>
            </w:tr>
            <w:tr w14:paraId="3CB74F3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shd w:val="clear" w:color="auto" w:fill="FFFFFF"/>
                  <w:noWrap w:val="0"/>
                  <w:vAlign w:val="center"/>
                </w:tcPr>
                <w:p w14:paraId="4CFA2AA2">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309" w:type="pct"/>
                  <w:shd w:val="clear" w:color="auto" w:fill="FFFFFF"/>
                  <w:noWrap w:val="0"/>
                  <w:vAlign w:val="center"/>
                </w:tcPr>
                <w:p w14:paraId="3CF94CD0">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G</w:t>
                  </w:r>
                  <w:r>
                    <w:rPr>
                      <w:rFonts w:hint="eastAsia" w:cs="Times New Roman"/>
                      <w:color w:val="auto"/>
                      <w:sz w:val="21"/>
                      <w:szCs w:val="21"/>
                      <w:highlight w:val="none"/>
                      <w:lang w:val="en-US" w:eastAsia="zh-CN"/>
                    </w:rPr>
                    <w:t>2</w:t>
                  </w:r>
                </w:p>
              </w:tc>
              <w:tc>
                <w:tcPr>
                  <w:tcW w:w="681" w:type="pct"/>
                  <w:vMerge w:val="continue"/>
                  <w:shd w:val="clear" w:color="auto" w:fill="FFFFFF"/>
                  <w:noWrap w:val="0"/>
                  <w:vAlign w:val="center"/>
                </w:tcPr>
                <w:p w14:paraId="623F3D20">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976" w:type="pct"/>
                  <w:shd w:val="clear" w:color="auto" w:fill="FFFFFF"/>
                  <w:noWrap w:val="0"/>
                  <w:vAlign w:val="center"/>
                </w:tcPr>
                <w:p w14:paraId="2F85D79B">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成型</w:t>
                  </w:r>
                  <w:r>
                    <w:rPr>
                      <w:rFonts w:hint="eastAsia" w:eastAsia="宋体" w:cs="Times New Roman"/>
                      <w:color w:val="auto"/>
                      <w:sz w:val="21"/>
                      <w:szCs w:val="21"/>
                      <w:highlight w:val="none"/>
                      <w:lang w:val="en-US" w:eastAsia="zh-CN"/>
                    </w:rPr>
                    <w:t>（含真空泵废气）</w:t>
                  </w:r>
                </w:p>
              </w:tc>
              <w:tc>
                <w:tcPr>
                  <w:tcW w:w="696" w:type="pct"/>
                  <w:vMerge w:val="continue"/>
                  <w:shd w:val="clear" w:color="auto" w:fill="FFFFFF"/>
                  <w:noWrap w:val="0"/>
                  <w:vAlign w:val="center"/>
                </w:tcPr>
                <w:p w14:paraId="6EB1ED1F">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451" w:type="pct"/>
                  <w:shd w:val="clear" w:color="auto" w:fill="FFFFFF"/>
                  <w:noWrap w:val="0"/>
                  <w:vAlign w:val="center"/>
                </w:tcPr>
                <w:p w14:paraId="624492B7">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间断</w:t>
                  </w:r>
                </w:p>
              </w:tc>
              <w:tc>
                <w:tcPr>
                  <w:tcW w:w="883" w:type="pct"/>
                  <w:shd w:val="clear" w:color="auto" w:fill="FFFFFF"/>
                  <w:noWrap w:val="0"/>
                  <w:vAlign w:val="center"/>
                </w:tcPr>
                <w:p w14:paraId="28F55622">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设备密闭，出料口设集气罩</w:t>
                  </w:r>
                  <w:r>
                    <w:rPr>
                      <w:rFonts w:hint="eastAsia" w:eastAsia="宋体" w:cs="Times New Roman"/>
                      <w:color w:val="auto"/>
                      <w:sz w:val="21"/>
                      <w:szCs w:val="21"/>
                      <w:highlight w:val="none"/>
                      <w:lang w:val="en-US" w:eastAsia="zh-CN"/>
                    </w:rPr>
                    <w:t>真空</w:t>
                  </w:r>
                  <w:r>
                    <w:rPr>
                      <w:rFonts w:hint="eastAsia" w:cs="Times New Roman"/>
                      <w:color w:val="auto"/>
                      <w:sz w:val="21"/>
                      <w:szCs w:val="21"/>
                      <w:highlight w:val="none"/>
                      <w:lang w:val="en-US" w:eastAsia="zh-CN"/>
                    </w:rPr>
                    <w:t>泵将</w:t>
                  </w:r>
                  <w:r>
                    <w:rPr>
                      <w:rFonts w:hint="eastAsia" w:eastAsia="宋体" w:cs="Times New Roman"/>
                      <w:color w:val="auto"/>
                      <w:sz w:val="21"/>
                      <w:szCs w:val="21"/>
                      <w:highlight w:val="none"/>
                      <w:lang w:val="en-US" w:eastAsia="zh-CN"/>
                    </w:rPr>
                    <w:t>废气引至集气管道</w:t>
                  </w:r>
                </w:p>
              </w:tc>
              <w:tc>
                <w:tcPr>
                  <w:tcW w:w="730" w:type="pct"/>
                  <w:vMerge w:val="continue"/>
                  <w:shd w:val="clear" w:color="auto" w:fill="FFFFFF"/>
                  <w:noWrap w:val="0"/>
                  <w:vAlign w:val="center"/>
                </w:tcPr>
                <w:p w14:paraId="2860A6A0">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r>
            <w:tr w14:paraId="54EC0C1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shd w:val="clear" w:color="auto" w:fill="FFFFFF"/>
                  <w:noWrap w:val="0"/>
                  <w:vAlign w:val="center"/>
                </w:tcPr>
                <w:p w14:paraId="3D3C3A7E">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309" w:type="pct"/>
                  <w:shd w:val="clear" w:color="auto" w:fill="FFFFFF"/>
                  <w:noWrap w:val="0"/>
                  <w:vAlign w:val="center"/>
                </w:tcPr>
                <w:p w14:paraId="1A730CBB">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G</w:t>
                  </w:r>
                  <w:r>
                    <w:rPr>
                      <w:rFonts w:hint="eastAsia" w:cs="Times New Roman"/>
                      <w:color w:val="auto"/>
                      <w:sz w:val="21"/>
                      <w:szCs w:val="21"/>
                      <w:highlight w:val="none"/>
                      <w:lang w:val="en-US" w:eastAsia="zh-CN"/>
                    </w:rPr>
                    <w:t>3</w:t>
                  </w:r>
                </w:p>
              </w:tc>
              <w:tc>
                <w:tcPr>
                  <w:tcW w:w="681" w:type="pct"/>
                  <w:vMerge w:val="continue"/>
                  <w:shd w:val="clear" w:color="auto" w:fill="FFFFFF"/>
                  <w:noWrap w:val="0"/>
                  <w:vAlign w:val="center"/>
                </w:tcPr>
                <w:p w14:paraId="6DF8CEA1">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976" w:type="pct"/>
                  <w:shd w:val="clear" w:color="auto" w:fill="FFFFFF"/>
                  <w:noWrap w:val="0"/>
                  <w:vAlign w:val="center"/>
                </w:tcPr>
                <w:p w14:paraId="296271C9">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切割</w:t>
                  </w:r>
                </w:p>
              </w:tc>
              <w:tc>
                <w:tcPr>
                  <w:tcW w:w="696" w:type="pct"/>
                  <w:vMerge w:val="continue"/>
                  <w:shd w:val="clear" w:color="auto" w:fill="FFFFFF"/>
                  <w:noWrap w:val="0"/>
                  <w:vAlign w:val="center"/>
                </w:tcPr>
                <w:p w14:paraId="7E3804C3">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451" w:type="pct"/>
                  <w:shd w:val="clear" w:color="auto" w:fill="FFFFFF"/>
                  <w:noWrap w:val="0"/>
                  <w:vAlign w:val="center"/>
                </w:tcPr>
                <w:p w14:paraId="5D55039B">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间断</w:t>
                  </w:r>
                </w:p>
              </w:tc>
              <w:tc>
                <w:tcPr>
                  <w:tcW w:w="883" w:type="pct"/>
                  <w:shd w:val="clear" w:color="auto" w:fill="FFFFFF"/>
                  <w:noWrap w:val="0"/>
                  <w:vAlign w:val="center"/>
                </w:tcPr>
                <w:p w14:paraId="7C3E6197">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集气罩收集</w:t>
                  </w:r>
                </w:p>
              </w:tc>
              <w:tc>
                <w:tcPr>
                  <w:tcW w:w="730" w:type="pct"/>
                  <w:vMerge w:val="continue"/>
                  <w:shd w:val="clear" w:color="auto" w:fill="FFFFFF"/>
                  <w:noWrap w:val="0"/>
                  <w:vAlign w:val="center"/>
                </w:tcPr>
                <w:p w14:paraId="190EE8DF">
                  <w:pPr>
                    <w:keepNext w:val="0"/>
                    <w:keepLines w:val="0"/>
                    <w:pageBreakBefore w:val="0"/>
                    <w:widowControl w:val="0"/>
                    <w:kinsoku/>
                    <w:wordWrap/>
                    <w:overflowPunct/>
                    <w:topLinePunct w:val="0"/>
                    <w:autoSpaceDE/>
                    <w:autoSpaceDN/>
                    <w:bidi w:val="0"/>
                    <w:adjustRightInd/>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r>
            <w:tr w14:paraId="314ADB7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restart"/>
                  <w:noWrap w:val="0"/>
                  <w:vAlign w:val="center"/>
                </w:tcPr>
                <w:p w14:paraId="6C5274C9">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废水</w:t>
                  </w:r>
                </w:p>
              </w:tc>
              <w:tc>
                <w:tcPr>
                  <w:tcW w:w="309" w:type="pct"/>
                  <w:noWrap w:val="0"/>
                  <w:vAlign w:val="center"/>
                </w:tcPr>
                <w:p w14:paraId="04A5B4EC">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W1</w:t>
                  </w:r>
                </w:p>
              </w:tc>
              <w:tc>
                <w:tcPr>
                  <w:tcW w:w="681" w:type="pct"/>
                  <w:noWrap w:val="0"/>
                  <w:vAlign w:val="center"/>
                </w:tcPr>
                <w:p w14:paraId="070B9E65">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成型机冷却废水</w:t>
                  </w:r>
                </w:p>
              </w:tc>
              <w:tc>
                <w:tcPr>
                  <w:tcW w:w="976" w:type="pct"/>
                  <w:noWrap w:val="0"/>
                  <w:vAlign w:val="center"/>
                </w:tcPr>
                <w:p w14:paraId="401674E3">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聚苯乙烯成型</w:t>
                  </w:r>
                </w:p>
              </w:tc>
              <w:tc>
                <w:tcPr>
                  <w:tcW w:w="696" w:type="pct"/>
                  <w:noWrap w:val="0"/>
                  <w:vAlign w:val="center"/>
                </w:tcPr>
                <w:p w14:paraId="21B5750C">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w:t>
                  </w:r>
                </w:p>
              </w:tc>
              <w:tc>
                <w:tcPr>
                  <w:tcW w:w="451" w:type="pct"/>
                  <w:noWrap w:val="0"/>
                  <w:vAlign w:val="center"/>
                </w:tcPr>
                <w:p w14:paraId="61ADC607">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间断</w:t>
                  </w:r>
                </w:p>
              </w:tc>
              <w:tc>
                <w:tcPr>
                  <w:tcW w:w="1613" w:type="pct"/>
                  <w:gridSpan w:val="2"/>
                  <w:noWrap w:val="0"/>
                  <w:vAlign w:val="center"/>
                </w:tcPr>
                <w:p w14:paraId="42B0052A">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循环使用不外排</w:t>
                  </w:r>
                </w:p>
              </w:tc>
            </w:tr>
            <w:tr w14:paraId="02DD015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noWrap w:val="0"/>
                  <w:vAlign w:val="center"/>
                </w:tcPr>
                <w:p w14:paraId="3D6B4599">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309" w:type="pct"/>
                  <w:noWrap w:val="0"/>
                  <w:vAlign w:val="center"/>
                </w:tcPr>
                <w:p w14:paraId="7DB92B49">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W</w:t>
                  </w:r>
                  <w:r>
                    <w:rPr>
                      <w:rFonts w:hint="default" w:ascii="Times New Roman" w:hAnsi="Times New Roman" w:eastAsia="宋体" w:cs="Times New Roman"/>
                      <w:color w:val="auto"/>
                      <w:sz w:val="21"/>
                      <w:szCs w:val="21"/>
                      <w:highlight w:val="none"/>
                      <w:lang w:val="en-US" w:eastAsia="zh-CN"/>
                    </w:rPr>
                    <w:t>2</w:t>
                  </w:r>
                </w:p>
              </w:tc>
              <w:tc>
                <w:tcPr>
                  <w:tcW w:w="681" w:type="pct"/>
                  <w:noWrap w:val="0"/>
                  <w:vAlign w:val="center"/>
                </w:tcPr>
                <w:p w14:paraId="730C8876">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蒸汽冷凝水</w:t>
                  </w:r>
                </w:p>
              </w:tc>
              <w:tc>
                <w:tcPr>
                  <w:tcW w:w="976" w:type="pct"/>
                  <w:noWrap w:val="0"/>
                  <w:vAlign w:val="center"/>
                </w:tcPr>
                <w:p w14:paraId="4E42E3DB">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烘干工序</w:t>
                  </w:r>
                </w:p>
              </w:tc>
              <w:tc>
                <w:tcPr>
                  <w:tcW w:w="696" w:type="pct"/>
                  <w:noWrap w:val="0"/>
                  <w:vAlign w:val="center"/>
                </w:tcPr>
                <w:p w14:paraId="7DB9BEB2">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w:t>
                  </w:r>
                </w:p>
              </w:tc>
              <w:tc>
                <w:tcPr>
                  <w:tcW w:w="451" w:type="pct"/>
                  <w:noWrap w:val="0"/>
                  <w:vAlign w:val="center"/>
                </w:tcPr>
                <w:p w14:paraId="42F3F1E2">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间断</w:t>
                  </w:r>
                </w:p>
              </w:tc>
              <w:tc>
                <w:tcPr>
                  <w:tcW w:w="1613" w:type="pct"/>
                  <w:gridSpan w:val="2"/>
                  <w:noWrap w:val="0"/>
                  <w:vAlign w:val="center"/>
                </w:tcPr>
                <w:p w14:paraId="56F2D905">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用作循环冷却水</w:t>
                  </w:r>
                  <w:r>
                    <w:rPr>
                      <w:rFonts w:hint="eastAsia" w:cs="Times New Roman"/>
                      <w:color w:val="auto"/>
                      <w:kern w:val="2"/>
                      <w:sz w:val="21"/>
                      <w:szCs w:val="21"/>
                      <w:highlight w:val="none"/>
                      <w:lang w:val="en-US" w:eastAsia="zh-CN" w:bidi="ar-SA"/>
                    </w:rPr>
                    <w:t>补水</w:t>
                  </w:r>
                </w:p>
              </w:tc>
            </w:tr>
            <w:tr w14:paraId="4ABF8F4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01" w:hRule="atLeast"/>
                <w:jc w:val="center"/>
              </w:trPr>
              <w:tc>
                <w:tcPr>
                  <w:tcW w:w="272" w:type="pct"/>
                  <w:vMerge w:val="continue"/>
                  <w:noWrap w:val="0"/>
                  <w:vAlign w:val="center"/>
                </w:tcPr>
                <w:p w14:paraId="2EF2685A">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309" w:type="pct"/>
                  <w:noWrap w:val="0"/>
                  <w:vAlign w:val="center"/>
                </w:tcPr>
                <w:p w14:paraId="2043DA71">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81" w:type="pct"/>
                  <w:noWrap w:val="0"/>
                  <w:vAlign w:val="center"/>
                </w:tcPr>
                <w:p w14:paraId="2EC0744D">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职工生活污水</w:t>
                  </w:r>
                </w:p>
              </w:tc>
              <w:tc>
                <w:tcPr>
                  <w:tcW w:w="976" w:type="pct"/>
                  <w:noWrap w:val="0"/>
                  <w:vAlign w:val="center"/>
                </w:tcPr>
                <w:p w14:paraId="565A7145">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职工生活</w:t>
                  </w:r>
                </w:p>
              </w:tc>
              <w:tc>
                <w:tcPr>
                  <w:tcW w:w="696" w:type="pct"/>
                  <w:noWrap w:val="0"/>
                  <w:vAlign w:val="center"/>
                </w:tcPr>
                <w:p w14:paraId="347CA57E">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pH、COD、BOD</w:t>
                  </w:r>
                  <w:r>
                    <w:rPr>
                      <w:rFonts w:hint="default" w:ascii="Times New Roman" w:hAnsi="Times New Roman" w:eastAsia="宋体" w:cs="Times New Roman"/>
                      <w:color w:val="auto"/>
                      <w:sz w:val="21"/>
                      <w:szCs w:val="21"/>
                      <w:highlight w:val="none"/>
                      <w:vertAlign w:val="subscript"/>
                      <w:lang w:val="en-US" w:eastAsia="zh-CN"/>
                    </w:rPr>
                    <w:t>5</w:t>
                  </w:r>
                  <w:r>
                    <w:rPr>
                      <w:rFonts w:hint="default" w:ascii="Times New Roman" w:hAnsi="Times New Roman" w:eastAsia="宋体" w:cs="Times New Roman"/>
                      <w:color w:val="auto"/>
                      <w:sz w:val="21"/>
                      <w:szCs w:val="21"/>
                      <w:highlight w:val="none"/>
                      <w:lang w:val="en-US" w:eastAsia="zh-CN"/>
                    </w:rPr>
                    <w:t>、氨氮、</w:t>
                  </w:r>
                  <w:r>
                    <w:rPr>
                      <w:rFonts w:hint="eastAsia" w:cs="Times New Roman"/>
                      <w:color w:val="auto"/>
                      <w:sz w:val="21"/>
                      <w:szCs w:val="21"/>
                      <w:highlight w:val="none"/>
                      <w:lang w:val="en-US" w:eastAsia="zh-CN"/>
                    </w:rPr>
                    <w:t>总磷、</w:t>
                  </w:r>
                  <w:r>
                    <w:rPr>
                      <w:rFonts w:hint="default" w:ascii="Times New Roman" w:hAnsi="Times New Roman" w:eastAsia="宋体" w:cs="Times New Roman"/>
                      <w:color w:val="auto"/>
                      <w:sz w:val="21"/>
                      <w:szCs w:val="21"/>
                      <w:highlight w:val="none"/>
                    </w:rPr>
                    <w:t>SS</w:t>
                  </w:r>
                </w:p>
              </w:tc>
              <w:tc>
                <w:tcPr>
                  <w:tcW w:w="451" w:type="pct"/>
                  <w:noWrap w:val="0"/>
                  <w:vAlign w:val="center"/>
                </w:tcPr>
                <w:p w14:paraId="16FD8EB1">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间断</w:t>
                  </w:r>
                </w:p>
              </w:tc>
              <w:tc>
                <w:tcPr>
                  <w:tcW w:w="1613" w:type="pct"/>
                  <w:gridSpan w:val="2"/>
                  <w:noWrap w:val="0"/>
                  <w:vAlign w:val="center"/>
                </w:tcPr>
                <w:p w14:paraId="23B40BD9">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highlight w:val="none"/>
                      <w:lang w:val="en-US" w:eastAsia="zh-CN"/>
                    </w:rPr>
                    <w:t>盥洗废水泼洒抑尘、</w:t>
                  </w:r>
                  <w:r>
                    <w:rPr>
                      <w:rFonts w:ascii="Times New Roman" w:hAnsi="Times New Roman" w:eastAsia="宋体" w:cs="Times New Roman"/>
                      <w:color w:val="auto"/>
                      <w:highlight w:val="none"/>
                    </w:rPr>
                    <w:t>厂区设防渗旱厕，定期清掏</w:t>
                  </w:r>
                </w:p>
              </w:tc>
            </w:tr>
            <w:tr w14:paraId="06492CD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restart"/>
                  <w:noWrap w:val="0"/>
                  <w:vAlign w:val="center"/>
                </w:tcPr>
                <w:p w14:paraId="1824E811">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噪声</w:t>
                  </w:r>
                </w:p>
              </w:tc>
              <w:tc>
                <w:tcPr>
                  <w:tcW w:w="309" w:type="pct"/>
                  <w:noWrap w:val="0"/>
                  <w:vAlign w:val="center"/>
                </w:tcPr>
                <w:p w14:paraId="01043E9B">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N</w:t>
                  </w:r>
                  <w:r>
                    <w:rPr>
                      <w:rFonts w:hint="default" w:ascii="Times New Roman" w:hAnsi="Times New Roman" w:eastAsia="宋体" w:cs="Times New Roman"/>
                      <w:color w:val="auto"/>
                      <w:sz w:val="21"/>
                      <w:szCs w:val="21"/>
                      <w:highlight w:val="none"/>
                      <w:lang w:val="en-US" w:eastAsia="zh-CN"/>
                    </w:rPr>
                    <w:t>1</w:t>
                  </w:r>
                </w:p>
              </w:tc>
              <w:tc>
                <w:tcPr>
                  <w:tcW w:w="681" w:type="pct"/>
                  <w:vMerge w:val="restart"/>
                  <w:noWrap w:val="0"/>
                  <w:vAlign w:val="center"/>
                </w:tcPr>
                <w:p w14:paraId="506206B5">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噪声</w:t>
                  </w:r>
                </w:p>
              </w:tc>
              <w:tc>
                <w:tcPr>
                  <w:tcW w:w="976" w:type="pct"/>
                  <w:noWrap w:val="0"/>
                  <w:vAlign w:val="center"/>
                </w:tcPr>
                <w:p w14:paraId="56565687">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真空泵运转</w:t>
                  </w:r>
                </w:p>
              </w:tc>
              <w:tc>
                <w:tcPr>
                  <w:tcW w:w="696" w:type="pct"/>
                  <w:vMerge w:val="restart"/>
                  <w:noWrap w:val="0"/>
                  <w:vAlign w:val="center"/>
                </w:tcPr>
                <w:p w14:paraId="386F9024">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声压级</w:t>
                  </w:r>
                </w:p>
              </w:tc>
              <w:tc>
                <w:tcPr>
                  <w:tcW w:w="451" w:type="pct"/>
                  <w:vMerge w:val="restart"/>
                  <w:noWrap w:val="0"/>
                  <w:vAlign w:val="center"/>
                </w:tcPr>
                <w:p w14:paraId="1F54A5DA">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间断</w:t>
                  </w:r>
                </w:p>
              </w:tc>
              <w:tc>
                <w:tcPr>
                  <w:tcW w:w="1613" w:type="pct"/>
                  <w:gridSpan w:val="2"/>
                  <w:vMerge w:val="restart"/>
                  <w:noWrap w:val="0"/>
                  <w:vAlign w:val="center"/>
                </w:tcPr>
                <w:p w14:paraId="7BCAFB07">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选用低噪声设备并置于封闭空间，距离衰减</w:t>
                  </w:r>
                </w:p>
              </w:tc>
            </w:tr>
            <w:tr w14:paraId="39A5837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noWrap w:val="0"/>
                  <w:vAlign w:val="center"/>
                </w:tcPr>
                <w:p w14:paraId="4759B5BE">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309" w:type="pct"/>
                  <w:noWrap w:val="0"/>
                  <w:vAlign w:val="center"/>
                </w:tcPr>
                <w:p w14:paraId="5D856D88">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N2</w:t>
                  </w:r>
                </w:p>
              </w:tc>
              <w:tc>
                <w:tcPr>
                  <w:tcW w:w="681" w:type="pct"/>
                  <w:vMerge w:val="continue"/>
                  <w:noWrap w:val="0"/>
                  <w:vAlign w:val="center"/>
                </w:tcPr>
                <w:p w14:paraId="7C65A23B">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976" w:type="pct"/>
                  <w:noWrap w:val="0"/>
                  <w:vAlign w:val="center"/>
                </w:tcPr>
                <w:p w14:paraId="77D5805C">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发泡设备运转</w:t>
                  </w:r>
                </w:p>
              </w:tc>
              <w:tc>
                <w:tcPr>
                  <w:tcW w:w="696" w:type="pct"/>
                  <w:vMerge w:val="continue"/>
                  <w:noWrap w:val="0"/>
                  <w:vAlign w:val="center"/>
                </w:tcPr>
                <w:p w14:paraId="2A49FF97">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451" w:type="pct"/>
                  <w:vMerge w:val="continue"/>
                  <w:noWrap w:val="0"/>
                  <w:vAlign w:val="center"/>
                </w:tcPr>
                <w:p w14:paraId="50BAAAA6">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1613" w:type="pct"/>
                  <w:gridSpan w:val="2"/>
                  <w:vMerge w:val="continue"/>
                  <w:noWrap w:val="0"/>
                  <w:vAlign w:val="center"/>
                </w:tcPr>
                <w:p w14:paraId="7ADCC387">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r>
            <w:tr w14:paraId="7AD5B74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noWrap w:val="0"/>
                  <w:vAlign w:val="center"/>
                </w:tcPr>
                <w:p w14:paraId="66B9BEC1">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309" w:type="pct"/>
                  <w:noWrap w:val="0"/>
                  <w:vAlign w:val="center"/>
                </w:tcPr>
                <w:p w14:paraId="289418BA">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N3</w:t>
                  </w:r>
                </w:p>
              </w:tc>
              <w:tc>
                <w:tcPr>
                  <w:tcW w:w="681" w:type="pct"/>
                  <w:vMerge w:val="continue"/>
                  <w:noWrap w:val="0"/>
                  <w:vAlign w:val="center"/>
                </w:tcPr>
                <w:p w14:paraId="2C7E7DE9">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976" w:type="pct"/>
                  <w:noWrap w:val="0"/>
                  <w:vAlign w:val="center"/>
                </w:tcPr>
                <w:p w14:paraId="507A3A5B">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物料输送设备</w:t>
                  </w:r>
                </w:p>
              </w:tc>
              <w:tc>
                <w:tcPr>
                  <w:tcW w:w="696" w:type="pct"/>
                  <w:vMerge w:val="continue"/>
                  <w:noWrap w:val="0"/>
                  <w:vAlign w:val="center"/>
                </w:tcPr>
                <w:p w14:paraId="7DD2238B">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451" w:type="pct"/>
                  <w:vMerge w:val="continue"/>
                  <w:noWrap w:val="0"/>
                  <w:vAlign w:val="center"/>
                </w:tcPr>
                <w:p w14:paraId="00E4AA99">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1613" w:type="pct"/>
                  <w:gridSpan w:val="2"/>
                  <w:vMerge w:val="continue"/>
                  <w:noWrap w:val="0"/>
                  <w:vAlign w:val="center"/>
                </w:tcPr>
                <w:p w14:paraId="70459595">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r>
            <w:tr w14:paraId="2220D74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noWrap w:val="0"/>
                  <w:vAlign w:val="center"/>
                </w:tcPr>
                <w:p w14:paraId="17F8975B">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309" w:type="pct"/>
                  <w:noWrap w:val="0"/>
                  <w:vAlign w:val="center"/>
                </w:tcPr>
                <w:p w14:paraId="76EEFB6F">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N4</w:t>
                  </w:r>
                </w:p>
              </w:tc>
              <w:tc>
                <w:tcPr>
                  <w:tcW w:w="681" w:type="pct"/>
                  <w:vMerge w:val="continue"/>
                  <w:noWrap w:val="0"/>
                  <w:vAlign w:val="center"/>
                </w:tcPr>
                <w:p w14:paraId="2F059380">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976" w:type="pct"/>
                  <w:noWrap w:val="0"/>
                  <w:vAlign w:val="center"/>
                </w:tcPr>
                <w:p w14:paraId="016F55EA">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成型机运转</w:t>
                  </w:r>
                </w:p>
              </w:tc>
              <w:tc>
                <w:tcPr>
                  <w:tcW w:w="696" w:type="pct"/>
                  <w:vMerge w:val="continue"/>
                  <w:noWrap w:val="0"/>
                  <w:vAlign w:val="center"/>
                </w:tcPr>
                <w:p w14:paraId="02DA28E2">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451" w:type="pct"/>
                  <w:vMerge w:val="continue"/>
                  <w:noWrap w:val="0"/>
                  <w:vAlign w:val="center"/>
                </w:tcPr>
                <w:p w14:paraId="5E11539F">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1613" w:type="pct"/>
                  <w:gridSpan w:val="2"/>
                  <w:vMerge w:val="continue"/>
                  <w:noWrap w:val="0"/>
                  <w:vAlign w:val="center"/>
                </w:tcPr>
                <w:p w14:paraId="7A4860C7">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r>
            <w:tr w14:paraId="22BD6DF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noWrap w:val="0"/>
                  <w:vAlign w:val="center"/>
                </w:tcPr>
                <w:p w14:paraId="4383A82F">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309" w:type="pct"/>
                  <w:noWrap w:val="0"/>
                  <w:vAlign w:val="center"/>
                </w:tcPr>
                <w:p w14:paraId="1C1A3A4B">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N5</w:t>
                  </w:r>
                </w:p>
              </w:tc>
              <w:tc>
                <w:tcPr>
                  <w:tcW w:w="681" w:type="pct"/>
                  <w:vMerge w:val="continue"/>
                  <w:noWrap w:val="0"/>
                  <w:vAlign w:val="center"/>
                </w:tcPr>
                <w:p w14:paraId="41A3F8AA">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976" w:type="pct"/>
                  <w:noWrap w:val="0"/>
                  <w:vAlign w:val="center"/>
                </w:tcPr>
                <w:p w14:paraId="1DC97837">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切割设备运转</w:t>
                  </w:r>
                </w:p>
              </w:tc>
              <w:tc>
                <w:tcPr>
                  <w:tcW w:w="696" w:type="pct"/>
                  <w:vMerge w:val="continue"/>
                  <w:noWrap w:val="0"/>
                  <w:vAlign w:val="center"/>
                </w:tcPr>
                <w:p w14:paraId="36404993">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451" w:type="pct"/>
                  <w:vMerge w:val="continue"/>
                  <w:noWrap w:val="0"/>
                  <w:vAlign w:val="center"/>
                </w:tcPr>
                <w:p w14:paraId="43E7F1AC">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1613" w:type="pct"/>
                  <w:gridSpan w:val="2"/>
                  <w:vMerge w:val="continue"/>
                  <w:noWrap w:val="0"/>
                  <w:vAlign w:val="center"/>
                </w:tcPr>
                <w:p w14:paraId="554AA78A">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r>
            <w:tr w14:paraId="649E3AB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noWrap w:val="0"/>
                  <w:vAlign w:val="center"/>
                </w:tcPr>
                <w:p w14:paraId="6E3D4DB0">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309" w:type="pct"/>
                  <w:noWrap w:val="0"/>
                  <w:vAlign w:val="center"/>
                </w:tcPr>
                <w:p w14:paraId="5E88B967">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81" w:type="pct"/>
                  <w:vMerge w:val="continue"/>
                  <w:noWrap w:val="0"/>
                  <w:vAlign w:val="center"/>
                </w:tcPr>
                <w:p w14:paraId="71FBA218">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976" w:type="pct"/>
                  <w:noWrap w:val="0"/>
                  <w:vAlign w:val="center"/>
                </w:tcPr>
                <w:p w14:paraId="65B878D0">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空压机运转</w:t>
                  </w:r>
                </w:p>
              </w:tc>
              <w:tc>
                <w:tcPr>
                  <w:tcW w:w="696" w:type="pct"/>
                  <w:vMerge w:val="continue"/>
                  <w:noWrap w:val="0"/>
                  <w:vAlign w:val="center"/>
                </w:tcPr>
                <w:p w14:paraId="19CB456B">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451" w:type="pct"/>
                  <w:vMerge w:val="continue"/>
                  <w:noWrap w:val="0"/>
                  <w:vAlign w:val="center"/>
                </w:tcPr>
                <w:p w14:paraId="1041FA2A">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613" w:type="pct"/>
                  <w:gridSpan w:val="2"/>
                  <w:vMerge w:val="continue"/>
                  <w:noWrap w:val="0"/>
                  <w:vAlign w:val="center"/>
                </w:tcPr>
                <w:p w14:paraId="2F7B424A">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r>
            <w:tr w14:paraId="16AEFF1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noWrap w:val="0"/>
                  <w:vAlign w:val="center"/>
                </w:tcPr>
                <w:p w14:paraId="60D91D46">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309" w:type="pct"/>
                  <w:noWrap w:val="0"/>
                  <w:vAlign w:val="center"/>
                </w:tcPr>
                <w:p w14:paraId="7CDD9CBE">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81" w:type="pct"/>
                  <w:vMerge w:val="continue"/>
                  <w:noWrap w:val="0"/>
                  <w:vAlign w:val="center"/>
                </w:tcPr>
                <w:p w14:paraId="216D96FE">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976" w:type="pct"/>
                  <w:noWrap w:val="0"/>
                  <w:vAlign w:val="center"/>
                </w:tcPr>
                <w:p w14:paraId="6D67C0B4">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冷却水循环泵</w:t>
                  </w:r>
                </w:p>
              </w:tc>
              <w:tc>
                <w:tcPr>
                  <w:tcW w:w="696" w:type="pct"/>
                  <w:vMerge w:val="continue"/>
                  <w:noWrap w:val="0"/>
                  <w:vAlign w:val="center"/>
                </w:tcPr>
                <w:p w14:paraId="6FABF526">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451" w:type="pct"/>
                  <w:vMerge w:val="continue"/>
                  <w:noWrap w:val="0"/>
                  <w:vAlign w:val="center"/>
                </w:tcPr>
                <w:p w14:paraId="105B2140">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613" w:type="pct"/>
                  <w:gridSpan w:val="2"/>
                  <w:vMerge w:val="continue"/>
                  <w:noWrap w:val="0"/>
                  <w:vAlign w:val="center"/>
                </w:tcPr>
                <w:p w14:paraId="6C610D37">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r>
            <w:tr w14:paraId="457F979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noWrap w:val="0"/>
                  <w:vAlign w:val="center"/>
                </w:tcPr>
                <w:p w14:paraId="3629C75E">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309" w:type="pct"/>
                  <w:noWrap w:val="0"/>
                  <w:vAlign w:val="center"/>
                </w:tcPr>
                <w:p w14:paraId="4C5C5223">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81" w:type="pct"/>
                  <w:vMerge w:val="continue"/>
                  <w:noWrap w:val="0"/>
                  <w:vAlign w:val="center"/>
                </w:tcPr>
                <w:p w14:paraId="325634B3">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976" w:type="pct"/>
                  <w:noWrap w:val="0"/>
                  <w:vAlign w:val="center"/>
                </w:tcPr>
                <w:p w14:paraId="1DB94768">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废气治理设施风机</w:t>
                  </w:r>
                </w:p>
              </w:tc>
              <w:tc>
                <w:tcPr>
                  <w:tcW w:w="696" w:type="pct"/>
                  <w:vMerge w:val="continue"/>
                  <w:noWrap w:val="0"/>
                  <w:vAlign w:val="center"/>
                </w:tcPr>
                <w:p w14:paraId="6F687013">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451" w:type="pct"/>
                  <w:vMerge w:val="continue"/>
                  <w:noWrap w:val="0"/>
                  <w:vAlign w:val="center"/>
                </w:tcPr>
                <w:p w14:paraId="45C10CF0">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613" w:type="pct"/>
                  <w:gridSpan w:val="2"/>
                  <w:vMerge w:val="continue"/>
                  <w:noWrap w:val="0"/>
                  <w:vAlign w:val="center"/>
                </w:tcPr>
                <w:p w14:paraId="616CDD5C">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r>
            <w:tr w14:paraId="3E79B1B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restart"/>
                  <w:shd w:val="clear" w:color="auto" w:fill="auto"/>
                  <w:noWrap w:val="0"/>
                  <w:vAlign w:val="center"/>
                </w:tcPr>
                <w:p w14:paraId="13F80B50">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固体废物</w:t>
                  </w:r>
                </w:p>
              </w:tc>
              <w:tc>
                <w:tcPr>
                  <w:tcW w:w="309" w:type="pct"/>
                  <w:shd w:val="clear" w:color="auto" w:fill="auto"/>
                  <w:noWrap w:val="0"/>
                  <w:vAlign w:val="center"/>
                </w:tcPr>
                <w:p w14:paraId="6B511ADA">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S1</w:t>
                  </w:r>
                </w:p>
              </w:tc>
              <w:tc>
                <w:tcPr>
                  <w:tcW w:w="681" w:type="pct"/>
                  <w:shd w:val="clear" w:color="auto" w:fill="FFFFFF"/>
                  <w:noWrap w:val="0"/>
                  <w:vAlign w:val="center"/>
                </w:tcPr>
                <w:p w14:paraId="2429ABB0">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聚苯乙烯废包装</w:t>
                  </w:r>
                </w:p>
              </w:tc>
              <w:tc>
                <w:tcPr>
                  <w:tcW w:w="976" w:type="pct"/>
                  <w:noWrap w:val="0"/>
                  <w:vAlign w:val="center"/>
                </w:tcPr>
                <w:p w14:paraId="3286519E">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上料</w:t>
                  </w:r>
                </w:p>
              </w:tc>
              <w:tc>
                <w:tcPr>
                  <w:tcW w:w="696" w:type="pct"/>
                  <w:noWrap w:val="0"/>
                  <w:vAlign w:val="center"/>
                </w:tcPr>
                <w:p w14:paraId="101E873C">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塑料袋</w:t>
                  </w:r>
                </w:p>
              </w:tc>
              <w:tc>
                <w:tcPr>
                  <w:tcW w:w="451" w:type="pct"/>
                  <w:noWrap w:val="0"/>
                  <w:vAlign w:val="center"/>
                </w:tcPr>
                <w:p w14:paraId="1DA33258">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间断</w:t>
                  </w:r>
                </w:p>
              </w:tc>
              <w:tc>
                <w:tcPr>
                  <w:tcW w:w="1613" w:type="pct"/>
                  <w:gridSpan w:val="2"/>
                  <w:vMerge w:val="restart"/>
                  <w:noWrap w:val="0"/>
                  <w:vAlign w:val="center"/>
                </w:tcPr>
                <w:p w14:paraId="22ABC4AA">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统一收集，外卖废品收购站</w:t>
                  </w:r>
                </w:p>
              </w:tc>
            </w:tr>
            <w:tr w14:paraId="767D8EB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shd w:val="clear" w:color="auto" w:fill="auto"/>
                  <w:noWrap w:val="0"/>
                  <w:vAlign w:val="center"/>
                </w:tcPr>
                <w:p w14:paraId="743D19EC">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309" w:type="pct"/>
                  <w:shd w:val="clear" w:color="auto" w:fill="auto"/>
                  <w:noWrap w:val="0"/>
                  <w:vAlign w:val="center"/>
                </w:tcPr>
                <w:p w14:paraId="654E98FF">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S2</w:t>
                  </w:r>
                </w:p>
              </w:tc>
              <w:tc>
                <w:tcPr>
                  <w:tcW w:w="681" w:type="pct"/>
                  <w:shd w:val="clear" w:color="auto" w:fill="FFFFFF"/>
                  <w:noWrap w:val="0"/>
                  <w:vAlign w:val="center"/>
                </w:tcPr>
                <w:p w14:paraId="609C0F4D">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不合格产品</w:t>
                  </w:r>
                </w:p>
              </w:tc>
              <w:tc>
                <w:tcPr>
                  <w:tcW w:w="976" w:type="pct"/>
                  <w:noWrap w:val="0"/>
                  <w:vAlign w:val="center"/>
                </w:tcPr>
                <w:p w14:paraId="5969AF2B">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成型</w:t>
                  </w:r>
                </w:p>
              </w:tc>
              <w:tc>
                <w:tcPr>
                  <w:tcW w:w="696" w:type="pct"/>
                  <w:vMerge w:val="restart"/>
                  <w:noWrap w:val="0"/>
                  <w:vAlign w:val="center"/>
                </w:tcPr>
                <w:p w14:paraId="2FF9AC8D">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发泡后聚苯乙烯</w:t>
                  </w:r>
                </w:p>
              </w:tc>
              <w:tc>
                <w:tcPr>
                  <w:tcW w:w="451" w:type="pct"/>
                  <w:noWrap w:val="0"/>
                  <w:vAlign w:val="center"/>
                </w:tcPr>
                <w:p w14:paraId="73F4CE82">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间断</w:t>
                  </w:r>
                </w:p>
              </w:tc>
              <w:tc>
                <w:tcPr>
                  <w:tcW w:w="1613" w:type="pct"/>
                  <w:gridSpan w:val="2"/>
                  <w:vMerge w:val="continue"/>
                  <w:noWrap w:val="0"/>
                  <w:vAlign w:val="center"/>
                </w:tcPr>
                <w:p w14:paraId="04ED1178">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r>
            <w:tr w14:paraId="6F51D99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shd w:val="clear" w:color="auto" w:fill="auto"/>
                  <w:noWrap w:val="0"/>
                  <w:vAlign w:val="center"/>
                </w:tcPr>
                <w:p w14:paraId="65640CC1">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309" w:type="pct"/>
                  <w:shd w:val="clear" w:color="auto" w:fill="auto"/>
                  <w:noWrap w:val="0"/>
                  <w:vAlign w:val="center"/>
                </w:tcPr>
                <w:p w14:paraId="75184348">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S3</w:t>
                  </w:r>
                </w:p>
              </w:tc>
              <w:tc>
                <w:tcPr>
                  <w:tcW w:w="681" w:type="pct"/>
                  <w:shd w:val="clear" w:color="auto" w:fill="FFFFFF"/>
                  <w:noWrap w:val="0"/>
                  <w:vAlign w:val="center"/>
                </w:tcPr>
                <w:p w14:paraId="2E7F02FE">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聚苯乙烯边角料</w:t>
                  </w:r>
                </w:p>
              </w:tc>
              <w:tc>
                <w:tcPr>
                  <w:tcW w:w="976" w:type="pct"/>
                  <w:noWrap w:val="0"/>
                  <w:vAlign w:val="center"/>
                </w:tcPr>
                <w:p w14:paraId="570B5E8E">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切割</w:t>
                  </w:r>
                </w:p>
              </w:tc>
              <w:tc>
                <w:tcPr>
                  <w:tcW w:w="696" w:type="pct"/>
                  <w:vMerge w:val="continue"/>
                  <w:noWrap w:val="0"/>
                  <w:vAlign w:val="center"/>
                </w:tcPr>
                <w:p w14:paraId="09A3B992">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c>
                <w:tcPr>
                  <w:tcW w:w="451" w:type="pct"/>
                  <w:noWrap w:val="0"/>
                  <w:vAlign w:val="center"/>
                </w:tcPr>
                <w:p w14:paraId="122C909C">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间断</w:t>
                  </w:r>
                </w:p>
              </w:tc>
              <w:tc>
                <w:tcPr>
                  <w:tcW w:w="1613" w:type="pct"/>
                  <w:gridSpan w:val="2"/>
                  <w:vMerge w:val="continue"/>
                  <w:noWrap w:val="0"/>
                  <w:vAlign w:val="center"/>
                </w:tcPr>
                <w:p w14:paraId="20EEB6F4">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p>
              </w:tc>
            </w:tr>
            <w:tr w14:paraId="1C5F4A6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shd w:val="clear" w:color="auto" w:fill="auto"/>
                  <w:noWrap w:val="0"/>
                  <w:vAlign w:val="center"/>
                </w:tcPr>
                <w:p w14:paraId="69C08C9E">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309" w:type="pct"/>
                  <w:shd w:val="clear" w:color="auto" w:fill="auto"/>
                  <w:noWrap w:val="0"/>
                  <w:vAlign w:val="center"/>
                </w:tcPr>
                <w:p w14:paraId="323D7B8E">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81" w:type="pct"/>
                  <w:shd w:val="clear" w:color="auto" w:fill="FFFFFF"/>
                  <w:noWrap w:val="0"/>
                  <w:vAlign w:val="center"/>
                </w:tcPr>
                <w:p w14:paraId="1AB2591A">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废气治理</w:t>
                  </w:r>
                </w:p>
              </w:tc>
              <w:tc>
                <w:tcPr>
                  <w:tcW w:w="976" w:type="pct"/>
                  <w:noWrap w:val="0"/>
                  <w:vAlign w:val="center"/>
                </w:tcPr>
                <w:p w14:paraId="6767C6A0">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废气治理</w:t>
                  </w:r>
                </w:p>
              </w:tc>
              <w:tc>
                <w:tcPr>
                  <w:tcW w:w="696" w:type="pct"/>
                  <w:noWrap w:val="0"/>
                  <w:vAlign w:val="center"/>
                </w:tcPr>
                <w:p w14:paraId="7DC85424">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废活性炭</w:t>
                  </w:r>
                  <w:r>
                    <w:rPr>
                      <w:rFonts w:hint="eastAsia" w:cs="Times New Roman"/>
                      <w:color w:val="auto"/>
                      <w:sz w:val="21"/>
                      <w:szCs w:val="21"/>
                      <w:highlight w:val="none"/>
                      <w:lang w:val="en-US" w:eastAsia="zh-CN"/>
                    </w:rPr>
                    <w:t>、废催化剂</w:t>
                  </w:r>
                </w:p>
              </w:tc>
              <w:tc>
                <w:tcPr>
                  <w:tcW w:w="451" w:type="pct"/>
                  <w:noWrap w:val="0"/>
                  <w:vAlign w:val="center"/>
                </w:tcPr>
                <w:p w14:paraId="633F15E8">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间断</w:t>
                  </w:r>
                </w:p>
              </w:tc>
              <w:tc>
                <w:tcPr>
                  <w:tcW w:w="1613" w:type="pct"/>
                  <w:gridSpan w:val="2"/>
                  <w:noWrap w:val="0"/>
                  <w:vAlign w:val="center"/>
                </w:tcPr>
                <w:p w14:paraId="22E3BBDD">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暂存危险废物暂存</w:t>
                  </w:r>
                  <w:r>
                    <w:rPr>
                      <w:rFonts w:hint="eastAsia" w:cs="Times New Roman"/>
                      <w:color w:val="auto"/>
                      <w:sz w:val="21"/>
                      <w:szCs w:val="21"/>
                      <w:highlight w:val="none"/>
                      <w:lang w:val="en-US" w:eastAsia="zh-CN"/>
                    </w:rPr>
                    <w:t>间</w:t>
                  </w:r>
                  <w:r>
                    <w:rPr>
                      <w:rFonts w:hint="default"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交由</w:t>
                  </w:r>
                  <w:r>
                    <w:rPr>
                      <w:rFonts w:hint="default" w:ascii="Times New Roman" w:hAnsi="Times New Roman" w:eastAsia="宋体" w:cs="Times New Roman"/>
                      <w:color w:val="auto"/>
                      <w:sz w:val="21"/>
                      <w:szCs w:val="21"/>
                      <w:highlight w:val="none"/>
                      <w:lang w:val="en-US" w:eastAsia="zh-CN"/>
                    </w:rPr>
                    <w:t>资质单位处理</w:t>
                  </w:r>
                </w:p>
              </w:tc>
            </w:tr>
            <w:tr w14:paraId="1175664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2" w:type="pct"/>
                  <w:vMerge w:val="continue"/>
                  <w:shd w:val="clear" w:color="auto" w:fill="auto"/>
                  <w:noWrap w:val="0"/>
                  <w:vAlign w:val="center"/>
                </w:tcPr>
                <w:p w14:paraId="218AC0EB">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rPr>
                  </w:pPr>
                </w:p>
              </w:tc>
              <w:tc>
                <w:tcPr>
                  <w:tcW w:w="309" w:type="pct"/>
                  <w:shd w:val="clear" w:color="auto" w:fill="auto"/>
                  <w:noWrap w:val="0"/>
                  <w:vAlign w:val="center"/>
                </w:tcPr>
                <w:p w14:paraId="76F2481E">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81" w:type="pct"/>
                  <w:shd w:val="clear" w:color="auto" w:fill="FFFFFF"/>
                  <w:noWrap w:val="0"/>
                  <w:vAlign w:val="center"/>
                </w:tcPr>
                <w:p w14:paraId="5BBC0AF1">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职工生活垃圾</w:t>
                  </w:r>
                </w:p>
              </w:tc>
              <w:tc>
                <w:tcPr>
                  <w:tcW w:w="976" w:type="pct"/>
                  <w:noWrap w:val="0"/>
                  <w:vAlign w:val="center"/>
                </w:tcPr>
                <w:p w14:paraId="591079EF">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职工生活</w:t>
                  </w:r>
                </w:p>
              </w:tc>
              <w:tc>
                <w:tcPr>
                  <w:tcW w:w="696" w:type="pct"/>
                  <w:noWrap w:val="0"/>
                  <w:vAlign w:val="center"/>
                </w:tcPr>
                <w:p w14:paraId="0EB02F65">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纸、塑料等</w:t>
                  </w:r>
                </w:p>
              </w:tc>
              <w:tc>
                <w:tcPr>
                  <w:tcW w:w="451" w:type="pct"/>
                  <w:noWrap w:val="0"/>
                  <w:vAlign w:val="center"/>
                </w:tcPr>
                <w:p w14:paraId="40712E74">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间断</w:t>
                  </w:r>
                </w:p>
              </w:tc>
              <w:tc>
                <w:tcPr>
                  <w:tcW w:w="1613" w:type="pct"/>
                  <w:gridSpan w:val="2"/>
                  <w:noWrap w:val="0"/>
                  <w:vAlign w:val="center"/>
                </w:tcPr>
                <w:p w14:paraId="22468DA4">
                  <w:pPr>
                    <w:keepNext w:val="0"/>
                    <w:keepLines w:val="0"/>
                    <w:pageBreakBefore w:val="0"/>
                    <w:widowControl w:val="0"/>
                    <w:kinsoku/>
                    <w:wordWrap/>
                    <w:overflowPunct/>
                    <w:topLinePunct w:val="0"/>
                    <w:autoSpaceDE/>
                    <w:autoSpaceDN/>
                    <w:bidi w:val="0"/>
                    <w:adjustRightInd/>
                    <w:snapToGrid w:val="0"/>
                    <w:spacing w:line="240" w:lineRule="auto"/>
                    <w:ind w:left="-42" w:leftChars="-20" w:right="-42" w:rightChars="-2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统一收集后，交环卫部门处理</w:t>
                  </w:r>
                </w:p>
              </w:tc>
            </w:tr>
          </w:tbl>
          <w:p w14:paraId="36A7296A">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left"/>
              <w:textAlignment w:val="auto"/>
              <w:rPr>
                <w:rFonts w:hint="default"/>
                <w:color w:val="auto"/>
                <w:sz w:val="24"/>
                <w:szCs w:val="24"/>
                <w:highlight w:val="none"/>
                <w:lang w:val="en-US" w:eastAsia="zh-CN"/>
              </w:rPr>
            </w:pPr>
          </w:p>
        </w:tc>
      </w:tr>
      <w:tr w14:paraId="524FFE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4" w:hRule="atLeast"/>
          <w:jc w:val="center"/>
        </w:trPr>
        <w:tc>
          <w:tcPr>
            <w:tcW w:w="646" w:type="dxa"/>
            <w:noWrap w:val="0"/>
            <w:vAlign w:val="center"/>
          </w:tcPr>
          <w:p w14:paraId="0FBE5C42">
            <w:pPr>
              <w:pStyle w:val="30"/>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tLeast"/>
              <w:jc w:val="center"/>
              <w:textAlignment w:val="auto"/>
              <w:rPr>
                <w:rFonts w:ascii="Times New Roman" w:hAnsi="Times New Roman"/>
                <w:color w:val="auto"/>
                <w:szCs w:val="24"/>
                <w:highlight w:val="none"/>
              </w:rPr>
            </w:pPr>
            <w:r>
              <w:rPr>
                <w:rFonts w:ascii="Times New Roman" w:hAnsi="Times New Roman"/>
                <w:bCs/>
                <w:color w:val="auto"/>
                <w:kern w:val="2"/>
                <w:szCs w:val="24"/>
                <w:highlight w:val="none"/>
              </w:rPr>
              <w:t>与项目有关的原有环境污染问题</w:t>
            </w:r>
          </w:p>
        </w:tc>
        <w:tc>
          <w:tcPr>
            <w:tcW w:w="8338" w:type="dxa"/>
            <w:noWrap w:val="0"/>
            <w:vAlign w:val="top"/>
          </w:tcPr>
          <w:p w14:paraId="07DBFFFA">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color w:val="auto"/>
                <w:sz w:val="24"/>
                <w:szCs w:val="24"/>
                <w:highlight w:val="none"/>
                <w:lang w:val="en-US" w:eastAsia="zh-CN"/>
              </w:rPr>
            </w:pPr>
            <w:r>
              <w:rPr>
                <w:rFonts w:hint="eastAsia"/>
                <w:color w:val="auto"/>
                <w:sz w:val="24"/>
                <w:szCs w:val="24"/>
                <w:highlight w:val="none"/>
                <w:lang w:val="en-US" w:eastAsia="zh-CN"/>
              </w:rPr>
              <w:t>本项目属于新建项目，无与项目有关的环境问题。</w:t>
            </w:r>
          </w:p>
          <w:p w14:paraId="59FF3888">
            <w:pPr>
              <w:pStyle w:val="12"/>
              <w:rPr>
                <w:rFonts w:hint="eastAsia"/>
                <w:color w:val="auto"/>
                <w:sz w:val="24"/>
                <w:szCs w:val="24"/>
                <w:highlight w:val="none"/>
                <w:lang w:val="en-US" w:eastAsia="zh-CN"/>
              </w:rPr>
            </w:pPr>
          </w:p>
          <w:p w14:paraId="5D3198CB">
            <w:pPr>
              <w:pStyle w:val="13"/>
              <w:widowControl w:val="0"/>
              <w:numPr>
                <w:ilvl w:val="0"/>
                <w:numId w:val="0"/>
              </w:numPr>
              <w:jc w:val="both"/>
              <w:rPr>
                <w:rFonts w:hint="eastAsia"/>
                <w:color w:val="auto"/>
                <w:sz w:val="24"/>
                <w:szCs w:val="24"/>
                <w:highlight w:val="none"/>
                <w:lang w:val="en-US" w:eastAsia="zh-CN"/>
              </w:rPr>
            </w:pPr>
          </w:p>
          <w:p w14:paraId="6E35FC76">
            <w:pPr>
              <w:pStyle w:val="13"/>
              <w:widowControl w:val="0"/>
              <w:numPr>
                <w:ilvl w:val="0"/>
                <w:numId w:val="0"/>
              </w:numPr>
              <w:jc w:val="both"/>
              <w:rPr>
                <w:rFonts w:hint="eastAsia"/>
                <w:color w:val="auto"/>
                <w:sz w:val="24"/>
                <w:szCs w:val="24"/>
                <w:highlight w:val="none"/>
                <w:lang w:val="en-US" w:eastAsia="zh-CN"/>
              </w:rPr>
            </w:pPr>
          </w:p>
          <w:p w14:paraId="09ECC002">
            <w:pPr>
              <w:pStyle w:val="13"/>
              <w:widowControl w:val="0"/>
              <w:numPr>
                <w:ilvl w:val="0"/>
                <w:numId w:val="0"/>
              </w:numPr>
              <w:jc w:val="both"/>
              <w:rPr>
                <w:rFonts w:hint="eastAsia"/>
                <w:color w:val="auto"/>
                <w:sz w:val="24"/>
                <w:szCs w:val="24"/>
                <w:highlight w:val="none"/>
                <w:lang w:val="en-US" w:eastAsia="zh-CN"/>
              </w:rPr>
            </w:pPr>
          </w:p>
          <w:p w14:paraId="5D7811DF">
            <w:pPr>
              <w:pStyle w:val="13"/>
              <w:widowControl w:val="0"/>
              <w:numPr>
                <w:ilvl w:val="0"/>
                <w:numId w:val="0"/>
              </w:numPr>
              <w:jc w:val="both"/>
              <w:rPr>
                <w:rFonts w:hint="eastAsia"/>
                <w:color w:val="auto"/>
                <w:sz w:val="24"/>
                <w:szCs w:val="24"/>
                <w:highlight w:val="none"/>
                <w:lang w:val="en-US" w:eastAsia="zh-CN"/>
              </w:rPr>
            </w:pPr>
          </w:p>
          <w:p w14:paraId="7C28E0EA">
            <w:pPr>
              <w:pStyle w:val="13"/>
              <w:widowControl w:val="0"/>
              <w:numPr>
                <w:ilvl w:val="0"/>
                <w:numId w:val="0"/>
              </w:numPr>
              <w:jc w:val="both"/>
              <w:rPr>
                <w:rFonts w:hint="eastAsia"/>
                <w:color w:val="auto"/>
                <w:sz w:val="24"/>
                <w:szCs w:val="24"/>
                <w:highlight w:val="none"/>
                <w:lang w:val="en-US" w:eastAsia="zh-CN"/>
              </w:rPr>
            </w:pPr>
          </w:p>
          <w:p w14:paraId="594D883D">
            <w:pPr>
              <w:pStyle w:val="13"/>
              <w:widowControl w:val="0"/>
              <w:numPr>
                <w:ilvl w:val="0"/>
                <w:numId w:val="0"/>
              </w:numPr>
              <w:jc w:val="both"/>
              <w:rPr>
                <w:rFonts w:hint="eastAsia"/>
                <w:color w:val="auto"/>
                <w:sz w:val="24"/>
                <w:szCs w:val="24"/>
                <w:highlight w:val="none"/>
                <w:lang w:val="en-US" w:eastAsia="zh-CN"/>
              </w:rPr>
            </w:pPr>
          </w:p>
          <w:p w14:paraId="38215752">
            <w:pPr>
              <w:pStyle w:val="13"/>
              <w:widowControl w:val="0"/>
              <w:numPr>
                <w:ilvl w:val="0"/>
                <w:numId w:val="0"/>
              </w:numPr>
              <w:jc w:val="both"/>
              <w:rPr>
                <w:rFonts w:hint="eastAsia"/>
                <w:color w:val="auto"/>
                <w:sz w:val="24"/>
                <w:szCs w:val="24"/>
                <w:highlight w:val="none"/>
                <w:lang w:val="en-US" w:eastAsia="zh-CN"/>
              </w:rPr>
            </w:pPr>
          </w:p>
          <w:p w14:paraId="56CEB485">
            <w:pPr>
              <w:pStyle w:val="13"/>
              <w:widowControl w:val="0"/>
              <w:numPr>
                <w:ilvl w:val="0"/>
                <w:numId w:val="0"/>
              </w:numPr>
              <w:jc w:val="both"/>
              <w:rPr>
                <w:rFonts w:hint="eastAsia"/>
                <w:color w:val="auto"/>
                <w:sz w:val="24"/>
                <w:szCs w:val="24"/>
                <w:highlight w:val="none"/>
                <w:lang w:val="en-US" w:eastAsia="zh-CN"/>
              </w:rPr>
            </w:pPr>
          </w:p>
          <w:p w14:paraId="78E08AD5">
            <w:pPr>
              <w:pStyle w:val="13"/>
              <w:widowControl w:val="0"/>
              <w:numPr>
                <w:ilvl w:val="0"/>
                <w:numId w:val="0"/>
              </w:numPr>
              <w:jc w:val="both"/>
              <w:rPr>
                <w:rFonts w:hint="eastAsia"/>
                <w:color w:val="auto"/>
                <w:sz w:val="24"/>
                <w:szCs w:val="24"/>
                <w:highlight w:val="none"/>
                <w:lang w:val="en-US" w:eastAsia="zh-CN"/>
              </w:rPr>
            </w:pPr>
          </w:p>
          <w:p w14:paraId="133A8C87">
            <w:pPr>
              <w:pStyle w:val="13"/>
              <w:widowControl w:val="0"/>
              <w:numPr>
                <w:ilvl w:val="0"/>
                <w:numId w:val="0"/>
              </w:numPr>
              <w:jc w:val="both"/>
              <w:rPr>
                <w:rFonts w:hint="eastAsia"/>
                <w:color w:val="auto"/>
                <w:sz w:val="24"/>
                <w:szCs w:val="24"/>
                <w:highlight w:val="none"/>
                <w:lang w:val="en-US" w:eastAsia="zh-CN"/>
              </w:rPr>
            </w:pPr>
          </w:p>
          <w:p w14:paraId="6202D0C8">
            <w:pPr>
              <w:pStyle w:val="13"/>
              <w:widowControl w:val="0"/>
              <w:numPr>
                <w:ilvl w:val="0"/>
                <w:numId w:val="0"/>
              </w:numPr>
              <w:jc w:val="both"/>
              <w:rPr>
                <w:rFonts w:hint="eastAsia"/>
                <w:color w:val="auto"/>
                <w:sz w:val="24"/>
                <w:szCs w:val="24"/>
                <w:highlight w:val="none"/>
                <w:lang w:val="en-US" w:eastAsia="zh-CN"/>
              </w:rPr>
            </w:pPr>
          </w:p>
          <w:p w14:paraId="7ABC1C18">
            <w:pPr>
              <w:pStyle w:val="13"/>
              <w:widowControl w:val="0"/>
              <w:numPr>
                <w:ilvl w:val="0"/>
                <w:numId w:val="0"/>
              </w:numPr>
              <w:jc w:val="both"/>
              <w:rPr>
                <w:rFonts w:hint="eastAsia"/>
                <w:color w:val="auto"/>
                <w:sz w:val="24"/>
                <w:szCs w:val="24"/>
                <w:highlight w:val="none"/>
                <w:lang w:val="en-US" w:eastAsia="zh-CN"/>
              </w:rPr>
            </w:pPr>
          </w:p>
          <w:p w14:paraId="6F568512">
            <w:pPr>
              <w:pStyle w:val="13"/>
              <w:widowControl w:val="0"/>
              <w:numPr>
                <w:ilvl w:val="0"/>
                <w:numId w:val="0"/>
              </w:numPr>
              <w:jc w:val="both"/>
              <w:rPr>
                <w:rFonts w:hint="eastAsia"/>
                <w:color w:val="auto"/>
                <w:sz w:val="24"/>
                <w:szCs w:val="24"/>
                <w:highlight w:val="none"/>
                <w:lang w:val="en-US" w:eastAsia="zh-CN"/>
              </w:rPr>
            </w:pPr>
          </w:p>
          <w:p w14:paraId="5F63CB2F">
            <w:pPr>
              <w:pStyle w:val="13"/>
              <w:widowControl w:val="0"/>
              <w:numPr>
                <w:ilvl w:val="0"/>
                <w:numId w:val="0"/>
              </w:numPr>
              <w:jc w:val="both"/>
              <w:rPr>
                <w:rFonts w:hint="eastAsia"/>
                <w:color w:val="auto"/>
                <w:sz w:val="24"/>
                <w:szCs w:val="24"/>
                <w:highlight w:val="none"/>
                <w:lang w:val="en-US" w:eastAsia="zh-CN"/>
              </w:rPr>
            </w:pPr>
          </w:p>
          <w:p w14:paraId="0DDEF8C3">
            <w:pPr>
              <w:pStyle w:val="13"/>
              <w:widowControl w:val="0"/>
              <w:numPr>
                <w:ilvl w:val="0"/>
                <w:numId w:val="0"/>
              </w:numPr>
              <w:jc w:val="both"/>
              <w:rPr>
                <w:rFonts w:hint="eastAsia"/>
                <w:color w:val="auto"/>
                <w:sz w:val="24"/>
                <w:szCs w:val="24"/>
                <w:highlight w:val="none"/>
                <w:lang w:val="en-US" w:eastAsia="zh-CN"/>
              </w:rPr>
            </w:pPr>
          </w:p>
          <w:p w14:paraId="4583ED51">
            <w:pPr>
              <w:pStyle w:val="13"/>
              <w:widowControl w:val="0"/>
              <w:numPr>
                <w:ilvl w:val="0"/>
                <w:numId w:val="0"/>
              </w:numPr>
              <w:jc w:val="both"/>
              <w:rPr>
                <w:rFonts w:hint="eastAsia"/>
                <w:color w:val="auto"/>
                <w:sz w:val="24"/>
                <w:szCs w:val="24"/>
                <w:highlight w:val="none"/>
                <w:lang w:val="en-US" w:eastAsia="zh-CN"/>
              </w:rPr>
            </w:pPr>
          </w:p>
          <w:p w14:paraId="092E95F0">
            <w:pPr>
              <w:pStyle w:val="13"/>
              <w:widowControl w:val="0"/>
              <w:numPr>
                <w:ilvl w:val="0"/>
                <w:numId w:val="0"/>
              </w:numPr>
              <w:jc w:val="both"/>
              <w:rPr>
                <w:rFonts w:hint="eastAsia"/>
                <w:color w:val="auto"/>
                <w:sz w:val="24"/>
                <w:szCs w:val="24"/>
                <w:highlight w:val="none"/>
                <w:lang w:val="en-US" w:eastAsia="zh-CN"/>
              </w:rPr>
            </w:pPr>
          </w:p>
          <w:p w14:paraId="7F2A0823">
            <w:pPr>
              <w:pStyle w:val="13"/>
              <w:widowControl w:val="0"/>
              <w:numPr>
                <w:ilvl w:val="0"/>
                <w:numId w:val="0"/>
              </w:numPr>
              <w:jc w:val="both"/>
              <w:rPr>
                <w:rFonts w:hint="eastAsia"/>
                <w:color w:val="auto"/>
                <w:sz w:val="24"/>
                <w:szCs w:val="24"/>
                <w:highlight w:val="none"/>
                <w:lang w:val="en-US" w:eastAsia="zh-CN"/>
              </w:rPr>
            </w:pPr>
          </w:p>
          <w:p w14:paraId="04AA1C92">
            <w:pPr>
              <w:pStyle w:val="13"/>
              <w:widowControl w:val="0"/>
              <w:numPr>
                <w:ilvl w:val="0"/>
                <w:numId w:val="0"/>
              </w:numPr>
              <w:jc w:val="both"/>
              <w:rPr>
                <w:rFonts w:hint="eastAsia"/>
                <w:color w:val="auto"/>
                <w:sz w:val="24"/>
                <w:szCs w:val="24"/>
                <w:highlight w:val="none"/>
                <w:lang w:val="en-US" w:eastAsia="zh-CN"/>
              </w:rPr>
            </w:pPr>
          </w:p>
          <w:p w14:paraId="341A72E9">
            <w:pPr>
              <w:pStyle w:val="13"/>
              <w:widowControl w:val="0"/>
              <w:numPr>
                <w:ilvl w:val="0"/>
                <w:numId w:val="0"/>
              </w:numPr>
              <w:jc w:val="both"/>
              <w:rPr>
                <w:rFonts w:hint="eastAsia"/>
                <w:color w:val="auto"/>
                <w:sz w:val="24"/>
                <w:szCs w:val="24"/>
                <w:highlight w:val="none"/>
                <w:lang w:val="en-US" w:eastAsia="zh-CN"/>
              </w:rPr>
            </w:pPr>
          </w:p>
          <w:p w14:paraId="1CDA8AE6">
            <w:pPr>
              <w:pStyle w:val="13"/>
              <w:widowControl w:val="0"/>
              <w:numPr>
                <w:ilvl w:val="0"/>
                <w:numId w:val="0"/>
              </w:numPr>
              <w:jc w:val="both"/>
              <w:rPr>
                <w:rFonts w:hint="eastAsia"/>
                <w:color w:val="auto"/>
                <w:sz w:val="24"/>
                <w:szCs w:val="24"/>
                <w:highlight w:val="none"/>
                <w:lang w:val="en-US" w:eastAsia="zh-CN"/>
              </w:rPr>
            </w:pPr>
          </w:p>
          <w:p w14:paraId="7793C91C">
            <w:pPr>
              <w:pStyle w:val="13"/>
              <w:widowControl w:val="0"/>
              <w:numPr>
                <w:ilvl w:val="0"/>
                <w:numId w:val="0"/>
              </w:numPr>
              <w:jc w:val="both"/>
              <w:rPr>
                <w:rFonts w:hint="eastAsia"/>
                <w:color w:val="auto"/>
                <w:sz w:val="24"/>
                <w:szCs w:val="24"/>
                <w:highlight w:val="none"/>
                <w:lang w:val="en-US" w:eastAsia="zh-CN"/>
              </w:rPr>
            </w:pPr>
          </w:p>
          <w:p w14:paraId="0CCB511A">
            <w:pPr>
              <w:pStyle w:val="13"/>
              <w:widowControl w:val="0"/>
              <w:numPr>
                <w:ilvl w:val="0"/>
                <w:numId w:val="0"/>
              </w:numPr>
              <w:jc w:val="both"/>
              <w:rPr>
                <w:rFonts w:hint="eastAsia"/>
                <w:color w:val="auto"/>
                <w:sz w:val="24"/>
                <w:szCs w:val="24"/>
                <w:highlight w:val="none"/>
                <w:lang w:val="en-US" w:eastAsia="zh-CN"/>
              </w:rPr>
            </w:pPr>
          </w:p>
          <w:p w14:paraId="01492C8D">
            <w:pPr>
              <w:pStyle w:val="13"/>
              <w:widowControl w:val="0"/>
              <w:numPr>
                <w:ilvl w:val="0"/>
                <w:numId w:val="0"/>
              </w:numPr>
              <w:jc w:val="both"/>
              <w:rPr>
                <w:rFonts w:hint="eastAsia"/>
                <w:color w:val="auto"/>
                <w:sz w:val="24"/>
                <w:szCs w:val="24"/>
                <w:highlight w:val="none"/>
                <w:lang w:val="en-US" w:eastAsia="zh-CN"/>
              </w:rPr>
            </w:pPr>
          </w:p>
          <w:p w14:paraId="0774B09C">
            <w:pPr>
              <w:pStyle w:val="13"/>
              <w:widowControl w:val="0"/>
              <w:numPr>
                <w:ilvl w:val="0"/>
                <w:numId w:val="0"/>
              </w:numPr>
              <w:jc w:val="both"/>
              <w:rPr>
                <w:rFonts w:hint="eastAsia"/>
                <w:color w:val="auto"/>
                <w:sz w:val="24"/>
                <w:szCs w:val="24"/>
                <w:highlight w:val="none"/>
                <w:lang w:val="en-US" w:eastAsia="zh-CN"/>
              </w:rPr>
            </w:pPr>
          </w:p>
          <w:p w14:paraId="5AC7D06B">
            <w:pPr>
              <w:pStyle w:val="13"/>
              <w:widowControl w:val="0"/>
              <w:numPr>
                <w:ilvl w:val="0"/>
                <w:numId w:val="0"/>
              </w:numPr>
              <w:jc w:val="both"/>
              <w:rPr>
                <w:rFonts w:hint="eastAsia"/>
                <w:color w:val="auto"/>
                <w:sz w:val="24"/>
                <w:szCs w:val="24"/>
                <w:highlight w:val="none"/>
                <w:lang w:val="en-US" w:eastAsia="zh-CN"/>
              </w:rPr>
            </w:pPr>
          </w:p>
          <w:p w14:paraId="57C357E0">
            <w:pPr>
              <w:pStyle w:val="13"/>
              <w:widowControl w:val="0"/>
              <w:numPr>
                <w:ilvl w:val="0"/>
                <w:numId w:val="0"/>
              </w:numPr>
              <w:jc w:val="both"/>
              <w:rPr>
                <w:rFonts w:hint="eastAsia"/>
                <w:color w:val="auto"/>
                <w:sz w:val="24"/>
                <w:szCs w:val="24"/>
                <w:highlight w:val="none"/>
                <w:lang w:val="en-US" w:eastAsia="zh-CN"/>
              </w:rPr>
            </w:pPr>
          </w:p>
          <w:p w14:paraId="590DD672">
            <w:pPr>
              <w:pStyle w:val="13"/>
              <w:widowControl w:val="0"/>
              <w:numPr>
                <w:ilvl w:val="0"/>
                <w:numId w:val="0"/>
              </w:numPr>
              <w:jc w:val="both"/>
              <w:rPr>
                <w:rFonts w:hint="eastAsia"/>
                <w:color w:val="auto"/>
                <w:sz w:val="24"/>
                <w:szCs w:val="24"/>
                <w:highlight w:val="none"/>
                <w:lang w:val="en-US" w:eastAsia="zh-CN"/>
              </w:rPr>
            </w:pPr>
          </w:p>
          <w:p w14:paraId="3419A7EE">
            <w:pPr>
              <w:pStyle w:val="13"/>
              <w:widowControl w:val="0"/>
              <w:numPr>
                <w:ilvl w:val="0"/>
                <w:numId w:val="0"/>
              </w:numPr>
              <w:jc w:val="both"/>
              <w:rPr>
                <w:rFonts w:hint="eastAsia"/>
                <w:color w:val="auto"/>
                <w:sz w:val="24"/>
                <w:szCs w:val="24"/>
                <w:highlight w:val="none"/>
                <w:lang w:val="en-US" w:eastAsia="zh-CN"/>
              </w:rPr>
            </w:pPr>
          </w:p>
          <w:p w14:paraId="1F331120">
            <w:pPr>
              <w:pStyle w:val="13"/>
              <w:widowControl w:val="0"/>
              <w:numPr>
                <w:ilvl w:val="0"/>
                <w:numId w:val="0"/>
              </w:numPr>
              <w:jc w:val="both"/>
              <w:rPr>
                <w:rFonts w:hint="eastAsia"/>
                <w:color w:val="auto"/>
                <w:sz w:val="24"/>
                <w:szCs w:val="24"/>
                <w:highlight w:val="none"/>
                <w:lang w:val="en-US" w:eastAsia="zh-CN"/>
              </w:rPr>
            </w:pPr>
          </w:p>
          <w:p w14:paraId="5986AC12">
            <w:pPr>
              <w:pStyle w:val="13"/>
              <w:widowControl w:val="0"/>
              <w:numPr>
                <w:ilvl w:val="0"/>
                <w:numId w:val="0"/>
              </w:numPr>
              <w:jc w:val="both"/>
              <w:rPr>
                <w:rFonts w:hint="default"/>
                <w:color w:val="auto"/>
                <w:sz w:val="24"/>
                <w:szCs w:val="24"/>
                <w:highlight w:val="none"/>
                <w:lang w:val="en-US" w:eastAsia="zh-CN"/>
              </w:rPr>
            </w:pPr>
          </w:p>
        </w:tc>
      </w:tr>
    </w:tbl>
    <w:p w14:paraId="13AF73FE">
      <w:pPr>
        <w:pStyle w:val="30"/>
        <w:jc w:val="center"/>
        <w:rPr>
          <w:rFonts w:ascii="Times New Roman" w:hAnsi="Times New Roman" w:eastAsia="黑体"/>
          <w:snapToGrid w:val="0"/>
          <w:color w:val="auto"/>
          <w:sz w:val="36"/>
          <w:szCs w:val="36"/>
          <w:highlight w:val="none"/>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5E918457">
      <w:pPr>
        <w:pStyle w:val="30"/>
        <w:jc w:val="center"/>
        <w:outlineLvl w:val="0"/>
        <w:rPr>
          <w:rFonts w:ascii="Times New Roman" w:hAnsi="Times New Roman" w:eastAsia="黑体"/>
          <w:snapToGrid w:val="0"/>
          <w:color w:val="auto"/>
          <w:sz w:val="30"/>
          <w:szCs w:val="30"/>
          <w:highlight w:val="none"/>
        </w:rPr>
      </w:pPr>
      <w:bookmarkStart w:id="9" w:name="_Toc7385"/>
      <w:r>
        <w:rPr>
          <w:rFonts w:ascii="Times New Roman" w:hAnsi="Times New Roman" w:eastAsia="黑体"/>
          <w:snapToGrid w:val="0"/>
          <w:color w:val="auto"/>
          <w:sz w:val="30"/>
          <w:szCs w:val="30"/>
          <w:highlight w:val="none"/>
        </w:rPr>
        <w:t>三、区域环境质量现状、环境保护目标及评价标准</w:t>
      </w:r>
      <w:bookmarkEnd w:id="9"/>
    </w:p>
    <w:tbl>
      <w:tblPr>
        <w:tblStyle w:val="34"/>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33"/>
        <w:gridCol w:w="8528"/>
      </w:tblGrid>
      <w:tr w14:paraId="68E6E3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3091" w:hRule="atLeast"/>
          <w:jc w:val="center"/>
        </w:trPr>
        <w:tc>
          <w:tcPr>
            <w:tcW w:w="533" w:type="dxa"/>
            <w:noWrap w:val="0"/>
            <w:vAlign w:val="center"/>
          </w:tcPr>
          <w:p w14:paraId="16931DEE">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2172D9D9">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19B38FC1">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kern w:val="0"/>
                <w:sz w:val="24"/>
                <w:highlight w:val="none"/>
              </w:rPr>
              <w:t>区域</w:t>
            </w:r>
          </w:p>
          <w:p w14:paraId="14ED0D1F">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kern w:val="0"/>
                <w:sz w:val="24"/>
                <w:highlight w:val="none"/>
              </w:rPr>
              <w:t>环境</w:t>
            </w:r>
          </w:p>
          <w:p w14:paraId="40BBB2FA">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kern w:val="0"/>
                <w:sz w:val="24"/>
                <w:highlight w:val="none"/>
              </w:rPr>
              <w:t>质量</w:t>
            </w:r>
          </w:p>
          <w:p w14:paraId="4C977206">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kern w:val="0"/>
                <w:sz w:val="24"/>
                <w:highlight w:val="none"/>
              </w:rPr>
              <w:t>现状</w:t>
            </w:r>
          </w:p>
        </w:tc>
        <w:tc>
          <w:tcPr>
            <w:tcW w:w="8528" w:type="dxa"/>
            <w:noWrap w:val="0"/>
            <w:vAlign w:val="center"/>
          </w:tcPr>
          <w:p w14:paraId="17E50BD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sz w:val="24"/>
                <w:szCs w:val="24"/>
                <w:highlight w:val="none"/>
                <w:lang w:val="en-US" w:eastAsia="zh-CN"/>
              </w:rPr>
              <w:t>一</w:t>
            </w:r>
            <w:r>
              <w:rPr>
                <w:rFonts w:hint="default" w:ascii="Times New Roman" w:hAnsi="Times New Roman" w:eastAsia="宋体" w:cs="Times New Roman"/>
                <w:color w:val="auto"/>
                <w:sz w:val="24"/>
                <w:szCs w:val="24"/>
                <w:highlight w:val="none"/>
              </w:rPr>
              <w:t>、环境空气质量现状</w:t>
            </w:r>
          </w:p>
          <w:p w14:paraId="77223E8B">
            <w:pPr>
              <w:pStyle w:val="126"/>
              <w:keepLines w:val="0"/>
              <w:pageBreakBefore w:val="0"/>
              <w:widowControl w:val="0"/>
              <w:kinsoku/>
              <w:wordWrap/>
              <w:overflowPunct/>
              <w:topLinePunct w:val="0"/>
              <w:autoSpaceDE/>
              <w:autoSpaceDN/>
              <w:bidi w:val="0"/>
              <w:spacing w:line="360" w:lineRule="auto"/>
              <w:textAlignment w:val="auto"/>
              <w:rPr>
                <w:rFonts w:hint="default" w:ascii="Times New Roman" w:hAnsi="Times New Roman" w:eastAsia="宋体" w:cs="Times New Roman"/>
                <w:color w:val="auto"/>
                <w:highlight w:val="none"/>
              </w:rPr>
            </w:pPr>
            <w:bookmarkStart w:id="10" w:name="_Toc52375605"/>
            <w:r>
              <w:rPr>
                <w:rFonts w:hint="eastAsia" w:cs="Times New Roman"/>
                <w:color w:val="auto"/>
                <w:highlight w:val="none"/>
                <w:lang w:val="en-US" w:eastAsia="zh-CN"/>
              </w:rPr>
              <w:t>1.</w:t>
            </w:r>
            <w:r>
              <w:rPr>
                <w:rFonts w:hint="default" w:ascii="Times New Roman" w:hAnsi="Times New Roman" w:eastAsia="宋体" w:cs="Times New Roman"/>
                <w:color w:val="auto"/>
                <w:highlight w:val="none"/>
              </w:rPr>
              <w:t>空气质量达标区判定</w:t>
            </w:r>
            <w:bookmarkEnd w:id="10"/>
          </w:p>
          <w:p w14:paraId="2D8FEA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Cs/>
                <w:color w:val="auto"/>
                <w:sz w:val="24"/>
                <w:szCs w:val="24"/>
                <w:highlight w:val="none"/>
              </w:rPr>
            </w:pPr>
            <w:bookmarkStart w:id="11" w:name="_Toc52375607"/>
            <w:bookmarkStart w:id="12" w:name="_Toc30019"/>
            <w:bookmarkStart w:id="13" w:name="_Toc22548"/>
            <w:bookmarkStart w:id="14" w:name="_Toc58252217"/>
            <w:bookmarkStart w:id="15" w:name="_Toc58242106"/>
            <w:bookmarkStart w:id="16" w:name="_Toc52375608"/>
            <w:bookmarkStart w:id="17" w:name="_Toc55569685"/>
            <w:r>
              <w:rPr>
                <w:rFonts w:hint="default" w:ascii="Times New Roman" w:hAnsi="Times New Roman" w:eastAsia="宋体" w:cs="Times New Roman"/>
                <w:color w:val="auto"/>
                <w:sz w:val="24"/>
                <w:szCs w:val="24"/>
                <w:highlight w:val="none"/>
              </w:rPr>
              <w:t>大气环境质量基本因子PM</w:t>
            </w:r>
            <w:r>
              <w:rPr>
                <w:rFonts w:hint="default" w:ascii="Times New Roman" w:hAnsi="Times New Roman" w:eastAsia="宋体" w:cs="Times New Roman"/>
                <w:color w:val="auto"/>
                <w:sz w:val="24"/>
                <w:szCs w:val="24"/>
                <w:highlight w:val="none"/>
                <w:vertAlign w:val="subscript"/>
              </w:rPr>
              <w:t>2.5</w:t>
            </w:r>
            <w:r>
              <w:rPr>
                <w:rFonts w:hint="default" w:ascii="Times New Roman" w:hAnsi="Times New Roman" w:eastAsia="宋体" w:cs="Times New Roman"/>
                <w:color w:val="auto"/>
                <w:sz w:val="24"/>
                <w:szCs w:val="24"/>
                <w:highlight w:val="none"/>
              </w:rPr>
              <w:t>、PM</w:t>
            </w:r>
            <w:r>
              <w:rPr>
                <w:rFonts w:hint="default" w:ascii="Times New Roman" w:hAnsi="Times New Roman" w:eastAsia="宋体" w:cs="Times New Roman"/>
                <w:color w:val="auto"/>
                <w:sz w:val="24"/>
                <w:szCs w:val="24"/>
                <w:highlight w:val="none"/>
                <w:vertAlign w:val="subscript"/>
              </w:rPr>
              <w:t>10</w:t>
            </w:r>
            <w:r>
              <w:rPr>
                <w:rFonts w:hint="default" w:ascii="Times New Roman" w:hAnsi="Times New Roman" w:eastAsia="宋体" w:cs="Times New Roman"/>
                <w:color w:val="auto"/>
                <w:sz w:val="24"/>
                <w:szCs w:val="24"/>
                <w:highlight w:val="none"/>
              </w:rPr>
              <w:t>、SO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rPr>
              <w:t>、NO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rPr>
              <w:t>、CO、O</w:t>
            </w:r>
            <w:r>
              <w:rPr>
                <w:rFonts w:hint="default" w:ascii="Times New Roman" w:hAnsi="Times New Roman" w:eastAsia="宋体" w:cs="Times New Roman"/>
                <w:color w:val="auto"/>
                <w:sz w:val="24"/>
                <w:szCs w:val="24"/>
                <w:highlight w:val="none"/>
                <w:vertAlign w:val="subscript"/>
              </w:rPr>
              <w:t>3</w:t>
            </w:r>
            <w:r>
              <w:rPr>
                <w:rFonts w:hint="default" w:ascii="Times New Roman" w:hAnsi="Times New Roman" w:cs="Times New Roman"/>
                <w:color w:val="auto"/>
                <w:sz w:val="24"/>
                <w:szCs w:val="24"/>
                <w:highlight w:val="none"/>
                <w:vertAlign w:val="baseline"/>
                <w:lang w:eastAsia="zh-CN"/>
              </w:rPr>
              <w:t>，</w:t>
            </w:r>
            <w:r>
              <w:rPr>
                <w:rFonts w:hint="default" w:ascii="Times New Roman" w:hAnsi="Times New Roman" w:eastAsia="宋体" w:cs="Times New Roman"/>
                <w:color w:val="auto"/>
                <w:sz w:val="24"/>
                <w:szCs w:val="24"/>
                <w:highlight w:val="none"/>
                <w:vertAlign w:val="baseline"/>
                <w:lang w:val="en-US" w:eastAsia="zh-CN"/>
              </w:rPr>
              <w:t>根据</w:t>
            </w:r>
            <w:r>
              <w:rPr>
                <w:rFonts w:hint="default" w:ascii="Times New Roman" w:hAnsi="Times New Roman" w:eastAsia="宋体" w:cs="Times New Roman"/>
                <w:bCs/>
                <w:color w:val="auto"/>
                <w:sz w:val="24"/>
                <w:szCs w:val="24"/>
                <w:highlight w:val="none"/>
              </w:rPr>
              <w:t>《202</w:t>
            </w:r>
            <w:r>
              <w:rPr>
                <w:rFonts w:hint="default" w:ascii="Times New Roman" w:hAnsi="Times New Roman" w:cs="Times New Roman"/>
                <w:bCs/>
                <w:color w:val="auto"/>
                <w:sz w:val="24"/>
                <w:szCs w:val="24"/>
                <w:highlight w:val="none"/>
                <w:lang w:val="en-US" w:eastAsia="zh-CN"/>
              </w:rPr>
              <w:t>4</w:t>
            </w:r>
            <w:r>
              <w:rPr>
                <w:rFonts w:hint="default" w:ascii="Times New Roman" w:hAnsi="Times New Roman" w:eastAsia="宋体" w:cs="Times New Roman"/>
                <w:bCs/>
                <w:color w:val="auto"/>
                <w:sz w:val="24"/>
                <w:szCs w:val="24"/>
                <w:highlight w:val="none"/>
              </w:rPr>
              <w:t>年</w:t>
            </w:r>
            <w:r>
              <w:rPr>
                <w:rFonts w:hint="default" w:ascii="Times New Roman" w:hAnsi="Times New Roman" w:eastAsia="宋体" w:cs="Times New Roman"/>
                <w:bCs/>
                <w:color w:val="auto"/>
                <w:sz w:val="24"/>
                <w:szCs w:val="24"/>
                <w:highlight w:val="none"/>
                <w:lang w:val="en-US" w:eastAsia="zh-CN"/>
              </w:rPr>
              <w:t>石家庄市</w:t>
            </w:r>
            <w:r>
              <w:rPr>
                <w:rFonts w:hint="default" w:ascii="Times New Roman" w:hAnsi="Times New Roman" w:eastAsia="宋体" w:cs="Times New Roman"/>
                <w:bCs/>
                <w:color w:val="auto"/>
                <w:sz w:val="24"/>
                <w:szCs w:val="24"/>
                <w:highlight w:val="none"/>
              </w:rPr>
              <w:t>生态环境状况公报》中</w:t>
            </w:r>
            <w:r>
              <w:rPr>
                <w:rFonts w:hint="default" w:ascii="Times New Roman" w:hAnsi="Times New Roman" w:eastAsia="宋体" w:cs="Times New Roman"/>
                <w:bCs/>
                <w:color w:val="auto"/>
                <w:sz w:val="24"/>
                <w:szCs w:val="24"/>
                <w:highlight w:val="none"/>
                <w:lang w:val="en-US" w:eastAsia="zh-CN"/>
              </w:rPr>
              <w:t>的</w:t>
            </w:r>
            <w:r>
              <w:rPr>
                <w:rFonts w:hint="default" w:ascii="Times New Roman" w:hAnsi="Times New Roman" w:eastAsia="宋体" w:cs="Times New Roman"/>
                <w:bCs/>
                <w:color w:val="auto"/>
                <w:sz w:val="24"/>
                <w:szCs w:val="24"/>
                <w:highlight w:val="none"/>
              </w:rPr>
              <w:t>相关数据进行判定。</w:t>
            </w:r>
          </w:p>
          <w:p w14:paraId="0882A6CE">
            <w:pPr>
              <w:pStyle w:val="10"/>
              <w:keepNext/>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rPr>
              <w:t>表</w:t>
            </w:r>
            <w:r>
              <w:rPr>
                <w:rFonts w:hint="default" w:ascii="Times New Roman" w:hAnsi="Times New Roman" w:eastAsia="宋体" w:cs="Times New Roman"/>
                <w:color w:val="auto"/>
                <w:sz w:val="24"/>
                <w:szCs w:val="24"/>
                <w:highlight w:val="none"/>
                <w:lang w:val="en-US" w:eastAsia="zh-CN"/>
              </w:rPr>
              <w:t xml:space="preserve">3-1 </w:t>
            </w:r>
            <w:r>
              <w:rPr>
                <w:rFonts w:hint="default" w:ascii="Times New Roman" w:hAnsi="Times New Roman" w:eastAsia="宋体" w:cs="Times New Roman"/>
                <w:b/>
                <w:color w:val="auto"/>
                <w:kern w:val="2"/>
                <w:sz w:val="24"/>
                <w:szCs w:val="24"/>
                <w:highlight w:val="none"/>
                <w:lang w:val="en-US" w:eastAsia="zh-CN" w:bidi="ar-SA"/>
              </w:rPr>
              <w:t>石家庄市环境空气质量现状评价表</w:t>
            </w:r>
          </w:p>
          <w:tbl>
            <w:tblPr>
              <w:tblStyle w:val="34"/>
              <w:tblW w:w="8371"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014"/>
              <w:gridCol w:w="3169"/>
              <w:gridCol w:w="1214"/>
              <w:gridCol w:w="989"/>
              <w:gridCol w:w="964"/>
              <w:gridCol w:w="1021"/>
            </w:tblGrid>
            <w:tr w14:paraId="243E5B6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1014" w:type="dxa"/>
                  <w:noWrap w:val="0"/>
                  <w:vAlign w:val="center"/>
                </w:tcPr>
                <w:p w14:paraId="1BE9233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污染物</w:t>
                  </w:r>
                </w:p>
              </w:tc>
              <w:tc>
                <w:tcPr>
                  <w:tcW w:w="3169" w:type="dxa"/>
                  <w:noWrap w:val="0"/>
                  <w:vAlign w:val="center"/>
                </w:tcPr>
                <w:p w14:paraId="33BFDC1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年评价指标</w:t>
                  </w:r>
                </w:p>
              </w:tc>
              <w:tc>
                <w:tcPr>
                  <w:tcW w:w="1214" w:type="dxa"/>
                  <w:noWrap w:val="0"/>
                  <w:vAlign w:val="center"/>
                </w:tcPr>
                <w:p w14:paraId="035AD16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现状浓度</w:t>
                  </w:r>
                  <w:r>
                    <w:rPr>
                      <w:rFonts w:hint="default" w:ascii="Times New Roman" w:hAnsi="Times New Roman" w:eastAsia="宋体" w:cs="Times New Roman"/>
                      <w:color w:val="auto"/>
                      <w:sz w:val="21"/>
                      <w:szCs w:val="21"/>
                      <w:highlight w:val="none"/>
                    </w:rPr>
                    <w:t>μg/m</w:t>
                  </w:r>
                  <w:r>
                    <w:rPr>
                      <w:rFonts w:hint="default" w:ascii="Times New Roman" w:hAnsi="Times New Roman" w:eastAsia="宋体" w:cs="Times New Roman"/>
                      <w:color w:val="auto"/>
                      <w:sz w:val="21"/>
                      <w:szCs w:val="21"/>
                      <w:highlight w:val="none"/>
                      <w:vertAlign w:val="superscript"/>
                    </w:rPr>
                    <w:t>3</w:t>
                  </w:r>
                </w:p>
              </w:tc>
              <w:tc>
                <w:tcPr>
                  <w:tcW w:w="989" w:type="dxa"/>
                  <w:noWrap w:val="0"/>
                  <w:vAlign w:val="center"/>
                </w:tcPr>
                <w:p w14:paraId="09699FC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标准值</w:t>
                  </w:r>
                  <w:r>
                    <w:rPr>
                      <w:rFonts w:hint="default" w:ascii="Times New Roman" w:hAnsi="Times New Roman" w:eastAsia="宋体" w:cs="Times New Roman"/>
                      <w:color w:val="auto"/>
                      <w:sz w:val="21"/>
                      <w:szCs w:val="21"/>
                      <w:highlight w:val="none"/>
                    </w:rPr>
                    <w:t>μg/m</w:t>
                  </w:r>
                  <w:r>
                    <w:rPr>
                      <w:rFonts w:hint="default" w:ascii="Times New Roman" w:hAnsi="Times New Roman" w:eastAsia="宋体" w:cs="Times New Roman"/>
                      <w:color w:val="auto"/>
                      <w:sz w:val="21"/>
                      <w:szCs w:val="21"/>
                      <w:highlight w:val="none"/>
                      <w:vertAlign w:val="superscript"/>
                    </w:rPr>
                    <w:t>3</w:t>
                  </w:r>
                </w:p>
              </w:tc>
              <w:tc>
                <w:tcPr>
                  <w:tcW w:w="964" w:type="dxa"/>
                  <w:noWrap w:val="0"/>
                  <w:vAlign w:val="center"/>
                </w:tcPr>
                <w:p w14:paraId="7E3D941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占标率/%</w:t>
                  </w:r>
                </w:p>
              </w:tc>
              <w:tc>
                <w:tcPr>
                  <w:tcW w:w="1021" w:type="dxa"/>
                  <w:noWrap w:val="0"/>
                  <w:vAlign w:val="center"/>
                </w:tcPr>
                <w:p w14:paraId="0EB4C2B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达标情况</w:t>
                  </w:r>
                </w:p>
              </w:tc>
            </w:tr>
            <w:tr w14:paraId="679F3B3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1014" w:type="dxa"/>
                  <w:noWrap w:val="0"/>
                  <w:vAlign w:val="center"/>
                </w:tcPr>
                <w:p w14:paraId="6BCCFF6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PM</w:t>
                  </w:r>
                  <w:r>
                    <w:rPr>
                      <w:rFonts w:hint="default" w:ascii="Times New Roman" w:hAnsi="Times New Roman" w:eastAsia="宋体" w:cs="Times New Roman"/>
                      <w:color w:val="auto"/>
                      <w:sz w:val="21"/>
                      <w:szCs w:val="21"/>
                      <w:highlight w:val="none"/>
                      <w:vertAlign w:val="subscript"/>
                    </w:rPr>
                    <w:t>10</w:t>
                  </w:r>
                </w:p>
              </w:tc>
              <w:tc>
                <w:tcPr>
                  <w:tcW w:w="3169" w:type="dxa"/>
                  <w:noWrap w:val="0"/>
                  <w:vAlign w:val="center"/>
                </w:tcPr>
                <w:p w14:paraId="02F7867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年平均质量浓度</w:t>
                  </w:r>
                </w:p>
              </w:tc>
              <w:tc>
                <w:tcPr>
                  <w:tcW w:w="1214" w:type="dxa"/>
                  <w:noWrap w:val="0"/>
                  <w:vAlign w:val="center"/>
                </w:tcPr>
                <w:p w14:paraId="6EA161F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78</w:t>
                  </w:r>
                </w:p>
              </w:tc>
              <w:tc>
                <w:tcPr>
                  <w:tcW w:w="989" w:type="dxa"/>
                  <w:noWrap w:val="0"/>
                  <w:vAlign w:val="center"/>
                </w:tcPr>
                <w:p w14:paraId="701C456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70</w:t>
                  </w:r>
                </w:p>
              </w:tc>
              <w:tc>
                <w:tcPr>
                  <w:tcW w:w="964" w:type="dxa"/>
                  <w:noWrap w:val="0"/>
                  <w:vAlign w:val="center"/>
                </w:tcPr>
                <w:p w14:paraId="3AA9C5E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111</w:t>
                  </w:r>
                </w:p>
              </w:tc>
              <w:tc>
                <w:tcPr>
                  <w:tcW w:w="1021" w:type="dxa"/>
                  <w:noWrap w:val="0"/>
                  <w:vAlign w:val="center"/>
                </w:tcPr>
                <w:p w14:paraId="53DD3E5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不</w:t>
                  </w:r>
                  <w:r>
                    <w:rPr>
                      <w:rFonts w:hint="default" w:ascii="Times New Roman" w:hAnsi="Times New Roman" w:eastAsia="宋体" w:cs="Times New Roman"/>
                      <w:color w:val="auto"/>
                      <w:sz w:val="21"/>
                      <w:szCs w:val="21"/>
                      <w:highlight w:val="none"/>
                    </w:rPr>
                    <w:t>达标</w:t>
                  </w:r>
                </w:p>
              </w:tc>
            </w:tr>
            <w:tr w14:paraId="6B87296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1014" w:type="dxa"/>
                  <w:noWrap w:val="0"/>
                  <w:vAlign w:val="center"/>
                </w:tcPr>
                <w:p w14:paraId="2055084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PM</w:t>
                  </w:r>
                  <w:r>
                    <w:rPr>
                      <w:rFonts w:hint="default" w:ascii="Times New Roman" w:hAnsi="Times New Roman" w:eastAsia="宋体" w:cs="Times New Roman"/>
                      <w:color w:val="auto"/>
                      <w:sz w:val="21"/>
                      <w:szCs w:val="21"/>
                      <w:highlight w:val="none"/>
                      <w:vertAlign w:val="subscript"/>
                    </w:rPr>
                    <w:t>2.5</w:t>
                  </w:r>
                </w:p>
              </w:tc>
              <w:tc>
                <w:tcPr>
                  <w:tcW w:w="3169" w:type="dxa"/>
                  <w:noWrap w:val="0"/>
                  <w:vAlign w:val="center"/>
                </w:tcPr>
                <w:p w14:paraId="6F4D21D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年平均质量浓度</w:t>
                  </w:r>
                </w:p>
              </w:tc>
              <w:tc>
                <w:tcPr>
                  <w:tcW w:w="1214" w:type="dxa"/>
                  <w:noWrap w:val="0"/>
                  <w:vAlign w:val="center"/>
                </w:tcPr>
                <w:p w14:paraId="1FFA2B1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lang w:val="en-US" w:eastAsia="zh-CN"/>
                    </w:rPr>
                    <w:t>4</w:t>
                  </w:r>
                  <w:r>
                    <w:rPr>
                      <w:rFonts w:hint="eastAsia" w:cs="Times New Roman"/>
                      <w:color w:val="auto"/>
                      <w:sz w:val="21"/>
                      <w:szCs w:val="21"/>
                      <w:highlight w:val="none"/>
                      <w:lang w:val="en-US" w:eastAsia="zh-CN"/>
                    </w:rPr>
                    <w:t>5</w:t>
                  </w:r>
                </w:p>
              </w:tc>
              <w:tc>
                <w:tcPr>
                  <w:tcW w:w="989" w:type="dxa"/>
                  <w:noWrap w:val="0"/>
                  <w:vAlign w:val="center"/>
                </w:tcPr>
                <w:p w14:paraId="562B061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35</w:t>
                  </w:r>
                </w:p>
              </w:tc>
              <w:tc>
                <w:tcPr>
                  <w:tcW w:w="964" w:type="dxa"/>
                  <w:noWrap w:val="0"/>
                  <w:vAlign w:val="center"/>
                </w:tcPr>
                <w:p w14:paraId="19F1EFC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12</w:t>
                  </w:r>
                  <w:r>
                    <w:rPr>
                      <w:rFonts w:hint="eastAsia" w:cs="Times New Roman"/>
                      <w:color w:val="auto"/>
                      <w:sz w:val="21"/>
                      <w:szCs w:val="21"/>
                      <w:highlight w:val="none"/>
                      <w:lang w:val="en-US" w:eastAsia="zh-CN"/>
                    </w:rPr>
                    <w:t>9</w:t>
                  </w:r>
                </w:p>
              </w:tc>
              <w:tc>
                <w:tcPr>
                  <w:tcW w:w="1021" w:type="dxa"/>
                  <w:noWrap w:val="0"/>
                  <w:vAlign w:val="center"/>
                </w:tcPr>
                <w:p w14:paraId="06ADF66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不达标</w:t>
                  </w:r>
                </w:p>
              </w:tc>
            </w:tr>
            <w:tr w14:paraId="6AA7AB7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1014" w:type="dxa"/>
                  <w:noWrap w:val="0"/>
                  <w:vAlign w:val="center"/>
                </w:tcPr>
                <w:p w14:paraId="3F5A04F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SO</w:t>
                  </w:r>
                  <w:r>
                    <w:rPr>
                      <w:rFonts w:hint="default" w:ascii="Times New Roman" w:hAnsi="Times New Roman" w:eastAsia="宋体" w:cs="Times New Roman"/>
                      <w:color w:val="auto"/>
                      <w:sz w:val="21"/>
                      <w:szCs w:val="21"/>
                      <w:highlight w:val="none"/>
                      <w:vertAlign w:val="subscript"/>
                    </w:rPr>
                    <w:t>2</w:t>
                  </w:r>
                </w:p>
              </w:tc>
              <w:tc>
                <w:tcPr>
                  <w:tcW w:w="3169" w:type="dxa"/>
                  <w:noWrap w:val="0"/>
                  <w:vAlign w:val="center"/>
                </w:tcPr>
                <w:p w14:paraId="77A3A16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年平均质量浓度</w:t>
                  </w:r>
                </w:p>
              </w:tc>
              <w:tc>
                <w:tcPr>
                  <w:tcW w:w="1214" w:type="dxa"/>
                  <w:noWrap w:val="0"/>
                  <w:vAlign w:val="center"/>
                </w:tcPr>
                <w:p w14:paraId="2A54067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5</w:t>
                  </w:r>
                </w:p>
              </w:tc>
              <w:tc>
                <w:tcPr>
                  <w:tcW w:w="989" w:type="dxa"/>
                  <w:noWrap w:val="0"/>
                  <w:vAlign w:val="center"/>
                </w:tcPr>
                <w:p w14:paraId="0B4FF3C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60</w:t>
                  </w:r>
                </w:p>
              </w:tc>
              <w:tc>
                <w:tcPr>
                  <w:tcW w:w="964" w:type="dxa"/>
                  <w:noWrap w:val="0"/>
                  <w:vAlign w:val="center"/>
                </w:tcPr>
                <w:p w14:paraId="4F74CFD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12</w:t>
                  </w:r>
                </w:p>
              </w:tc>
              <w:tc>
                <w:tcPr>
                  <w:tcW w:w="1021" w:type="dxa"/>
                  <w:noWrap w:val="0"/>
                  <w:vAlign w:val="center"/>
                </w:tcPr>
                <w:p w14:paraId="0B98930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达标</w:t>
                  </w:r>
                </w:p>
              </w:tc>
            </w:tr>
            <w:tr w14:paraId="57230E8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1014" w:type="dxa"/>
                  <w:noWrap w:val="0"/>
                  <w:vAlign w:val="center"/>
                </w:tcPr>
                <w:p w14:paraId="0FC970B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NO</w:t>
                  </w:r>
                  <w:r>
                    <w:rPr>
                      <w:rFonts w:hint="default" w:ascii="Times New Roman" w:hAnsi="Times New Roman" w:eastAsia="宋体" w:cs="Times New Roman"/>
                      <w:color w:val="auto"/>
                      <w:sz w:val="21"/>
                      <w:szCs w:val="21"/>
                      <w:highlight w:val="none"/>
                      <w:vertAlign w:val="subscript"/>
                    </w:rPr>
                    <w:t>2</w:t>
                  </w:r>
                </w:p>
              </w:tc>
              <w:tc>
                <w:tcPr>
                  <w:tcW w:w="3169" w:type="dxa"/>
                  <w:noWrap w:val="0"/>
                  <w:vAlign w:val="center"/>
                </w:tcPr>
                <w:p w14:paraId="6E73F69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年平均质量浓度</w:t>
                  </w:r>
                </w:p>
              </w:tc>
              <w:tc>
                <w:tcPr>
                  <w:tcW w:w="1214" w:type="dxa"/>
                  <w:noWrap w:val="0"/>
                  <w:vAlign w:val="center"/>
                </w:tcPr>
                <w:p w14:paraId="3C925AD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rPr>
                  </w:pPr>
                  <w:r>
                    <w:rPr>
                      <w:rFonts w:hint="eastAsia" w:cs="Times New Roman"/>
                      <w:color w:val="auto"/>
                      <w:sz w:val="21"/>
                      <w:szCs w:val="21"/>
                      <w:highlight w:val="none"/>
                      <w:lang w:val="en-US" w:eastAsia="zh-CN"/>
                    </w:rPr>
                    <w:t>27</w:t>
                  </w:r>
                </w:p>
              </w:tc>
              <w:tc>
                <w:tcPr>
                  <w:tcW w:w="989" w:type="dxa"/>
                  <w:noWrap w:val="0"/>
                  <w:vAlign w:val="center"/>
                </w:tcPr>
                <w:p w14:paraId="40F1143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40</w:t>
                  </w:r>
                </w:p>
              </w:tc>
              <w:tc>
                <w:tcPr>
                  <w:tcW w:w="964" w:type="dxa"/>
                  <w:noWrap w:val="0"/>
                  <w:vAlign w:val="center"/>
                </w:tcPr>
                <w:p w14:paraId="420DC69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67.5</w:t>
                  </w:r>
                </w:p>
              </w:tc>
              <w:tc>
                <w:tcPr>
                  <w:tcW w:w="1021" w:type="dxa"/>
                  <w:noWrap w:val="0"/>
                  <w:vAlign w:val="center"/>
                </w:tcPr>
                <w:p w14:paraId="2598A2A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达标</w:t>
                  </w:r>
                </w:p>
              </w:tc>
            </w:tr>
            <w:tr w14:paraId="15A0823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1014" w:type="dxa"/>
                  <w:noWrap w:val="0"/>
                  <w:vAlign w:val="center"/>
                </w:tcPr>
                <w:p w14:paraId="42BC0B2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CO</w:t>
                  </w:r>
                </w:p>
              </w:tc>
              <w:tc>
                <w:tcPr>
                  <w:tcW w:w="3169" w:type="dxa"/>
                  <w:noWrap w:val="0"/>
                  <w:vAlign w:val="center"/>
                </w:tcPr>
                <w:p w14:paraId="43D57EF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第95百分位数日平均值</w:t>
                  </w:r>
                </w:p>
              </w:tc>
              <w:tc>
                <w:tcPr>
                  <w:tcW w:w="1214" w:type="dxa"/>
                  <w:noWrap w:val="0"/>
                  <w:vAlign w:val="center"/>
                </w:tcPr>
                <w:p w14:paraId="7B1E248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2</w:t>
                  </w:r>
                </w:p>
              </w:tc>
              <w:tc>
                <w:tcPr>
                  <w:tcW w:w="989" w:type="dxa"/>
                  <w:noWrap w:val="0"/>
                  <w:vAlign w:val="center"/>
                </w:tcPr>
                <w:p w14:paraId="117143E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4</w:t>
                  </w:r>
                </w:p>
              </w:tc>
              <w:tc>
                <w:tcPr>
                  <w:tcW w:w="964" w:type="dxa"/>
                  <w:noWrap w:val="0"/>
                  <w:vAlign w:val="center"/>
                </w:tcPr>
                <w:p w14:paraId="2D5B2F5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w:t>
                  </w:r>
                  <w:r>
                    <w:rPr>
                      <w:rFonts w:hint="eastAsia" w:cs="Times New Roman"/>
                      <w:color w:val="auto"/>
                      <w:sz w:val="21"/>
                      <w:szCs w:val="21"/>
                      <w:highlight w:val="none"/>
                      <w:lang w:val="en-US" w:eastAsia="zh-CN"/>
                    </w:rPr>
                    <w:t>0</w:t>
                  </w:r>
                </w:p>
              </w:tc>
              <w:tc>
                <w:tcPr>
                  <w:tcW w:w="1021" w:type="dxa"/>
                  <w:noWrap w:val="0"/>
                  <w:vAlign w:val="center"/>
                </w:tcPr>
                <w:p w14:paraId="55CB948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达标</w:t>
                  </w:r>
                </w:p>
              </w:tc>
            </w:tr>
            <w:tr w14:paraId="59A84D6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1014" w:type="dxa"/>
                  <w:noWrap w:val="0"/>
                  <w:vAlign w:val="center"/>
                </w:tcPr>
                <w:p w14:paraId="59121D6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O</w:t>
                  </w:r>
                  <w:r>
                    <w:rPr>
                      <w:rFonts w:hint="default" w:ascii="Times New Roman" w:hAnsi="Times New Roman" w:eastAsia="宋体" w:cs="Times New Roman"/>
                      <w:color w:val="auto"/>
                      <w:sz w:val="21"/>
                      <w:szCs w:val="21"/>
                      <w:highlight w:val="none"/>
                      <w:vertAlign w:val="subscript"/>
                    </w:rPr>
                    <w:t>3</w:t>
                  </w:r>
                </w:p>
              </w:tc>
              <w:tc>
                <w:tcPr>
                  <w:tcW w:w="3169" w:type="dxa"/>
                  <w:noWrap w:val="0"/>
                  <w:vAlign w:val="center"/>
                </w:tcPr>
                <w:p w14:paraId="0E97EF5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第90百分位数日最大8h平均值</w:t>
                  </w:r>
                </w:p>
              </w:tc>
              <w:tc>
                <w:tcPr>
                  <w:tcW w:w="1214" w:type="dxa"/>
                  <w:noWrap w:val="0"/>
                  <w:vAlign w:val="center"/>
                </w:tcPr>
                <w:p w14:paraId="47AF9F5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lang w:val="en-US" w:eastAsia="zh-CN"/>
                    </w:rPr>
                    <w:t>18</w:t>
                  </w:r>
                  <w:r>
                    <w:rPr>
                      <w:rFonts w:hint="eastAsia" w:cs="Times New Roman"/>
                      <w:color w:val="auto"/>
                      <w:sz w:val="21"/>
                      <w:szCs w:val="21"/>
                      <w:highlight w:val="none"/>
                      <w:lang w:val="en-US" w:eastAsia="zh-CN"/>
                    </w:rPr>
                    <w:t>2</w:t>
                  </w:r>
                </w:p>
              </w:tc>
              <w:tc>
                <w:tcPr>
                  <w:tcW w:w="989" w:type="dxa"/>
                  <w:noWrap w:val="0"/>
                  <w:vAlign w:val="center"/>
                </w:tcPr>
                <w:p w14:paraId="52678B4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160</w:t>
                  </w:r>
                </w:p>
              </w:tc>
              <w:tc>
                <w:tcPr>
                  <w:tcW w:w="964" w:type="dxa"/>
                  <w:noWrap w:val="0"/>
                  <w:vAlign w:val="center"/>
                </w:tcPr>
                <w:p w14:paraId="2BD1003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11</w:t>
                  </w:r>
                  <w:r>
                    <w:rPr>
                      <w:rFonts w:hint="eastAsia" w:cs="Times New Roman"/>
                      <w:color w:val="auto"/>
                      <w:sz w:val="21"/>
                      <w:szCs w:val="21"/>
                      <w:highlight w:val="none"/>
                      <w:lang w:val="en-US" w:eastAsia="zh-CN"/>
                    </w:rPr>
                    <w:t>4</w:t>
                  </w:r>
                </w:p>
              </w:tc>
              <w:tc>
                <w:tcPr>
                  <w:tcW w:w="1021" w:type="dxa"/>
                  <w:noWrap w:val="0"/>
                  <w:vAlign w:val="center"/>
                </w:tcPr>
                <w:p w14:paraId="69B46B2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不达标</w:t>
                  </w:r>
                </w:p>
              </w:tc>
            </w:tr>
          </w:tbl>
          <w:p w14:paraId="7D90557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eastAsia" w:cs="Times New Roman"/>
                <w:color w:val="auto"/>
                <w:sz w:val="24"/>
                <w:szCs w:val="24"/>
                <w:highlight w:val="none"/>
                <w:lang w:val="en-US" w:eastAsia="zh-CN"/>
              </w:rPr>
              <w:t>根据上表可知，</w:t>
            </w:r>
            <w:r>
              <w:rPr>
                <w:rFonts w:hint="default" w:ascii="Times New Roman" w:hAnsi="Times New Roman" w:eastAsia="宋体" w:cs="Times New Roman"/>
                <w:color w:val="auto"/>
                <w:sz w:val="24"/>
                <w:szCs w:val="24"/>
                <w:highlight w:val="none"/>
              </w:rPr>
              <w:t>PM</w:t>
            </w:r>
            <w:r>
              <w:rPr>
                <w:rFonts w:hint="default" w:ascii="Times New Roman" w:hAnsi="Times New Roman" w:eastAsia="宋体" w:cs="Times New Roman"/>
                <w:color w:val="auto"/>
                <w:sz w:val="24"/>
                <w:szCs w:val="24"/>
                <w:highlight w:val="none"/>
                <w:vertAlign w:val="subscript"/>
              </w:rPr>
              <w:t>10</w:t>
            </w:r>
            <w:r>
              <w:rPr>
                <w:rFonts w:hint="default" w:ascii="Times New Roman" w:hAnsi="Times New Roman" w:eastAsia="宋体" w:cs="Times New Roman"/>
                <w:color w:val="auto"/>
                <w:sz w:val="24"/>
                <w:szCs w:val="24"/>
                <w:highlight w:val="none"/>
              </w:rPr>
              <w:t>、PM</w:t>
            </w:r>
            <w:r>
              <w:rPr>
                <w:rFonts w:hint="default" w:ascii="Times New Roman" w:hAnsi="Times New Roman" w:eastAsia="宋体" w:cs="Times New Roman"/>
                <w:color w:val="auto"/>
                <w:sz w:val="24"/>
                <w:szCs w:val="24"/>
                <w:highlight w:val="none"/>
                <w:vertAlign w:val="subscript"/>
              </w:rPr>
              <w:t>2.5</w:t>
            </w:r>
            <w:r>
              <w:rPr>
                <w:rFonts w:hint="default" w:ascii="Times New Roman" w:hAnsi="Times New Roman" w:eastAsia="宋体" w:cs="Times New Roman"/>
                <w:color w:val="auto"/>
                <w:sz w:val="24"/>
                <w:szCs w:val="24"/>
                <w:highlight w:val="none"/>
              </w:rPr>
              <w:t>、O</w:t>
            </w:r>
            <w:r>
              <w:rPr>
                <w:rFonts w:hint="default" w:ascii="Times New Roman" w:hAnsi="Times New Roman" w:eastAsia="宋体" w:cs="Times New Roman"/>
                <w:color w:val="auto"/>
                <w:sz w:val="24"/>
                <w:szCs w:val="24"/>
                <w:highlight w:val="none"/>
                <w:vertAlign w:val="subscript"/>
              </w:rPr>
              <w:t>3</w:t>
            </w:r>
            <w:r>
              <w:rPr>
                <w:rFonts w:hint="default" w:ascii="Times New Roman" w:hAnsi="Times New Roman" w:eastAsia="宋体" w:cs="Times New Roman"/>
                <w:color w:val="auto"/>
                <w:sz w:val="24"/>
                <w:szCs w:val="24"/>
                <w:highlight w:val="none"/>
              </w:rPr>
              <w:t>年评价指标不满足《环境空气质量标准》（GB3095-2012）及其修改单（生态环境部2018年第29号公告）二级标准，SO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rPr>
              <w:t>、CO、NO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rPr>
              <w:t>年评价指标满足《环境空气质量标准》（GB3095-2012）二级标准及其修改单（生态环境部2018年第29号公告）要求</w:t>
            </w:r>
            <w:r>
              <w:rPr>
                <w:rFonts w:hint="eastAsia"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因此，该项目所在区域为空气质量不达标区</w:t>
            </w:r>
            <w:r>
              <w:rPr>
                <w:rFonts w:hint="default" w:ascii="Times New Roman" w:hAnsi="Times New Roman" w:eastAsia="宋体" w:cs="Times New Roman"/>
                <w:color w:val="auto"/>
                <w:sz w:val="24"/>
                <w:szCs w:val="24"/>
                <w:highlight w:val="none"/>
                <w:lang w:val="zh-CN"/>
              </w:rPr>
              <w:t>。</w:t>
            </w:r>
          </w:p>
          <w:p w14:paraId="592E117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为改善大气环境质量，</w:t>
            </w:r>
            <w:r>
              <w:rPr>
                <w:rFonts w:hint="default" w:ascii="Times New Roman" w:hAnsi="Times New Roman" w:eastAsia="宋体" w:cs="Times New Roman"/>
                <w:color w:val="auto"/>
                <w:sz w:val="24"/>
                <w:szCs w:val="24"/>
                <w:highlight w:val="none"/>
                <w:lang w:val="en-US" w:eastAsia="zh-CN"/>
              </w:rPr>
              <w:t>行唐县</w:t>
            </w:r>
            <w:r>
              <w:rPr>
                <w:rFonts w:hint="default" w:ascii="Times New Roman" w:hAnsi="Times New Roman" w:eastAsia="宋体" w:cs="Times New Roman"/>
                <w:color w:val="auto"/>
                <w:sz w:val="24"/>
                <w:szCs w:val="24"/>
                <w:highlight w:val="none"/>
              </w:rPr>
              <w:t>人民政府</w:t>
            </w:r>
            <w:r>
              <w:rPr>
                <w:rFonts w:hint="default" w:ascii="Times New Roman" w:hAnsi="Times New Roman" w:eastAsia="宋体" w:cs="Times New Roman"/>
                <w:color w:val="auto"/>
                <w:sz w:val="24"/>
                <w:szCs w:val="24"/>
                <w:highlight w:val="none"/>
                <w:lang w:val="en-US" w:eastAsia="zh-CN"/>
              </w:rPr>
              <w:t>根据相关方案要求，</w:t>
            </w:r>
            <w:r>
              <w:rPr>
                <w:rFonts w:hint="default" w:ascii="Times New Roman" w:hAnsi="Times New Roman" w:eastAsia="宋体" w:cs="Times New Roman"/>
                <w:color w:val="auto"/>
                <w:sz w:val="24"/>
                <w:szCs w:val="24"/>
                <w:highlight w:val="none"/>
              </w:rPr>
              <w:t>制定落实了</w:t>
            </w:r>
            <w:r>
              <w:rPr>
                <w:rFonts w:hint="default" w:ascii="Times New Roman" w:hAnsi="Times New Roman" w:eastAsia="宋体" w:cs="Times New Roman"/>
                <w:color w:val="auto"/>
                <w:sz w:val="24"/>
                <w:szCs w:val="24"/>
                <w:highlight w:val="none"/>
                <w:lang w:val="en-US" w:eastAsia="zh-CN"/>
              </w:rPr>
              <w:t>行唐县</w:t>
            </w:r>
            <w:r>
              <w:rPr>
                <w:rFonts w:hint="default" w:ascii="Times New Roman" w:hAnsi="Times New Roman" w:eastAsia="宋体" w:cs="Times New Roman"/>
                <w:color w:val="auto"/>
                <w:sz w:val="24"/>
                <w:szCs w:val="24"/>
                <w:highlight w:val="none"/>
              </w:rPr>
              <w:t>重污染天气应急预案、</w:t>
            </w:r>
            <w:r>
              <w:rPr>
                <w:rFonts w:hint="default" w:ascii="Times New Roman" w:hAnsi="Times New Roman" w:cs="Times New Roman"/>
                <w:color w:val="auto"/>
                <w:sz w:val="24"/>
                <w:szCs w:val="24"/>
                <w:highlight w:val="none"/>
                <w:lang w:eastAsia="zh-CN"/>
              </w:rPr>
              <w:t>绩效管理、环保设施提升改造、</w:t>
            </w:r>
            <w:r>
              <w:rPr>
                <w:rFonts w:hint="default" w:ascii="Times New Roman" w:hAnsi="Times New Roman" w:eastAsia="宋体" w:cs="Times New Roman"/>
                <w:color w:val="auto"/>
                <w:sz w:val="24"/>
                <w:szCs w:val="24"/>
                <w:highlight w:val="none"/>
              </w:rPr>
              <w:t>车辆限行措施等污染减缓措施，预计区域环境质量将</w:t>
            </w:r>
            <w:r>
              <w:rPr>
                <w:rFonts w:hint="default" w:ascii="Times New Roman" w:hAnsi="Times New Roman" w:cs="Times New Roman"/>
                <w:color w:val="auto"/>
                <w:sz w:val="24"/>
                <w:szCs w:val="24"/>
                <w:highlight w:val="none"/>
                <w:lang w:eastAsia="zh-CN"/>
              </w:rPr>
              <w:t>逐步</w:t>
            </w:r>
            <w:r>
              <w:rPr>
                <w:rFonts w:hint="default" w:ascii="Times New Roman" w:hAnsi="Times New Roman" w:eastAsia="宋体" w:cs="Times New Roman"/>
                <w:color w:val="auto"/>
                <w:sz w:val="24"/>
                <w:szCs w:val="24"/>
                <w:highlight w:val="none"/>
              </w:rPr>
              <w:t>改善。</w:t>
            </w:r>
          </w:p>
          <w:p w14:paraId="2ED70308">
            <w:pPr>
              <w:pStyle w:val="126"/>
              <w:keepLines w:val="0"/>
              <w:pageBreakBefore w:val="0"/>
              <w:widowControl w:val="0"/>
              <w:kinsoku/>
              <w:wordWrap/>
              <w:overflowPunct/>
              <w:topLinePunct w:val="0"/>
              <w:autoSpaceDE/>
              <w:autoSpaceDN/>
              <w:bidi w:val="0"/>
              <w:spacing w:line="360" w:lineRule="auto"/>
              <w:textAlignment w:val="auto"/>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2.</w:t>
            </w:r>
            <w:r>
              <w:rPr>
                <w:rFonts w:hint="default" w:ascii="Times New Roman" w:hAnsi="Times New Roman" w:eastAsia="宋体" w:cs="Times New Roman"/>
                <w:color w:val="auto"/>
                <w:highlight w:val="none"/>
                <w:lang w:val="en-US" w:eastAsia="zh-CN"/>
              </w:rPr>
              <w:t>其他污染物环境质量现状评价</w:t>
            </w:r>
            <w:bookmarkEnd w:id="11"/>
            <w:bookmarkEnd w:id="12"/>
            <w:bookmarkEnd w:id="13"/>
          </w:p>
          <w:p w14:paraId="48814378">
            <w:pPr>
              <w:keepNext w:val="0"/>
              <w:keepLines w:val="0"/>
              <w:pageBreakBefore w:val="0"/>
              <w:widowControl w:val="0"/>
              <w:suppressLineNumbers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color w:val="auto"/>
                <w:kern w:val="0"/>
                <w:sz w:val="24"/>
                <w:szCs w:val="24"/>
                <w:highlight w:val="none"/>
                <w:lang w:val="en-US" w:eastAsia="zh-CN" w:bidi="ar-SA"/>
              </w:rPr>
            </w:pPr>
            <w:bookmarkStart w:id="18" w:name="_Toc22925"/>
            <w:bookmarkStart w:id="19" w:name="_Toc28118"/>
            <w:bookmarkStart w:id="20" w:name="_Toc27236"/>
            <w:bookmarkStart w:id="21" w:name="_Toc18534"/>
            <w:r>
              <w:rPr>
                <w:rFonts w:hint="default" w:ascii="Times New Roman" w:hAnsi="Times New Roman" w:eastAsia="宋体" w:cs="Times New Roman"/>
                <w:color w:val="auto"/>
                <w:kern w:val="0"/>
                <w:sz w:val="24"/>
                <w:szCs w:val="24"/>
                <w:highlight w:val="none"/>
                <w:lang w:val="en-US" w:eastAsia="zh-CN" w:bidi="ar-SA"/>
              </w:rPr>
              <w:t>（1）监测点位及监测因子</w:t>
            </w:r>
            <w:bookmarkEnd w:id="18"/>
            <w:bookmarkEnd w:id="19"/>
            <w:bookmarkEnd w:id="20"/>
            <w:bookmarkEnd w:id="21"/>
          </w:p>
          <w:p w14:paraId="42120B9B">
            <w:pPr>
              <w:keepNext w:val="0"/>
              <w:keepLines w:val="0"/>
              <w:pageBreakBefore w:val="0"/>
              <w:widowControl w:val="0"/>
              <w:suppressLineNumbers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pPr>
            <w:bookmarkStart w:id="22" w:name="_Toc8548"/>
            <w:bookmarkStart w:id="23" w:name="_Toc20781"/>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本次评价特征因子非甲烷总烃引用《行唐县正佳机械有限责任公司环境现状检测》</w:t>
            </w:r>
            <w:r>
              <w:rPr>
                <w:rFonts w:hint="default" w:ascii="Times New Roman" w:hAnsi="Times New Roman" w:cs="Times New Roman"/>
                <w:color w:val="000000" w:themeColor="text1"/>
                <w:kern w:val="0"/>
                <w:sz w:val="24"/>
                <w:szCs w:val="24"/>
                <w:highlight w:val="none"/>
                <w:lang w:val="en-US" w:eastAsia="zh-CN" w:bidi="ar-SA"/>
                <w14:textFill>
                  <w14:solidFill>
                    <w14:schemeClr w14:val="tx1"/>
                  </w14:solidFill>
                </w14:textFill>
              </w:rPr>
              <w:t>中数据，检测时间为</w:t>
            </w:r>
            <w:r>
              <w:rPr>
                <w:rFonts w:hint="eastAsia" w:cs="Times New Roman"/>
                <w:color w:val="000000" w:themeColor="text1"/>
                <w:kern w:val="0"/>
                <w:sz w:val="24"/>
                <w:szCs w:val="24"/>
                <w:highlight w:val="none"/>
                <w:lang w:val="en-US" w:eastAsia="zh-CN" w:bidi="ar-SA"/>
                <w14:textFill>
                  <w14:solidFill>
                    <w14:schemeClr w14:val="tx1"/>
                  </w14:solidFill>
                </w14:textFill>
              </w:rPr>
              <w:t>2026年3月20日</w:t>
            </w:r>
            <w:r>
              <w:rPr>
                <w:rFonts w:hint="default" w:ascii="Times New Roman" w:hAnsi="Times New Roman" w:cs="Times New Roman"/>
                <w:color w:val="000000" w:themeColor="text1"/>
                <w:kern w:val="0"/>
                <w:sz w:val="24"/>
                <w:szCs w:val="24"/>
                <w:highlight w:val="none"/>
                <w:lang w:val="en-US" w:eastAsia="zh-CN" w:bidi="ar-SA"/>
                <w14:textFill>
                  <w14:solidFill>
                    <w14:schemeClr w14:val="tx1"/>
                  </w14:solidFill>
                </w14:textFill>
              </w:rPr>
              <w:t>~202</w:t>
            </w:r>
            <w:r>
              <w:rPr>
                <w:rFonts w:hint="eastAsia" w:cs="Times New Roman"/>
                <w:color w:val="000000" w:themeColor="text1"/>
                <w:kern w:val="0"/>
                <w:sz w:val="24"/>
                <w:szCs w:val="24"/>
                <w:highlight w:val="none"/>
                <w:lang w:val="en-US" w:eastAsia="zh-CN" w:bidi="ar-SA"/>
                <w14:textFill>
                  <w14:solidFill>
                    <w14:schemeClr w14:val="tx1"/>
                  </w14:solidFill>
                </w14:textFill>
              </w:rPr>
              <w:t>6</w:t>
            </w:r>
            <w:r>
              <w:rPr>
                <w:rFonts w:hint="default" w:ascii="Times New Roman" w:hAnsi="Times New Roman" w:cs="Times New Roman"/>
                <w:color w:val="000000" w:themeColor="text1"/>
                <w:kern w:val="0"/>
                <w:sz w:val="24"/>
                <w:szCs w:val="24"/>
                <w:highlight w:val="none"/>
                <w:lang w:val="en-US" w:eastAsia="zh-CN" w:bidi="ar-SA"/>
                <w14:textFill>
                  <w14:solidFill>
                    <w14:schemeClr w14:val="tx1"/>
                  </w14:solidFill>
                </w14:textFill>
              </w:rPr>
              <w:t>年3月</w:t>
            </w:r>
            <w:r>
              <w:rPr>
                <w:rFonts w:hint="eastAsia" w:cs="Times New Roman"/>
                <w:color w:val="000000" w:themeColor="text1"/>
                <w:kern w:val="0"/>
                <w:sz w:val="24"/>
                <w:szCs w:val="24"/>
                <w:highlight w:val="none"/>
                <w:lang w:val="en-US" w:eastAsia="zh-CN" w:bidi="ar-SA"/>
                <w14:textFill>
                  <w14:solidFill>
                    <w14:schemeClr w14:val="tx1"/>
                  </w14:solidFill>
                </w14:textFill>
              </w:rPr>
              <w:t>7</w:t>
            </w:r>
            <w:r>
              <w:rPr>
                <w:rFonts w:hint="default" w:ascii="Times New Roman" w:hAnsi="Times New Roman" w:cs="Times New Roman"/>
                <w:color w:val="000000" w:themeColor="text1"/>
                <w:kern w:val="0"/>
                <w:sz w:val="24"/>
                <w:szCs w:val="24"/>
                <w:highlight w:val="none"/>
                <w:lang w:val="en-US" w:eastAsia="zh-CN" w:bidi="ar-SA"/>
                <w14:textFill>
                  <w14:solidFill>
                    <w14:schemeClr w14:val="tx1"/>
                  </w14:solidFill>
                </w14:textFill>
              </w:rPr>
              <w:t>日，距离项目</w:t>
            </w:r>
            <w:r>
              <w:rPr>
                <w:rFonts w:hint="eastAsia" w:cs="Times New Roman"/>
                <w:color w:val="000000" w:themeColor="text1"/>
                <w:kern w:val="0"/>
                <w:sz w:val="24"/>
                <w:szCs w:val="24"/>
                <w:highlight w:val="none"/>
                <w:lang w:val="en-US" w:eastAsia="zh-CN" w:bidi="ar-SA"/>
                <w14:textFill>
                  <w14:solidFill>
                    <w14:schemeClr w14:val="tx1"/>
                  </w14:solidFill>
                </w14:textFill>
              </w:rPr>
              <w:t>1025</w:t>
            </w:r>
            <w:r>
              <w:rPr>
                <w:rFonts w:hint="default" w:ascii="Times New Roman" w:hAnsi="Times New Roman" w:cs="Times New Roman"/>
                <w:color w:val="000000" w:themeColor="text1"/>
                <w:kern w:val="0"/>
                <w:sz w:val="24"/>
                <w:szCs w:val="24"/>
                <w:highlight w:val="none"/>
                <w:lang w:val="en-US" w:eastAsia="zh-CN" w:bidi="ar-SA"/>
                <w14:textFill>
                  <w14:solidFill>
                    <w14:schemeClr w14:val="tx1"/>
                  </w14:solidFill>
                </w14:textFill>
              </w:rPr>
              <w:t>米。</w:t>
            </w:r>
            <w:r>
              <w:rPr>
                <w:rFonts w:hint="default" w:ascii="Times New Roman" w:hAnsi="Times New Roman" w:eastAsia="宋体" w:cs="Times New Roman"/>
                <w:color w:val="000000" w:themeColor="text1"/>
                <w:sz w:val="24"/>
                <w:highlight w:val="none"/>
                <w14:textFill>
                  <w14:solidFill>
                    <w14:schemeClr w14:val="tx1"/>
                  </w14:solidFill>
                </w14:textFill>
              </w:rPr>
              <w:t>符合《建设项目环境影响报告表编制技术指南污染影响类（试行）》中监测时间3年内监测要求，监测点位5km范围内要求，监测数据可引用</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w:t>
            </w:r>
          </w:p>
          <w:p w14:paraId="1A299DCC">
            <w:pPr>
              <w:pStyle w:val="127"/>
              <w:keepLines w:val="0"/>
              <w:pageBreakBefore w:val="0"/>
              <w:widowControl w:val="0"/>
              <w:numPr>
                <w:ilvl w:val="4"/>
                <w:numId w:val="0"/>
              </w:numPr>
              <w:kinsoku/>
              <w:wordWrap/>
              <w:overflowPunct/>
              <w:topLinePunct w:val="0"/>
              <w:autoSpaceDE/>
              <w:autoSpaceDN/>
              <w:bidi w:val="0"/>
              <w:ind w:leftChars="0"/>
              <w:jc w:val="center"/>
              <w:textAlignment w:val="auto"/>
              <w:rPr>
                <w:rFonts w:hint="default"/>
                <w:highlight w:val="none"/>
                <w:lang w:val="en-US" w:eastAsia="zh-CN"/>
              </w:rPr>
            </w:pPr>
            <w:r>
              <w:rPr>
                <w:rFonts w:hint="default" w:ascii="Times New Roman" w:hAnsi="Times New Roman" w:eastAsia="宋体" w:cs="Times New Roman"/>
                <w:b/>
                <w:color w:val="auto"/>
                <w:kern w:val="2"/>
                <w:sz w:val="24"/>
                <w:szCs w:val="24"/>
                <w:highlight w:val="none"/>
                <w:lang w:val="en-US" w:eastAsia="zh-CN" w:bidi="ar-SA"/>
              </w:rPr>
              <w:t>表3-2  其他污染物补充监测点位及监测因子一览表</w:t>
            </w:r>
          </w:p>
          <w:tbl>
            <w:tblPr>
              <w:tblStyle w:val="131"/>
              <w:tblW w:w="4995"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929"/>
              <w:gridCol w:w="1889"/>
              <w:gridCol w:w="1239"/>
              <w:gridCol w:w="1562"/>
              <w:gridCol w:w="1562"/>
              <w:gridCol w:w="1123"/>
            </w:tblGrid>
            <w:tr w14:paraId="3C4EEB9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5" w:hRule="atLeast"/>
                <w:tblHeader/>
                <w:jc w:val="center"/>
              </w:trPr>
              <w:tc>
                <w:tcPr>
                  <w:tcW w:w="559" w:type="pct"/>
                  <w:tcBorders>
                    <w:tl2br w:val="nil"/>
                    <w:tr2bl w:val="nil"/>
                  </w:tcBorders>
                  <w:noWrap w:val="0"/>
                  <w:vAlign w:val="center"/>
                </w:tcPr>
                <w:p w14:paraId="683601DB">
                  <w:pPr>
                    <w:pStyle w:val="62"/>
                    <w:keepLines w:val="0"/>
                    <w:pageBreakBefore w:val="0"/>
                    <w:widowControl w:val="0"/>
                    <w:kinsoku/>
                    <w:wordWrap/>
                    <w:overflowPunct/>
                    <w:topLinePunct w:val="0"/>
                    <w:autoSpaceDE/>
                    <w:autoSpaceDN/>
                    <w:bidi w:val="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监测点名称</w:t>
                  </w:r>
                </w:p>
              </w:tc>
              <w:tc>
                <w:tcPr>
                  <w:tcW w:w="1137" w:type="pct"/>
                  <w:tcBorders>
                    <w:tl2br w:val="nil"/>
                    <w:tr2bl w:val="nil"/>
                  </w:tcBorders>
                  <w:noWrap w:val="0"/>
                  <w:vAlign w:val="center"/>
                </w:tcPr>
                <w:p w14:paraId="75770BC8">
                  <w:pPr>
                    <w:pStyle w:val="62"/>
                    <w:keepLines w:val="0"/>
                    <w:pageBreakBefore w:val="0"/>
                    <w:widowControl w:val="0"/>
                    <w:kinsoku/>
                    <w:wordWrap/>
                    <w:overflowPunct/>
                    <w:topLinePunct w:val="0"/>
                    <w:autoSpaceDE/>
                    <w:autoSpaceDN/>
                    <w:bidi w:val="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lang w:val="en-US" w:eastAsia="zh-CN"/>
                    </w:rPr>
                    <w:t>监测因子</w:t>
                  </w:r>
                </w:p>
              </w:tc>
              <w:tc>
                <w:tcPr>
                  <w:tcW w:w="746" w:type="pct"/>
                  <w:tcBorders>
                    <w:tl2br w:val="nil"/>
                    <w:tr2bl w:val="nil"/>
                  </w:tcBorders>
                  <w:noWrap w:val="0"/>
                  <w:vAlign w:val="center"/>
                </w:tcPr>
                <w:p w14:paraId="057CEE20">
                  <w:pPr>
                    <w:pStyle w:val="62"/>
                    <w:keepLines w:val="0"/>
                    <w:pageBreakBefore w:val="0"/>
                    <w:widowControl w:val="0"/>
                    <w:kinsoku/>
                    <w:wordWrap/>
                    <w:overflowPunct/>
                    <w:topLinePunct w:val="0"/>
                    <w:autoSpaceDE/>
                    <w:autoSpaceDN/>
                    <w:bidi w:val="0"/>
                    <w:textAlignment w:val="auto"/>
                    <w:rPr>
                      <w:rFonts w:hint="default" w:ascii="Times New Roman" w:hAnsi="Times New Roman" w:eastAsia="宋体" w:cs="Times New Roman"/>
                      <w:b/>
                      <w:bCs/>
                      <w:color w:val="auto"/>
                      <w:highlight w:val="none"/>
                      <w:lang w:val="en-US" w:eastAsia="zh-CN"/>
                    </w:rPr>
                  </w:pPr>
                  <w:r>
                    <w:rPr>
                      <w:rFonts w:hint="default" w:ascii="Times New Roman" w:hAnsi="Times New Roman" w:cs="Times New Roman"/>
                      <w:b/>
                      <w:bCs/>
                      <w:color w:val="auto"/>
                      <w:highlight w:val="none"/>
                    </w:rPr>
                    <w:t>监测点</w:t>
                  </w:r>
                  <w:r>
                    <w:rPr>
                      <w:rFonts w:hint="default" w:ascii="Times New Roman" w:hAnsi="Times New Roman" w:cs="Times New Roman"/>
                      <w:b/>
                      <w:bCs/>
                      <w:color w:val="auto"/>
                      <w:highlight w:val="none"/>
                      <w:lang w:val="en-US" w:eastAsia="zh-CN"/>
                    </w:rPr>
                    <w:t>名称</w:t>
                  </w:r>
                </w:p>
              </w:tc>
              <w:tc>
                <w:tcPr>
                  <w:tcW w:w="940" w:type="pct"/>
                  <w:tcBorders>
                    <w:tl2br w:val="nil"/>
                    <w:tr2bl w:val="nil"/>
                  </w:tcBorders>
                  <w:noWrap w:val="0"/>
                  <w:vAlign w:val="center"/>
                </w:tcPr>
                <w:p w14:paraId="3EEE8CAD">
                  <w:pPr>
                    <w:pStyle w:val="62"/>
                    <w:keepLines w:val="0"/>
                    <w:pageBreakBefore w:val="0"/>
                    <w:widowControl w:val="0"/>
                    <w:kinsoku/>
                    <w:wordWrap/>
                    <w:overflowPunct/>
                    <w:topLinePunct w:val="0"/>
                    <w:autoSpaceDE/>
                    <w:autoSpaceDN/>
                    <w:bidi w:val="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监测点与厂址相对方位</w:t>
                  </w:r>
                </w:p>
              </w:tc>
              <w:tc>
                <w:tcPr>
                  <w:tcW w:w="940" w:type="pct"/>
                  <w:tcBorders>
                    <w:tl2br w:val="nil"/>
                    <w:tr2bl w:val="nil"/>
                  </w:tcBorders>
                  <w:noWrap w:val="0"/>
                  <w:vAlign w:val="center"/>
                </w:tcPr>
                <w:p w14:paraId="0D9F5A46">
                  <w:pPr>
                    <w:pStyle w:val="62"/>
                    <w:keepLines w:val="0"/>
                    <w:pageBreakBefore w:val="0"/>
                    <w:widowControl w:val="0"/>
                    <w:kinsoku/>
                    <w:wordWrap/>
                    <w:overflowPunct/>
                    <w:topLinePunct w:val="0"/>
                    <w:autoSpaceDE/>
                    <w:autoSpaceDN/>
                    <w:bidi w:val="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监测点与厂址最近距离（m</w:t>
                  </w:r>
                  <w:r>
                    <w:rPr>
                      <w:rFonts w:hint="default" w:ascii="Times New Roman" w:hAnsi="Times New Roman" w:cs="Times New Roman"/>
                      <w:b/>
                      <w:bCs/>
                      <w:color w:val="auto"/>
                      <w:highlight w:val="none"/>
                      <w:lang w:eastAsia="zh-CN"/>
                    </w:rPr>
                    <w:t>）</w:t>
                  </w:r>
                </w:p>
              </w:tc>
              <w:tc>
                <w:tcPr>
                  <w:tcW w:w="676" w:type="pct"/>
                  <w:tcBorders>
                    <w:tl2br w:val="nil"/>
                    <w:tr2bl w:val="nil"/>
                  </w:tcBorders>
                  <w:noWrap w:val="0"/>
                  <w:vAlign w:val="center"/>
                </w:tcPr>
                <w:p w14:paraId="13449718">
                  <w:pPr>
                    <w:pStyle w:val="62"/>
                    <w:keepLines w:val="0"/>
                    <w:pageBreakBefore w:val="0"/>
                    <w:widowControl w:val="0"/>
                    <w:kinsoku/>
                    <w:wordWrap/>
                    <w:overflowPunct/>
                    <w:topLinePunct w:val="0"/>
                    <w:autoSpaceDE/>
                    <w:autoSpaceDN/>
                    <w:bidi w:val="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环境功能区</w:t>
                  </w:r>
                </w:p>
              </w:tc>
            </w:tr>
            <w:tr w14:paraId="49A7964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559" w:type="pct"/>
                  <w:tcBorders>
                    <w:tl2br w:val="nil"/>
                    <w:tr2bl w:val="nil"/>
                  </w:tcBorders>
                  <w:noWrap w:val="0"/>
                  <w:vAlign w:val="center"/>
                </w:tcPr>
                <w:p w14:paraId="4520EB74">
                  <w:pPr>
                    <w:pStyle w:val="62"/>
                    <w:keepLines w:val="0"/>
                    <w:pageBreakBefore w:val="0"/>
                    <w:widowControl w:val="0"/>
                    <w:kinsoku/>
                    <w:wordWrap/>
                    <w:overflowPunct/>
                    <w:topLinePunct w:val="0"/>
                    <w:autoSpaceDE/>
                    <w:autoSpaceDN/>
                    <w:bidi w:val="0"/>
                    <w:textAlignment w:val="auto"/>
                    <w:rPr>
                      <w:rFonts w:hint="default" w:ascii="Times New Roman" w:hAnsi="Times New Roman" w:cs="Times New Roman"/>
                      <w:color w:val="auto"/>
                      <w:highlight w:val="none"/>
                    </w:rPr>
                  </w:pPr>
                  <w:r>
                    <w:rPr>
                      <w:rFonts w:hint="default" w:ascii="Times New Roman" w:hAnsi="Times New Roman" w:cs="Times New Roman"/>
                      <w:color w:val="000000" w:themeColor="text1"/>
                      <w:highlight w:val="none"/>
                      <w14:textFill>
                        <w14:solidFill>
                          <w14:schemeClr w14:val="tx1"/>
                        </w14:solidFill>
                      </w14:textFill>
                    </w:rPr>
                    <w:t>G1#</w:t>
                  </w:r>
                </w:p>
              </w:tc>
              <w:tc>
                <w:tcPr>
                  <w:tcW w:w="1137" w:type="pct"/>
                  <w:tcBorders>
                    <w:tl2br w:val="nil"/>
                    <w:tr2bl w:val="nil"/>
                  </w:tcBorders>
                  <w:noWrap w:val="0"/>
                  <w:vAlign w:val="center"/>
                </w:tcPr>
                <w:p w14:paraId="57D0E154">
                  <w:pPr>
                    <w:pStyle w:val="62"/>
                    <w:keepLines w:val="0"/>
                    <w:pageBreakBefore w:val="0"/>
                    <w:widowControl w:val="0"/>
                    <w:kinsoku/>
                    <w:wordWrap/>
                    <w:overflowPunct/>
                    <w:topLinePunct w:val="0"/>
                    <w:autoSpaceDE/>
                    <w:autoSpaceDN/>
                    <w:bidi w:val="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000000" w:themeColor="text1"/>
                      <w:highlight w:val="none"/>
                      <w14:textFill>
                        <w14:solidFill>
                          <w14:schemeClr w14:val="tx1"/>
                        </w14:solidFill>
                      </w14:textFill>
                    </w:rPr>
                    <w:t>非甲烷总烃</w:t>
                  </w:r>
                </w:p>
              </w:tc>
              <w:tc>
                <w:tcPr>
                  <w:tcW w:w="746" w:type="pct"/>
                  <w:tcBorders>
                    <w:tl2br w:val="nil"/>
                    <w:tr2bl w:val="nil"/>
                  </w:tcBorders>
                  <w:noWrap w:val="0"/>
                  <w:vAlign w:val="center"/>
                </w:tcPr>
                <w:p w14:paraId="63DA1288">
                  <w:pPr>
                    <w:pStyle w:val="62"/>
                    <w:keepLines w:val="0"/>
                    <w:pageBreakBefore w:val="0"/>
                    <w:widowControl w:val="0"/>
                    <w:kinsoku/>
                    <w:wordWrap/>
                    <w:overflowPunct/>
                    <w:topLinePunct w:val="0"/>
                    <w:autoSpaceDE/>
                    <w:autoSpaceDN/>
                    <w:bidi w:val="0"/>
                    <w:textAlignment w:val="auto"/>
                    <w:rPr>
                      <w:rFonts w:hint="default" w:ascii="Times New Roman" w:hAnsi="Times New Roman" w:cs="Times New Roman"/>
                      <w:color w:val="auto"/>
                      <w:highlight w:val="none"/>
                      <w:lang w:val="en-US" w:eastAsia="zh-CN"/>
                    </w:rPr>
                  </w:pPr>
                  <w:r>
                    <w:rPr>
                      <w:rFonts w:hint="eastAsia" w:cs="Times New Roman"/>
                      <w:color w:val="000000" w:themeColor="text1"/>
                      <w:highlight w:val="none"/>
                      <w:lang w:val="en-US" w:eastAsia="zh-CN"/>
                      <w14:textFill>
                        <w14:solidFill>
                          <w14:schemeClr w14:val="tx1"/>
                        </w14:solidFill>
                      </w14:textFill>
                    </w:rPr>
                    <w:t>东正庄</w:t>
                  </w:r>
                  <w:r>
                    <w:rPr>
                      <w:rFonts w:hint="default" w:ascii="Times New Roman" w:hAnsi="Times New Roman" w:cs="Times New Roman"/>
                      <w:color w:val="000000" w:themeColor="text1"/>
                      <w:highlight w:val="none"/>
                      <w:lang w:val="en-US" w:eastAsia="zh-CN"/>
                      <w14:textFill>
                        <w14:solidFill>
                          <w14:schemeClr w14:val="tx1"/>
                        </w14:solidFill>
                      </w14:textFill>
                    </w:rPr>
                    <w:t>村</w:t>
                  </w:r>
                </w:p>
              </w:tc>
              <w:tc>
                <w:tcPr>
                  <w:tcW w:w="940" w:type="pct"/>
                  <w:tcBorders>
                    <w:tl2br w:val="nil"/>
                    <w:tr2bl w:val="nil"/>
                  </w:tcBorders>
                  <w:noWrap w:val="0"/>
                  <w:vAlign w:val="center"/>
                </w:tcPr>
                <w:p w14:paraId="61064BFE">
                  <w:pPr>
                    <w:pStyle w:val="62"/>
                    <w:keepLines w:val="0"/>
                    <w:pageBreakBefore w:val="0"/>
                    <w:widowControl w:val="0"/>
                    <w:kinsoku/>
                    <w:wordWrap/>
                    <w:overflowPunct/>
                    <w:topLinePunct w:val="0"/>
                    <w:autoSpaceDE/>
                    <w:autoSpaceDN/>
                    <w:bidi w:val="0"/>
                    <w:textAlignment w:val="auto"/>
                    <w:rPr>
                      <w:rFonts w:hint="default" w:ascii="Times New Roman" w:hAnsi="Times New Roman" w:cs="Times New Roman"/>
                      <w:color w:val="auto"/>
                      <w:highlight w:val="none"/>
                      <w:lang w:val="en-US" w:eastAsia="zh-CN"/>
                    </w:rPr>
                  </w:pPr>
                  <w:r>
                    <w:rPr>
                      <w:rFonts w:hint="eastAsia" w:cs="Times New Roman"/>
                      <w:color w:val="000000" w:themeColor="text1"/>
                      <w:highlight w:val="none"/>
                      <w:lang w:val="en-US" w:eastAsia="zh-CN"/>
                      <w14:textFill>
                        <w14:solidFill>
                          <w14:schemeClr w14:val="tx1"/>
                        </w14:solidFill>
                      </w14:textFill>
                    </w:rPr>
                    <w:t>东</w:t>
                  </w:r>
                  <w:r>
                    <w:rPr>
                      <w:rFonts w:hint="default" w:ascii="Times New Roman" w:hAnsi="Times New Roman" w:cs="Times New Roman"/>
                      <w:color w:val="000000" w:themeColor="text1"/>
                      <w:highlight w:val="none"/>
                      <w:lang w:val="en-US" w:eastAsia="zh-CN"/>
                      <w14:textFill>
                        <w14:solidFill>
                          <w14:schemeClr w14:val="tx1"/>
                        </w14:solidFill>
                      </w14:textFill>
                    </w:rPr>
                    <w:t>南</w:t>
                  </w:r>
                </w:p>
              </w:tc>
              <w:tc>
                <w:tcPr>
                  <w:tcW w:w="940" w:type="pct"/>
                  <w:tcBorders>
                    <w:tl2br w:val="nil"/>
                    <w:tr2bl w:val="nil"/>
                  </w:tcBorders>
                  <w:noWrap w:val="0"/>
                  <w:vAlign w:val="center"/>
                </w:tcPr>
                <w:p w14:paraId="6810159E">
                  <w:pPr>
                    <w:pStyle w:val="62"/>
                    <w:keepLines w:val="0"/>
                    <w:pageBreakBefore w:val="0"/>
                    <w:widowControl w:val="0"/>
                    <w:kinsoku/>
                    <w:wordWrap/>
                    <w:overflowPunct/>
                    <w:topLinePunct w:val="0"/>
                    <w:autoSpaceDE/>
                    <w:autoSpaceDN/>
                    <w:bidi w:val="0"/>
                    <w:textAlignment w:val="auto"/>
                    <w:rPr>
                      <w:rFonts w:hint="default" w:ascii="Times New Roman" w:hAnsi="Times New Roman" w:cs="Times New Roman"/>
                      <w:color w:val="auto"/>
                      <w:highlight w:val="none"/>
                      <w:lang w:val="en-US" w:eastAsia="zh-CN"/>
                    </w:rPr>
                  </w:pPr>
                  <w:r>
                    <w:rPr>
                      <w:rFonts w:hint="eastAsia" w:cs="Times New Roman"/>
                      <w:color w:val="000000" w:themeColor="text1"/>
                      <w:highlight w:val="none"/>
                      <w:lang w:val="en-US" w:eastAsia="zh-CN"/>
                      <w14:textFill>
                        <w14:solidFill>
                          <w14:schemeClr w14:val="tx1"/>
                        </w14:solidFill>
                      </w14:textFill>
                    </w:rPr>
                    <w:t>1025</w:t>
                  </w:r>
                </w:p>
              </w:tc>
              <w:tc>
                <w:tcPr>
                  <w:tcW w:w="676" w:type="pct"/>
                  <w:tcBorders>
                    <w:tl2br w:val="nil"/>
                    <w:tr2bl w:val="nil"/>
                  </w:tcBorders>
                  <w:noWrap w:val="0"/>
                  <w:vAlign w:val="center"/>
                </w:tcPr>
                <w:p w14:paraId="374CE044">
                  <w:pPr>
                    <w:pStyle w:val="62"/>
                    <w:keepLines w:val="0"/>
                    <w:pageBreakBefore w:val="0"/>
                    <w:widowControl w:val="0"/>
                    <w:kinsoku/>
                    <w:wordWrap/>
                    <w:overflowPunct/>
                    <w:topLinePunct w:val="0"/>
                    <w:autoSpaceDE/>
                    <w:autoSpaceDN/>
                    <w:bidi w:val="0"/>
                    <w:textAlignment w:val="auto"/>
                    <w:rPr>
                      <w:rFonts w:hint="default" w:ascii="Times New Roman" w:hAnsi="Times New Roman" w:cs="Times New Roman"/>
                      <w:color w:val="auto"/>
                      <w:highlight w:val="none"/>
                    </w:rPr>
                  </w:pPr>
                  <w:r>
                    <w:rPr>
                      <w:rFonts w:hint="default" w:ascii="Times New Roman" w:hAnsi="Times New Roman" w:cs="Times New Roman"/>
                      <w:color w:val="000000" w:themeColor="text1"/>
                      <w:highlight w:val="none"/>
                      <w14:textFill>
                        <w14:solidFill>
                          <w14:schemeClr w14:val="tx1"/>
                        </w14:solidFill>
                      </w14:textFill>
                    </w:rPr>
                    <w:t>二类</w:t>
                  </w:r>
                </w:p>
              </w:tc>
            </w:tr>
            <w:bookmarkEnd w:id="22"/>
            <w:bookmarkEnd w:id="23"/>
          </w:tbl>
          <w:p w14:paraId="122360F7">
            <w:pPr>
              <w:pStyle w:val="126"/>
              <w:keepLines w:val="0"/>
              <w:pageBreakBefore w:val="0"/>
              <w:widowControl w:val="0"/>
              <w:kinsoku/>
              <w:wordWrap/>
              <w:overflowPunct/>
              <w:topLinePunct w:val="0"/>
              <w:autoSpaceDE/>
              <w:autoSpaceDN/>
              <w:bidi w:val="0"/>
              <w:textAlignment w:val="auto"/>
              <w:outlineLvl w:val="1"/>
              <w:rPr>
                <w:rFonts w:hint="default" w:ascii="Times New Roman" w:hAnsi="Times New Roman" w:cs="Times New Roman"/>
                <w:color w:val="auto"/>
                <w:highlight w:val="none"/>
              </w:rPr>
            </w:pPr>
            <w:bookmarkStart w:id="24" w:name="_Toc21754"/>
            <w:bookmarkStart w:id="25" w:name="_Toc25389"/>
            <w:bookmarkStart w:id="26" w:name="_Toc7891"/>
            <w:bookmarkStart w:id="27" w:name="_Toc17975"/>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2）</w:t>
            </w:r>
            <w:r>
              <w:rPr>
                <w:rFonts w:hint="default" w:ascii="Times New Roman" w:hAnsi="Times New Roman" w:cs="Times New Roman"/>
                <w:color w:val="auto"/>
                <w:highlight w:val="none"/>
              </w:rPr>
              <w:t>监测时段及频率</w:t>
            </w:r>
            <w:bookmarkEnd w:id="24"/>
            <w:bookmarkEnd w:id="25"/>
            <w:bookmarkEnd w:id="26"/>
            <w:bookmarkEnd w:id="27"/>
          </w:p>
          <w:p w14:paraId="1E9A84CF">
            <w:pPr>
              <w:pStyle w:val="84"/>
              <w:keepLines w:val="0"/>
              <w:pageBreakBefore w:val="0"/>
              <w:widowControl w:val="0"/>
              <w:kinsoku/>
              <w:wordWrap/>
              <w:overflowPunct/>
              <w:topLinePunct w:val="0"/>
              <w:autoSpaceDE/>
              <w:autoSpaceDN/>
              <w:bidi w:val="0"/>
              <w:ind w:firstLine="480"/>
              <w:textAlignment w:val="auto"/>
              <w:rPr>
                <w:rFonts w:hint="default" w:ascii="Times New Roman" w:hAnsi="Times New Roman" w:eastAsia="宋体" w:cs="Times New Roman"/>
                <w:color w:val="000000" w:themeColor="text1"/>
                <w:highlight w:val="none"/>
                <w:lang w:eastAsia="zh-CN"/>
                <w14:textFill>
                  <w14:solidFill>
                    <w14:schemeClr w14:val="tx1"/>
                  </w14:solidFill>
                </w14:textFill>
              </w:rPr>
            </w:pPr>
            <w:bookmarkStart w:id="28" w:name="_Toc24755"/>
            <w:bookmarkStart w:id="29" w:name="_Toc24153"/>
            <w:bookmarkStart w:id="30" w:name="_Toc26007"/>
            <w:bookmarkStart w:id="31" w:name="_Toc11171"/>
            <w:r>
              <w:rPr>
                <w:rFonts w:hint="default" w:ascii="Times New Roman" w:hAnsi="Times New Roman" w:cs="Times New Roman"/>
                <w:color w:val="000000" w:themeColor="text1"/>
                <w:highlight w:val="none"/>
                <w:lang w:val="en-US" w:eastAsia="zh-CN"/>
                <w14:textFill>
                  <w14:solidFill>
                    <w14:schemeClr w14:val="tx1"/>
                  </w14:solidFill>
                </w14:textFill>
              </w:rPr>
              <w:t>监测</w:t>
            </w:r>
            <w:r>
              <w:rPr>
                <w:rFonts w:hint="default" w:ascii="Times New Roman" w:hAnsi="Times New Roman" w:cs="Times New Roman"/>
                <w:color w:val="000000" w:themeColor="text1"/>
                <w:highlight w:val="none"/>
                <w14:textFill>
                  <w14:solidFill>
                    <w14:schemeClr w14:val="tx1"/>
                  </w14:solidFill>
                </w14:textFill>
              </w:rPr>
              <w:t>7天，</w:t>
            </w:r>
            <w:r>
              <w:rPr>
                <w:rFonts w:hint="default" w:ascii="Times New Roman" w:hAnsi="Times New Roman" w:cs="Times New Roman"/>
                <w:color w:val="000000" w:themeColor="text1"/>
                <w:highlight w:val="none"/>
                <w:lang w:val="en-US" w:eastAsia="zh-CN"/>
                <w14:textFill>
                  <w14:solidFill>
                    <w14:schemeClr w14:val="tx1"/>
                  </w14:solidFill>
                </w14:textFill>
              </w:rPr>
              <w:t>时间</w:t>
            </w:r>
            <w:r>
              <w:rPr>
                <w:rFonts w:hint="eastAsia" w:cs="Times New Roman"/>
                <w:color w:val="000000" w:themeColor="text1"/>
                <w:highlight w:val="none"/>
                <w:lang w:val="en-US" w:eastAsia="zh-CN"/>
                <w14:textFill>
                  <w14:solidFill>
                    <w14:schemeClr w14:val="tx1"/>
                  </w14:solidFill>
                </w14:textFill>
              </w:rPr>
              <w:t>2026年3月20日</w:t>
            </w:r>
            <w:r>
              <w:rPr>
                <w:rFonts w:hint="default" w:ascii="Times New Roman" w:hAnsi="Times New Roman" w:cs="Times New Roman"/>
                <w:color w:val="000000" w:themeColor="text1"/>
                <w:highlight w:val="none"/>
                <w:lang w:val="en-US" w:eastAsia="zh-CN"/>
                <w14:textFill>
                  <w14:solidFill>
                    <w14:schemeClr w14:val="tx1"/>
                  </w14:solidFill>
                </w14:textFill>
              </w:rPr>
              <w:t>~202</w:t>
            </w:r>
            <w:r>
              <w:rPr>
                <w:rFonts w:hint="eastAsia" w:cs="Times New Roman"/>
                <w:color w:val="000000" w:themeColor="text1"/>
                <w:highlight w:val="none"/>
                <w:lang w:val="en-US" w:eastAsia="zh-CN"/>
                <w14:textFill>
                  <w14:solidFill>
                    <w14:schemeClr w14:val="tx1"/>
                  </w14:solidFill>
                </w14:textFill>
              </w:rPr>
              <w:t>6</w:t>
            </w:r>
            <w:r>
              <w:rPr>
                <w:rFonts w:hint="default" w:ascii="Times New Roman" w:hAnsi="Times New Roman" w:cs="Times New Roman"/>
                <w:color w:val="000000" w:themeColor="text1"/>
                <w:highlight w:val="none"/>
                <w:lang w:val="en-US" w:eastAsia="zh-CN"/>
                <w14:textFill>
                  <w14:solidFill>
                    <w14:schemeClr w14:val="tx1"/>
                  </w14:solidFill>
                </w14:textFill>
              </w:rPr>
              <w:t>年3月</w:t>
            </w:r>
            <w:r>
              <w:rPr>
                <w:rFonts w:hint="eastAsia" w:cs="Times New Roman"/>
                <w:color w:val="000000" w:themeColor="text1"/>
                <w:highlight w:val="none"/>
                <w:lang w:val="en-US" w:eastAsia="zh-CN"/>
                <w14:textFill>
                  <w14:solidFill>
                    <w14:schemeClr w14:val="tx1"/>
                  </w14:solidFill>
                </w14:textFill>
              </w:rPr>
              <w:t>27</w:t>
            </w:r>
            <w:r>
              <w:rPr>
                <w:rFonts w:hint="default" w:ascii="Times New Roman" w:hAnsi="Times New Roman" w:cs="Times New Roman"/>
                <w:color w:val="000000" w:themeColor="text1"/>
                <w:highlight w:val="none"/>
                <w:lang w:val="en-US" w:eastAsia="zh-CN"/>
                <w14:textFill>
                  <w14:solidFill>
                    <w14:schemeClr w14:val="tx1"/>
                  </w14:solidFill>
                </w14:textFill>
              </w:rPr>
              <w:t>日；</w:t>
            </w:r>
            <w:r>
              <w:rPr>
                <w:rFonts w:hint="default" w:ascii="Times New Roman" w:hAnsi="Times New Roman" w:cs="Times New Roman"/>
                <w:color w:val="000000" w:themeColor="text1"/>
                <w:highlight w:val="none"/>
                <w14:textFill>
                  <w14:solidFill>
                    <w14:schemeClr w14:val="tx1"/>
                  </w14:solidFill>
                </w14:textFill>
              </w:rPr>
              <w:t>非甲烷总烃</w:t>
            </w:r>
            <w:r>
              <w:rPr>
                <w:rFonts w:hint="default" w:ascii="Times New Roman" w:hAnsi="Times New Roman" w:cs="Times New Roman"/>
                <w:color w:val="000000" w:themeColor="text1"/>
                <w:highlight w:val="none"/>
                <w:lang w:val="en-US" w:eastAsia="zh-CN"/>
                <w14:textFill>
                  <w14:solidFill>
                    <w14:schemeClr w14:val="tx1"/>
                  </w14:solidFill>
                </w14:textFill>
              </w:rPr>
              <w:t>监测</w:t>
            </w:r>
            <w:r>
              <w:rPr>
                <w:rFonts w:hint="default" w:ascii="Times New Roman" w:hAnsi="Times New Roman" w:cs="Times New Roman"/>
                <w:color w:val="000000" w:themeColor="text1"/>
                <w:highlight w:val="none"/>
                <w14:textFill>
                  <w14:solidFill>
                    <w14:schemeClr w14:val="tx1"/>
                  </w14:solidFill>
                </w14:textFill>
              </w:rPr>
              <w:t>1小时浓度</w:t>
            </w:r>
            <w:r>
              <w:rPr>
                <w:rFonts w:hint="default" w:ascii="Times New Roman" w:hAnsi="Times New Roman" w:cs="Times New Roman"/>
                <w:color w:val="000000" w:themeColor="text1"/>
                <w:highlight w:val="none"/>
                <w:lang w:eastAsia="zh-CN"/>
                <w14:textFill>
                  <w14:solidFill>
                    <w14:schemeClr w14:val="tx1"/>
                  </w14:solidFill>
                </w14:textFill>
              </w:rPr>
              <w:t>，</w:t>
            </w:r>
            <w:r>
              <w:rPr>
                <w:rFonts w:hint="default" w:ascii="Times New Roman" w:hAnsi="Times New Roman" w:cs="Times New Roman"/>
                <w:color w:val="000000" w:themeColor="text1"/>
                <w:highlight w:val="none"/>
                <w14:textFill>
                  <w14:solidFill>
                    <w14:schemeClr w14:val="tx1"/>
                  </w14:solidFill>
                </w14:textFill>
              </w:rPr>
              <w:t>每天采样4次，每次采样不少于45分钟</w:t>
            </w:r>
            <w:r>
              <w:rPr>
                <w:rFonts w:hint="default" w:ascii="Times New Roman" w:hAnsi="Times New Roman" w:cs="Times New Roman"/>
                <w:color w:val="000000" w:themeColor="text1"/>
                <w:highlight w:val="none"/>
                <w:lang w:eastAsia="zh-CN"/>
                <w14:textFill>
                  <w14:solidFill>
                    <w14:schemeClr w14:val="tx1"/>
                  </w14:solidFill>
                </w14:textFill>
              </w:rPr>
              <w:t>。</w:t>
            </w:r>
          </w:p>
          <w:p w14:paraId="41003E22">
            <w:pPr>
              <w:pStyle w:val="126"/>
              <w:keepLines w:val="0"/>
              <w:pageBreakBefore w:val="0"/>
              <w:widowControl w:val="0"/>
              <w:kinsoku/>
              <w:wordWrap/>
              <w:overflowPunct/>
              <w:topLinePunct w:val="0"/>
              <w:autoSpaceDE/>
              <w:autoSpaceDN/>
              <w:bidi w:val="0"/>
              <w:textAlignment w:val="auto"/>
              <w:outlineLvl w:val="1"/>
              <w:rPr>
                <w:rFonts w:hint="default" w:ascii="Times New Roman" w:hAnsi="Times New Roman" w:cs="Times New Roman"/>
                <w:color w:val="auto"/>
                <w:highlight w:val="none"/>
              </w:rPr>
            </w:pP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3）</w:t>
            </w:r>
            <w:r>
              <w:rPr>
                <w:rFonts w:hint="default" w:ascii="Times New Roman" w:hAnsi="Times New Roman" w:cs="Times New Roman"/>
                <w:color w:val="auto"/>
                <w:highlight w:val="none"/>
              </w:rPr>
              <w:t>监测分析方法</w:t>
            </w:r>
            <w:bookmarkEnd w:id="28"/>
            <w:bookmarkEnd w:id="29"/>
            <w:bookmarkEnd w:id="30"/>
            <w:bookmarkEnd w:id="31"/>
          </w:p>
          <w:p w14:paraId="7D7EBBF2">
            <w:pPr>
              <w:pStyle w:val="84"/>
              <w:keepLines w:val="0"/>
              <w:pageBreakBefore w:val="0"/>
              <w:widowControl w:val="0"/>
              <w:kinsoku/>
              <w:wordWrap/>
              <w:overflowPunct/>
              <w:topLinePunct w:val="0"/>
              <w:autoSpaceDE/>
              <w:autoSpaceDN/>
              <w:bidi w:val="0"/>
              <w:ind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各</w:t>
            </w:r>
            <w:r>
              <w:rPr>
                <w:rFonts w:hint="eastAsia" w:cs="Times New Roman"/>
                <w:color w:val="auto"/>
                <w:highlight w:val="none"/>
                <w:lang w:eastAsia="zh-CN"/>
              </w:rPr>
              <w:t>检测</w:t>
            </w:r>
            <w:r>
              <w:rPr>
                <w:rFonts w:hint="default" w:ascii="Times New Roman" w:hAnsi="Times New Roman" w:cs="Times New Roman"/>
                <w:color w:val="auto"/>
                <w:highlight w:val="none"/>
              </w:rPr>
              <w:t>因子检测方法及检出限见下表。</w:t>
            </w:r>
          </w:p>
          <w:p w14:paraId="37859F46">
            <w:pPr>
              <w:pStyle w:val="127"/>
              <w:keepLines w:val="0"/>
              <w:pageBreakBefore w:val="0"/>
              <w:widowControl w:val="0"/>
              <w:numPr>
                <w:ilvl w:val="4"/>
                <w:numId w:val="0"/>
              </w:numPr>
              <w:kinsoku/>
              <w:wordWrap/>
              <w:overflowPunct/>
              <w:topLinePunct w:val="0"/>
              <w:autoSpaceDE/>
              <w:autoSpaceDN/>
              <w:bidi w:val="0"/>
              <w:ind w:leftChars="0"/>
              <w:jc w:val="center"/>
              <w:textAlignment w:val="auto"/>
              <w:rPr>
                <w:rFonts w:hint="default" w:ascii="Times New Roman" w:hAnsi="Times New Roman" w:eastAsia="宋体" w:cs="Times New Roman"/>
                <w:b/>
                <w:color w:val="auto"/>
                <w:kern w:val="2"/>
                <w:sz w:val="24"/>
                <w:szCs w:val="24"/>
                <w:highlight w:val="none"/>
                <w:lang w:val="en-US" w:eastAsia="zh-CN" w:bidi="ar-SA"/>
              </w:rPr>
            </w:pPr>
            <w:bookmarkStart w:id="32" w:name="_Toc8770"/>
            <w:bookmarkStart w:id="33" w:name="_Toc17680"/>
            <w:r>
              <w:rPr>
                <w:rFonts w:hint="default" w:ascii="Times New Roman" w:hAnsi="Times New Roman" w:eastAsia="宋体" w:cs="Times New Roman"/>
                <w:b/>
                <w:color w:val="auto"/>
                <w:kern w:val="2"/>
                <w:sz w:val="24"/>
                <w:szCs w:val="24"/>
                <w:highlight w:val="none"/>
                <w:lang w:val="en-US" w:eastAsia="zh-CN" w:bidi="ar-SA"/>
              </w:rPr>
              <w:t>表3-3 监测因子分析方法与检出限一览表</w:t>
            </w:r>
            <w:bookmarkEnd w:id="32"/>
            <w:bookmarkEnd w:id="33"/>
          </w:p>
          <w:tbl>
            <w:tblPr>
              <w:tblStyle w:val="35"/>
              <w:tblW w:w="4998" w:type="pct"/>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146"/>
              <w:gridCol w:w="1163"/>
              <w:gridCol w:w="4250"/>
              <w:gridCol w:w="850"/>
              <w:gridCol w:w="900"/>
            </w:tblGrid>
            <w:tr w14:paraId="4B7BEB4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9" w:type="pct"/>
                  <w:noWrap w:val="0"/>
                  <w:vAlign w:val="center"/>
                </w:tcPr>
                <w:p w14:paraId="0872E8FE">
                  <w:pPr>
                    <w:pStyle w:val="128"/>
                    <w:keepLines w:val="0"/>
                    <w:pageBreakBefore w:val="0"/>
                    <w:widowControl w:val="0"/>
                    <w:kinsoku/>
                    <w:wordWrap/>
                    <w:overflowPunct/>
                    <w:topLinePunct w:val="0"/>
                    <w:autoSpaceDE/>
                    <w:autoSpaceDN/>
                    <w:bidi w:val="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kern w:val="0"/>
                      <w:szCs w:val="20"/>
                      <w:highlight w:val="none"/>
                    </w:rPr>
                    <w:t>监测因子</w:t>
                  </w:r>
                </w:p>
              </w:tc>
              <w:tc>
                <w:tcPr>
                  <w:tcW w:w="699" w:type="pct"/>
                  <w:noWrap w:val="0"/>
                  <w:vAlign w:val="center"/>
                </w:tcPr>
                <w:p w14:paraId="3969A0E7">
                  <w:pPr>
                    <w:pStyle w:val="128"/>
                    <w:keepLines w:val="0"/>
                    <w:pageBreakBefore w:val="0"/>
                    <w:widowControl w:val="0"/>
                    <w:kinsoku/>
                    <w:wordWrap/>
                    <w:overflowPunct/>
                    <w:topLinePunct w:val="0"/>
                    <w:autoSpaceDE/>
                    <w:autoSpaceDN/>
                    <w:bidi w:val="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kern w:val="0"/>
                      <w:szCs w:val="20"/>
                      <w:highlight w:val="none"/>
                    </w:rPr>
                    <w:t>检测方法</w:t>
                  </w:r>
                </w:p>
              </w:tc>
              <w:tc>
                <w:tcPr>
                  <w:tcW w:w="2557" w:type="pct"/>
                  <w:noWrap w:val="0"/>
                  <w:vAlign w:val="center"/>
                </w:tcPr>
                <w:p w14:paraId="479FEFC7">
                  <w:pPr>
                    <w:pStyle w:val="128"/>
                    <w:keepLines w:val="0"/>
                    <w:pageBreakBefore w:val="0"/>
                    <w:widowControl w:val="0"/>
                    <w:kinsoku/>
                    <w:wordWrap/>
                    <w:overflowPunct/>
                    <w:topLinePunct w:val="0"/>
                    <w:autoSpaceDE/>
                    <w:autoSpaceDN/>
                    <w:bidi w:val="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kern w:val="0"/>
                      <w:szCs w:val="20"/>
                      <w:highlight w:val="none"/>
                    </w:rPr>
                    <w:t>方法来源</w:t>
                  </w:r>
                </w:p>
              </w:tc>
              <w:tc>
                <w:tcPr>
                  <w:tcW w:w="511" w:type="pct"/>
                  <w:noWrap w:val="0"/>
                  <w:vAlign w:val="center"/>
                </w:tcPr>
                <w:p w14:paraId="6DEF20B7">
                  <w:pPr>
                    <w:pStyle w:val="128"/>
                    <w:keepLines w:val="0"/>
                    <w:pageBreakBefore w:val="0"/>
                    <w:widowControl w:val="0"/>
                    <w:kinsoku/>
                    <w:wordWrap/>
                    <w:overflowPunct/>
                    <w:topLinePunct w:val="0"/>
                    <w:autoSpaceDE/>
                    <w:autoSpaceDN/>
                    <w:bidi w:val="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kern w:val="0"/>
                      <w:szCs w:val="20"/>
                      <w:highlight w:val="none"/>
                    </w:rPr>
                    <w:t>单位</w:t>
                  </w:r>
                </w:p>
              </w:tc>
              <w:tc>
                <w:tcPr>
                  <w:tcW w:w="541" w:type="pct"/>
                  <w:noWrap w:val="0"/>
                  <w:vAlign w:val="center"/>
                </w:tcPr>
                <w:p w14:paraId="55185CFE">
                  <w:pPr>
                    <w:pStyle w:val="128"/>
                    <w:keepLines w:val="0"/>
                    <w:pageBreakBefore w:val="0"/>
                    <w:widowControl w:val="0"/>
                    <w:kinsoku/>
                    <w:wordWrap/>
                    <w:overflowPunct/>
                    <w:topLinePunct w:val="0"/>
                    <w:autoSpaceDE/>
                    <w:autoSpaceDN/>
                    <w:bidi w:val="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kern w:val="0"/>
                      <w:szCs w:val="20"/>
                      <w:highlight w:val="none"/>
                    </w:rPr>
                    <w:t>检出限</w:t>
                  </w:r>
                </w:p>
              </w:tc>
            </w:tr>
            <w:tr w14:paraId="525672B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9" w:type="pct"/>
                  <w:noWrap w:val="0"/>
                  <w:vAlign w:val="center"/>
                </w:tcPr>
                <w:p w14:paraId="1FC9DE63">
                  <w:pPr>
                    <w:pStyle w:val="128"/>
                    <w:keepLines w:val="0"/>
                    <w:pageBreakBefore w:val="0"/>
                    <w:widowControl w:val="0"/>
                    <w:kinsoku/>
                    <w:wordWrap/>
                    <w:overflowPunct/>
                    <w:topLinePunct w:val="0"/>
                    <w:autoSpaceDE/>
                    <w:autoSpaceDN/>
                    <w:bidi w:val="0"/>
                    <w:textAlignment w:val="auto"/>
                    <w:rPr>
                      <w:rFonts w:hint="default" w:ascii="Times New Roman" w:hAnsi="Times New Roman" w:cs="Times New Roman"/>
                      <w:color w:val="auto"/>
                      <w:highlight w:val="none"/>
                    </w:rPr>
                  </w:pPr>
                  <w:r>
                    <w:rPr>
                      <w:rFonts w:hint="default" w:ascii="Times New Roman" w:hAnsi="Times New Roman" w:cs="Times New Roman"/>
                      <w:color w:val="auto"/>
                      <w:kern w:val="0"/>
                      <w:szCs w:val="20"/>
                      <w:highlight w:val="none"/>
                    </w:rPr>
                    <w:t>非甲烷总烃</w:t>
                  </w:r>
                </w:p>
              </w:tc>
              <w:tc>
                <w:tcPr>
                  <w:tcW w:w="699" w:type="pct"/>
                  <w:noWrap w:val="0"/>
                  <w:vAlign w:val="center"/>
                </w:tcPr>
                <w:p w14:paraId="74501992">
                  <w:pPr>
                    <w:pStyle w:val="128"/>
                    <w:keepLines w:val="0"/>
                    <w:pageBreakBefore w:val="0"/>
                    <w:widowControl w:val="0"/>
                    <w:kinsoku/>
                    <w:wordWrap/>
                    <w:overflowPunct/>
                    <w:topLinePunct w:val="0"/>
                    <w:autoSpaceDE/>
                    <w:autoSpaceDN/>
                    <w:bidi w:val="0"/>
                    <w:textAlignment w:val="auto"/>
                    <w:rPr>
                      <w:rFonts w:hint="default" w:ascii="Times New Roman" w:hAnsi="Times New Roman" w:cs="Times New Roman"/>
                      <w:color w:val="auto"/>
                      <w:highlight w:val="none"/>
                    </w:rPr>
                  </w:pPr>
                  <w:r>
                    <w:rPr>
                      <w:rFonts w:hint="default" w:ascii="Times New Roman" w:hAnsi="Times New Roman" w:cs="Times New Roman"/>
                      <w:color w:val="auto"/>
                      <w:kern w:val="0"/>
                      <w:szCs w:val="20"/>
                      <w:highlight w:val="none"/>
                    </w:rPr>
                    <w:t>气相色谱法</w:t>
                  </w:r>
                </w:p>
              </w:tc>
              <w:tc>
                <w:tcPr>
                  <w:tcW w:w="2557" w:type="pct"/>
                  <w:noWrap w:val="0"/>
                  <w:vAlign w:val="center"/>
                </w:tcPr>
                <w:p w14:paraId="54847F1E">
                  <w:pPr>
                    <w:pStyle w:val="128"/>
                    <w:keepLines w:val="0"/>
                    <w:pageBreakBefore w:val="0"/>
                    <w:widowControl w:val="0"/>
                    <w:kinsoku/>
                    <w:wordWrap/>
                    <w:overflowPunct/>
                    <w:topLinePunct w:val="0"/>
                    <w:autoSpaceDE/>
                    <w:autoSpaceDN/>
                    <w:bidi w:val="0"/>
                    <w:textAlignment w:val="auto"/>
                    <w:rPr>
                      <w:rFonts w:hint="default" w:ascii="Times New Roman" w:hAnsi="Times New Roman" w:cs="Times New Roman"/>
                      <w:color w:val="auto"/>
                      <w:highlight w:val="none"/>
                    </w:rPr>
                  </w:pPr>
                  <w:r>
                    <w:rPr>
                      <w:rFonts w:hint="default" w:ascii="Times New Roman" w:hAnsi="Times New Roman" w:cs="Times New Roman"/>
                      <w:color w:val="auto"/>
                      <w:kern w:val="0"/>
                      <w:szCs w:val="20"/>
                      <w:highlight w:val="none"/>
                    </w:rPr>
                    <w:t>《环境空气总烃、甲烷和非甲烷总烃的测定 直接进样-气相色谱法》（HJ</w:t>
                  </w:r>
                  <w:r>
                    <w:rPr>
                      <w:rFonts w:hint="default" w:ascii="Times New Roman" w:hAnsi="Times New Roman" w:cs="Times New Roman"/>
                      <w:color w:val="auto"/>
                      <w:kern w:val="0"/>
                      <w:szCs w:val="20"/>
                      <w:highlight w:val="none"/>
                      <w:lang w:eastAsia="zh-CN"/>
                    </w:rPr>
                    <w:t>65</w:t>
                  </w:r>
                  <w:r>
                    <w:rPr>
                      <w:rFonts w:hint="default" w:ascii="Times New Roman" w:hAnsi="Times New Roman" w:cs="Times New Roman"/>
                      <w:color w:val="auto"/>
                      <w:kern w:val="0"/>
                      <w:szCs w:val="20"/>
                      <w:highlight w:val="none"/>
                    </w:rPr>
                    <w:t>4-2017）</w:t>
                  </w:r>
                </w:p>
              </w:tc>
              <w:tc>
                <w:tcPr>
                  <w:tcW w:w="511" w:type="pct"/>
                  <w:noWrap w:val="0"/>
                  <w:vAlign w:val="center"/>
                </w:tcPr>
                <w:p w14:paraId="55A8C7D0">
                  <w:pPr>
                    <w:pStyle w:val="128"/>
                    <w:keepLines w:val="0"/>
                    <w:pageBreakBefore w:val="0"/>
                    <w:widowControl w:val="0"/>
                    <w:kinsoku/>
                    <w:wordWrap/>
                    <w:overflowPunct/>
                    <w:topLinePunct w:val="0"/>
                    <w:autoSpaceDE/>
                    <w:autoSpaceDN/>
                    <w:bidi w:val="0"/>
                    <w:textAlignment w:val="auto"/>
                    <w:rPr>
                      <w:rFonts w:hint="default" w:ascii="Times New Roman" w:hAnsi="Times New Roman" w:cs="Times New Roman"/>
                      <w:color w:val="auto"/>
                      <w:highlight w:val="none"/>
                    </w:rPr>
                  </w:pPr>
                  <w:r>
                    <w:rPr>
                      <w:rFonts w:hint="default" w:ascii="Times New Roman" w:hAnsi="Times New Roman" w:cs="Times New Roman"/>
                      <w:color w:val="auto"/>
                      <w:kern w:val="0"/>
                      <w:szCs w:val="20"/>
                      <w:highlight w:val="none"/>
                    </w:rPr>
                    <w:t>mg/m</w:t>
                  </w:r>
                  <w:r>
                    <w:rPr>
                      <w:rFonts w:hint="default" w:ascii="Times New Roman" w:hAnsi="Times New Roman" w:cs="Times New Roman"/>
                      <w:color w:val="auto"/>
                      <w:kern w:val="0"/>
                      <w:szCs w:val="20"/>
                      <w:highlight w:val="none"/>
                      <w:vertAlign w:val="superscript"/>
                    </w:rPr>
                    <w:t>3</w:t>
                  </w:r>
                </w:p>
              </w:tc>
              <w:tc>
                <w:tcPr>
                  <w:tcW w:w="541" w:type="pct"/>
                  <w:noWrap w:val="0"/>
                  <w:vAlign w:val="center"/>
                </w:tcPr>
                <w:p w14:paraId="2B96BBF6">
                  <w:pPr>
                    <w:pStyle w:val="128"/>
                    <w:keepLines w:val="0"/>
                    <w:pageBreakBefore w:val="0"/>
                    <w:widowControl w:val="0"/>
                    <w:kinsoku/>
                    <w:wordWrap/>
                    <w:overflowPunct/>
                    <w:topLinePunct w:val="0"/>
                    <w:autoSpaceDE/>
                    <w:autoSpaceDN/>
                    <w:bidi w:val="0"/>
                    <w:textAlignment w:val="auto"/>
                    <w:rPr>
                      <w:rFonts w:hint="default" w:ascii="Times New Roman" w:hAnsi="Times New Roman" w:cs="Times New Roman"/>
                      <w:color w:val="auto"/>
                      <w:highlight w:val="none"/>
                    </w:rPr>
                  </w:pPr>
                  <w:r>
                    <w:rPr>
                      <w:rFonts w:hint="default" w:ascii="Times New Roman" w:hAnsi="Times New Roman" w:cs="Times New Roman"/>
                      <w:color w:val="auto"/>
                      <w:kern w:val="0"/>
                      <w:highlight w:val="none"/>
                    </w:rPr>
                    <w:t>0.07</w:t>
                  </w:r>
                </w:p>
              </w:tc>
            </w:tr>
          </w:tbl>
          <w:p w14:paraId="2A64805A">
            <w:pPr>
              <w:pStyle w:val="126"/>
              <w:keepLines w:val="0"/>
              <w:pageBreakBefore w:val="0"/>
              <w:widowControl w:val="0"/>
              <w:kinsoku/>
              <w:wordWrap/>
              <w:overflowPunct/>
              <w:topLinePunct w:val="0"/>
              <w:autoSpaceDE/>
              <w:autoSpaceDN/>
              <w:bidi w:val="0"/>
              <w:textAlignment w:val="auto"/>
              <w:outlineLvl w:val="1"/>
              <w:rPr>
                <w:rFonts w:hint="default" w:ascii="Times New Roman" w:hAnsi="Times New Roman" w:cs="Times New Roman"/>
                <w:color w:val="auto"/>
                <w:highlight w:val="none"/>
              </w:rPr>
            </w:pPr>
            <w:bookmarkStart w:id="34" w:name="_Toc1283"/>
            <w:bookmarkStart w:id="35" w:name="_Toc13319"/>
            <w:bookmarkStart w:id="36" w:name="_Toc8720"/>
            <w:bookmarkStart w:id="37" w:name="_Toc14931"/>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4）</w:t>
            </w:r>
            <w:r>
              <w:rPr>
                <w:rFonts w:hint="default" w:ascii="Times New Roman" w:hAnsi="Times New Roman" w:cs="Times New Roman"/>
                <w:color w:val="auto"/>
                <w:highlight w:val="none"/>
              </w:rPr>
              <w:t>各污染物环境质量现状评价</w:t>
            </w:r>
            <w:bookmarkEnd w:id="34"/>
            <w:bookmarkEnd w:id="35"/>
            <w:bookmarkEnd w:id="36"/>
            <w:bookmarkEnd w:id="37"/>
          </w:p>
          <w:p w14:paraId="7BEC71E7">
            <w:pPr>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color w:val="auto"/>
                <w:kern w:val="0"/>
                <w:sz w:val="24"/>
                <w:szCs w:val="24"/>
                <w:highlight w:val="none"/>
              </w:rPr>
            </w:pPr>
            <w:bookmarkStart w:id="38" w:name="_Toc15506"/>
            <w:bookmarkStart w:id="39" w:name="_Toc32019"/>
            <w:r>
              <w:rPr>
                <w:rFonts w:hint="default" w:ascii="Times New Roman" w:hAnsi="Times New Roman" w:eastAsia="宋体" w:cs="Times New Roman"/>
                <w:color w:val="auto"/>
                <w:kern w:val="0"/>
                <w:sz w:val="24"/>
                <w:szCs w:val="24"/>
                <w:highlight w:val="none"/>
              </w:rPr>
              <w:t>①评价因子</w:t>
            </w:r>
            <w:bookmarkEnd w:id="38"/>
            <w:bookmarkEnd w:id="39"/>
            <w:r>
              <w:rPr>
                <w:rFonts w:hint="default" w:ascii="Times New Roman" w:hAnsi="Times New Roman" w:cs="Times New Roman"/>
                <w:color w:val="auto"/>
                <w:kern w:val="0"/>
                <w:sz w:val="24"/>
                <w:szCs w:val="24"/>
                <w:highlight w:val="none"/>
                <w:lang w:eastAsia="zh-CN"/>
              </w:rPr>
              <w:t>：</w:t>
            </w:r>
            <w:r>
              <w:rPr>
                <w:rFonts w:hint="default" w:ascii="Times New Roman" w:hAnsi="Times New Roman" w:eastAsia="宋体" w:cs="Times New Roman"/>
                <w:color w:val="auto"/>
                <w:kern w:val="0"/>
                <w:sz w:val="24"/>
                <w:szCs w:val="24"/>
                <w:highlight w:val="none"/>
              </w:rPr>
              <w:t>非甲烷总烃</w:t>
            </w:r>
            <w:r>
              <w:rPr>
                <w:rFonts w:hint="default" w:ascii="Times New Roman" w:hAnsi="Times New Roman" w:eastAsia="宋体" w:cs="Times New Roman"/>
                <w:color w:val="auto"/>
                <w:kern w:val="0"/>
                <w:sz w:val="24"/>
                <w:szCs w:val="24"/>
                <w:highlight w:val="none"/>
                <w:lang w:val="en-US" w:eastAsia="zh-CN"/>
              </w:rPr>
              <w:t>。</w:t>
            </w:r>
          </w:p>
          <w:p w14:paraId="7DA1A682">
            <w:pPr>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color w:val="auto"/>
                <w:kern w:val="0"/>
                <w:sz w:val="24"/>
                <w:szCs w:val="24"/>
                <w:highlight w:val="none"/>
              </w:rPr>
            </w:pPr>
            <w:bookmarkStart w:id="40" w:name="_Toc4220"/>
            <w:bookmarkStart w:id="41" w:name="_Toc28821"/>
            <w:r>
              <w:rPr>
                <w:rFonts w:hint="default" w:ascii="Times New Roman" w:hAnsi="Times New Roman" w:eastAsia="宋体" w:cs="Times New Roman"/>
                <w:color w:val="auto"/>
                <w:kern w:val="0"/>
                <w:sz w:val="24"/>
                <w:szCs w:val="24"/>
                <w:highlight w:val="none"/>
              </w:rPr>
              <w:t>②评价方法</w:t>
            </w:r>
            <w:bookmarkEnd w:id="40"/>
            <w:bookmarkEnd w:id="41"/>
          </w:p>
          <w:p w14:paraId="7560A1A8">
            <w:pPr>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采用最大占标率法进行评价，公式为：</w:t>
            </w:r>
          </w:p>
          <w:p w14:paraId="479A6660">
            <w:pPr>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Pi=C</w:t>
            </w:r>
            <w:r>
              <w:rPr>
                <w:rFonts w:hint="default" w:ascii="Times New Roman" w:hAnsi="Times New Roman" w:eastAsia="宋体" w:cs="Times New Roman"/>
                <w:color w:val="auto"/>
                <w:kern w:val="0"/>
                <w:sz w:val="24"/>
                <w:szCs w:val="24"/>
                <w:highlight w:val="none"/>
                <w:vertAlign w:val="subscript"/>
              </w:rPr>
              <w:t>i</w:t>
            </w:r>
            <w:r>
              <w:rPr>
                <w:rFonts w:hint="default" w:ascii="Times New Roman" w:hAnsi="Times New Roman" w:eastAsia="宋体" w:cs="Times New Roman"/>
                <w:color w:val="auto"/>
                <w:kern w:val="0"/>
                <w:sz w:val="24"/>
                <w:szCs w:val="24"/>
                <w:highlight w:val="none"/>
              </w:rPr>
              <w:t>/Coi×100%</w:t>
            </w:r>
          </w:p>
          <w:p w14:paraId="7F13D44D">
            <w:pPr>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式中：Pi—污染物i最大占标率，μg/m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kern w:val="0"/>
                <w:sz w:val="24"/>
                <w:szCs w:val="24"/>
                <w:highlight w:val="none"/>
              </w:rPr>
              <w:t>；</w:t>
            </w:r>
          </w:p>
          <w:p w14:paraId="0C67E66A">
            <w:pPr>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Ci—污染物i最大监测浓度，μg/m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kern w:val="0"/>
                <w:sz w:val="24"/>
                <w:szCs w:val="24"/>
                <w:highlight w:val="none"/>
              </w:rPr>
              <w:t>；</w:t>
            </w:r>
          </w:p>
          <w:p w14:paraId="67EA936D">
            <w:pPr>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C</w:t>
            </w:r>
            <w:r>
              <w:rPr>
                <w:rFonts w:hint="default" w:ascii="Times New Roman" w:hAnsi="Times New Roman" w:eastAsia="宋体" w:cs="Times New Roman"/>
                <w:color w:val="auto"/>
                <w:kern w:val="0"/>
                <w:sz w:val="24"/>
                <w:szCs w:val="24"/>
                <w:highlight w:val="none"/>
                <w:vertAlign w:val="subscript"/>
              </w:rPr>
              <w:t>Oi</w:t>
            </w:r>
            <w:r>
              <w:rPr>
                <w:rFonts w:hint="default" w:ascii="Times New Roman" w:hAnsi="Times New Roman" w:eastAsia="宋体" w:cs="Times New Roman"/>
                <w:color w:val="auto"/>
                <w:kern w:val="0"/>
                <w:sz w:val="24"/>
                <w:szCs w:val="24"/>
                <w:highlight w:val="none"/>
              </w:rPr>
              <w:t>—污染物i的评价标准。</w:t>
            </w:r>
          </w:p>
          <w:p w14:paraId="1386294A">
            <w:pPr>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评价结果见下表。</w:t>
            </w:r>
          </w:p>
          <w:p w14:paraId="7924C311">
            <w:pPr>
              <w:pStyle w:val="127"/>
              <w:keepLines w:val="0"/>
              <w:pageBreakBefore w:val="0"/>
              <w:widowControl w:val="0"/>
              <w:numPr>
                <w:ilvl w:val="4"/>
                <w:numId w:val="0"/>
              </w:numPr>
              <w:kinsoku/>
              <w:wordWrap/>
              <w:overflowPunct/>
              <w:topLinePunct w:val="0"/>
              <w:autoSpaceDE/>
              <w:autoSpaceDN/>
              <w:bidi w:val="0"/>
              <w:ind w:leftChars="0"/>
              <w:jc w:val="center"/>
              <w:textAlignment w:val="auto"/>
              <w:rPr>
                <w:rFonts w:hint="default" w:ascii="Times New Roman" w:hAnsi="Times New Roman" w:eastAsia="宋体" w:cs="Times New Roman"/>
                <w:b/>
                <w:color w:val="auto"/>
                <w:kern w:val="2"/>
                <w:sz w:val="24"/>
                <w:szCs w:val="24"/>
                <w:highlight w:val="none"/>
                <w:lang w:val="en-US" w:eastAsia="zh-CN" w:bidi="ar-SA"/>
              </w:rPr>
            </w:pPr>
            <w:bookmarkStart w:id="42" w:name="_Toc14507"/>
            <w:bookmarkStart w:id="43" w:name="_Toc5852"/>
            <w:r>
              <w:rPr>
                <w:rFonts w:hint="default" w:ascii="Times New Roman" w:hAnsi="Times New Roman" w:eastAsia="宋体" w:cs="Times New Roman"/>
                <w:b/>
                <w:color w:val="auto"/>
                <w:kern w:val="2"/>
                <w:sz w:val="24"/>
                <w:szCs w:val="24"/>
                <w:highlight w:val="none"/>
                <w:lang w:val="en-US" w:eastAsia="zh-CN" w:bidi="ar-SA"/>
              </w:rPr>
              <w:t>表3-4 其他污染物环境质量现状评价表</w:t>
            </w:r>
            <w:bookmarkEnd w:id="42"/>
            <w:bookmarkEnd w:id="43"/>
          </w:p>
          <w:tbl>
            <w:tblPr>
              <w:tblStyle w:val="132"/>
              <w:tblW w:w="8316" w:type="dxa"/>
              <w:jc w:val="center"/>
              <w:tblBorders>
                <w:top w:val="single" w:color="auto" w:sz="4" w:space="0"/>
                <w:left w:val="none" w:color="auto" w:sz="0" w:space="0"/>
                <w:bottom w:val="single" w:color="auto"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1201"/>
              <w:gridCol w:w="1173"/>
              <w:gridCol w:w="1092"/>
              <w:gridCol w:w="816"/>
              <w:gridCol w:w="1132"/>
              <w:gridCol w:w="1337"/>
              <w:gridCol w:w="806"/>
              <w:gridCol w:w="759"/>
            </w:tblGrid>
            <w:tr w14:paraId="68C72AD7">
              <w:tblPrEx>
                <w:tblBorders>
                  <w:top w:val="single" w:color="auto" w:sz="4" w:space="0"/>
                  <w:left w:val="none" w:color="auto" w:sz="0" w:space="0"/>
                  <w:bottom w:val="single" w:color="auto"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722" w:type="pct"/>
                  <w:noWrap w:val="0"/>
                  <w:vAlign w:val="center"/>
                </w:tcPr>
                <w:p w14:paraId="6D752F47">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t>污染物</w:t>
                  </w:r>
                </w:p>
              </w:tc>
              <w:tc>
                <w:tcPr>
                  <w:tcW w:w="705" w:type="pct"/>
                  <w:noWrap w:val="0"/>
                  <w:vAlign w:val="center"/>
                </w:tcPr>
                <w:p w14:paraId="1F43D400">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t>监测点位</w:t>
                  </w:r>
                </w:p>
              </w:tc>
              <w:tc>
                <w:tcPr>
                  <w:tcW w:w="656" w:type="pct"/>
                  <w:noWrap w:val="0"/>
                  <w:vAlign w:val="center"/>
                </w:tcPr>
                <w:p w14:paraId="55C64B3A">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t>平均时间</w:t>
                  </w:r>
                </w:p>
              </w:tc>
              <w:tc>
                <w:tcPr>
                  <w:tcW w:w="490" w:type="pct"/>
                  <w:noWrap w:val="0"/>
                  <w:vAlign w:val="center"/>
                </w:tcPr>
                <w:p w14:paraId="2173E456">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t>评价标准</w:t>
                  </w:r>
                </w:p>
              </w:tc>
              <w:tc>
                <w:tcPr>
                  <w:tcW w:w="680" w:type="pct"/>
                  <w:noWrap w:val="0"/>
                  <w:vAlign w:val="center"/>
                </w:tcPr>
                <w:p w14:paraId="380F14F0">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t>浓度范围（</w:t>
                  </w:r>
                  <w:r>
                    <w:rPr>
                      <w:rFonts w:hint="default" w:ascii="Times New Roman" w:hAnsi="Times New Roman" w:cs="Times New Roman"/>
                      <w:b/>
                      <w:bCs/>
                      <w:color w:val="000000" w:themeColor="text1"/>
                      <w:spacing w:val="-11"/>
                      <w:kern w:val="0"/>
                      <w:sz w:val="21"/>
                      <w:szCs w:val="21"/>
                      <w:highlight w:val="none"/>
                      <w:lang w:val="en-US" w:eastAsia="zh-CN"/>
                      <w14:textFill>
                        <w14:solidFill>
                          <w14:schemeClr w14:val="tx1"/>
                        </w14:solidFill>
                      </w14:textFill>
                    </w:rPr>
                    <w:t>m</w:t>
                  </w:r>
                  <w:r>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t>g/m</w:t>
                  </w:r>
                  <w:r>
                    <w:rPr>
                      <w:rFonts w:hint="default" w:ascii="Times New Roman" w:hAnsi="Times New Roman" w:eastAsia="宋体" w:cs="Times New Roman"/>
                      <w:b/>
                      <w:bCs/>
                      <w:color w:val="000000" w:themeColor="text1"/>
                      <w:spacing w:val="-11"/>
                      <w:kern w:val="0"/>
                      <w:sz w:val="21"/>
                      <w:szCs w:val="21"/>
                      <w:highlight w:val="none"/>
                      <w:vertAlign w:val="superscript"/>
                      <w14:textFill>
                        <w14:solidFill>
                          <w14:schemeClr w14:val="tx1"/>
                        </w14:solidFill>
                      </w14:textFill>
                    </w:rPr>
                    <w:t>3</w:t>
                  </w:r>
                  <w:r>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t>）</w:t>
                  </w:r>
                </w:p>
              </w:tc>
              <w:tc>
                <w:tcPr>
                  <w:tcW w:w="803" w:type="pct"/>
                  <w:noWrap w:val="0"/>
                  <w:vAlign w:val="center"/>
                </w:tcPr>
                <w:p w14:paraId="5A2D30EE">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t>最大浓度占标率（%）</w:t>
                  </w:r>
                </w:p>
              </w:tc>
              <w:tc>
                <w:tcPr>
                  <w:tcW w:w="484" w:type="pct"/>
                  <w:noWrap w:val="0"/>
                  <w:vAlign w:val="center"/>
                </w:tcPr>
                <w:p w14:paraId="3252D559">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t>超标率</w:t>
                  </w:r>
                </w:p>
                <w:p w14:paraId="0647EB8C">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t>（%）</w:t>
                  </w:r>
                </w:p>
              </w:tc>
              <w:tc>
                <w:tcPr>
                  <w:tcW w:w="456" w:type="pct"/>
                  <w:noWrap w:val="0"/>
                  <w:vAlign w:val="center"/>
                </w:tcPr>
                <w:p w14:paraId="5F071E4C">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11"/>
                      <w:kern w:val="0"/>
                      <w:sz w:val="21"/>
                      <w:szCs w:val="21"/>
                      <w:highlight w:val="none"/>
                      <w14:textFill>
                        <w14:solidFill>
                          <w14:schemeClr w14:val="tx1"/>
                        </w14:solidFill>
                      </w14:textFill>
                    </w:rPr>
                    <w:t>达标情况</w:t>
                  </w:r>
                </w:p>
              </w:tc>
            </w:tr>
            <w:tr w14:paraId="05B58766">
              <w:tblPrEx>
                <w:tblBorders>
                  <w:top w:val="single" w:color="auto" w:sz="4" w:space="0"/>
                  <w:left w:val="none" w:color="auto" w:sz="0" w:space="0"/>
                  <w:bottom w:val="single" w:color="auto"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722" w:type="pct"/>
                  <w:tcBorders>
                    <w:top w:val="single" w:color="auto" w:sz="4" w:space="0"/>
                  </w:tcBorders>
                  <w:noWrap w:val="0"/>
                  <w:vAlign w:val="center"/>
                </w:tcPr>
                <w:p w14:paraId="1FE54A41">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color w:val="000000" w:themeColor="text1"/>
                      <w:spacing w:val="-1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11"/>
                      <w:kern w:val="0"/>
                      <w:sz w:val="21"/>
                      <w:szCs w:val="21"/>
                      <w:highlight w:val="none"/>
                      <w14:textFill>
                        <w14:solidFill>
                          <w14:schemeClr w14:val="tx1"/>
                        </w14:solidFill>
                      </w14:textFill>
                    </w:rPr>
                    <w:t>非甲烷总烃</w:t>
                  </w:r>
                </w:p>
              </w:tc>
              <w:tc>
                <w:tcPr>
                  <w:tcW w:w="705" w:type="pct"/>
                  <w:tcBorders>
                    <w:top w:val="single" w:color="auto" w:sz="4" w:space="0"/>
                  </w:tcBorders>
                  <w:noWrap w:val="0"/>
                  <w:vAlign w:val="center"/>
                </w:tcPr>
                <w:p w14:paraId="6056A5DF">
                  <w:pPr>
                    <w:pStyle w:val="62"/>
                    <w:keepLines w:val="0"/>
                    <w:pageBreakBefore w:val="0"/>
                    <w:widowControl w:val="0"/>
                    <w:kinsoku/>
                    <w:wordWrap/>
                    <w:overflowPunct/>
                    <w:topLinePunct w:val="0"/>
                    <w:autoSpaceDE/>
                    <w:autoSpaceDN/>
                    <w:bidi w:val="0"/>
                    <w:textAlignment w:val="auto"/>
                    <w:rPr>
                      <w:rFonts w:hint="default" w:ascii="Times New Roman" w:hAnsi="Times New Roman" w:eastAsia="宋体" w:cs="Times New Roman"/>
                      <w:color w:val="000000" w:themeColor="text1"/>
                      <w:spacing w:val="-11"/>
                      <w:kern w:val="0"/>
                      <w:sz w:val="21"/>
                      <w:szCs w:val="21"/>
                      <w:highlight w:val="none"/>
                      <w:lang w:val="en-US" w:eastAsia="zh-CN" w:bidi="ar-SA"/>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东正庄</w:t>
                  </w:r>
                  <w:r>
                    <w:rPr>
                      <w:rFonts w:hint="default" w:ascii="Times New Roman" w:hAnsi="Times New Roman" w:cs="Times New Roman"/>
                      <w:color w:val="000000" w:themeColor="text1"/>
                      <w:highlight w:val="none"/>
                      <w:lang w:val="en-US" w:eastAsia="zh-CN"/>
                      <w14:textFill>
                        <w14:solidFill>
                          <w14:schemeClr w14:val="tx1"/>
                        </w14:solidFill>
                      </w14:textFill>
                    </w:rPr>
                    <w:t>村</w:t>
                  </w:r>
                </w:p>
              </w:tc>
              <w:tc>
                <w:tcPr>
                  <w:tcW w:w="656" w:type="pct"/>
                  <w:tcBorders>
                    <w:top w:val="single" w:color="auto" w:sz="4" w:space="0"/>
                  </w:tcBorders>
                  <w:noWrap w:val="0"/>
                  <w:vAlign w:val="center"/>
                </w:tcPr>
                <w:p w14:paraId="2DE12C72">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color w:val="000000" w:themeColor="text1"/>
                      <w:spacing w:val="-1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11"/>
                      <w:kern w:val="0"/>
                      <w:sz w:val="21"/>
                      <w:szCs w:val="21"/>
                      <w:highlight w:val="none"/>
                      <w14:textFill>
                        <w14:solidFill>
                          <w14:schemeClr w14:val="tx1"/>
                        </w14:solidFill>
                      </w14:textFill>
                    </w:rPr>
                    <w:t>1小时平均</w:t>
                  </w:r>
                </w:p>
              </w:tc>
              <w:tc>
                <w:tcPr>
                  <w:tcW w:w="490" w:type="pct"/>
                  <w:tcBorders>
                    <w:top w:val="single" w:color="auto" w:sz="4" w:space="0"/>
                  </w:tcBorders>
                  <w:noWrap w:val="0"/>
                  <w:vAlign w:val="center"/>
                </w:tcPr>
                <w:p w14:paraId="549CF60D">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color w:val="000000" w:themeColor="text1"/>
                      <w:spacing w:val="-1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11"/>
                      <w:kern w:val="0"/>
                      <w:sz w:val="21"/>
                      <w:szCs w:val="21"/>
                      <w:highlight w:val="none"/>
                      <w14:textFill>
                        <w14:solidFill>
                          <w14:schemeClr w14:val="tx1"/>
                        </w14:solidFill>
                      </w14:textFill>
                    </w:rPr>
                    <w:t>2mg/m</w:t>
                  </w:r>
                  <w:r>
                    <w:rPr>
                      <w:rFonts w:hint="default" w:ascii="Times New Roman" w:hAnsi="Times New Roman" w:eastAsia="宋体" w:cs="Times New Roman"/>
                      <w:color w:val="000000" w:themeColor="text1"/>
                      <w:spacing w:val="-11"/>
                      <w:kern w:val="0"/>
                      <w:sz w:val="21"/>
                      <w:szCs w:val="21"/>
                      <w:highlight w:val="none"/>
                      <w:vertAlign w:val="superscript"/>
                      <w14:textFill>
                        <w14:solidFill>
                          <w14:schemeClr w14:val="tx1"/>
                        </w14:solidFill>
                      </w14:textFill>
                    </w:rPr>
                    <w:t>3</w:t>
                  </w:r>
                </w:p>
              </w:tc>
              <w:tc>
                <w:tcPr>
                  <w:tcW w:w="680" w:type="pct"/>
                  <w:noWrap w:val="0"/>
                  <w:vAlign w:val="center"/>
                </w:tcPr>
                <w:p w14:paraId="0E0413B1">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color w:val="000000" w:themeColor="text1"/>
                      <w:spacing w:val="-11"/>
                      <w:kern w:val="0"/>
                      <w:sz w:val="21"/>
                      <w:szCs w:val="21"/>
                      <w:highlight w:val="none"/>
                      <w:lang w:val="en-US"/>
                      <w14:textFill>
                        <w14:solidFill>
                          <w14:schemeClr w14:val="tx1"/>
                        </w14:solidFill>
                      </w14:textFill>
                    </w:rPr>
                  </w:pPr>
                  <w:r>
                    <w:rPr>
                      <w:rFonts w:hint="eastAsia" w:cs="Times New Roman"/>
                      <w:color w:val="000000" w:themeColor="text1"/>
                      <w:spacing w:val="-11"/>
                      <w:kern w:val="0"/>
                      <w:sz w:val="21"/>
                      <w:szCs w:val="21"/>
                      <w:highlight w:val="none"/>
                      <w:lang w:val="en-US" w:eastAsia="zh-CN"/>
                      <w14:textFill>
                        <w14:solidFill>
                          <w14:schemeClr w14:val="tx1"/>
                        </w14:solidFill>
                      </w14:textFill>
                    </w:rPr>
                    <w:t>0.73</w:t>
                  </w:r>
                  <w:r>
                    <w:rPr>
                      <w:rFonts w:hint="default" w:ascii="Times New Roman" w:hAnsi="Times New Roman" w:cs="Times New Roman"/>
                      <w:color w:val="000000" w:themeColor="text1"/>
                      <w:spacing w:val="-11"/>
                      <w:kern w:val="0"/>
                      <w:sz w:val="21"/>
                      <w:szCs w:val="21"/>
                      <w:highlight w:val="none"/>
                      <w:lang w:val="en-US" w:eastAsia="zh-CN"/>
                      <w14:textFill>
                        <w14:solidFill>
                          <w14:schemeClr w14:val="tx1"/>
                        </w14:solidFill>
                      </w14:textFill>
                    </w:rPr>
                    <w:t>~0.</w:t>
                  </w:r>
                  <w:r>
                    <w:rPr>
                      <w:rFonts w:hint="eastAsia" w:cs="Times New Roman"/>
                      <w:color w:val="000000" w:themeColor="text1"/>
                      <w:spacing w:val="-11"/>
                      <w:kern w:val="0"/>
                      <w:sz w:val="21"/>
                      <w:szCs w:val="21"/>
                      <w:highlight w:val="none"/>
                      <w:lang w:val="en-US" w:eastAsia="zh-CN"/>
                      <w14:textFill>
                        <w14:solidFill>
                          <w14:schemeClr w14:val="tx1"/>
                        </w14:solidFill>
                      </w14:textFill>
                    </w:rPr>
                    <w:t>99</w:t>
                  </w:r>
                </w:p>
              </w:tc>
              <w:tc>
                <w:tcPr>
                  <w:tcW w:w="803" w:type="pct"/>
                  <w:noWrap w:val="0"/>
                  <w:vAlign w:val="center"/>
                </w:tcPr>
                <w:p w14:paraId="2C53D674">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color w:val="000000" w:themeColor="text1"/>
                      <w:spacing w:val="-11"/>
                      <w:kern w:val="0"/>
                      <w:sz w:val="21"/>
                      <w:szCs w:val="21"/>
                      <w:highlight w:val="none"/>
                      <w:lang w:val="en-US"/>
                      <w14:textFill>
                        <w14:solidFill>
                          <w14:schemeClr w14:val="tx1"/>
                        </w14:solidFill>
                      </w14:textFill>
                    </w:rPr>
                  </w:pPr>
                  <w:r>
                    <w:rPr>
                      <w:rFonts w:hint="eastAsia" w:cs="Times New Roman"/>
                      <w:color w:val="000000" w:themeColor="text1"/>
                      <w:spacing w:val="-11"/>
                      <w:kern w:val="0"/>
                      <w:sz w:val="21"/>
                      <w:szCs w:val="21"/>
                      <w:highlight w:val="none"/>
                      <w:lang w:val="en-US" w:eastAsia="zh-CN"/>
                      <w14:textFill>
                        <w14:solidFill>
                          <w14:schemeClr w14:val="tx1"/>
                        </w14:solidFill>
                      </w14:textFill>
                    </w:rPr>
                    <w:t>49.5</w:t>
                  </w:r>
                </w:p>
              </w:tc>
              <w:tc>
                <w:tcPr>
                  <w:tcW w:w="484" w:type="pct"/>
                  <w:noWrap w:val="0"/>
                  <w:vAlign w:val="center"/>
                </w:tcPr>
                <w:p w14:paraId="1F0AD72F">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color w:val="000000" w:themeColor="text1"/>
                      <w:spacing w:val="-11"/>
                      <w:kern w:val="0"/>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pacing w:val="-11"/>
                      <w:kern w:val="0"/>
                      <w:sz w:val="21"/>
                      <w:szCs w:val="21"/>
                      <w:highlight w:val="none"/>
                      <w:lang w:val="en-US" w:eastAsia="zh-CN"/>
                      <w14:textFill>
                        <w14:solidFill>
                          <w14:schemeClr w14:val="tx1"/>
                        </w14:solidFill>
                      </w14:textFill>
                    </w:rPr>
                    <w:t>0</w:t>
                  </w:r>
                </w:p>
              </w:tc>
              <w:tc>
                <w:tcPr>
                  <w:tcW w:w="456" w:type="pct"/>
                  <w:noWrap w:val="0"/>
                  <w:vAlign w:val="center"/>
                </w:tcPr>
                <w:p w14:paraId="57E7C6CA">
                  <w:pPr>
                    <w:keepLines w:val="0"/>
                    <w:pageBreakBefore w:val="0"/>
                    <w:widowControl w:val="0"/>
                    <w:kinsoku/>
                    <w:wordWrap/>
                    <w:overflowPunct/>
                    <w:topLinePunct w:val="0"/>
                    <w:autoSpaceDE/>
                    <w:autoSpaceDN/>
                    <w:bidi w:val="0"/>
                    <w:spacing w:line="0" w:lineRule="atLeast"/>
                    <w:jc w:val="center"/>
                    <w:textAlignment w:val="auto"/>
                    <w:rPr>
                      <w:rFonts w:hint="default" w:ascii="Times New Roman" w:hAnsi="Times New Roman" w:eastAsia="宋体" w:cs="Times New Roman"/>
                      <w:color w:val="000000" w:themeColor="text1"/>
                      <w:spacing w:val="-1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11"/>
                      <w:kern w:val="0"/>
                      <w:sz w:val="21"/>
                      <w:szCs w:val="21"/>
                      <w:highlight w:val="none"/>
                      <w14:textFill>
                        <w14:solidFill>
                          <w14:schemeClr w14:val="tx1"/>
                        </w14:solidFill>
                      </w14:textFill>
                    </w:rPr>
                    <w:t>达标</w:t>
                  </w:r>
                </w:p>
              </w:tc>
            </w:tr>
          </w:tbl>
          <w:p w14:paraId="105765DB">
            <w:pPr>
              <w:pStyle w:val="84"/>
              <w:keepLines w:val="0"/>
              <w:pageBreakBefore w:val="0"/>
              <w:widowControl w:val="0"/>
              <w:kinsoku/>
              <w:wordWrap/>
              <w:overflowPunct/>
              <w:topLinePunct w:val="0"/>
              <w:autoSpaceDE/>
              <w:autoSpaceDN/>
              <w:bidi w:val="0"/>
              <w:ind w:firstLine="48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rPr>
              <w:t>非甲烷总烃1</w:t>
            </w:r>
            <w:r>
              <w:rPr>
                <w:rFonts w:hint="default" w:ascii="Times New Roman" w:hAnsi="Times New Roman" w:cs="Times New Roman"/>
                <w:color w:val="auto"/>
                <w:highlight w:val="none"/>
                <w:lang w:val="en-US" w:eastAsia="zh-CN"/>
              </w:rPr>
              <w:t>h</w:t>
            </w:r>
            <w:r>
              <w:rPr>
                <w:rFonts w:hint="default" w:ascii="Times New Roman" w:hAnsi="Times New Roman" w:cs="Times New Roman"/>
                <w:color w:val="auto"/>
                <w:highlight w:val="none"/>
              </w:rPr>
              <w:t>平均浓度满足《环境空气质量 非甲烷总烃》（DB13/1577-2012）中标准值要求</w:t>
            </w:r>
            <w:r>
              <w:rPr>
                <w:rFonts w:hint="default" w:ascii="Times New Roman" w:hAnsi="Times New Roman" w:cs="Times New Roman"/>
                <w:color w:val="auto"/>
                <w:highlight w:val="none"/>
                <w:lang w:val="en-US" w:eastAsia="zh-CN"/>
              </w:rPr>
              <w:t>2.0</w:t>
            </w:r>
            <w:r>
              <w:rPr>
                <w:rFonts w:hint="default" w:ascii="Times New Roman" w:hAnsi="Times New Roman" w:eastAsia="宋体" w:cs="Times New Roman"/>
                <w:color w:val="auto"/>
                <w:kern w:val="0"/>
                <w:szCs w:val="20"/>
                <w:highlight w:val="none"/>
              </w:rPr>
              <w:t>mg/m</w:t>
            </w:r>
            <w:r>
              <w:rPr>
                <w:rFonts w:hint="default" w:ascii="Times New Roman" w:hAnsi="Times New Roman" w:eastAsia="宋体" w:cs="Times New Roman"/>
                <w:color w:val="auto"/>
                <w:kern w:val="0"/>
                <w:szCs w:val="20"/>
                <w:highlight w:val="none"/>
                <w:vertAlign w:val="superscript"/>
              </w:rPr>
              <w:t>3</w:t>
            </w:r>
            <w:r>
              <w:rPr>
                <w:rFonts w:hint="eastAsia" w:cs="Times New Roman"/>
                <w:color w:val="auto"/>
                <w:highlight w:val="none"/>
                <w:lang w:val="en-US" w:eastAsia="zh-CN"/>
              </w:rPr>
              <w:t>。</w:t>
            </w:r>
          </w:p>
          <w:bookmarkEnd w:id="14"/>
          <w:bookmarkEnd w:id="15"/>
          <w:bookmarkEnd w:id="16"/>
          <w:bookmarkEnd w:id="17"/>
          <w:p w14:paraId="614DD87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二</w:t>
            </w:r>
            <w:r>
              <w:rPr>
                <w:rFonts w:hint="default" w:ascii="Times New Roman" w:hAnsi="Times New Roman" w:eastAsia="宋体" w:cs="Times New Roman"/>
                <w:color w:val="auto"/>
                <w:sz w:val="24"/>
                <w:szCs w:val="24"/>
                <w:highlight w:val="none"/>
                <w:lang w:val="en-US" w:eastAsia="zh-CN"/>
              </w:rPr>
              <w:t>、地下水环境、土壤环境</w:t>
            </w:r>
          </w:p>
          <w:p w14:paraId="4D70546D">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本项目</w:t>
            </w:r>
            <w:r>
              <w:rPr>
                <w:rFonts w:hint="eastAsia" w:cs="Times New Roman"/>
                <w:color w:val="auto"/>
                <w:sz w:val="24"/>
                <w:szCs w:val="24"/>
                <w:highlight w:val="none"/>
                <w:lang w:val="en-US" w:eastAsia="zh-CN"/>
              </w:rPr>
              <w:t>无生产废水排放，仅涉及职工生活废水，盥洗废水泼洒抑尘、厂区设防渗旱厕，定期清掏，不外排</w:t>
            </w:r>
            <w:r>
              <w:rPr>
                <w:rFonts w:hint="default" w:ascii="Times New Roman" w:hAnsi="Times New Roman" w:cs="Times New Roman"/>
                <w:color w:val="auto"/>
                <w:sz w:val="24"/>
                <w:szCs w:val="24"/>
                <w:highlight w:val="none"/>
                <w:lang w:val="en-US" w:eastAsia="zh-CN"/>
              </w:rPr>
              <w:t>。厂区严格分区防渗，无地下水、土壤污染途径，故本项目无</w:t>
            </w:r>
            <w:r>
              <w:rPr>
                <w:rFonts w:hint="default" w:ascii="Times New Roman" w:hAnsi="Times New Roman" w:eastAsia="宋体" w:cs="Times New Roman"/>
                <w:color w:val="auto"/>
                <w:sz w:val="24"/>
                <w:szCs w:val="24"/>
                <w:highlight w:val="none"/>
                <w:lang w:val="en-US" w:eastAsia="zh-CN"/>
              </w:rPr>
              <w:t>需进行地下水、土壤环境现状调查。</w:t>
            </w:r>
          </w:p>
          <w:p w14:paraId="7A3266C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三</w:t>
            </w:r>
            <w:r>
              <w:rPr>
                <w:rFonts w:hint="default" w:ascii="Times New Roman" w:hAnsi="Times New Roman" w:eastAsia="宋体" w:cs="Times New Roman"/>
                <w:color w:val="auto"/>
                <w:sz w:val="24"/>
                <w:szCs w:val="24"/>
                <w:highlight w:val="none"/>
                <w:lang w:val="en-US" w:eastAsia="zh-CN"/>
              </w:rPr>
              <w:t>、地表水</w:t>
            </w:r>
            <w:r>
              <w:rPr>
                <w:rFonts w:hint="default" w:ascii="Times New Roman" w:hAnsi="Times New Roman" w:cs="Times New Roman"/>
                <w:color w:val="auto"/>
                <w:sz w:val="24"/>
                <w:szCs w:val="24"/>
                <w:highlight w:val="none"/>
                <w:lang w:val="en-US" w:eastAsia="zh-CN"/>
              </w:rPr>
              <w:t>环境</w:t>
            </w:r>
          </w:p>
          <w:p w14:paraId="6ED33E8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郜河水环境现状引用《石家庄市2025年2月跨市、县界断面水质监测结果》中郜河“行唐县－新乐市正莫镇岸城村”断面相关数据，除总氮外，其他污染物均满足《地表水环境质量标准》（GB3838-2002）中Ⅲ类标准。</w:t>
            </w:r>
          </w:p>
          <w:p w14:paraId="45FCDB66">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四、</w:t>
            </w:r>
            <w:r>
              <w:rPr>
                <w:rFonts w:hint="default" w:ascii="Times New Roman" w:hAnsi="Times New Roman" w:eastAsia="宋体" w:cs="Times New Roman"/>
                <w:color w:val="auto"/>
                <w:sz w:val="24"/>
                <w:szCs w:val="24"/>
                <w:highlight w:val="none"/>
                <w:lang w:val="en-US" w:eastAsia="zh-CN"/>
              </w:rPr>
              <w:t xml:space="preserve">声环境 </w:t>
            </w:r>
          </w:p>
          <w:p w14:paraId="22268E1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项目周边50m范围内无声环境保护目标，故无需进行监测。</w:t>
            </w:r>
          </w:p>
          <w:p w14:paraId="14783D2F">
            <w:pPr>
              <w:keepNext w:val="0"/>
              <w:keepLines w:val="0"/>
              <w:pageBreakBefore w:val="0"/>
              <w:widowControl w:val="0"/>
              <w:numPr>
                <w:ilvl w:val="0"/>
                <w:numId w:val="21"/>
              </w:numPr>
              <w:kinsoku/>
              <w:wordWrap/>
              <w:overflowPunct/>
              <w:topLinePunct w:val="0"/>
              <w:autoSpaceDE/>
              <w:autoSpaceDN/>
              <w:bidi w:val="0"/>
              <w:adjustRightInd w:val="0"/>
              <w:snapToGrid w:val="0"/>
              <w:spacing w:line="360" w:lineRule="auto"/>
              <w:ind w:leftChars="0"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 xml:space="preserve">生态环境  </w:t>
            </w:r>
          </w:p>
          <w:p w14:paraId="686C7A0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kern w:val="0"/>
                <w:sz w:val="24"/>
                <w:highlight w:val="none"/>
              </w:rPr>
            </w:pPr>
            <w:r>
              <w:rPr>
                <w:rFonts w:hint="default" w:ascii="Times New Roman" w:hAnsi="Times New Roman" w:eastAsia="宋体" w:cs="Times New Roman"/>
                <w:color w:val="auto"/>
                <w:kern w:val="2"/>
                <w:sz w:val="24"/>
                <w:szCs w:val="24"/>
                <w:highlight w:val="none"/>
                <w:lang w:val="en-US" w:eastAsia="zh-CN" w:bidi="ar-SA"/>
              </w:rPr>
              <w:t>项目位于河北省石家庄市行唐县河北行唐经济开发区，属于工业园区，无需进行生态环境现状调查。</w:t>
            </w:r>
          </w:p>
        </w:tc>
      </w:tr>
      <w:tr w14:paraId="55B7DA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24" w:hRule="atLeast"/>
          <w:jc w:val="center"/>
        </w:trPr>
        <w:tc>
          <w:tcPr>
            <w:tcW w:w="533" w:type="dxa"/>
            <w:noWrap w:val="0"/>
            <w:vAlign w:val="center"/>
          </w:tcPr>
          <w:p w14:paraId="6FB016EE">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00C6BC4A">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0B8DFA73">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340A5B9F">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131CBC78">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748E7608">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20D58216">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796BE2E5">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60361557">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3EB13DDF">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683CD7F0">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5452A814">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1E08D393">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50D45B62">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2BFDD049">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1931E8FE">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23D77954">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366B3203">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6AA2EE97">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061DE918">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5A01D7D9">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p>
          <w:p w14:paraId="04279680">
            <w:pPr>
              <w:pStyle w:val="2"/>
              <w:ind w:left="0" w:leftChars="0" w:firstLine="0" w:firstLineChars="0"/>
              <w:rPr>
                <w:color w:val="auto"/>
                <w:highlight w:val="none"/>
              </w:rPr>
            </w:pPr>
          </w:p>
          <w:p w14:paraId="00FC5A70">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kern w:val="0"/>
                <w:sz w:val="24"/>
                <w:highlight w:val="none"/>
              </w:rPr>
              <w:t>环境</w:t>
            </w:r>
          </w:p>
          <w:p w14:paraId="428537D0">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kern w:val="0"/>
                <w:sz w:val="24"/>
                <w:highlight w:val="none"/>
              </w:rPr>
              <w:t>保护</w:t>
            </w:r>
          </w:p>
          <w:p w14:paraId="633BF234">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kern w:val="0"/>
                <w:sz w:val="24"/>
                <w:highlight w:val="none"/>
              </w:rPr>
              <w:t>目标</w:t>
            </w:r>
          </w:p>
        </w:tc>
        <w:tc>
          <w:tcPr>
            <w:tcW w:w="8528" w:type="dxa"/>
            <w:noWrap w:val="0"/>
            <w:vAlign w:val="center"/>
          </w:tcPr>
          <w:p w14:paraId="5BB3BE01">
            <w:pPr>
              <w:pStyle w:val="16"/>
              <w:keepNext w:val="0"/>
              <w:keepLines w:val="0"/>
              <w:pageBreakBefore w:val="0"/>
              <w:widowControl w:val="0"/>
              <w:kinsoku/>
              <w:wordWrap/>
              <w:overflowPunct/>
              <w:topLinePunct w:val="0"/>
              <w:autoSpaceDE/>
              <w:autoSpaceDN/>
              <w:bidi w:val="0"/>
              <w:adjustRightInd/>
              <w:snapToGrid/>
              <w:spacing w:line="360" w:lineRule="auto"/>
              <w:ind w:leftChars="0" w:firstLine="482" w:firstLineChars="200"/>
              <w:jc w:val="left"/>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一、大气环境</w:t>
            </w:r>
          </w:p>
          <w:p w14:paraId="3F959102">
            <w:pPr>
              <w:keepNext w:val="0"/>
              <w:keepLines w:val="0"/>
              <w:pageBreakBefore w:val="0"/>
              <w:widowControl w:val="0"/>
              <w:kinsoku/>
              <w:wordWrap/>
              <w:overflowPunct/>
              <w:topLinePunct w:val="0"/>
              <w:autoSpaceDE/>
              <w:autoSpaceDN/>
              <w:bidi w:val="0"/>
              <w:adjustRightInd w:val="0"/>
              <w:snapToGrid w:val="0"/>
              <w:spacing w:line="360" w:lineRule="auto"/>
              <w:ind w:left="0"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通过对本项目的现场踏勘，距离项目最近的敏感点为东北429m处岳霍口村。</w:t>
            </w:r>
          </w:p>
          <w:p w14:paraId="365628EF">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厂界外500m范围内无自然保护区、风景名胜区、文化区。</w:t>
            </w:r>
          </w:p>
          <w:p w14:paraId="56F3A3FF">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2" w:firstLineChars="200"/>
              <w:jc w:val="left"/>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lang w:val="en-US" w:eastAsia="zh-CN"/>
              </w:rPr>
              <w:t>二、</w:t>
            </w:r>
            <w:r>
              <w:rPr>
                <w:rFonts w:hint="default" w:ascii="Times New Roman" w:hAnsi="Times New Roman" w:cs="Times New Roman"/>
                <w:b/>
                <w:bCs/>
                <w:color w:val="auto"/>
                <w:sz w:val="24"/>
                <w:szCs w:val="24"/>
                <w:highlight w:val="none"/>
              </w:rPr>
              <w:t>声环境</w:t>
            </w:r>
          </w:p>
          <w:p w14:paraId="783B3F76">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通过对本项目的现场踏勘，50m内无声环境敏感点。</w:t>
            </w:r>
          </w:p>
          <w:p w14:paraId="6B20F8D5">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2"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三</w:t>
            </w:r>
            <w:r>
              <w:rPr>
                <w:rFonts w:hint="default" w:ascii="Times New Roman" w:hAnsi="Times New Roman" w:cs="Times New Roman"/>
                <w:b/>
                <w:bCs/>
                <w:color w:val="auto"/>
                <w:sz w:val="24"/>
                <w:szCs w:val="24"/>
                <w:highlight w:val="none"/>
              </w:rPr>
              <w:t>、地下水环境</w:t>
            </w:r>
          </w:p>
          <w:p w14:paraId="6C143501">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本项目东北429m处岳霍口村居民饮用水由园区供水管网提供。故项目厂界外500m范围内无集中式饮用水井，无地下热水、矿泉水、温泉等特殊地下水资源。</w:t>
            </w:r>
          </w:p>
          <w:p w14:paraId="165C7FCB">
            <w:pPr>
              <w:pStyle w:val="16"/>
              <w:keepNext w:val="0"/>
              <w:keepLines w:val="0"/>
              <w:pageBreakBefore w:val="0"/>
              <w:widowControl w:val="0"/>
              <w:kinsoku/>
              <w:wordWrap/>
              <w:overflowPunct/>
              <w:topLinePunct w:val="0"/>
              <w:autoSpaceDE/>
              <w:autoSpaceDN/>
              <w:bidi w:val="0"/>
              <w:adjustRightInd/>
              <w:snapToGrid/>
              <w:spacing w:line="360" w:lineRule="auto"/>
              <w:ind w:leftChars="0" w:firstLine="482" w:firstLineChars="200"/>
              <w:jc w:val="left"/>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四、生态环境</w:t>
            </w:r>
          </w:p>
          <w:p w14:paraId="43A8257C">
            <w:pPr>
              <w:pStyle w:val="16"/>
              <w:keepNext w:val="0"/>
              <w:keepLines w:val="0"/>
              <w:pageBreakBefore w:val="0"/>
              <w:widowControl w:val="0"/>
              <w:kinsoku/>
              <w:wordWrap/>
              <w:overflowPunct/>
              <w:topLinePunct w:val="0"/>
              <w:autoSpaceDE/>
              <w:autoSpaceDN/>
              <w:bidi w:val="0"/>
              <w:spacing w:line="360" w:lineRule="auto"/>
              <w:ind w:firstLine="480" w:firstLineChars="200"/>
              <w:jc w:val="left"/>
              <w:textAlignment w:val="auto"/>
              <w:rPr>
                <w:rFonts w:hint="default" w:ascii="Times New Roman" w:hAnsi="Times New Roman" w:cs="Times New Roman"/>
                <w:color w:val="auto"/>
                <w:sz w:val="24"/>
                <w:highlight w:val="none"/>
                <w:lang w:val="en-US"/>
              </w:rPr>
            </w:pPr>
            <w:r>
              <w:rPr>
                <w:rFonts w:hint="default" w:ascii="Times New Roman" w:hAnsi="Times New Roman" w:cs="Times New Roman"/>
                <w:color w:val="auto"/>
                <w:sz w:val="24"/>
                <w:szCs w:val="24"/>
                <w:highlight w:val="none"/>
                <w:lang w:val="en-US" w:eastAsia="zh-CN"/>
              </w:rPr>
              <w:t>项目</w:t>
            </w:r>
            <w:r>
              <w:rPr>
                <w:rFonts w:hint="default" w:ascii="Times New Roman" w:hAnsi="Times New Roman" w:eastAsia="宋体" w:cs="Times New Roman"/>
                <w:color w:val="auto"/>
                <w:sz w:val="24"/>
                <w:szCs w:val="24"/>
                <w:highlight w:val="none"/>
                <w:lang w:val="en-US" w:eastAsia="zh-CN"/>
              </w:rPr>
              <w:t>位于</w:t>
            </w:r>
            <w:r>
              <w:rPr>
                <w:rFonts w:hint="default" w:ascii="Times New Roman" w:hAnsi="Times New Roman" w:eastAsia="宋体" w:cs="Times New Roman"/>
                <w:color w:val="auto"/>
                <w:sz w:val="24"/>
                <w:highlight w:val="none"/>
                <w:lang w:eastAsia="zh-CN"/>
              </w:rPr>
              <w:t>河北省石家庄市行唐县</w:t>
            </w:r>
            <w:r>
              <w:rPr>
                <w:rFonts w:hint="default" w:ascii="Times New Roman" w:hAnsi="Times New Roman" w:eastAsia="宋体" w:cs="Times New Roman"/>
                <w:color w:val="auto"/>
                <w:sz w:val="24"/>
                <w:highlight w:val="none"/>
                <w:lang w:val="en-US" w:eastAsia="zh-CN"/>
              </w:rPr>
              <w:t>河北行唐经济开发区</w:t>
            </w:r>
            <w:r>
              <w:rPr>
                <w:rFonts w:hint="default" w:ascii="Times New Roman" w:hAnsi="Times New Roman" w:eastAsia="宋体" w:cs="Times New Roman"/>
                <w:color w:val="auto"/>
                <w:sz w:val="24"/>
                <w:szCs w:val="24"/>
                <w:highlight w:val="none"/>
                <w:lang w:val="en-US" w:eastAsia="zh-CN"/>
              </w:rPr>
              <w:t>，属于工业园区，无生态环境保护目标。</w:t>
            </w:r>
          </w:p>
          <w:p w14:paraId="6EBF4064">
            <w:pPr>
              <w:pStyle w:val="16"/>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根据《</w:t>
            </w:r>
            <w:r>
              <w:rPr>
                <w:rFonts w:hint="default" w:ascii="Times New Roman" w:hAnsi="Times New Roman" w:eastAsia="宋体" w:cs="Times New Roman"/>
                <w:color w:val="auto"/>
                <w:kern w:val="2"/>
                <w:sz w:val="24"/>
                <w:szCs w:val="24"/>
                <w:highlight w:val="none"/>
                <w:lang w:val="en-US" w:eastAsia="zh-CN" w:bidi="ar"/>
              </w:rPr>
              <w:t>建设项目环境影响报告表编制技术指南</w:t>
            </w:r>
            <w:r>
              <w:rPr>
                <w:rFonts w:hint="eastAsia" w:ascii="Times New Roman" w:hAnsi="Times New Roman" w:eastAsia="宋体" w:cs="Times New Roman"/>
                <w:color w:val="auto"/>
                <w:kern w:val="2"/>
                <w:sz w:val="24"/>
                <w:szCs w:val="24"/>
                <w:highlight w:val="none"/>
                <w:lang w:val="en-US" w:eastAsia="zh-CN" w:bidi="ar"/>
              </w:rPr>
              <w:t xml:space="preserve"> </w:t>
            </w:r>
            <w:r>
              <w:rPr>
                <w:rFonts w:hint="default" w:ascii="Times New Roman" w:hAnsi="Times New Roman" w:eastAsia="宋体" w:cs="Times New Roman"/>
                <w:color w:val="auto"/>
                <w:kern w:val="2"/>
                <w:sz w:val="24"/>
                <w:szCs w:val="24"/>
                <w:highlight w:val="none"/>
                <w:lang w:val="en-US" w:eastAsia="zh-CN" w:bidi="ar"/>
              </w:rPr>
              <w:t>污染影响类（试行）</w:t>
            </w:r>
            <w:r>
              <w:rPr>
                <w:rFonts w:hint="default" w:ascii="Times New Roman" w:hAnsi="Times New Roman" w:eastAsia="宋体" w:cs="Times New Roman"/>
                <w:color w:val="auto"/>
                <w:kern w:val="2"/>
                <w:sz w:val="24"/>
                <w:szCs w:val="24"/>
                <w:highlight w:val="none"/>
                <w:lang w:val="en-US" w:eastAsia="zh-CN" w:bidi="ar-SA"/>
              </w:rPr>
              <w:t>》</w:t>
            </w:r>
            <w:r>
              <w:rPr>
                <w:rFonts w:hint="default" w:ascii="Times New Roman" w:hAnsi="Times New Roman" w:eastAsia="宋体" w:cs="Times New Roman"/>
                <w:color w:val="auto"/>
                <w:kern w:val="2"/>
                <w:sz w:val="24"/>
                <w:szCs w:val="24"/>
                <w:highlight w:val="none"/>
                <w:lang w:val="en-US" w:eastAsia="zh-CN" w:bidi="ar"/>
              </w:rPr>
              <w:t>、</w:t>
            </w:r>
            <w:r>
              <w:rPr>
                <w:rFonts w:hint="default" w:ascii="Times New Roman" w:hAnsi="Times New Roman" w:eastAsia="宋体" w:cs="Times New Roman"/>
                <w:color w:val="auto"/>
                <w:kern w:val="2"/>
                <w:sz w:val="24"/>
                <w:szCs w:val="24"/>
                <w:highlight w:val="none"/>
                <w:lang w:val="en-US" w:eastAsia="zh-CN" w:bidi="ar-SA"/>
              </w:rPr>
              <w:t>项目工程特点、评价区域环境特征，确定本项目环境保护目标及保护级别见下表。</w:t>
            </w:r>
          </w:p>
          <w:p w14:paraId="5F3A4A26">
            <w:pPr>
              <w:pStyle w:val="99"/>
              <w:keepLines w:val="0"/>
              <w:pageBreakBefore w:val="0"/>
              <w:widowControl w:val="0"/>
              <w:numPr>
                <w:ilvl w:val="0"/>
                <w:numId w:val="0"/>
              </w:numPr>
              <w:kinsoku/>
              <w:wordWrap/>
              <w:overflowPunct/>
              <w:topLinePunct w:val="0"/>
              <w:autoSpaceDE/>
              <w:autoSpaceDN/>
              <w:bidi w:val="0"/>
              <w:spacing w:line="240" w:lineRule="auto"/>
              <w:ind w:leftChars="200"/>
              <w:jc w:val="center"/>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表</w:t>
            </w:r>
            <w:r>
              <w:rPr>
                <w:rFonts w:hint="default" w:ascii="Times New Roman" w:hAnsi="Times New Roman" w:cs="Times New Roman"/>
                <w:color w:val="auto"/>
                <w:highlight w:val="none"/>
                <w:lang w:val="en-US" w:eastAsia="zh-CN"/>
              </w:rPr>
              <w:t>3-5</w:t>
            </w:r>
            <w:r>
              <w:rPr>
                <w:rFonts w:hint="default" w:ascii="Times New Roman" w:hAnsi="Times New Roman" w:cs="Times New Roman"/>
                <w:color w:val="auto"/>
                <w:highlight w:val="none"/>
              </w:rPr>
              <w:t xml:space="preserve"> 环境保护目标一览表</w:t>
            </w:r>
          </w:p>
          <w:tbl>
            <w:tblPr>
              <w:tblStyle w:val="34"/>
              <w:tblW w:w="4995" w:type="pct"/>
              <w:jc w:val="center"/>
              <w:tblBorders>
                <w:top w:val="single" w:color="000000" w:sz="8" w:space="0"/>
                <w:left w:val="none" w:color="auto" w:sz="0" w:space="0"/>
                <w:bottom w:val="single" w:color="000000" w:sz="8" w:space="0"/>
                <w:right w:val="none" w:color="auto" w:sz="0" w:space="0"/>
                <w:insideH w:val="single" w:color="000000" w:sz="8" w:space="0"/>
                <w:insideV w:val="single" w:color="000000" w:sz="8" w:space="0"/>
              </w:tblBorders>
              <w:tblLayout w:type="fixed"/>
              <w:tblCellMar>
                <w:top w:w="0" w:type="dxa"/>
                <w:left w:w="108" w:type="dxa"/>
                <w:bottom w:w="0" w:type="dxa"/>
                <w:right w:w="108" w:type="dxa"/>
              </w:tblCellMar>
            </w:tblPr>
            <w:tblGrid>
              <w:gridCol w:w="761"/>
              <w:gridCol w:w="1188"/>
              <w:gridCol w:w="712"/>
              <w:gridCol w:w="675"/>
              <w:gridCol w:w="1950"/>
              <w:gridCol w:w="788"/>
              <w:gridCol w:w="825"/>
              <w:gridCol w:w="650"/>
              <w:gridCol w:w="755"/>
            </w:tblGrid>
            <w:tr w14:paraId="5717A787">
              <w:tblPrEx>
                <w:tblBorders>
                  <w:top w:val="single" w:color="000000" w:sz="8" w:space="0"/>
                  <w:left w:val="none" w:color="auto" w:sz="0" w:space="0"/>
                  <w:bottom w:val="single" w:color="000000" w:sz="8" w:space="0"/>
                  <w:right w:val="none" w:color="auto" w:sz="0" w:space="0"/>
                  <w:insideH w:val="single" w:color="000000" w:sz="8" w:space="0"/>
                  <w:insideV w:val="single" w:color="000000" w:sz="8" w:space="0"/>
                </w:tblBorders>
                <w:tblCellMar>
                  <w:top w:w="0" w:type="dxa"/>
                  <w:left w:w="108" w:type="dxa"/>
                  <w:bottom w:w="0" w:type="dxa"/>
                  <w:right w:w="108" w:type="dxa"/>
                </w:tblCellMar>
              </w:tblPrEx>
              <w:trPr>
                <w:trHeight w:val="532" w:hRule="atLeast"/>
                <w:jc w:val="center"/>
              </w:trPr>
              <w:tc>
                <w:tcPr>
                  <w:tcW w:w="458" w:type="pct"/>
                  <w:tcBorders>
                    <w:top w:val="single" w:color="000000" w:sz="4" w:space="0"/>
                    <w:bottom w:val="single" w:color="000000" w:sz="4" w:space="0"/>
                    <w:right w:val="single" w:color="000000" w:sz="4" w:space="0"/>
                  </w:tcBorders>
                  <w:noWrap w:val="0"/>
                  <w:vAlign w:val="center"/>
                </w:tcPr>
                <w:p w14:paraId="1F72AA71">
                  <w:pPr>
                    <w:pStyle w:val="110"/>
                    <w:keepNext/>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textAlignment w:val="auto"/>
                    <w:rPr>
                      <w:rFonts w:hint="default" w:ascii="Times New Roman" w:hAnsi="Times New Roman" w:cs="Times New Roman"/>
                      <w:b/>
                      <w:bCs w:val="0"/>
                      <w:color w:val="auto"/>
                      <w:highlight w:val="none"/>
                    </w:rPr>
                  </w:pPr>
                  <w:r>
                    <w:rPr>
                      <w:rFonts w:hint="default" w:ascii="Times New Roman" w:hAnsi="Times New Roman" w:cs="Times New Roman"/>
                      <w:b/>
                      <w:bCs w:val="0"/>
                      <w:color w:val="auto"/>
                      <w:highlight w:val="none"/>
                      <w:lang w:val="en-US" w:eastAsia="zh-CN"/>
                    </w:rPr>
                    <w:t>环境要素</w:t>
                  </w:r>
                </w:p>
              </w:tc>
              <w:tc>
                <w:tcPr>
                  <w:tcW w:w="715" w:type="pct"/>
                  <w:tcBorders>
                    <w:top w:val="single" w:color="000000" w:sz="4" w:space="0"/>
                    <w:left w:val="single" w:color="000000" w:sz="4" w:space="0"/>
                    <w:bottom w:val="single" w:color="000000" w:sz="4" w:space="0"/>
                    <w:right w:val="single" w:color="000000" w:sz="4" w:space="0"/>
                  </w:tcBorders>
                  <w:noWrap w:val="0"/>
                  <w:vAlign w:val="center"/>
                </w:tcPr>
                <w:p w14:paraId="418C6CCF">
                  <w:pPr>
                    <w:pStyle w:val="110"/>
                    <w:keepNext/>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textAlignment w:val="auto"/>
                    <w:rPr>
                      <w:rFonts w:hint="default" w:ascii="Times New Roman" w:hAnsi="Times New Roman" w:cs="Times New Roman"/>
                      <w:b/>
                      <w:bCs w:val="0"/>
                      <w:color w:val="auto"/>
                      <w:highlight w:val="none"/>
                    </w:rPr>
                  </w:pPr>
                  <w:r>
                    <w:rPr>
                      <w:rFonts w:hint="default" w:ascii="Times New Roman" w:hAnsi="Times New Roman" w:cs="Times New Roman"/>
                      <w:b/>
                      <w:bCs w:val="0"/>
                      <w:color w:val="auto"/>
                      <w:highlight w:val="none"/>
                      <w:lang w:val="en-US" w:eastAsia="zh-CN"/>
                    </w:rPr>
                    <w:t>调查范围</w:t>
                  </w:r>
                </w:p>
              </w:tc>
              <w:tc>
                <w:tcPr>
                  <w:tcW w:w="428" w:type="pct"/>
                  <w:tcBorders>
                    <w:top w:val="single" w:color="000000" w:sz="4" w:space="0"/>
                    <w:left w:val="single" w:color="000000" w:sz="4" w:space="0"/>
                    <w:bottom w:val="single" w:color="000000" w:sz="4" w:space="0"/>
                    <w:right w:val="single" w:color="000000" w:sz="4" w:space="0"/>
                  </w:tcBorders>
                  <w:noWrap w:val="0"/>
                  <w:vAlign w:val="center"/>
                </w:tcPr>
                <w:p w14:paraId="497EF9B8">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b/>
                      <w:bCs w:val="0"/>
                      <w:color w:val="auto"/>
                      <w:highlight w:val="none"/>
                      <w:lang w:val="en-US" w:eastAsia="zh-CN"/>
                    </w:rPr>
                  </w:pPr>
                  <w:r>
                    <w:rPr>
                      <w:rFonts w:hint="default" w:ascii="Times New Roman" w:hAnsi="Times New Roman" w:cs="Times New Roman"/>
                      <w:b/>
                      <w:bCs w:val="0"/>
                      <w:color w:val="auto"/>
                      <w:highlight w:val="none"/>
                      <w:lang w:val="en-US" w:eastAsia="zh-CN"/>
                    </w:rPr>
                    <w:t>保护目标</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14:paraId="0A74FDBD">
                  <w:pPr>
                    <w:pStyle w:val="67"/>
                    <w:tabs>
                      <w:tab w:val="left" w:pos="4500"/>
                    </w:tabs>
                    <w:adjustRightInd w:val="0"/>
                    <w:spacing w:line="240" w:lineRule="auto"/>
                    <w:ind w:firstLine="0" w:firstLineChars="0"/>
                    <w:rPr>
                      <w:rFonts w:hint="eastAsia" w:ascii="Times New Roman" w:hAnsi="Times New Roman" w:eastAsia="宋体" w:cs="Times New Roman"/>
                      <w:b/>
                      <w:bCs w:val="0"/>
                      <w:color w:val="auto"/>
                      <w:highlight w:val="none"/>
                      <w:lang w:eastAsia="zh-CN"/>
                    </w:rPr>
                  </w:pPr>
                  <w:r>
                    <w:rPr>
                      <w:rFonts w:hint="eastAsia"/>
                      <w:b/>
                      <w:bCs w:val="0"/>
                      <w:color w:val="auto"/>
                      <w:spacing w:val="-11"/>
                      <w:sz w:val="21"/>
                      <w:szCs w:val="21"/>
                      <w:highlight w:val="none"/>
                      <w:lang w:val="en-US" w:eastAsia="zh-CN"/>
                    </w:rPr>
                    <w:t>保护对象</w:t>
                  </w:r>
                </w:p>
              </w:tc>
              <w:tc>
                <w:tcPr>
                  <w:tcW w:w="1174" w:type="pct"/>
                  <w:tcBorders>
                    <w:top w:val="single" w:color="000000" w:sz="4" w:space="0"/>
                    <w:left w:val="single" w:color="000000" w:sz="4" w:space="0"/>
                    <w:bottom w:val="single" w:color="000000" w:sz="4" w:space="0"/>
                    <w:right w:val="single" w:color="auto" w:sz="4" w:space="0"/>
                  </w:tcBorders>
                  <w:noWrap w:val="0"/>
                  <w:vAlign w:val="center"/>
                </w:tcPr>
                <w:p w14:paraId="5DA3DDBB">
                  <w:pPr>
                    <w:pStyle w:val="67"/>
                    <w:tabs>
                      <w:tab w:val="left" w:pos="4500"/>
                    </w:tabs>
                    <w:adjustRightInd w:val="0"/>
                    <w:spacing w:line="240" w:lineRule="auto"/>
                    <w:ind w:firstLine="0" w:firstLineChars="0"/>
                    <w:rPr>
                      <w:rFonts w:hint="default" w:ascii="Times New Roman" w:hAnsi="Times New Roman" w:cs="Times New Roman"/>
                      <w:b/>
                      <w:bCs w:val="0"/>
                      <w:color w:val="auto"/>
                      <w:highlight w:val="none"/>
                      <w:lang w:val="en-US" w:eastAsia="zh-CN"/>
                    </w:rPr>
                  </w:pPr>
                  <w:r>
                    <w:rPr>
                      <w:b/>
                      <w:bCs w:val="0"/>
                      <w:color w:val="auto"/>
                      <w:spacing w:val="-11"/>
                      <w:sz w:val="21"/>
                      <w:szCs w:val="21"/>
                      <w:highlight w:val="none"/>
                    </w:rPr>
                    <w:t>保护级别</w:t>
                  </w:r>
                </w:p>
              </w:tc>
              <w:tc>
                <w:tcPr>
                  <w:tcW w:w="474" w:type="pct"/>
                  <w:tcBorders>
                    <w:top w:val="single" w:color="000000" w:sz="4" w:space="0"/>
                    <w:left w:val="single" w:color="000000" w:sz="4" w:space="0"/>
                    <w:bottom w:val="single" w:color="000000" w:sz="4" w:space="0"/>
                    <w:right w:val="single" w:color="auto" w:sz="4" w:space="0"/>
                  </w:tcBorders>
                  <w:noWrap w:val="0"/>
                  <w:vAlign w:val="center"/>
                </w:tcPr>
                <w:p w14:paraId="7CAE6ECF">
                  <w:pPr>
                    <w:pStyle w:val="110"/>
                    <w:keepNext/>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textAlignment w:val="auto"/>
                    <w:rPr>
                      <w:rFonts w:hint="default" w:ascii="Times New Roman" w:hAnsi="Times New Roman" w:eastAsia="宋体" w:cs="Times New Roman"/>
                      <w:b/>
                      <w:bCs w:val="0"/>
                      <w:color w:val="auto"/>
                      <w:highlight w:val="none"/>
                      <w:lang w:val="en-US" w:eastAsia="zh-CN"/>
                    </w:rPr>
                  </w:pPr>
                  <w:r>
                    <w:rPr>
                      <w:rFonts w:hint="default" w:ascii="Times New Roman" w:hAnsi="Times New Roman" w:cs="Times New Roman"/>
                      <w:b/>
                      <w:bCs w:val="0"/>
                      <w:color w:val="auto"/>
                      <w:highlight w:val="none"/>
                      <w:lang w:val="en-US" w:eastAsia="zh-CN"/>
                    </w:rPr>
                    <w:t>经度°</w:t>
                  </w:r>
                </w:p>
              </w:tc>
              <w:tc>
                <w:tcPr>
                  <w:tcW w:w="496" w:type="pct"/>
                  <w:tcBorders>
                    <w:top w:val="single" w:color="000000" w:sz="4" w:space="0"/>
                    <w:left w:val="single" w:color="auto" w:sz="4" w:space="0"/>
                    <w:bottom w:val="single" w:color="000000" w:sz="4" w:space="0"/>
                    <w:right w:val="single" w:color="auto" w:sz="4" w:space="0"/>
                  </w:tcBorders>
                  <w:noWrap w:val="0"/>
                  <w:vAlign w:val="center"/>
                </w:tcPr>
                <w:p w14:paraId="799A1FF1">
                  <w:pPr>
                    <w:pStyle w:val="110"/>
                    <w:keepNext/>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textAlignment w:val="auto"/>
                    <w:rPr>
                      <w:rFonts w:hint="default" w:ascii="Times New Roman" w:hAnsi="Times New Roman" w:cs="Times New Roman"/>
                      <w:b/>
                      <w:bCs w:val="0"/>
                      <w:color w:val="auto"/>
                      <w:highlight w:val="none"/>
                      <w:lang w:val="en-US" w:eastAsia="zh-CN"/>
                    </w:rPr>
                  </w:pPr>
                  <w:r>
                    <w:rPr>
                      <w:rFonts w:hint="default" w:ascii="Times New Roman" w:hAnsi="Times New Roman" w:cs="Times New Roman"/>
                      <w:b/>
                      <w:bCs w:val="0"/>
                      <w:color w:val="auto"/>
                      <w:highlight w:val="none"/>
                      <w:lang w:val="en-US" w:eastAsia="zh-CN"/>
                    </w:rPr>
                    <w:t>纬度°</w:t>
                  </w:r>
                </w:p>
              </w:tc>
              <w:tc>
                <w:tcPr>
                  <w:tcW w:w="391" w:type="pct"/>
                  <w:tcBorders>
                    <w:top w:val="single" w:color="000000" w:sz="4" w:space="0"/>
                    <w:left w:val="single" w:color="auto" w:sz="4" w:space="0"/>
                    <w:bottom w:val="single" w:color="000000" w:sz="4" w:space="0"/>
                    <w:right w:val="single" w:color="000000" w:sz="4" w:space="0"/>
                  </w:tcBorders>
                  <w:noWrap w:val="0"/>
                  <w:vAlign w:val="center"/>
                </w:tcPr>
                <w:p w14:paraId="3857B78D">
                  <w:pPr>
                    <w:pStyle w:val="110"/>
                    <w:keepNext/>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textAlignment w:val="auto"/>
                    <w:rPr>
                      <w:rFonts w:hint="default" w:ascii="Times New Roman" w:hAnsi="Times New Roman" w:eastAsia="宋体" w:cs="Times New Roman"/>
                      <w:b/>
                      <w:bCs w:val="0"/>
                      <w:color w:val="auto"/>
                      <w:kern w:val="0"/>
                      <w:sz w:val="21"/>
                      <w:szCs w:val="24"/>
                      <w:highlight w:val="none"/>
                      <w:lang w:val="en-US" w:eastAsia="zh-CN" w:bidi="ar-SA"/>
                    </w:rPr>
                  </w:pPr>
                  <w:r>
                    <w:rPr>
                      <w:rFonts w:hint="default" w:ascii="Times New Roman" w:hAnsi="Times New Roman" w:cs="Times New Roman"/>
                      <w:b/>
                      <w:bCs w:val="0"/>
                      <w:color w:val="auto"/>
                      <w:highlight w:val="none"/>
                      <w:lang w:val="en-US" w:eastAsia="zh-CN"/>
                    </w:rPr>
                    <w:t>相对厂址位置</w:t>
                  </w:r>
                </w:p>
              </w:tc>
              <w:tc>
                <w:tcPr>
                  <w:tcW w:w="454" w:type="pct"/>
                  <w:tcBorders>
                    <w:top w:val="single" w:color="000000" w:sz="4" w:space="0"/>
                    <w:left w:val="single" w:color="000000" w:sz="4" w:space="0"/>
                    <w:bottom w:val="single" w:color="000000" w:sz="4" w:space="0"/>
                  </w:tcBorders>
                  <w:noWrap w:val="0"/>
                  <w:vAlign w:val="center"/>
                </w:tcPr>
                <w:p w14:paraId="2B0EE8A2">
                  <w:pPr>
                    <w:pStyle w:val="110"/>
                    <w:keepNext/>
                    <w:keepLines w:val="0"/>
                    <w:pageBreakBefore w:val="0"/>
                    <w:widowControl w:val="0"/>
                    <w:kinsoku/>
                    <w:wordWrap/>
                    <w:overflowPunct/>
                    <w:topLinePunct w:val="0"/>
                    <w:autoSpaceDE/>
                    <w:autoSpaceDN/>
                    <w:bidi w:val="0"/>
                    <w:adjustRightInd/>
                    <w:snapToGrid/>
                    <w:spacing w:before="0" w:beforeLines="0" w:after="0" w:afterLines="0" w:line="240" w:lineRule="exact"/>
                    <w:ind w:left="0" w:leftChars="0" w:right="0" w:rightChars="0"/>
                    <w:textAlignment w:val="auto"/>
                    <w:rPr>
                      <w:rFonts w:hint="default" w:ascii="Times New Roman" w:hAnsi="Times New Roman" w:cs="Times New Roman"/>
                      <w:b/>
                      <w:bCs w:val="0"/>
                      <w:color w:val="auto"/>
                      <w:highlight w:val="none"/>
                    </w:rPr>
                  </w:pPr>
                  <w:r>
                    <w:rPr>
                      <w:rFonts w:hint="default" w:ascii="Times New Roman" w:hAnsi="Times New Roman" w:cs="Times New Roman"/>
                      <w:b/>
                      <w:bCs w:val="0"/>
                      <w:color w:val="auto"/>
                      <w:highlight w:val="none"/>
                      <w:lang w:val="en-US" w:eastAsia="zh-CN"/>
                    </w:rPr>
                    <w:t>相对厂址距离</w:t>
                  </w:r>
                </w:p>
              </w:tc>
            </w:tr>
            <w:tr w14:paraId="4B57E4EE">
              <w:tblPrEx>
                <w:tblBorders>
                  <w:top w:val="single" w:color="000000" w:sz="8" w:space="0"/>
                  <w:left w:val="none" w:color="auto" w:sz="0" w:space="0"/>
                  <w:bottom w:val="single" w:color="000000" w:sz="8" w:space="0"/>
                  <w:right w:val="none" w:color="auto" w:sz="0" w:space="0"/>
                  <w:insideH w:val="single" w:color="000000" w:sz="8" w:space="0"/>
                  <w:insideV w:val="single" w:color="000000" w:sz="8" w:space="0"/>
                </w:tblBorders>
                <w:tblCellMar>
                  <w:top w:w="0" w:type="dxa"/>
                  <w:left w:w="108" w:type="dxa"/>
                  <w:bottom w:w="0" w:type="dxa"/>
                  <w:right w:w="108" w:type="dxa"/>
                </w:tblCellMar>
              </w:tblPrEx>
              <w:trPr>
                <w:trHeight w:val="543" w:hRule="atLeast"/>
                <w:jc w:val="center"/>
              </w:trPr>
              <w:tc>
                <w:tcPr>
                  <w:tcW w:w="458" w:type="pct"/>
                  <w:tcBorders>
                    <w:top w:val="single" w:color="000000" w:sz="4" w:space="0"/>
                    <w:right w:val="single" w:color="000000" w:sz="4" w:space="0"/>
                  </w:tcBorders>
                  <w:noWrap w:val="0"/>
                  <w:vAlign w:val="center"/>
                </w:tcPr>
                <w:p w14:paraId="1E9DC0ED">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大气环境</w:t>
                  </w:r>
                </w:p>
              </w:tc>
              <w:tc>
                <w:tcPr>
                  <w:tcW w:w="715" w:type="pct"/>
                  <w:tcBorders>
                    <w:top w:val="single" w:color="000000" w:sz="4" w:space="0"/>
                    <w:left w:val="single" w:color="000000" w:sz="4" w:space="0"/>
                    <w:right w:val="single" w:color="000000" w:sz="4" w:space="0"/>
                  </w:tcBorders>
                  <w:noWrap w:val="0"/>
                  <w:vAlign w:val="center"/>
                </w:tcPr>
                <w:p w14:paraId="2191C399">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厂界外500米范围内</w:t>
                  </w:r>
                </w:p>
              </w:tc>
              <w:tc>
                <w:tcPr>
                  <w:tcW w:w="428" w:type="pct"/>
                  <w:tcBorders>
                    <w:top w:val="single" w:color="000000" w:sz="4" w:space="0"/>
                    <w:left w:val="single" w:color="000000" w:sz="4" w:space="0"/>
                    <w:right w:val="single" w:color="000000" w:sz="4" w:space="0"/>
                  </w:tcBorders>
                  <w:noWrap w:val="0"/>
                  <w:vAlign w:val="center"/>
                </w:tcPr>
                <w:p w14:paraId="3B5FA213">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岳霍口村</w:t>
                  </w:r>
                </w:p>
              </w:tc>
              <w:tc>
                <w:tcPr>
                  <w:tcW w:w="406" w:type="pct"/>
                  <w:tcBorders>
                    <w:top w:val="single" w:color="000000" w:sz="4" w:space="0"/>
                    <w:left w:val="single" w:color="000000" w:sz="4" w:space="0"/>
                    <w:right w:val="single" w:color="000000" w:sz="4" w:space="0"/>
                  </w:tcBorders>
                  <w:noWrap w:val="0"/>
                  <w:vAlign w:val="center"/>
                </w:tcPr>
                <w:p w14:paraId="76313FE4">
                  <w:pPr>
                    <w:pStyle w:val="67"/>
                    <w:tabs>
                      <w:tab w:val="left" w:pos="4500"/>
                    </w:tabs>
                    <w:adjustRightInd w:val="0"/>
                    <w:spacing w:line="240" w:lineRule="auto"/>
                    <w:ind w:firstLine="0" w:firstLineChars="0"/>
                    <w:rPr>
                      <w:rFonts w:hint="default" w:ascii="Times New Roman" w:hAnsi="Times New Roman" w:cs="Times New Roman"/>
                      <w:color w:val="auto"/>
                      <w:highlight w:val="none"/>
                    </w:rPr>
                  </w:pPr>
                  <w:r>
                    <w:rPr>
                      <w:rFonts w:hint="default" w:ascii="Times New Roman" w:hAnsi="Times New Roman" w:cs="Times New Roman"/>
                      <w:color w:val="auto"/>
                      <w:spacing w:val="-11"/>
                      <w:sz w:val="21"/>
                      <w:szCs w:val="21"/>
                      <w:highlight w:val="none"/>
                    </w:rPr>
                    <w:t>居民区</w:t>
                  </w:r>
                </w:p>
              </w:tc>
              <w:tc>
                <w:tcPr>
                  <w:tcW w:w="1174" w:type="pct"/>
                  <w:tcBorders>
                    <w:top w:val="single" w:color="000000" w:sz="4" w:space="0"/>
                    <w:left w:val="single" w:color="000000" w:sz="4" w:space="0"/>
                    <w:right w:val="single" w:color="auto" w:sz="4" w:space="0"/>
                  </w:tcBorders>
                  <w:noWrap w:val="0"/>
                  <w:vAlign w:val="center"/>
                </w:tcPr>
                <w:p w14:paraId="2C72ED8E">
                  <w:pPr>
                    <w:pStyle w:val="67"/>
                    <w:tabs>
                      <w:tab w:val="left" w:pos="4500"/>
                    </w:tabs>
                    <w:adjustRightInd w:val="0"/>
                    <w:spacing w:line="240" w:lineRule="auto"/>
                    <w:ind w:firstLine="0" w:firstLineChars="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环境空气质量标准》（GB3095-20</w:t>
                  </w:r>
                  <w:r>
                    <w:rPr>
                      <w:rFonts w:hint="eastAsia" w:ascii="Times New Roman" w:cs="Times New Roman"/>
                      <w:color w:val="auto"/>
                      <w:highlight w:val="none"/>
                      <w:lang w:val="en-US" w:eastAsia="zh-CN"/>
                    </w:rPr>
                    <w:t>12</w:t>
                  </w:r>
                  <w:r>
                    <w:rPr>
                      <w:rFonts w:hint="default" w:ascii="Times New Roman" w:hAnsi="Times New Roman" w:cs="Times New Roman"/>
                      <w:color w:val="auto"/>
                      <w:highlight w:val="none"/>
                      <w:lang w:val="en-US" w:eastAsia="zh-CN"/>
                    </w:rPr>
                    <w:t>）浓度限值二级标准</w:t>
                  </w:r>
                  <w:r>
                    <w:rPr>
                      <w:rFonts w:hint="eastAsia" w:ascii="Times New Roman" w:cs="Times New Roman"/>
                      <w:color w:val="auto"/>
                      <w:highlight w:val="none"/>
                      <w:lang w:val="en-US" w:eastAsia="zh-CN"/>
                    </w:rPr>
                    <w:t>及其修改单</w:t>
                  </w:r>
                </w:p>
              </w:tc>
              <w:tc>
                <w:tcPr>
                  <w:tcW w:w="474" w:type="pct"/>
                  <w:tcBorders>
                    <w:top w:val="single" w:color="000000" w:sz="4" w:space="0"/>
                    <w:left w:val="single" w:color="000000" w:sz="4" w:space="0"/>
                    <w:right w:val="single" w:color="auto" w:sz="4" w:space="0"/>
                  </w:tcBorders>
                  <w:noWrap w:val="0"/>
                  <w:vAlign w:val="center"/>
                </w:tcPr>
                <w:p w14:paraId="535F7F05">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rPr>
                    <w:t>114.512499519</w:t>
                  </w:r>
                </w:p>
              </w:tc>
              <w:tc>
                <w:tcPr>
                  <w:tcW w:w="496" w:type="pct"/>
                  <w:tcBorders>
                    <w:top w:val="single" w:color="000000" w:sz="4" w:space="0"/>
                    <w:left w:val="single" w:color="auto" w:sz="4" w:space="0"/>
                    <w:right w:val="single" w:color="auto" w:sz="4" w:space="0"/>
                  </w:tcBorders>
                  <w:noWrap w:val="0"/>
                  <w:vAlign w:val="center"/>
                </w:tcPr>
                <w:p w14:paraId="328941DF">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38.394662852</w:t>
                  </w:r>
                </w:p>
              </w:tc>
              <w:tc>
                <w:tcPr>
                  <w:tcW w:w="391" w:type="pct"/>
                  <w:tcBorders>
                    <w:top w:val="single" w:color="000000" w:sz="4" w:space="0"/>
                    <w:left w:val="single" w:color="auto" w:sz="4" w:space="0"/>
                    <w:right w:val="single" w:color="000000" w:sz="4" w:space="0"/>
                  </w:tcBorders>
                  <w:noWrap w:val="0"/>
                  <w:vAlign w:val="center"/>
                </w:tcPr>
                <w:p w14:paraId="01947018">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eastAsia="宋体" w:cs="Times New Roman"/>
                      <w:color w:val="auto"/>
                      <w:kern w:val="0"/>
                      <w:sz w:val="21"/>
                      <w:szCs w:val="24"/>
                      <w:highlight w:val="none"/>
                      <w:lang w:val="en-US" w:eastAsia="zh-CN" w:bidi="ar-SA"/>
                    </w:rPr>
                  </w:pPr>
                  <w:r>
                    <w:rPr>
                      <w:rFonts w:hint="default" w:ascii="Times New Roman" w:hAnsi="Times New Roman" w:cs="Times New Roman"/>
                      <w:color w:val="auto"/>
                      <w:highlight w:val="none"/>
                      <w:lang w:val="en-US" w:eastAsia="zh-CN"/>
                    </w:rPr>
                    <w:t>NE</w:t>
                  </w:r>
                </w:p>
              </w:tc>
              <w:tc>
                <w:tcPr>
                  <w:tcW w:w="454" w:type="pct"/>
                  <w:tcBorders>
                    <w:top w:val="single" w:color="000000" w:sz="4" w:space="0"/>
                    <w:left w:val="single" w:color="000000" w:sz="4" w:space="0"/>
                    <w:bottom w:val="single" w:color="000000" w:sz="4" w:space="0"/>
                  </w:tcBorders>
                  <w:noWrap w:val="0"/>
                  <w:vAlign w:val="center"/>
                </w:tcPr>
                <w:p w14:paraId="79F8803B">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kern w:val="0"/>
                      <w:sz w:val="21"/>
                      <w:szCs w:val="24"/>
                      <w:highlight w:val="none"/>
                      <w:lang w:val="en-US" w:eastAsia="zh-CN" w:bidi="ar-SA"/>
                    </w:rPr>
                    <w:t>429m</w:t>
                  </w:r>
                </w:p>
              </w:tc>
            </w:tr>
            <w:tr w14:paraId="2AC07CE5">
              <w:tblPrEx>
                <w:tblBorders>
                  <w:top w:val="single" w:color="000000" w:sz="8" w:space="0"/>
                  <w:left w:val="none" w:color="auto" w:sz="0" w:space="0"/>
                  <w:bottom w:val="single" w:color="000000" w:sz="8" w:space="0"/>
                  <w:right w:val="none" w:color="auto" w:sz="0" w:space="0"/>
                  <w:insideH w:val="single" w:color="000000" w:sz="8" w:space="0"/>
                  <w:insideV w:val="single" w:color="000000" w:sz="8" w:space="0"/>
                </w:tblBorders>
                <w:tblCellMar>
                  <w:top w:w="0" w:type="dxa"/>
                  <w:left w:w="108" w:type="dxa"/>
                  <w:bottom w:w="0" w:type="dxa"/>
                  <w:right w:w="108" w:type="dxa"/>
                </w:tblCellMar>
              </w:tblPrEx>
              <w:trPr>
                <w:trHeight w:val="542" w:hRule="atLeast"/>
                <w:jc w:val="center"/>
              </w:trPr>
              <w:tc>
                <w:tcPr>
                  <w:tcW w:w="458" w:type="pct"/>
                  <w:tcBorders>
                    <w:top w:val="single" w:color="000000" w:sz="4" w:space="0"/>
                    <w:bottom w:val="single" w:color="000000" w:sz="4" w:space="0"/>
                    <w:right w:val="single" w:color="000000" w:sz="4" w:space="0"/>
                  </w:tcBorders>
                  <w:noWrap w:val="0"/>
                  <w:vAlign w:val="center"/>
                </w:tcPr>
                <w:p w14:paraId="2887CAC0">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地下水环境</w:t>
                  </w:r>
                </w:p>
              </w:tc>
              <w:tc>
                <w:tcPr>
                  <w:tcW w:w="715" w:type="pct"/>
                  <w:tcBorders>
                    <w:top w:val="single" w:color="000000" w:sz="4" w:space="0"/>
                    <w:left w:val="single" w:color="000000" w:sz="4" w:space="0"/>
                    <w:bottom w:val="single" w:color="000000" w:sz="4" w:space="0"/>
                    <w:right w:val="single" w:color="000000" w:sz="4" w:space="0"/>
                  </w:tcBorders>
                  <w:noWrap w:val="0"/>
                  <w:vAlign w:val="center"/>
                </w:tcPr>
                <w:p w14:paraId="32554C55">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厂界外500米范围内</w:t>
                  </w:r>
                </w:p>
              </w:tc>
              <w:tc>
                <w:tcPr>
                  <w:tcW w:w="428" w:type="pct"/>
                  <w:tcBorders>
                    <w:top w:val="single" w:color="000000" w:sz="4" w:space="0"/>
                    <w:left w:val="single" w:color="000000" w:sz="4" w:space="0"/>
                    <w:bottom w:val="single" w:color="000000" w:sz="4" w:space="0"/>
                    <w:right w:val="single" w:color="000000" w:sz="4" w:space="0"/>
                  </w:tcBorders>
                  <w:noWrap w:val="0"/>
                  <w:vAlign w:val="center"/>
                </w:tcPr>
                <w:p w14:paraId="43D8E3D0">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无</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14:paraId="068CF673">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w:t>
                  </w:r>
                </w:p>
              </w:tc>
              <w:tc>
                <w:tcPr>
                  <w:tcW w:w="1174" w:type="pct"/>
                  <w:tcBorders>
                    <w:top w:val="single" w:color="000000" w:sz="4" w:space="0"/>
                    <w:left w:val="single" w:color="000000" w:sz="4" w:space="0"/>
                    <w:bottom w:val="single" w:color="000000" w:sz="4" w:space="0"/>
                    <w:right w:val="single" w:color="000000" w:sz="4" w:space="0"/>
                  </w:tcBorders>
                  <w:noWrap w:val="0"/>
                  <w:vAlign w:val="center"/>
                </w:tcPr>
                <w:p w14:paraId="773C6673">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p>
              </w:tc>
              <w:tc>
                <w:tcPr>
                  <w:tcW w:w="1362" w:type="pct"/>
                  <w:gridSpan w:val="3"/>
                  <w:tcBorders>
                    <w:top w:val="single" w:color="000000" w:sz="4" w:space="0"/>
                    <w:left w:val="single" w:color="000000" w:sz="4" w:space="0"/>
                    <w:bottom w:val="single" w:color="000000" w:sz="4" w:space="0"/>
                    <w:right w:val="single" w:color="000000" w:sz="4" w:space="0"/>
                  </w:tcBorders>
                  <w:noWrap w:val="0"/>
                  <w:vAlign w:val="center"/>
                </w:tcPr>
                <w:p w14:paraId="5FF1DAC9">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w:t>
                  </w:r>
                </w:p>
              </w:tc>
              <w:tc>
                <w:tcPr>
                  <w:tcW w:w="454" w:type="pct"/>
                  <w:tcBorders>
                    <w:top w:val="single" w:color="000000" w:sz="4" w:space="0"/>
                    <w:left w:val="single" w:color="000000" w:sz="4" w:space="0"/>
                    <w:bottom w:val="single" w:color="000000" w:sz="4" w:space="0"/>
                  </w:tcBorders>
                  <w:noWrap w:val="0"/>
                  <w:vAlign w:val="center"/>
                </w:tcPr>
                <w:p w14:paraId="1E215AB2">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w:t>
                  </w:r>
                </w:p>
              </w:tc>
            </w:tr>
            <w:tr w14:paraId="67985324">
              <w:tblPrEx>
                <w:tblBorders>
                  <w:top w:val="single" w:color="000000" w:sz="8" w:space="0"/>
                  <w:left w:val="none" w:color="auto" w:sz="0" w:space="0"/>
                  <w:bottom w:val="single" w:color="000000" w:sz="8" w:space="0"/>
                  <w:right w:val="none" w:color="auto" w:sz="0" w:space="0"/>
                  <w:insideH w:val="single" w:color="000000" w:sz="8" w:space="0"/>
                  <w:insideV w:val="single" w:color="000000" w:sz="8" w:space="0"/>
                </w:tblBorders>
                <w:tblCellMar>
                  <w:top w:w="0" w:type="dxa"/>
                  <w:left w:w="108" w:type="dxa"/>
                  <w:bottom w:w="0" w:type="dxa"/>
                  <w:right w:w="108" w:type="dxa"/>
                </w:tblCellMar>
              </w:tblPrEx>
              <w:trPr>
                <w:trHeight w:val="532" w:hRule="atLeast"/>
                <w:jc w:val="center"/>
              </w:trPr>
              <w:tc>
                <w:tcPr>
                  <w:tcW w:w="458" w:type="pct"/>
                  <w:tcBorders>
                    <w:top w:val="single" w:color="000000" w:sz="4" w:space="0"/>
                    <w:bottom w:val="single" w:color="000000" w:sz="4" w:space="0"/>
                    <w:right w:val="single" w:color="000000" w:sz="4" w:space="0"/>
                  </w:tcBorders>
                  <w:noWrap w:val="0"/>
                  <w:vAlign w:val="center"/>
                </w:tcPr>
                <w:p w14:paraId="41D105DF">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生态环境</w:t>
                  </w:r>
                </w:p>
              </w:tc>
              <w:tc>
                <w:tcPr>
                  <w:tcW w:w="715" w:type="pct"/>
                  <w:tcBorders>
                    <w:top w:val="single" w:color="000000" w:sz="4" w:space="0"/>
                    <w:left w:val="single" w:color="000000" w:sz="4" w:space="0"/>
                    <w:bottom w:val="single" w:color="000000" w:sz="4" w:space="0"/>
                    <w:right w:val="single" w:color="000000" w:sz="4" w:space="0"/>
                  </w:tcBorders>
                  <w:noWrap w:val="0"/>
                  <w:vAlign w:val="center"/>
                </w:tcPr>
                <w:p w14:paraId="6D41A0FC">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厂区占地范围内</w:t>
                  </w:r>
                </w:p>
              </w:tc>
              <w:tc>
                <w:tcPr>
                  <w:tcW w:w="428" w:type="pct"/>
                  <w:tcBorders>
                    <w:top w:val="single" w:color="000000" w:sz="4" w:space="0"/>
                    <w:left w:val="single" w:color="000000" w:sz="4" w:space="0"/>
                    <w:bottom w:val="single" w:color="000000" w:sz="4" w:space="0"/>
                    <w:right w:val="single" w:color="000000" w:sz="4" w:space="0"/>
                  </w:tcBorders>
                  <w:noWrap w:val="0"/>
                  <w:vAlign w:val="center"/>
                </w:tcPr>
                <w:p w14:paraId="78A0D983">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无</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14:paraId="07DE4D04">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174" w:type="pct"/>
                  <w:tcBorders>
                    <w:top w:val="single" w:color="000000" w:sz="4" w:space="0"/>
                    <w:left w:val="single" w:color="000000" w:sz="4" w:space="0"/>
                    <w:bottom w:val="single" w:color="000000" w:sz="4" w:space="0"/>
                    <w:right w:val="single" w:color="000000" w:sz="4" w:space="0"/>
                  </w:tcBorders>
                  <w:noWrap w:val="0"/>
                  <w:vAlign w:val="center"/>
                </w:tcPr>
                <w:p w14:paraId="1F2E28D8">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p>
              </w:tc>
              <w:tc>
                <w:tcPr>
                  <w:tcW w:w="1362" w:type="pct"/>
                  <w:gridSpan w:val="3"/>
                  <w:tcBorders>
                    <w:top w:val="single" w:color="000000" w:sz="4" w:space="0"/>
                    <w:left w:val="single" w:color="000000" w:sz="4" w:space="0"/>
                    <w:bottom w:val="single" w:color="000000" w:sz="4" w:space="0"/>
                    <w:right w:val="single" w:color="000000" w:sz="4" w:space="0"/>
                  </w:tcBorders>
                  <w:noWrap w:val="0"/>
                  <w:vAlign w:val="center"/>
                </w:tcPr>
                <w:p w14:paraId="11A4CEB5">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454" w:type="pct"/>
                  <w:tcBorders>
                    <w:top w:val="single" w:color="000000" w:sz="4" w:space="0"/>
                    <w:left w:val="single" w:color="000000" w:sz="4" w:space="0"/>
                    <w:bottom w:val="single" w:color="000000" w:sz="4" w:space="0"/>
                  </w:tcBorders>
                  <w:noWrap w:val="0"/>
                  <w:vAlign w:val="center"/>
                </w:tcPr>
                <w:p w14:paraId="4D381239">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r>
            <w:tr w14:paraId="7EB09B02">
              <w:tblPrEx>
                <w:tblBorders>
                  <w:top w:val="single" w:color="000000" w:sz="8" w:space="0"/>
                  <w:left w:val="none" w:color="auto" w:sz="0" w:space="0"/>
                  <w:bottom w:val="single" w:color="000000" w:sz="8" w:space="0"/>
                  <w:right w:val="none" w:color="auto" w:sz="0" w:space="0"/>
                  <w:insideH w:val="single" w:color="000000" w:sz="8" w:space="0"/>
                  <w:insideV w:val="single" w:color="000000" w:sz="8" w:space="0"/>
                </w:tblBorders>
                <w:tblCellMar>
                  <w:top w:w="0" w:type="dxa"/>
                  <w:left w:w="108" w:type="dxa"/>
                  <w:bottom w:w="0" w:type="dxa"/>
                  <w:right w:w="108" w:type="dxa"/>
                </w:tblCellMar>
              </w:tblPrEx>
              <w:trPr>
                <w:trHeight w:val="542" w:hRule="atLeast"/>
                <w:jc w:val="center"/>
              </w:trPr>
              <w:tc>
                <w:tcPr>
                  <w:tcW w:w="458" w:type="pct"/>
                  <w:tcBorders>
                    <w:top w:val="single" w:color="000000" w:sz="4" w:space="0"/>
                    <w:bottom w:val="single" w:color="000000" w:sz="4" w:space="0"/>
                    <w:right w:val="single" w:color="000000" w:sz="4" w:space="0"/>
                  </w:tcBorders>
                  <w:noWrap w:val="0"/>
                  <w:vAlign w:val="center"/>
                </w:tcPr>
                <w:p w14:paraId="1EB8829C">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声环境</w:t>
                  </w:r>
                </w:p>
              </w:tc>
              <w:tc>
                <w:tcPr>
                  <w:tcW w:w="715" w:type="pct"/>
                  <w:tcBorders>
                    <w:top w:val="single" w:color="000000" w:sz="4" w:space="0"/>
                    <w:left w:val="single" w:color="000000" w:sz="4" w:space="0"/>
                    <w:bottom w:val="single" w:color="000000" w:sz="4" w:space="0"/>
                    <w:right w:val="single" w:color="000000" w:sz="4" w:space="0"/>
                  </w:tcBorders>
                  <w:noWrap w:val="0"/>
                  <w:vAlign w:val="center"/>
                </w:tcPr>
                <w:p w14:paraId="51829438">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厂界外50米内</w:t>
                  </w:r>
                </w:p>
              </w:tc>
              <w:tc>
                <w:tcPr>
                  <w:tcW w:w="428" w:type="pct"/>
                  <w:tcBorders>
                    <w:top w:val="single" w:color="000000" w:sz="4" w:space="0"/>
                    <w:left w:val="single" w:color="000000" w:sz="4" w:space="0"/>
                    <w:bottom w:val="single" w:color="000000" w:sz="4" w:space="0"/>
                    <w:right w:val="single" w:color="000000" w:sz="4" w:space="0"/>
                  </w:tcBorders>
                  <w:noWrap w:val="0"/>
                  <w:vAlign w:val="center"/>
                </w:tcPr>
                <w:p w14:paraId="1D2B072A">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无</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14:paraId="008BF778">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174" w:type="pct"/>
                  <w:tcBorders>
                    <w:top w:val="single" w:color="000000" w:sz="4" w:space="0"/>
                    <w:left w:val="single" w:color="000000" w:sz="4" w:space="0"/>
                    <w:bottom w:val="single" w:color="000000" w:sz="4" w:space="0"/>
                    <w:right w:val="single" w:color="000000" w:sz="4" w:space="0"/>
                  </w:tcBorders>
                  <w:noWrap w:val="0"/>
                  <w:vAlign w:val="center"/>
                </w:tcPr>
                <w:p w14:paraId="6679BA4C">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p>
              </w:tc>
              <w:tc>
                <w:tcPr>
                  <w:tcW w:w="1362" w:type="pct"/>
                  <w:gridSpan w:val="3"/>
                  <w:tcBorders>
                    <w:top w:val="single" w:color="000000" w:sz="4" w:space="0"/>
                    <w:left w:val="single" w:color="000000" w:sz="4" w:space="0"/>
                    <w:bottom w:val="single" w:color="000000" w:sz="4" w:space="0"/>
                    <w:right w:val="single" w:color="000000" w:sz="4" w:space="0"/>
                  </w:tcBorders>
                  <w:noWrap w:val="0"/>
                  <w:vAlign w:val="center"/>
                </w:tcPr>
                <w:p w14:paraId="462759CF">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454" w:type="pct"/>
                  <w:tcBorders>
                    <w:top w:val="single" w:color="000000" w:sz="4" w:space="0"/>
                    <w:left w:val="single" w:color="000000" w:sz="4" w:space="0"/>
                    <w:bottom w:val="single" w:color="000000" w:sz="4" w:space="0"/>
                  </w:tcBorders>
                  <w:noWrap w:val="0"/>
                  <w:vAlign w:val="center"/>
                </w:tcPr>
                <w:p w14:paraId="248E434A">
                  <w:pPr>
                    <w:pStyle w:val="111"/>
                    <w:keepNext/>
                    <w:keepLines w:val="0"/>
                    <w:pageBreakBefore w:val="0"/>
                    <w:widowControl w:val="0"/>
                    <w:kinsoku/>
                    <w:wordWrap/>
                    <w:overflowPunct/>
                    <w:topLinePunct w:val="0"/>
                    <w:autoSpaceDE/>
                    <w:autoSpaceDN/>
                    <w:bidi w:val="0"/>
                    <w:adjustRightInd/>
                    <w:snapToGrid/>
                    <w:spacing w:line="240" w:lineRule="exact"/>
                    <w:ind w:left="0" w:leftChars="0" w:right="0" w:rightChars="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r>
          </w:tbl>
          <w:p w14:paraId="2FBE1086">
            <w:pPr>
              <w:pStyle w:val="16"/>
              <w:keepLines w:val="0"/>
              <w:pageBreakBefore w:val="0"/>
              <w:widowControl w:val="0"/>
              <w:kinsoku/>
              <w:wordWrap/>
              <w:overflowPunct/>
              <w:topLinePunct w:val="0"/>
              <w:autoSpaceDE/>
              <w:autoSpaceDN/>
              <w:bidi w:val="0"/>
              <w:spacing w:line="360" w:lineRule="auto"/>
              <w:jc w:val="both"/>
              <w:textAlignment w:val="auto"/>
              <w:rPr>
                <w:rFonts w:hint="default" w:ascii="Times New Roman" w:hAnsi="Times New Roman" w:cs="Times New Roman"/>
                <w:color w:val="auto"/>
                <w:kern w:val="0"/>
                <w:sz w:val="24"/>
                <w:highlight w:val="none"/>
              </w:rPr>
            </w:pPr>
          </w:p>
        </w:tc>
      </w:tr>
      <w:tr w14:paraId="36D66D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533" w:type="dxa"/>
            <w:tcBorders>
              <w:bottom w:val="single" w:color="auto" w:sz="8" w:space="0"/>
            </w:tcBorders>
            <w:noWrap w:val="0"/>
            <w:tcMar>
              <w:left w:w="28" w:type="dxa"/>
              <w:right w:w="28" w:type="dxa"/>
            </w:tcMar>
            <w:vAlign w:val="center"/>
          </w:tcPr>
          <w:p w14:paraId="51A8EB4D">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kern w:val="0"/>
                <w:sz w:val="24"/>
                <w:highlight w:val="none"/>
              </w:rPr>
              <w:t>污染</w:t>
            </w:r>
          </w:p>
          <w:p w14:paraId="0E7B9780">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kern w:val="0"/>
                <w:sz w:val="24"/>
                <w:highlight w:val="none"/>
              </w:rPr>
              <w:t>物排</w:t>
            </w:r>
          </w:p>
          <w:p w14:paraId="21B88723">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kern w:val="0"/>
                <w:sz w:val="24"/>
                <w:highlight w:val="none"/>
              </w:rPr>
              <w:t>放控</w:t>
            </w:r>
          </w:p>
          <w:p w14:paraId="16963322">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kern w:val="0"/>
                <w:sz w:val="24"/>
                <w:highlight w:val="none"/>
              </w:rPr>
              <w:t>制标</w:t>
            </w:r>
          </w:p>
          <w:p w14:paraId="4A51388C">
            <w:pPr>
              <w:keepLines w:val="0"/>
              <w:pageBreakBefore w:val="0"/>
              <w:widowControl w:val="0"/>
              <w:kinsoku/>
              <w:wordWrap/>
              <w:overflowPunct/>
              <w:topLinePunct w:val="0"/>
              <w:bidi w:val="0"/>
              <w:adjustRightInd w:val="0"/>
              <w:snapToGrid w:val="0"/>
              <w:jc w:val="center"/>
              <w:textAlignment w:val="auto"/>
              <w:rPr>
                <w:color w:val="auto"/>
                <w:kern w:val="0"/>
                <w:szCs w:val="21"/>
                <w:highlight w:val="none"/>
              </w:rPr>
            </w:pPr>
            <w:r>
              <w:rPr>
                <w:color w:val="auto"/>
                <w:kern w:val="0"/>
                <w:sz w:val="24"/>
                <w:highlight w:val="none"/>
              </w:rPr>
              <w:t>准</w:t>
            </w:r>
          </w:p>
        </w:tc>
        <w:tc>
          <w:tcPr>
            <w:tcW w:w="8528" w:type="dxa"/>
            <w:tcBorders>
              <w:bottom w:val="single" w:color="auto" w:sz="8" w:space="0"/>
            </w:tcBorders>
            <w:noWrap w:val="0"/>
            <w:vAlign w:val="center"/>
          </w:tcPr>
          <w:p w14:paraId="4810C684">
            <w:pPr>
              <w:pStyle w:val="16"/>
              <w:keepLines w:val="0"/>
              <w:pageBreakBefore w:val="0"/>
              <w:widowControl w:val="0"/>
              <w:kinsoku/>
              <w:wordWrap/>
              <w:overflowPunct/>
              <w:topLinePunct w:val="0"/>
              <w:bidi w:val="0"/>
              <w:spacing w:line="360" w:lineRule="auto"/>
              <w:jc w:val="left"/>
              <w:textAlignment w:val="auto"/>
              <w:rPr>
                <w:rFonts w:hint="default" w:ascii="Times New Roman" w:hAnsi="Times New Roman" w:cs="Times New Roman"/>
                <w:color w:val="auto"/>
                <w:sz w:val="21"/>
                <w:szCs w:val="21"/>
                <w:highlight w:val="none"/>
                <w:lang w:val="en-US"/>
              </w:rPr>
            </w:pPr>
            <w:r>
              <w:rPr>
                <w:rFonts w:hint="default" w:ascii="Times New Roman" w:hAnsi="Times New Roman" w:cs="Times New Roman"/>
                <w:b/>
                <w:bCs/>
                <w:color w:val="auto"/>
                <w:sz w:val="24"/>
                <w:szCs w:val="24"/>
                <w:highlight w:val="none"/>
              </w:rPr>
              <w:t>施工期：</w:t>
            </w:r>
          </w:p>
          <w:p w14:paraId="02789FD2">
            <w:pPr>
              <w:pStyle w:val="126"/>
              <w:keepLines w:val="0"/>
              <w:pageBreakBefore w:val="0"/>
              <w:widowControl w:val="0"/>
              <w:kinsoku/>
              <w:wordWrap/>
              <w:overflowPunct/>
              <w:topLinePunct w:val="0"/>
              <w:bidi w:val="0"/>
              <w:spacing w:line="360" w:lineRule="auto"/>
              <w:textAlignment w:val="auto"/>
              <w:rPr>
                <w:rFonts w:hint="default"/>
                <w:color w:val="auto"/>
                <w:sz w:val="24"/>
                <w:highlight w:val="none"/>
                <w:lang w:val="en-US" w:eastAsia="zh-CN"/>
              </w:rPr>
            </w:pPr>
            <w:r>
              <w:rPr>
                <w:rFonts w:hint="eastAsia"/>
                <w:color w:val="auto"/>
                <w:sz w:val="24"/>
                <w:szCs w:val="24"/>
                <w:highlight w:val="none"/>
                <w:lang w:val="en-US" w:eastAsia="zh-CN"/>
              </w:rPr>
              <w:t>项目利用</w:t>
            </w:r>
            <w:r>
              <w:rPr>
                <w:rFonts w:hint="eastAsia" w:cs="Times New Roman"/>
                <w:color w:val="auto"/>
                <w:sz w:val="24"/>
                <w:highlight w:val="none"/>
                <w:lang w:val="en-US" w:eastAsia="zh-CN"/>
              </w:rPr>
              <w:t>隆泰家具2号车间厂房为</w:t>
            </w:r>
            <w:r>
              <w:rPr>
                <w:rFonts w:hint="eastAsia"/>
                <w:color w:val="auto"/>
                <w:sz w:val="24"/>
                <w:szCs w:val="24"/>
                <w:highlight w:val="none"/>
                <w:lang w:val="en-US" w:eastAsia="zh-CN"/>
              </w:rPr>
              <w:t>主要生产区，并新增建构筑物面积约53</w:t>
            </w:r>
            <w:r>
              <w:rPr>
                <w:rFonts w:hint="default"/>
                <w:color w:val="auto"/>
                <w:sz w:val="24"/>
                <w:szCs w:val="24"/>
                <w:highlight w:val="none"/>
                <w:lang w:val="en-US" w:eastAsia="zh-CN"/>
              </w:rPr>
              <w:t>m</w:t>
            </w:r>
            <w:r>
              <w:rPr>
                <w:rFonts w:hint="default"/>
                <w:color w:val="auto"/>
                <w:sz w:val="24"/>
                <w:szCs w:val="24"/>
                <w:highlight w:val="none"/>
                <w:vertAlign w:val="superscript"/>
                <w:lang w:val="en-US" w:eastAsia="zh-CN"/>
              </w:rPr>
              <w:t>2</w:t>
            </w:r>
            <w:r>
              <w:rPr>
                <w:rFonts w:hint="eastAsia"/>
                <w:color w:val="auto"/>
                <w:sz w:val="24"/>
                <w:szCs w:val="24"/>
                <w:highlight w:val="none"/>
                <w:vertAlign w:val="baseline"/>
                <w:lang w:val="en-US" w:eastAsia="zh-CN"/>
              </w:rPr>
              <w:t>的</w:t>
            </w:r>
            <w:r>
              <w:rPr>
                <w:rFonts w:hint="eastAsia"/>
                <w:color w:val="auto"/>
                <w:sz w:val="24"/>
                <w:szCs w:val="24"/>
                <w:highlight w:val="none"/>
                <w:lang w:val="en-US" w:eastAsia="zh-CN"/>
              </w:rPr>
              <w:t>辅助用房</w:t>
            </w:r>
            <w:r>
              <w:rPr>
                <w:rFonts w:hint="eastAsia"/>
                <w:color w:val="auto"/>
                <w:sz w:val="24"/>
                <w:highlight w:val="none"/>
                <w:lang w:val="en-US" w:eastAsia="zh-CN"/>
              </w:rPr>
              <w:t>。项目仅为设备的安装和车间外危废间、循环水池、原料库房等辅助用房的建设。辅助用房采用彩钢结构，不涉及大规模的土建工程。故施工期环境污染主要为彩钢房建设过程中产生噪声和设备安装噪声以及设备包装、施工人员生活垃圾等固体废物。</w:t>
            </w:r>
          </w:p>
          <w:p w14:paraId="788049D7">
            <w:pPr>
              <w:pStyle w:val="126"/>
              <w:keepLines w:val="0"/>
              <w:pageBreakBefore w:val="0"/>
              <w:widowControl w:val="0"/>
              <w:kinsoku/>
              <w:wordWrap/>
              <w:overflowPunct/>
              <w:topLinePunct w:val="0"/>
              <w:bidi w:val="0"/>
              <w:spacing w:line="360" w:lineRule="auto"/>
              <w:textAlignment w:val="auto"/>
              <w:rPr>
                <w:rFonts w:hint="default" w:ascii="Times New Roman" w:hAnsi="Times New Roman" w:cs="Times New Roman"/>
                <w:color w:val="auto"/>
                <w:sz w:val="24"/>
                <w:szCs w:val="24"/>
                <w:highlight w:val="none"/>
              </w:rPr>
            </w:pPr>
            <w:r>
              <w:rPr>
                <w:rFonts w:hint="eastAsia"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施工期噪声执行《建筑施工噪声排放标准》</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GB12523-20</w:t>
            </w:r>
            <w:r>
              <w:rPr>
                <w:rFonts w:hint="default" w:ascii="Times New Roman" w:hAnsi="Times New Roman" w:cs="Times New Roman"/>
                <w:color w:val="auto"/>
                <w:sz w:val="24"/>
                <w:szCs w:val="24"/>
                <w:highlight w:val="none"/>
                <w:lang w:val="en-US" w:eastAsia="zh-CN"/>
              </w:rPr>
              <w:t>25</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中相关要求，即昼间≤70dB</w:t>
            </w:r>
            <w:r>
              <w:rPr>
                <w:rFonts w:hint="eastAsia" w:cs="Times New Roman"/>
                <w:color w:val="auto"/>
                <w:sz w:val="24"/>
                <w:szCs w:val="24"/>
                <w:highlight w:val="none"/>
                <w:lang w:eastAsia="zh-CN"/>
              </w:rPr>
              <w:t>（</w:t>
            </w:r>
            <w:r>
              <w:rPr>
                <w:rFonts w:hint="default" w:ascii="Times New Roman" w:hAnsi="Times New Roman" w:cs="Times New Roman"/>
                <w:color w:val="auto"/>
                <w:sz w:val="24"/>
                <w:szCs w:val="24"/>
                <w:highlight w:val="none"/>
              </w:rPr>
              <w:t>A</w:t>
            </w:r>
            <w:r>
              <w:rPr>
                <w:rFonts w:hint="eastAsia" w:cs="Times New Roman"/>
                <w:color w:val="auto"/>
                <w:sz w:val="24"/>
                <w:szCs w:val="24"/>
                <w:highlight w:val="none"/>
                <w:lang w:eastAsia="zh-CN"/>
              </w:rPr>
              <w:t>）</w:t>
            </w:r>
            <w:r>
              <w:rPr>
                <w:rFonts w:hint="default" w:ascii="Times New Roman" w:hAnsi="Times New Roman" w:cs="Times New Roman"/>
                <w:color w:val="auto"/>
                <w:sz w:val="24"/>
                <w:szCs w:val="24"/>
                <w:highlight w:val="none"/>
              </w:rPr>
              <w:t>、夜间≤55dB</w:t>
            </w:r>
            <w:r>
              <w:rPr>
                <w:rFonts w:hint="eastAsia" w:cs="Times New Roman"/>
                <w:color w:val="auto"/>
                <w:sz w:val="24"/>
                <w:szCs w:val="24"/>
                <w:highlight w:val="none"/>
                <w:lang w:eastAsia="zh-CN"/>
              </w:rPr>
              <w:t>（</w:t>
            </w:r>
            <w:r>
              <w:rPr>
                <w:rFonts w:hint="default" w:ascii="Times New Roman" w:hAnsi="Times New Roman" w:cs="Times New Roman"/>
                <w:color w:val="auto"/>
                <w:sz w:val="24"/>
                <w:szCs w:val="24"/>
                <w:highlight w:val="none"/>
              </w:rPr>
              <w:t>A</w:t>
            </w:r>
            <w:r>
              <w:rPr>
                <w:rFonts w:hint="eastAsia" w:cs="Times New Roman"/>
                <w:color w:val="auto"/>
                <w:sz w:val="24"/>
                <w:szCs w:val="24"/>
                <w:highlight w:val="none"/>
                <w:lang w:eastAsia="zh-CN"/>
              </w:rPr>
              <w:t>）</w:t>
            </w:r>
            <w:r>
              <w:rPr>
                <w:rFonts w:hint="default" w:ascii="Times New Roman" w:hAnsi="Times New Roman" w:cs="Times New Roman"/>
                <w:color w:val="auto"/>
                <w:sz w:val="24"/>
                <w:szCs w:val="24"/>
                <w:highlight w:val="none"/>
              </w:rPr>
              <w:t>。</w:t>
            </w:r>
          </w:p>
          <w:p w14:paraId="01B7243B">
            <w:pPr>
              <w:pStyle w:val="63"/>
              <w:keepLines w:val="0"/>
              <w:pageBreakBefore w:val="0"/>
              <w:widowControl w:val="0"/>
              <w:kinsoku/>
              <w:wordWrap/>
              <w:overflowPunct/>
              <w:topLinePunct w:val="0"/>
              <w:bidi w:val="0"/>
              <w:spacing w:line="360" w:lineRule="auto"/>
              <w:ind w:firstLine="480"/>
              <w:jc w:val="left"/>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2.</w:t>
            </w:r>
            <w:r>
              <w:rPr>
                <w:rFonts w:hint="eastAsia" w:ascii="Times New Roman" w:hAnsi="Times New Roman" w:cs="Times New Roman"/>
                <w:color w:val="auto"/>
                <w:sz w:val="24"/>
                <w:szCs w:val="24"/>
                <w:highlight w:val="none"/>
                <w:lang w:eastAsia="zh-CN"/>
              </w:rPr>
              <w:t>施工期</w:t>
            </w:r>
            <w:r>
              <w:rPr>
                <w:rFonts w:hint="eastAsia" w:cs="Times New Roman"/>
                <w:color w:val="auto"/>
                <w:sz w:val="24"/>
                <w:szCs w:val="24"/>
                <w:highlight w:val="none"/>
                <w:lang w:val="en-US" w:eastAsia="zh-CN"/>
              </w:rPr>
              <w:t>固体废物</w:t>
            </w:r>
            <w:r>
              <w:rPr>
                <w:rFonts w:hint="eastAsia"/>
                <w:color w:val="auto"/>
                <w:highlight w:val="none"/>
                <w:lang w:val="en-US" w:eastAsia="zh-CN"/>
              </w:rPr>
              <w:t>等</w:t>
            </w:r>
            <w:r>
              <w:rPr>
                <w:rFonts w:hint="default" w:ascii="Times New Roman" w:hAnsi="Times New Roman" w:cs="Times New Roman"/>
                <w:color w:val="auto"/>
                <w:sz w:val="24"/>
                <w:szCs w:val="24"/>
                <w:highlight w:val="none"/>
              </w:rPr>
              <w:t>执行《一般工业固体废物贮存</w:t>
            </w:r>
            <w:r>
              <w:rPr>
                <w:rFonts w:hint="eastAsia" w:ascii="Times New Roman" w:hAnsi="Times New Roman" w:cs="Times New Roman"/>
                <w:color w:val="auto"/>
                <w:sz w:val="24"/>
                <w:szCs w:val="24"/>
                <w:highlight w:val="none"/>
                <w:lang w:eastAsia="zh-CN"/>
              </w:rPr>
              <w:t>和填埋</w:t>
            </w:r>
            <w:r>
              <w:rPr>
                <w:rFonts w:hint="default" w:ascii="Times New Roman" w:hAnsi="Times New Roman" w:cs="Times New Roman"/>
                <w:color w:val="auto"/>
                <w:sz w:val="24"/>
                <w:szCs w:val="24"/>
                <w:highlight w:val="none"/>
              </w:rPr>
              <w:t>污染控制标准》（GB18599-20</w:t>
            </w:r>
            <w:r>
              <w:rPr>
                <w:rFonts w:hint="eastAsia" w:ascii="Times New Roman" w:hAnsi="Times New Roman" w:cs="Times New Roman"/>
                <w:color w:val="auto"/>
                <w:sz w:val="24"/>
                <w:szCs w:val="24"/>
                <w:highlight w:val="none"/>
                <w:lang w:val="en-US" w:eastAsia="zh-CN"/>
              </w:rPr>
              <w:t>20</w:t>
            </w:r>
            <w:r>
              <w:rPr>
                <w:rFonts w:hint="default" w:ascii="Times New Roman" w:hAnsi="Times New Roman" w:cs="Times New Roman"/>
                <w:color w:val="auto"/>
                <w:sz w:val="24"/>
                <w:szCs w:val="24"/>
                <w:highlight w:val="none"/>
              </w:rPr>
              <w:t>）中相关要</w:t>
            </w:r>
            <w:r>
              <w:rPr>
                <w:rFonts w:hint="default" w:ascii="Times New Roman" w:hAnsi="Times New Roman" w:eastAsia="宋体" w:cs="Times New Roman"/>
                <w:color w:val="auto"/>
                <w:sz w:val="24"/>
                <w:szCs w:val="24"/>
                <w:highlight w:val="none"/>
              </w:rPr>
              <w:t>求</w:t>
            </w:r>
            <w:r>
              <w:rPr>
                <w:rFonts w:hint="eastAsia" w:ascii="Times New Roman" w:hAnsi="Times New Roman" w:eastAsia="宋体" w:cs="Times New Roman"/>
                <w:color w:val="auto"/>
                <w:sz w:val="24"/>
                <w:szCs w:val="24"/>
                <w:highlight w:val="none"/>
                <w:lang w:eastAsia="zh-CN"/>
              </w:rPr>
              <w:t>。</w:t>
            </w:r>
            <w:r>
              <w:rPr>
                <w:rFonts w:hint="eastAsia" w:cs="Times New Roman"/>
                <w:color w:val="auto"/>
                <w:sz w:val="24"/>
                <w:szCs w:val="24"/>
                <w:highlight w:val="none"/>
                <w:lang w:val="en-US" w:eastAsia="zh-CN"/>
              </w:rPr>
              <w:t>施工人员生活垃圾统一收集交环卫部门处理。</w:t>
            </w:r>
          </w:p>
          <w:p w14:paraId="79EAC05B">
            <w:pPr>
              <w:pStyle w:val="63"/>
              <w:keepLines w:val="0"/>
              <w:pageBreakBefore w:val="0"/>
              <w:widowControl w:val="0"/>
              <w:kinsoku/>
              <w:wordWrap/>
              <w:overflowPunct/>
              <w:topLinePunct w:val="0"/>
              <w:bidi w:val="0"/>
              <w:spacing w:line="360" w:lineRule="auto"/>
              <w:ind w:firstLine="480"/>
              <w:jc w:val="left"/>
              <w:textAlignment w:val="auto"/>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3.生活污水：盥洗废水泼洒抑尘、厂区设防渗旱厕，定期清掏，不外排。</w:t>
            </w:r>
          </w:p>
          <w:p w14:paraId="2E73FAF5">
            <w:pPr>
              <w:pStyle w:val="99"/>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center"/>
              <w:textAlignment w:val="auto"/>
              <w:rPr>
                <w:rFonts w:hint="eastAsia" w:ascii="Times New Roman" w:hAnsi="Times New Roman" w:eastAsia="宋体" w:cs="Times New Roman"/>
                <w:color w:val="auto"/>
                <w:highlight w:val="none"/>
              </w:rPr>
            </w:pPr>
            <w:bookmarkStart w:id="44" w:name="_Toc7238"/>
            <w:bookmarkStart w:id="45" w:name="_Toc3367"/>
            <w:bookmarkStart w:id="46" w:name="_Toc28176"/>
            <w:bookmarkStart w:id="47" w:name="_Toc612"/>
            <w:r>
              <w:rPr>
                <w:rFonts w:hint="eastAsia" w:ascii="Times New Roman" w:hAnsi="Times New Roman" w:eastAsia="宋体" w:cs="Times New Roman"/>
                <w:color w:val="auto"/>
                <w:highlight w:val="none"/>
                <w:lang w:val="en-US" w:eastAsia="zh-CN"/>
              </w:rPr>
              <w:t>表3-6  施</w:t>
            </w:r>
            <w:r>
              <w:rPr>
                <w:rFonts w:hint="eastAsia" w:ascii="Times New Roman" w:hAnsi="Times New Roman" w:eastAsia="宋体" w:cs="Times New Roman"/>
                <w:color w:val="auto"/>
                <w:highlight w:val="none"/>
              </w:rPr>
              <w:t>工期排放标准一览表</w:t>
            </w:r>
            <w:bookmarkEnd w:id="44"/>
            <w:bookmarkEnd w:id="45"/>
            <w:bookmarkEnd w:id="46"/>
            <w:bookmarkEnd w:id="47"/>
          </w:p>
          <w:tbl>
            <w:tblPr>
              <w:tblStyle w:val="34"/>
              <w:tblW w:w="4999"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054"/>
              <w:gridCol w:w="3371"/>
              <w:gridCol w:w="3885"/>
            </w:tblGrid>
            <w:tr w14:paraId="0BBA152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12" w:hRule="atLeast"/>
                <w:jc w:val="center"/>
              </w:trPr>
              <w:tc>
                <w:tcPr>
                  <w:tcW w:w="634" w:type="pct"/>
                  <w:noWrap w:val="0"/>
                  <w:vAlign w:val="center"/>
                </w:tcPr>
                <w:p w14:paraId="031414B6">
                  <w:pPr>
                    <w:pStyle w:val="128"/>
                    <w:keepLines w:val="0"/>
                    <w:pageBreakBefore w:val="0"/>
                    <w:widowControl w:val="0"/>
                    <w:kinsoku/>
                    <w:wordWrap/>
                    <w:overflowPunct/>
                    <w:topLinePunct w:val="0"/>
                    <w:bidi w:val="0"/>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项目</w:t>
                  </w:r>
                </w:p>
              </w:tc>
              <w:tc>
                <w:tcPr>
                  <w:tcW w:w="4365" w:type="pct"/>
                  <w:gridSpan w:val="2"/>
                  <w:noWrap w:val="0"/>
                  <w:vAlign w:val="center"/>
                </w:tcPr>
                <w:p w14:paraId="6DB2865F">
                  <w:pPr>
                    <w:pStyle w:val="128"/>
                    <w:keepLines w:val="0"/>
                    <w:pageBreakBefore w:val="0"/>
                    <w:widowControl w:val="0"/>
                    <w:kinsoku/>
                    <w:wordWrap/>
                    <w:overflowPunct/>
                    <w:topLinePunct w:val="0"/>
                    <w:bidi w:val="0"/>
                    <w:textAlignment w:val="auto"/>
                    <w:rPr>
                      <w:color w:val="auto"/>
                      <w:sz w:val="21"/>
                      <w:szCs w:val="21"/>
                      <w:highlight w:val="none"/>
                    </w:rPr>
                  </w:pPr>
                  <w:r>
                    <w:rPr>
                      <w:color w:val="auto"/>
                      <w:sz w:val="21"/>
                      <w:szCs w:val="21"/>
                      <w:highlight w:val="none"/>
                    </w:rPr>
                    <w:t>《施工场地扬尘排放标准》</w:t>
                  </w:r>
                  <w:r>
                    <w:rPr>
                      <w:rFonts w:hint="eastAsia"/>
                      <w:color w:val="auto"/>
                      <w:sz w:val="21"/>
                      <w:szCs w:val="21"/>
                      <w:highlight w:val="none"/>
                      <w:lang w:eastAsia="zh-CN"/>
                    </w:rPr>
                    <w:t>（</w:t>
                  </w:r>
                  <w:r>
                    <w:rPr>
                      <w:color w:val="auto"/>
                      <w:sz w:val="21"/>
                      <w:szCs w:val="21"/>
                      <w:highlight w:val="none"/>
                    </w:rPr>
                    <w:t>DB13/2934</w:t>
                  </w:r>
                  <w:r>
                    <w:rPr>
                      <w:rFonts w:hint="eastAsia"/>
                      <w:color w:val="auto"/>
                      <w:sz w:val="21"/>
                      <w:szCs w:val="21"/>
                      <w:highlight w:val="none"/>
                    </w:rPr>
                    <w:t>-</w:t>
                  </w:r>
                  <w:r>
                    <w:rPr>
                      <w:color w:val="auto"/>
                      <w:sz w:val="21"/>
                      <w:szCs w:val="21"/>
                      <w:highlight w:val="none"/>
                    </w:rPr>
                    <w:t>2019</w:t>
                  </w:r>
                  <w:r>
                    <w:rPr>
                      <w:rFonts w:hint="eastAsia"/>
                      <w:color w:val="auto"/>
                      <w:sz w:val="21"/>
                      <w:szCs w:val="21"/>
                      <w:highlight w:val="none"/>
                      <w:lang w:eastAsia="zh-CN"/>
                    </w:rPr>
                    <w:t>）</w:t>
                  </w:r>
                </w:p>
              </w:tc>
            </w:tr>
            <w:tr w14:paraId="6DE42BB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12" w:hRule="atLeast"/>
                <w:jc w:val="center"/>
              </w:trPr>
              <w:tc>
                <w:tcPr>
                  <w:tcW w:w="634" w:type="pct"/>
                  <w:vMerge w:val="restart"/>
                  <w:noWrap w:val="0"/>
                  <w:vAlign w:val="center"/>
                </w:tcPr>
                <w:p w14:paraId="5CFD447C">
                  <w:pPr>
                    <w:pStyle w:val="128"/>
                    <w:keepLines w:val="0"/>
                    <w:pageBreakBefore w:val="0"/>
                    <w:widowControl w:val="0"/>
                    <w:kinsoku/>
                    <w:wordWrap/>
                    <w:overflowPunct/>
                    <w:topLinePunct w:val="0"/>
                    <w:bidi w:val="0"/>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噪声</w:t>
                  </w:r>
                </w:p>
              </w:tc>
              <w:tc>
                <w:tcPr>
                  <w:tcW w:w="4365" w:type="pct"/>
                  <w:gridSpan w:val="2"/>
                  <w:noWrap w:val="0"/>
                  <w:vAlign w:val="center"/>
                </w:tcPr>
                <w:p w14:paraId="57C10E0A">
                  <w:pPr>
                    <w:pStyle w:val="128"/>
                    <w:keepLines w:val="0"/>
                    <w:pageBreakBefore w:val="0"/>
                    <w:widowControl w:val="0"/>
                    <w:kinsoku/>
                    <w:wordWrap/>
                    <w:overflowPunct/>
                    <w:topLinePunct w:val="0"/>
                    <w:bidi w:val="0"/>
                    <w:textAlignment w:val="auto"/>
                    <w:rPr>
                      <w:color w:val="auto"/>
                      <w:sz w:val="21"/>
                      <w:szCs w:val="21"/>
                      <w:highlight w:val="yellow"/>
                    </w:rPr>
                  </w:pPr>
                  <w:r>
                    <w:rPr>
                      <w:color w:val="auto"/>
                      <w:sz w:val="21"/>
                      <w:szCs w:val="21"/>
                      <w:highlight w:val="none"/>
                    </w:rPr>
                    <w:t>《建筑施工噪声排放标准》</w:t>
                  </w:r>
                  <w:r>
                    <w:rPr>
                      <w:rFonts w:hint="eastAsia"/>
                      <w:color w:val="auto"/>
                      <w:sz w:val="21"/>
                      <w:szCs w:val="21"/>
                      <w:highlight w:val="none"/>
                      <w:lang w:eastAsia="zh-CN"/>
                    </w:rPr>
                    <w:t>（</w:t>
                  </w:r>
                  <w:r>
                    <w:rPr>
                      <w:color w:val="auto"/>
                      <w:sz w:val="21"/>
                      <w:szCs w:val="21"/>
                      <w:highlight w:val="none"/>
                    </w:rPr>
                    <w:t>GB12523-20</w:t>
                  </w:r>
                  <w:r>
                    <w:rPr>
                      <w:rFonts w:hint="eastAsia"/>
                      <w:color w:val="auto"/>
                      <w:sz w:val="21"/>
                      <w:szCs w:val="21"/>
                      <w:highlight w:val="none"/>
                      <w:lang w:val="en-US" w:eastAsia="zh-CN"/>
                    </w:rPr>
                    <w:t>25</w:t>
                  </w:r>
                  <w:r>
                    <w:rPr>
                      <w:rFonts w:hint="eastAsia"/>
                      <w:color w:val="auto"/>
                      <w:sz w:val="21"/>
                      <w:szCs w:val="21"/>
                      <w:highlight w:val="none"/>
                      <w:lang w:eastAsia="zh-CN"/>
                    </w:rPr>
                    <w:t>）</w:t>
                  </w:r>
                </w:p>
              </w:tc>
            </w:tr>
            <w:tr w14:paraId="775FC20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12" w:hRule="atLeast"/>
                <w:jc w:val="center"/>
              </w:trPr>
              <w:tc>
                <w:tcPr>
                  <w:tcW w:w="634" w:type="pct"/>
                  <w:vMerge w:val="continue"/>
                  <w:noWrap w:val="0"/>
                  <w:vAlign w:val="center"/>
                </w:tcPr>
                <w:p w14:paraId="7ABD822C">
                  <w:pPr>
                    <w:pStyle w:val="128"/>
                    <w:keepLines w:val="0"/>
                    <w:pageBreakBefore w:val="0"/>
                    <w:widowControl w:val="0"/>
                    <w:kinsoku/>
                    <w:wordWrap/>
                    <w:overflowPunct/>
                    <w:topLinePunct w:val="0"/>
                    <w:bidi w:val="0"/>
                    <w:textAlignment w:val="auto"/>
                    <w:rPr>
                      <w:color w:val="auto"/>
                      <w:sz w:val="21"/>
                      <w:szCs w:val="21"/>
                      <w:highlight w:val="none"/>
                    </w:rPr>
                  </w:pPr>
                </w:p>
              </w:tc>
              <w:tc>
                <w:tcPr>
                  <w:tcW w:w="2028" w:type="pct"/>
                  <w:noWrap w:val="0"/>
                  <w:vAlign w:val="center"/>
                </w:tcPr>
                <w:p w14:paraId="1DC69EE7">
                  <w:pPr>
                    <w:pStyle w:val="128"/>
                    <w:keepLines w:val="0"/>
                    <w:pageBreakBefore w:val="0"/>
                    <w:widowControl w:val="0"/>
                    <w:kinsoku/>
                    <w:wordWrap/>
                    <w:overflowPunct/>
                    <w:topLinePunct w:val="0"/>
                    <w:bidi w:val="0"/>
                    <w:textAlignment w:val="auto"/>
                    <w:rPr>
                      <w:color w:val="auto"/>
                      <w:sz w:val="21"/>
                      <w:szCs w:val="21"/>
                      <w:highlight w:val="none"/>
                    </w:rPr>
                  </w:pPr>
                  <w:r>
                    <w:rPr>
                      <w:color w:val="auto"/>
                      <w:sz w:val="21"/>
                      <w:szCs w:val="21"/>
                      <w:highlight w:val="none"/>
                    </w:rPr>
                    <w:t>昼间（dB</w:t>
                  </w:r>
                  <w:r>
                    <w:rPr>
                      <w:rFonts w:hint="eastAsia"/>
                      <w:color w:val="auto"/>
                      <w:sz w:val="21"/>
                      <w:szCs w:val="21"/>
                      <w:highlight w:val="none"/>
                      <w:lang w:eastAsia="zh-CN"/>
                    </w:rPr>
                    <w:t>（</w:t>
                  </w:r>
                  <w:r>
                    <w:rPr>
                      <w:color w:val="auto"/>
                      <w:sz w:val="21"/>
                      <w:szCs w:val="21"/>
                      <w:highlight w:val="none"/>
                    </w:rPr>
                    <w:t>A</w:t>
                  </w:r>
                  <w:r>
                    <w:rPr>
                      <w:rFonts w:hint="eastAsia"/>
                      <w:color w:val="auto"/>
                      <w:sz w:val="21"/>
                      <w:szCs w:val="21"/>
                      <w:highlight w:val="none"/>
                      <w:lang w:eastAsia="zh-CN"/>
                    </w:rPr>
                    <w:t>）</w:t>
                  </w:r>
                  <w:r>
                    <w:rPr>
                      <w:color w:val="auto"/>
                      <w:sz w:val="21"/>
                      <w:szCs w:val="21"/>
                      <w:highlight w:val="none"/>
                    </w:rPr>
                    <w:t>）</w:t>
                  </w:r>
                </w:p>
              </w:tc>
              <w:tc>
                <w:tcPr>
                  <w:tcW w:w="2336" w:type="pct"/>
                  <w:noWrap w:val="0"/>
                  <w:vAlign w:val="center"/>
                </w:tcPr>
                <w:p w14:paraId="4FAACF7A">
                  <w:pPr>
                    <w:pStyle w:val="128"/>
                    <w:keepLines w:val="0"/>
                    <w:pageBreakBefore w:val="0"/>
                    <w:widowControl w:val="0"/>
                    <w:kinsoku/>
                    <w:wordWrap/>
                    <w:overflowPunct/>
                    <w:topLinePunct w:val="0"/>
                    <w:bidi w:val="0"/>
                    <w:textAlignment w:val="auto"/>
                    <w:rPr>
                      <w:color w:val="auto"/>
                      <w:sz w:val="21"/>
                      <w:szCs w:val="21"/>
                      <w:highlight w:val="none"/>
                    </w:rPr>
                  </w:pPr>
                  <w:r>
                    <w:rPr>
                      <w:color w:val="auto"/>
                      <w:sz w:val="21"/>
                      <w:szCs w:val="21"/>
                      <w:highlight w:val="none"/>
                    </w:rPr>
                    <w:t>夜间（dB</w:t>
                  </w:r>
                  <w:r>
                    <w:rPr>
                      <w:rFonts w:hint="eastAsia"/>
                      <w:color w:val="auto"/>
                      <w:sz w:val="21"/>
                      <w:szCs w:val="21"/>
                      <w:highlight w:val="none"/>
                      <w:lang w:eastAsia="zh-CN"/>
                    </w:rPr>
                    <w:t>（</w:t>
                  </w:r>
                  <w:r>
                    <w:rPr>
                      <w:color w:val="auto"/>
                      <w:sz w:val="21"/>
                      <w:szCs w:val="21"/>
                      <w:highlight w:val="none"/>
                    </w:rPr>
                    <w:t>A</w:t>
                  </w:r>
                  <w:r>
                    <w:rPr>
                      <w:rFonts w:hint="eastAsia"/>
                      <w:color w:val="auto"/>
                      <w:sz w:val="21"/>
                      <w:szCs w:val="21"/>
                      <w:highlight w:val="none"/>
                      <w:lang w:eastAsia="zh-CN"/>
                    </w:rPr>
                    <w:t>）</w:t>
                  </w:r>
                  <w:r>
                    <w:rPr>
                      <w:color w:val="auto"/>
                      <w:sz w:val="21"/>
                      <w:szCs w:val="21"/>
                      <w:highlight w:val="none"/>
                    </w:rPr>
                    <w:t>）</w:t>
                  </w:r>
                </w:p>
              </w:tc>
            </w:tr>
            <w:tr w14:paraId="52710E7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12" w:hRule="atLeast"/>
                <w:jc w:val="center"/>
              </w:trPr>
              <w:tc>
                <w:tcPr>
                  <w:tcW w:w="634" w:type="pct"/>
                  <w:vMerge w:val="continue"/>
                  <w:noWrap w:val="0"/>
                  <w:vAlign w:val="center"/>
                </w:tcPr>
                <w:p w14:paraId="22D2167F">
                  <w:pPr>
                    <w:pStyle w:val="128"/>
                    <w:keepLines w:val="0"/>
                    <w:pageBreakBefore w:val="0"/>
                    <w:widowControl w:val="0"/>
                    <w:kinsoku/>
                    <w:wordWrap/>
                    <w:overflowPunct/>
                    <w:topLinePunct w:val="0"/>
                    <w:bidi w:val="0"/>
                    <w:textAlignment w:val="auto"/>
                    <w:rPr>
                      <w:color w:val="auto"/>
                      <w:sz w:val="21"/>
                      <w:szCs w:val="21"/>
                      <w:highlight w:val="none"/>
                    </w:rPr>
                  </w:pPr>
                </w:p>
              </w:tc>
              <w:tc>
                <w:tcPr>
                  <w:tcW w:w="2028" w:type="pct"/>
                  <w:noWrap w:val="0"/>
                  <w:vAlign w:val="center"/>
                </w:tcPr>
                <w:p w14:paraId="49D5EE5C">
                  <w:pPr>
                    <w:pStyle w:val="128"/>
                    <w:keepLines w:val="0"/>
                    <w:pageBreakBefore w:val="0"/>
                    <w:widowControl w:val="0"/>
                    <w:kinsoku/>
                    <w:wordWrap/>
                    <w:overflowPunct/>
                    <w:topLinePunct w:val="0"/>
                    <w:bidi w:val="0"/>
                    <w:textAlignment w:val="auto"/>
                    <w:rPr>
                      <w:color w:val="auto"/>
                      <w:sz w:val="21"/>
                      <w:szCs w:val="21"/>
                      <w:highlight w:val="none"/>
                    </w:rPr>
                  </w:pPr>
                  <w:r>
                    <w:rPr>
                      <w:color w:val="auto"/>
                      <w:sz w:val="21"/>
                      <w:szCs w:val="21"/>
                      <w:highlight w:val="none"/>
                    </w:rPr>
                    <w:t>70</w:t>
                  </w:r>
                </w:p>
              </w:tc>
              <w:tc>
                <w:tcPr>
                  <w:tcW w:w="2336" w:type="pct"/>
                  <w:noWrap w:val="0"/>
                  <w:vAlign w:val="center"/>
                </w:tcPr>
                <w:p w14:paraId="12F1FC88">
                  <w:pPr>
                    <w:pStyle w:val="128"/>
                    <w:keepLines w:val="0"/>
                    <w:pageBreakBefore w:val="0"/>
                    <w:widowControl w:val="0"/>
                    <w:kinsoku/>
                    <w:wordWrap/>
                    <w:overflowPunct/>
                    <w:topLinePunct w:val="0"/>
                    <w:bidi w:val="0"/>
                    <w:textAlignment w:val="auto"/>
                    <w:rPr>
                      <w:color w:val="auto"/>
                      <w:sz w:val="21"/>
                      <w:szCs w:val="21"/>
                      <w:highlight w:val="none"/>
                    </w:rPr>
                  </w:pPr>
                  <w:r>
                    <w:rPr>
                      <w:color w:val="auto"/>
                      <w:sz w:val="21"/>
                      <w:szCs w:val="21"/>
                      <w:highlight w:val="none"/>
                    </w:rPr>
                    <w:t>55</w:t>
                  </w:r>
                </w:p>
              </w:tc>
            </w:tr>
            <w:tr w14:paraId="548F892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12" w:hRule="atLeast"/>
                <w:jc w:val="center"/>
              </w:trPr>
              <w:tc>
                <w:tcPr>
                  <w:tcW w:w="634" w:type="pct"/>
                  <w:noWrap w:val="0"/>
                  <w:vAlign w:val="center"/>
                </w:tcPr>
                <w:p w14:paraId="206CBCCC">
                  <w:pPr>
                    <w:pStyle w:val="128"/>
                    <w:keepLines w:val="0"/>
                    <w:pageBreakBefore w:val="0"/>
                    <w:widowControl w:val="0"/>
                    <w:kinsoku/>
                    <w:wordWrap/>
                    <w:overflowPunct/>
                    <w:topLinePunct w:val="0"/>
                    <w:bidi w:val="0"/>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废水</w:t>
                  </w:r>
                </w:p>
              </w:tc>
              <w:tc>
                <w:tcPr>
                  <w:tcW w:w="4365" w:type="pct"/>
                  <w:gridSpan w:val="2"/>
                  <w:noWrap w:val="0"/>
                  <w:vAlign w:val="center"/>
                </w:tcPr>
                <w:p w14:paraId="7F526A56">
                  <w:pPr>
                    <w:pStyle w:val="63"/>
                    <w:keepLines w:val="0"/>
                    <w:pageBreakBefore w:val="0"/>
                    <w:widowControl w:val="0"/>
                    <w:kinsoku/>
                    <w:wordWrap/>
                    <w:overflowPunct/>
                    <w:topLinePunct w:val="0"/>
                    <w:bidi w:val="0"/>
                    <w:spacing w:line="240" w:lineRule="auto"/>
                    <w:ind w:left="0" w:leftChars="0" w:firstLine="0" w:firstLineChars="0"/>
                    <w:jc w:val="left"/>
                    <w:textAlignment w:val="auto"/>
                    <w:rPr>
                      <w:rFonts w:hint="eastAsia"/>
                      <w:color w:val="auto"/>
                      <w:sz w:val="21"/>
                      <w:szCs w:val="21"/>
                      <w:highlight w:val="yellow"/>
                      <w:lang w:val="en-US" w:eastAsia="zh-CN"/>
                    </w:rPr>
                  </w:pPr>
                  <w:r>
                    <w:rPr>
                      <w:rFonts w:hint="eastAsia" w:cs="Times New Roman"/>
                      <w:color w:val="auto"/>
                      <w:sz w:val="21"/>
                      <w:szCs w:val="21"/>
                      <w:highlight w:val="none"/>
                      <w:lang w:val="en-US" w:eastAsia="zh-CN"/>
                    </w:rPr>
                    <w:t>生活污水：盥洗废水泼洒抑尘、厂区设防渗旱厕，定期清掏，不外排。</w:t>
                  </w:r>
                </w:p>
              </w:tc>
            </w:tr>
            <w:tr w14:paraId="2421DC3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12" w:hRule="atLeast"/>
                <w:jc w:val="center"/>
              </w:trPr>
              <w:tc>
                <w:tcPr>
                  <w:tcW w:w="634" w:type="pct"/>
                  <w:noWrap w:val="0"/>
                  <w:vAlign w:val="center"/>
                </w:tcPr>
                <w:p w14:paraId="71E3B49E">
                  <w:pPr>
                    <w:pStyle w:val="128"/>
                    <w:keepLines w:val="0"/>
                    <w:pageBreakBefore w:val="0"/>
                    <w:widowControl w:val="0"/>
                    <w:kinsoku/>
                    <w:wordWrap/>
                    <w:overflowPunct/>
                    <w:topLinePunct w:val="0"/>
                    <w:bidi w:val="0"/>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固体废物</w:t>
                  </w:r>
                </w:p>
              </w:tc>
              <w:tc>
                <w:tcPr>
                  <w:tcW w:w="4365" w:type="pct"/>
                  <w:gridSpan w:val="2"/>
                  <w:noWrap w:val="0"/>
                  <w:vAlign w:val="center"/>
                </w:tcPr>
                <w:p w14:paraId="12704335">
                  <w:pPr>
                    <w:pStyle w:val="128"/>
                    <w:keepLines w:val="0"/>
                    <w:pageBreakBefore w:val="0"/>
                    <w:widowControl w:val="0"/>
                    <w:kinsoku/>
                    <w:wordWrap/>
                    <w:overflowPunct/>
                    <w:topLinePunct w:val="0"/>
                    <w:bidi w:val="0"/>
                    <w:jc w:val="left"/>
                    <w:textAlignment w:val="auto"/>
                    <w:rPr>
                      <w:rFonts w:hint="eastAsia"/>
                      <w:color w:val="auto"/>
                      <w:sz w:val="21"/>
                      <w:szCs w:val="21"/>
                      <w:highlight w:val="none"/>
                      <w:lang w:val="en-US" w:eastAsia="zh-CN"/>
                    </w:rPr>
                  </w:pPr>
                  <w:r>
                    <w:rPr>
                      <w:rFonts w:hint="default"/>
                      <w:color w:val="auto"/>
                      <w:sz w:val="21"/>
                      <w:szCs w:val="21"/>
                      <w:highlight w:val="none"/>
                      <w:lang w:val="en-US" w:eastAsia="zh-CN"/>
                    </w:rPr>
                    <w:t>《一般工业固体废物贮存</w:t>
                  </w:r>
                  <w:r>
                    <w:rPr>
                      <w:rFonts w:hint="eastAsia"/>
                      <w:color w:val="auto"/>
                      <w:sz w:val="21"/>
                      <w:szCs w:val="21"/>
                      <w:highlight w:val="none"/>
                      <w:lang w:val="en-US" w:eastAsia="zh-CN"/>
                    </w:rPr>
                    <w:t>和填埋</w:t>
                  </w:r>
                  <w:r>
                    <w:rPr>
                      <w:rFonts w:hint="default"/>
                      <w:color w:val="auto"/>
                      <w:sz w:val="21"/>
                      <w:szCs w:val="21"/>
                      <w:highlight w:val="none"/>
                      <w:lang w:val="en-US" w:eastAsia="zh-CN"/>
                    </w:rPr>
                    <w:t>污染控制标准》（GB18599-20</w:t>
                  </w:r>
                  <w:r>
                    <w:rPr>
                      <w:rFonts w:hint="eastAsia"/>
                      <w:color w:val="auto"/>
                      <w:sz w:val="21"/>
                      <w:szCs w:val="21"/>
                      <w:highlight w:val="none"/>
                      <w:lang w:val="en-US" w:eastAsia="zh-CN"/>
                    </w:rPr>
                    <w:t>20</w:t>
                  </w:r>
                  <w:r>
                    <w:rPr>
                      <w:rFonts w:hint="default"/>
                      <w:color w:val="auto"/>
                      <w:sz w:val="21"/>
                      <w:szCs w:val="21"/>
                      <w:highlight w:val="none"/>
                      <w:lang w:val="en-US" w:eastAsia="zh-CN"/>
                    </w:rPr>
                    <w:t>）中相关要求</w:t>
                  </w:r>
                </w:p>
              </w:tc>
            </w:tr>
            <w:tr w14:paraId="67459D1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cantSplit/>
                <w:trHeight w:val="312" w:hRule="atLeast"/>
                <w:jc w:val="center"/>
              </w:trPr>
              <w:tc>
                <w:tcPr>
                  <w:tcW w:w="634" w:type="pct"/>
                  <w:noWrap w:val="0"/>
                  <w:vAlign w:val="center"/>
                </w:tcPr>
                <w:p w14:paraId="625846AE">
                  <w:pPr>
                    <w:pStyle w:val="128"/>
                    <w:keepLines w:val="0"/>
                    <w:pageBreakBefore w:val="0"/>
                    <w:widowControl w:val="0"/>
                    <w:kinsoku/>
                    <w:wordWrap/>
                    <w:overflowPunct/>
                    <w:topLinePunct w:val="0"/>
                    <w:bidi w:val="0"/>
                    <w:textAlignment w:val="auto"/>
                    <w:rPr>
                      <w:rFonts w:hint="default"/>
                      <w:color w:val="auto"/>
                      <w:sz w:val="21"/>
                      <w:szCs w:val="21"/>
                      <w:highlight w:val="none"/>
                      <w:lang w:val="en-US" w:eastAsia="zh-CN"/>
                    </w:rPr>
                  </w:pPr>
                  <w:r>
                    <w:rPr>
                      <w:rFonts w:hint="eastAsia"/>
                      <w:color w:val="auto"/>
                      <w:sz w:val="21"/>
                      <w:szCs w:val="21"/>
                      <w:highlight w:val="none"/>
                      <w:lang w:val="en-US" w:eastAsia="zh-CN"/>
                    </w:rPr>
                    <w:t>生活垃圾</w:t>
                  </w:r>
                </w:p>
              </w:tc>
              <w:tc>
                <w:tcPr>
                  <w:tcW w:w="4365" w:type="pct"/>
                  <w:gridSpan w:val="2"/>
                  <w:noWrap w:val="0"/>
                  <w:vAlign w:val="center"/>
                </w:tcPr>
                <w:p w14:paraId="23D6DBD8">
                  <w:pPr>
                    <w:pStyle w:val="128"/>
                    <w:keepLines w:val="0"/>
                    <w:pageBreakBefore w:val="0"/>
                    <w:widowControl w:val="0"/>
                    <w:kinsoku/>
                    <w:wordWrap/>
                    <w:overflowPunct/>
                    <w:topLinePunct w:val="0"/>
                    <w:bidi w:val="0"/>
                    <w:jc w:val="both"/>
                    <w:textAlignment w:val="auto"/>
                    <w:rPr>
                      <w:rFonts w:hint="default"/>
                      <w:color w:val="auto"/>
                      <w:sz w:val="21"/>
                      <w:szCs w:val="21"/>
                      <w:highlight w:val="none"/>
                      <w:lang w:val="en-US" w:eastAsia="zh-CN"/>
                    </w:rPr>
                  </w:pPr>
                  <w:r>
                    <w:rPr>
                      <w:rFonts w:hint="eastAsia"/>
                      <w:color w:val="auto"/>
                      <w:sz w:val="21"/>
                      <w:szCs w:val="21"/>
                      <w:highlight w:val="none"/>
                      <w:lang w:val="en-US" w:eastAsia="zh-CN"/>
                    </w:rPr>
                    <w:t>统一收集，交环卫部门处置</w:t>
                  </w:r>
                </w:p>
              </w:tc>
            </w:tr>
          </w:tbl>
          <w:p w14:paraId="1D339779">
            <w:pPr>
              <w:pStyle w:val="63"/>
              <w:keepLines w:val="0"/>
              <w:pageBreakBefore w:val="0"/>
              <w:widowControl w:val="0"/>
              <w:kinsoku/>
              <w:wordWrap/>
              <w:overflowPunct/>
              <w:topLinePunct w:val="0"/>
              <w:bidi w:val="0"/>
              <w:spacing w:line="360" w:lineRule="auto"/>
              <w:ind w:left="0" w:leftChars="0" w:firstLine="0" w:firstLineChars="0"/>
              <w:textAlignment w:val="auto"/>
              <w:rPr>
                <w:rFonts w:hint="eastAsia"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b/>
                <w:bCs/>
                <w:color w:val="auto"/>
                <w:sz w:val="24"/>
                <w:szCs w:val="24"/>
                <w:highlight w:val="none"/>
              </w:rPr>
              <w:t>运营期：</w:t>
            </w:r>
          </w:p>
          <w:p w14:paraId="76CFDB8F">
            <w:pPr>
              <w:keepLines w:val="0"/>
              <w:pageBreakBefore w:val="0"/>
              <w:widowControl w:val="0"/>
              <w:kinsoku/>
              <w:wordWrap/>
              <w:overflowPunct/>
              <w:topLinePunct w:val="0"/>
              <w:bidi w:val="0"/>
              <w:spacing w:line="360" w:lineRule="auto"/>
              <w:ind w:firstLine="482" w:firstLineChars="200"/>
              <w:textAlignment w:val="auto"/>
              <w:rPr>
                <w:rFonts w:hint="eastAsia"/>
                <w:b/>
                <w:bCs/>
                <w:color w:val="auto"/>
                <w:sz w:val="24"/>
                <w:highlight w:val="none"/>
              </w:rPr>
            </w:pPr>
            <w:r>
              <w:rPr>
                <w:rFonts w:hint="eastAsia" w:hAnsi="宋体"/>
                <w:b/>
                <w:bCs/>
                <w:color w:val="auto"/>
                <w:sz w:val="24"/>
                <w:highlight w:val="none"/>
                <w:lang w:eastAsia="zh-CN"/>
              </w:rPr>
              <w:t>1.</w:t>
            </w:r>
            <w:r>
              <w:rPr>
                <w:rFonts w:hint="eastAsia"/>
                <w:b/>
                <w:bCs/>
                <w:color w:val="auto"/>
                <w:sz w:val="24"/>
                <w:highlight w:val="none"/>
              </w:rPr>
              <w:t>废气排放标准</w:t>
            </w:r>
          </w:p>
          <w:p w14:paraId="2E6E8BC2">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both"/>
              <w:textAlignment w:val="auto"/>
              <w:rPr>
                <w:rFonts w:hint="eastAsia"/>
                <w:color w:val="auto"/>
                <w:sz w:val="24"/>
                <w:highlight w:val="none"/>
                <w:lang w:eastAsia="zh-CN"/>
              </w:rPr>
            </w:pPr>
            <w:r>
              <w:rPr>
                <w:rFonts w:hint="eastAsia"/>
                <w:color w:val="auto"/>
                <w:sz w:val="24"/>
                <w:highlight w:val="none"/>
              </w:rPr>
              <w:t>拟建项目产生非甲烷总烃</w:t>
            </w:r>
            <w:r>
              <w:rPr>
                <w:rFonts w:hint="eastAsia"/>
                <w:color w:val="auto"/>
                <w:sz w:val="24"/>
                <w:highlight w:val="none"/>
                <w:lang w:eastAsia="zh-CN"/>
              </w:rPr>
              <w:t>、</w:t>
            </w:r>
            <w:r>
              <w:rPr>
                <w:rFonts w:hint="eastAsia"/>
                <w:color w:val="auto"/>
                <w:sz w:val="24"/>
                <w:highlight w:val="none"/>
                <w:lang w:val="en-US" w:eastAsia="zh-CN"/>
              </w:rPr>
              <w:t>苯乙烯、臭气浓度，非甲烷总烃执行</w:t>
            </w:r>
            <w:r>
              <w:rPr>
                <w:rFonts w:hint="eastAsia"/>
                <w:color w:val="auto"/>
                <w:sz w:val="24"/>
                <w:highlight w:val="none"/>
              </w:rPr>
              <w:t>河北省地方标准《工业企业挥发性有机物排放控制标准》（DB13/2322-20</w:t>
            </w:r>
            <w:r>
              <w:rPr>
                <w:rFonts w:hint="eastAsia"/>
                <w:color w:val="auto"/>
                <w:sz w:val="24"/>
                <w:highlight w:val="none"/>
                <w:lang w:val="en-US" w:eastAsia="zh-CN"/>
              </w:rPr>
              <w:t>25</w:t>
            </w:r>
            <w:r>
              <w:rPr>
                <w:rFonts w:hint="eastAsia"/>
                <w:color w:val="auto"/>
                <w:sz w:val="24"/>
                <w:highlight w:val="none"/>
              </w:rPr>
              <w:t>）</w:t>
            </w:r>
            <w:r>
              <w:rPr>
                <w:rFonts w:hint="eastAsia"/>
                <w:color w:val="auto"/>
                <w:sz w:val="24"/>
                <w:highlight w:val="none"/>
                <w:lang w:val="en-US" w:eastAsia="zh-CN"/>
              </w:rPr>
              <w:t>以及</w:t>
            </w:r>
            <w:r>
              <w:rPr>
                <w:rFonts w:hint="eastAsia"/>
                <w:color w:val="auto"/>
                <w:sz w:val="24"/>
                <w:highlight w:val="none"/>
              </w:rPr>
              <w:t>《合成树脂工业污染物排放标准》（GB31572-2015</w:t>
            </w:r>
            <w:r>
              <w:rPr>
                <w:rFonts w:hint="eastAsia"/>
                <w:color w:val="auto"/>
                <w:sz w:val="24"/>
                <w:highlight w:val="none"/>
                <w:lang w:eastAsia="zh-CN"/>
              </w:rPr>
              <w:t>，</w:t>
            </w:r>
            <w:r>
              <w:rPr>
                <w:rFonts w:hint="eastAsia"/>
                <w:color w:val="auto"/>
                <w:sz w:val="24"/>
                <w:highlight w:val="none"/>
                <w:lang w:val="en-US" w:eastAsia="zh-CN"/>
              </w:rPr>
              <w:t>含2024年修改单</w:t>
            </w:r>
            <w:r>
              <w:rPr>
                <w:rFonts w:hint="eastAsia"/>
                <w:color w:val="auto"/>
                <w:sz w:val="24"/>
                <w:highlight w:val="none"/>
                <w:lang w:eastAsia="zh-CN"/>
              </w:rPr>
              <w:t>）</w:t>
            </w:r>
            <w:r>
              <w:rPr>
                <w:rFonts w:hint="eastAsia"/>
                <w:color w:val="auto"/>
                <w:sz w:val="24"/>
                <w:highlight w:val="none"/>
                <w:lang w:val="en-US" w:eastAsia="zh-CN"/>
              </w:rPr>
              <w:t>及修改单</w:t>
            </w:r>
            <w:r>
              <w:rPr>
                <w:rFonts w:hint="eastAsia"/>
                <w:color w:val="auto"/>
                <w:sz w:val="24"/>
                <w:highlight w:val="none"/>
                <w:lang w:eastAsia="zh-CN"/>
              </w:rPr>
              <w:t>，</w:t>
            </w:r>
            <w:r>
              <w:rPr>
                <w:rFonts w:hint="eastAsia"/>
                <w:color w:val="auto"/>
                <w:sz w:val="24"/>
                <w:highlight w:val="none"/>
                <w:lang w:val="en-US" w:eastAsia="zh-CN"/>
              </w:rPr>
              <w:t>从严执行</w:t>
            </w:r>
            <w:r>
              <w:rPr>
                <w:rFonts w:hint="eastAsia"/>
                <w:color w:val="auto"/>
                <w:sz w:val="24"/>
                <w:highlight w:val="none"/>
                <w:lang w:eastAsia="zh-CN"/>
              </w:rPr>
              <w:t>；</w:t>
            </w:r>
          </w:p>
          <w:p w14:paraId="2BD8CD66">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both"/>
              <w:textAlignment w:val="auto"/>
              <w:rPr>
                <w:color w:val="auto"/>
              </w:rPr>
            </w:pPr>
            <w:r>
              <w:rPr>
                <w:rFonts w:hint="eastAsia"/>
                <w:color w:val="auto"/>
                <w:sz w:val="24"/>
                <w:highlight w:val="none"/>
                <w:lang w:val="en-US" w:eastAsia="zh-CN"/>
              </w:rPr>
              <w:t>苯乙烯执行</w:t>
            </w:r>
            <w:r>
              <w:rPr>
                <w:rFonts w:hint="eastAsia"/>
                <w:color w:val="auto"/>
                <w:sz w:val="24"/>
                <w:highlight w:val="none"/>
              </w:rPr>
              <w:t>河北省地方标准《工业企业挥发性有机物排放控制标准》（DB13/2322-20</w:t>
            </w:r>
            <w:r>
              <w:rPr>
                <w:rFonts w:hint="eastAsia"/>
                <w:color w:val="auto"/>
                <w:sz w:val="24"/>
                <w:highlight w:val="none"/>
                <w:lang w:val="en-US" w:eastAsia="zh-CN"/>
              </w:rPr>
              <w:t>25</w:t>
            </w:r>
            <w:r>
              <w:rPr>
                <w:rFonts w:hint="eastAsia"/>
                <w:color w:val="auto"/>
                <w:sz w:val="24"/>
                <w:highlight w:val="none"/>
              </w:rPr>
              <w:t>）</w:t>
            </w:r>
            <w:r>
              <w:rPr>
                <w:rFonts w:hint="eastAsia"/>
                <w:color w:val="auto"/>
                <w:sz w:val="24"/>
                <w:highlight w:val="none"/>
                <w:lang w:eastAsia="zh-CN"/>
              </w:rPr>
              <w:t>、</w:t>
            </w:r>
            <w:r>
              <w:rPr>
                <w:rFonts w:hint="eastAsia"/>
                <w:color w:val="auto"/>
                <w:sz w:val="24"/>
                <w:highlight w:val="none"/>
              </w:rPr>
              <w:t>《合成树脂工业污染物排放标准》（GB31572-2015</w:t>
            </w:r>
            <w:r>
              <w:rPr>
                <w:rFonts w:hint="eastAsia"/>
                <w:color w:val="auto"/>
                <w:sz w:val="24"/>
                <w:highlight w:val="none"/>
                <w:lang w:eastAsia="zh-CN"/>
              </w:rPr>
              <w:t>，</w:t>
            </w:r>
            <w:r>
              <w:rPr>
                <w:rFonts w:hint="eastAsia"/>
                <w:color w:val="auto"/>
                <w:sz w:val="24"/>
                <w:highlight w:val="none"/>
                <w:lang w:val="en-US" w:eastAsia="zh-CN"/>
              </w:rPr>
              <w:t>含2024年修改单</w:t>
            </w:r>
            <w:r>
              <w:rPr>
                <w:rFonts w:hint="eastAsia"/>
                <w:color w:val="auto"/>
                <w:sz w:val="24"/>
                <w:highlight w:val="none"/>
                <w:lang w:eastAsia="zh-CN"/>
              </w:rPr>
              <w:t>）</w:t>
            </w:r>
            <w:r>
              <w:rPr>
                <w:rFonts w:hint="eastAsia"/>
                <w:color w:val="auto"/>
                <w:sz w:val="24"/>
                <w:highlight w:val="none"/>
                <w:lang w:val="en-US" w:eastAsia="zh-CN"/>
              </w:rPr>
              <w:t>和</w:t>
            </w:r>
            <w:r>
              <w:rPr>
                <w:rFonts w:hint="eastAsia"/>
                <w:color w:val="auto"/>
                <w:sz w:val="24"/>
                <w:szCs w:val="24"/>
                <w:highlight w:val="none"/>
              </w:rPr>
              <w:t>《恶臭污染物排放标准》（GB14554-93）</w:t>
            </w:r>
            <w:r>
              <w:rPr>
                <w:rFonts w:hint="eastAsia"/>
                <w:color w:val="auto"/>
                <w:sz w:val="24"/>
                <w:szCs w:val="24"/>
                <w:highlight w:val="none"/>
                <w:lang w:eastAsia="zh-CN"/>
              </w:rPr>
              <w:t>；</w:t>
            </w:r>
            <w:r>
              <w:rPr>
                <w:rFonts w:hint="eastAsia"/>
                <w:color w:val="auto"/>
                <w:sz w:val="24"/>
                <w:highlight w:val="none"/>
                <w:lang w:val="en-US" w:eastAsia="zh-CN"/>
              </w:rPr>
              <w:t>臭气浓度执行</w:t>
            </w:r>
            <w:r>
              <w:rPr>
                <w:rFonts w:hint="eastAsia"/>
                <w:color w:val="auto"/>
                <w:sz w:val="24"/>
                <w:szCs w:val="24"/>
                <w:highlight w:val="none"/>
              </w:rPr>
              <w:t>《恶臭污染物排放标准》（GB14554-93）</w:t>
            </w:r>
            <w:r>
              <w:rPr>
                <w:rFonts w:hint="eastAsia"/>
                <w:color w:val="auto"/>
                <w:sz w:val="24"/>
                <w:szCs w:val="24"/>
                <w:highlight w:val="none"/>
                <w:lang w:val="en-US" w:eastAsia="zh-CN"/>
              </w:rPr>
              <w:t>。</w:t>
            </w:r>
          </w:p>
          <w:p w14:paraId="7ADD509B">
            <w:pPr>
              <w:keepNext w:val="0"/>
              <w:keepLines w:val="0"/>
              <w:pageBreakBefore w:val="0"/>
              <w:widowControl w:val="0"/>
              <w:kinsoku/>
              <w:wordWrap/>
              <w:overflowPunct/>
              <w:topLinePunct w:val="0"/>
              <w:autoSpaceDE w:val="0"/>
              <w:autoSpaceDN w:val="0"/>
              <w:bidi w:val="0"/>
              <w:adjustRightInd w:val="0"/>
              <w:snapToGrid/>
              <w:spacing w:line="240" w:lineRule="auto"/>
              <w:ind w:firstLine="0" w:firstLineChars="0"/>
              <w:jc w:val="center"/>
              <w:textAlignment w:val="auto"/>
              <w:rPr>
                <w:b/>
                <w:bCs/>
                <w:color w:val="auto"/>
                <w:kern w:val="0"/>
                <w:sz w:val="24"/>
                <w:highlight w:val="none"/>
              </w:rPr>
            </w:pPr>
            <w:r>
              <w:rPr>
                <w:b/>
                <w:bCs/>
                <w:color w:val="auto"/>
                <w:kern w:val="0"/>
                <w:sz w:val="24"/>
                <w:highlight w:val="none"/>
              </w:rPr>
              <w:t>表</w:t>
            </w:r>
            <w:r>
              <w:rPr>
                <w:rFonts w:hint="eastAsia"/>
                <w:b/>
                <w:bCs/>
                <w:color w:val="auto"/>
                <w:kern w:val="0"/>
                <w:sz w:val="24"/>
                <w:highlight w:val="none"/>
              </w:rPr>
              <w:t>3</w:t>
            </w:r>
            <w:r>
              <w:rPr>
                <w:rFonts w:hint="eastAsia"/>
                <w:b/>
                <w:bCs/>
                <w:color w:val="auto"/>
                <w:kern w:val="0"/>
                <w:sz w:val="24"/>
                <w:highlight w:val="none"/>
                <w:lang w:val="en-US" w:eastAsia="zh-CN"/>
              </w:rPr>
              <w:t>-7</w:t>
            </w:r>
            <w:r>
              <w:rPr>
                <w:rFonts w:hint="eastAsia"/>
                <w:b/>
                <w:bCs/>
                <w:color w:val="auto"/>
                <w:kern w:val="0"/>
                <w:sz w:val="24"/>
                <w:highlight w:val="none"/>
              </w:rPr>
              <w:t xml:space="preserve"> </w:t>
            </w:r>
            <w:r>
              <w:rPr>
                <w:b/>
                <w:bCs/>
                <w:color w:val="auto"/>
                <w:kern w:val="0"/>
                <w:sz w:val="24"/>
                <w:highlight w:val="none"/>
              </w:rPr>
              <w:t xml:space="preserve"> 废气污染物排放标准</w:t>
            </w:r>
          </w:p>
          <w:tbl>
            <w:tblPr>
              <w:tblStyle w:val="34"/>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424"/>
              <w:gridCol w:w="818"/>
              <w:gridCol w:w="1065"/>
              <w:gridCol w:w="4674"/>
              <w:gridCol w:w="1328"/>
            </w:tblGrid>
            <w:tr w14:paraId="5884EC7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79" w:hRule="atLeast"/>
                <w:jc w:val="center"/>
              </w:trPr>
              <w:tc>
                <w:tcPr>
                  <w:tcW w:w="747" w:type="pct"/>
                  <w:gridSpan w:val="2"/>
                  <w:tcBorders>
                    <w:bottom w:val="single" w:color="auto" w:sz="4" w:space="0"/>
                    <w:right w:val="single" w:color="auto" w:sz="4" w:space="0"/>
                  </w:tcBorders>
                  <w:noWrap w:val="0"/>
                  <w:vAlign w:val="center"/>
                </w:tcPr>
                <w:p w14:paraId="7BE69DC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污染物项目</w:t>
                  </w:r>
                </w:p>
              </w:tc>
              <w:tc>
                <w:tcPr>
                  <w:tcW w:w="641" w:type="pct"/>
                  <w:tcBorders>
                    <w:left w:val="single" w:color="auto" w:sz="4" w:space="0"/>
                    <w:bottom w:val="single" w:color="auto" w:sz="4" w:space="0"/>
                    <w:right w:val="single" w:color="auto" w:sz="4" w:space="0"/>
                  </w:tcBorders>
                  <w:noWrap w:val="0"/>
                  <w:vAlign w:val="center"/>
                </w:tcPr>
                <w:p w14:paraId="7CC5236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最高允许排放浓度</w:t>
                  </w:r>
                </w:p>
              </w:tc>
              <w:tc>
                <w:tcPr>
                  <w:tcW w:w="2812" w:type="pct"/>
                  <w:tcBorders>
                    <w:left w:val="single" w:color="auto" w:sz="4" w:space="0"/>
                    <w:bottom w:val="single" w:color="auto" w:sz="4" w:space="0"/>
                  </w:tcBorders>
                  <w:noWrap w:val="0"/>
                  <w:vAlign w:val="center"/>
                </w:tcPr>
                <w:p w14:paraId="60357FB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执行标准</w:t>
                  </w:r>
                </w:p>
              </w:tc>
              <w:tc>
                <w:tcPr>
                  <w:tcW w:w="799" w:type="pct"/>
                  <w:tcBorders>
                    <w:left w:val="single" w:color="auto" w:sz="4" w:space="0"/>
                    <w:bottom w:val="single" w:color="auto" w:sz="4" w:space="0"/>
                  </w:tcBorders>
                  <w:noWrap w:val="0"/>
                  <w:vAlign w:val="center"/>
                </w:tcPr>
                <w:p w14:paraId="6EC21BA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本项目执行标准</w:t>
                  </w:r>
                </w:p>
              </w:tc>
            </w:tr>
            <w:tr w14:paraId="75047A7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93" w:hRule="atLeast"/>
                <w:jc w:val="center"/>
              </w:trPr>
              <w:tc>
                <w:tcPr>
                  <w:tcW w:w="255" w:type="pct"/>
                  <w:vMerge w:val="restart"/>
                  <w:tcBorders>
                    <w:top w:val="single" w:color="auto" w:sz="4" w:space="0"/>
                    <w:right w:val="single" w:color="auto" w:sz="4" w:space="0"/>
                  </w:tcBorders>
                  <w:noWrap w:val="0"/>
                  <w:vAlign w:val="center"/>
                </w:tcPr>
                <w:p w14:paraId="4668BBC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非甲烷总烃</w:t>
                  </w:r>
                </w:p>
              </w:tc>
              <w:tc>
                <w:tcPr>
                  <w:tcW w:w="491" w:type="pct"/>
                  <w:vMerge w:val="restart"/>
                  <w:tcBorders>
                    <w:top w:val="single" w:color="auto" w:sz="4" w:space="0"/>
                    <w:left w:val="single" w:color="auto" w:sz="4" w:space="0"/>
                    <w:right w:val="single" w:color="auto" w:sz="4" w:space="0"/>
                  </w:tcBorders>
                  <w:noWrap w:val="0"/>
                  <w:vAlign w:val="center"/>
                </w:tcPr>
                <w:p w14:paraId="0636935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有组织</w:t>
                  </w:r>
                  <w:r>
                    <w:rPr>
                      <w:rFonts w:hint="eastAsia" w:cs="Times New Roman"/>
                      <w:color w:val="auto"/>
                      <w:sz w:val="21"/>
                      <w:szCs w:val="21"/>
                      <w:highlight w:val="none"/>
                      <w:lang w:eastAsia="zh-CN"/>
                    </w:rPr>
                    <w:t>（</w:t>
                  </w:r>
                  <w:r>
                    <w:rPr>
                      <w:rFonts w:hint="eastAsia" w:cs="Times New Roman"/>
                      <w:color w:val="auto"/>
                      <w:sz w:val="21"/>
                      <w:szCs w:val="21"/>
                      <w:highlight w:val="none"/>
                      <w:lang w:val="en-US" w:eastAsia="zh-CN"/>
                    </w:rPr>
                    <w:t>15米高排气筒）</w:t>
                  </w:r>
                </w:p>
              </w:tc>
              <w:tc>
                <w:tcPr>
                  <w:tcW w:w="641" w:type="pct"/>
                  <w:tcBorders>
                    <w:top w:val="single" w:color="auto" w:sz="4" w:space="0"/>
                    <w:left w:val="single" w:color="auto" w:sz="4" w:space="0"/>
                    <w:right w:val="single" w:color="auto" w:sz="4" w:space="0"/>
                  </w:tcBorders>
                  <w:noWrap w:val="0"/>
                  <w:vAlign w:val="center"/>
                </w:tcPr>
                <w:p w14:paraId="7568F57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30</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2812" w:type="pct"/>
                  <w:tcBorders>
                    <w:top w:val="single" w:color="auto" w:sz="4" w:space="0"/>
                    <w:left w:val="single" w:color="auto" w:sz="4" w:space="0"/>
                    <w:bottom w:val="single" w:color="auto" w:sz="4" w:space="0"/>
                  </w:tcBorders>
                  <w:noWrap w:val="0"/>
                  <w:vAlign w:val="center"/>
                </w:tcPr>
                <w:p w14:paraId="2E3A381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《工业企业挥发性有机物排放控制标准》河北省地方标准（DB13/2322-20</w:t>
                  </w:r>
                  <w:r>
                    <w:rPr>
                      <w:rFonts w:hint="default" w:ascii="Times New Roman" w:hAnsi="Times New Roman" w:cs="Times New Roman"/>
                      <w:color w:val="auto"/>
                      <w:sz w:val="21"/>
                      <w:szCs w:val="21"/>
                      <w:highlight w:val="none"/>
                      <w:lang w:val="en-US" w:eastAsia="zh-CN"/>
                    </w:rPr>
                    <w:t>25</w:t>
                  </w:r>
                  <w:r>
                    <w:rPr>
                      <w:rFonts w:hint="default" w:ascii="Times New Roman" w:hAnsi="Times New Roman" w:cs="Times New Roman"/>
                      <w:color w:val="auto"/>
                      <w:sz w:val="21"/>
                      <w:szCs w:val="21"/>
                      <w:highlight w:val="none"/>
                    </w:rPr>
                    <w:t>）表1中“</w:t>
                  </w:r>
                  <w:r>
                    <w:rPr>
                      <w:rFonts w:hint="default" w:ascii="Times New Roman" w:hAnsi="Times New Roman" w:cs="Times New Roman"/>
                      <w:color w:val="auto"/>
                      <w:sz w:val="21"/>
                      <w:szCs w:val="21"/>
                      <w:highlight w:val="none"/>
                      <w:lang w:val="en-US" w:eastAsia="zh-CN"/>
                    </w:rPr>
                    <w:t>塑料制品制造</w:t>
                  </w:r>
                  <w:r>
                    <w:rPr>
                      <w:rFonts w:hint="default" w:ascii="Times New Roman" w:hAnsi="Times New Roman" w:cs="Times New Roman"/>
                      <w:color w:val="auto"/>
                      <w:sz w:val="21"/>
                      <w:szCs w:val="21"/>
                      <w:highlight w:val="none"/>
                    </w:rPr>
                    <w:t>”</w:t>
                  </w:r>
                </w:p>
              </w:tc>
              <w:tc>
                <w:tcPr>
                  <w:tcW w:w="799" w:type="pct"/>
                  <w:vMerge w:val="restart"/>
                  <w:tcBorders>
                    <w:top w:val="single" w:color="auto" w:sz="4" w:space="0"/>
                    <w:left w:val="single" w:color="auto" w:sz="4" w:space="0"/>
                  </w:tcBorders>
                  <w:noWrap w:val="0"/>
                  <w:vAlign w:val="center"/>
                </w:tcPr>
                <w:p w14:paraId="515566F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30</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r>
            <w:tr w14:paraId="16F1A09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93" w:hRule="atLeast"/>
                <w:jc w:val="center"/>
              </w:trPr>
              <w:tc>
                <w:tcPr>
                  <w:tcW w:w="255" w:type="pct"/>
                  <w:vMerge w:val="continue"/>
                  <w:tcBorders>
                    <w:right w:val="single" w:color="auto" w:sz="4" w:space="0"/>
                  </w:tcBorders>
                  <w:noWrap w:val="0"/>
                  <w:vAlign w:val="center"/>
                </w:tcPr>
                <w:p w14:paraId="088DFAE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491" w:type="pct"/>
                  <w:vMerge w:val="continue"/>
                  <w:tcBorders>
                    <w:left w:val="single" w:color="auto" w:sz="4" w:space="0"/>
                    <w:bottom w:val="single" w:color="auto" w:sz="4" w:space="0"/>
                    <w:right w:val="single" w:color="auto" w:sz="4" w:space="0"/>
                  </w:tcBorders>
                  <w:noWrap w:val="0"/>
                  <w:vAlign w:val="center"/>
                </w:tcPr>
                <w:p w14:paraId="21959EB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641" w:type="pct"/>
                  <w:tcBorders>
                    <w:top w:val="single" w:color="auto" w:sz="4" w:space="0"/>
                    <w:left w:val="single" w:color="auto" w:sz="4" w:space="0"/>
                    <w:right w:val="single" w:color="auto" w:sz="4" w:space="0"/>
                  </w:tcBorders>
                  <w:noWrap w:val="0"/>
                  <w:vAlign w:val="center"/>
                </w:tcPr>
                <w:p w14:paraId="50A3512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60</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2812" w:type="pct"/>
                  <w:tcBorders>
                    <w:top w:val="single" w:color="auto" w:sz="4" w:space="0"/>
                    <w:left w:val="single" w:color="auto" w:sz="4" w:space="0"/>
                    <w:bottom w:val="single" w:color="auto" w:sz="4" w:space="0"/>
                  </w:tcBorders>
                  <w:noWrap w:val="0"/>
                  <w:vAlign w:val="center"/>
                </w:tcPr>
                <w:p w14:paraId="5A14AC8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rPr>
                  </w:pPr>
                  <w:r>
                    <w:rPr>
                      <w:rFonts w:hint="eastAsia"/>
                      <w:color w:val="auto"/>
                      <w:sz w:val="21"/>
                      <w:szCs w:val="21"/>
                      <w:highlight w:val="none"/>
                    </w:rPr>
                    <w:t>《合成树脂工业污染物排放标准》（GB31572-2015</w:t>
                  </w:r>
                  <w:r>
                    <w:rPr>
                      <w:rFonts w:hint="eastAsia"/>
                      <w:color w:val="auto"/>
                      <w:sz w:val="21"/>
                      <w:szCs w:val="21"/>
                      <w:highlight w:val="none"/>
                      <w:lang w:eastAsia="zh-CN"/>
                    </w:rPr>
                    <w:t>，</w:t>
                  </w:r>
                  <w:r>
                    <w:rPr>
                      <w:rFonts w:hint="eastAsia"/>
                      <w:color w:val="auto"/>
                      <w:sz w:val="21"/>
                      <w:szCs w:val="21"/>
                      <w:highlight w:val="none"/>
                      <w:lang w:val="en-US" w:eastAsia="zh-CN"/>
                    </w:rPr>
                    <w:t>含2024年修改单</w:t>
                  </w:r>
                  <w:r>
                    <w:rPr>
                      <w:rFonts w:hint="eastAsia"/>
                      <w:color w:val="auto"/>
                      <w:sz w:val="21"/>
                      <w:szCs w:val="21"/>
                      <w:highlight w:val="none"/>
                      <w:lang w:eastAsia="zh-CN"/>
                    </w:rPr>
                    <w:t>）</w:t>
                  </w:r>
                  <w:r>
                    <w:rPr>
                      <w:rFonts w:hint="eastAsia"/>
                      <w:color w:val="auto"/>
                      <w:sz w:val="21"/>
                      <w:szCs w:val="21"/>
                      <w:highlight w:val="none"/>
                      <w:lang w:val="en-US" w:eastAsia="zh-CN"/>
                    </w:rPr>
                    <w:t>表5</w:t>
                  </w:r>
                </w:p>
              </w:tc>
              <w:tc>
                <w:tcPr>
                  <w:tcW w:w="799" w:type="pct"/>
                  <w:vMerge w:val="continue"/>
                  <w:tcBorders>
                    <w:left w:val="single" w:color="auto" w:sz="4" w:space="0"/>
                    <w:bottom w:val="single" w:color="auto" w:sz="4" w:space="0"/>
                  </w:tcBorders>
                  <w:noWrap w:val="0"/>
                  <w:vAlign w:val="center"/>
                </w:tcPr>
                <w:p w14:paraId="6B047CA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val="en-US" w:eastAsia="zh-CN"/>
                    </w:rPr>
                  </w:pPr>
                </w:p>
              </w:tc>
            </w:tr>
            <w:tr w14:paraId="25AAFB3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06" w:hRule="atLeast"/>
                <w:jc w:val="center"/>
              </w:trPr>
              <w:tc>
                <w:tcPr>
                  <w:tcW w:w="255" w:type="pct"/>
                  <w:vMerge w:val="continue"/>
                  <w:tcBorders>
                    <w:right w:val="single" w:color="auto" w:sz="4" w:space="0"/>
                  </w:tcBorders>
                  <w:noWrap w:val="0"/>
                  <w:vAlign w:val="center"/>
                </w:tcPr>
                <w:p w14:paraId="308D343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491" w:type="pct"/>
                  <w:vMerge w:val="restart"/>
                  <w:tcBorders>
                    <w:top w:val="single" w:color="auto" w:sz="4" w:space="0"/>
                    <w:left w:val="single" w:color="auto" w:sz="4" w:space="0"/>
                    <w:right w:val="single" w:color="auto" w:sz="4" w:space="0"/>
                  </w:tcBorders>
                  <w:noWrap w:val="0"/>
                  <w:vAlign w:val="center"/>
                </w:tcPr>
                <w:p w14:paraId="53F53D89">
                  <w:pPr>
                    <w:keepNext w:val="0"/>
                    <w:keepLines w:val="0"/>
                    <w:pageBreakBefore w:val="0"/>
                    <w:widowControl w:val="0"/>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厂区内厂房外监控点</w:t>
                  </w:r>
                </w:p>
                <w:p w14:paraId="3482D6FD">
                  <w:pPr>
                    <w:keepNext w:val="0"/>
                    <w:keepLines w:val="0"/>
                    <w:pageBreakBefore w:val="0"/>
                    <w:widowControl w:val="0"/>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641" w:type="pct"/>
                  <w:tcBorders>
                    <w:top w:val="single" w:color="auto" w:sz="4" w:space="0"/>
                    <w:left w:val="single" w:color="auto" w:sz="4" w:space="0"/>
                    <w:right w:val="single" w:color="auto" w:sz="4" w:space="0"/>
                  </w:tcBorders>
                  <w:noWrap w:val="0"/>
                  <w:vAlign w:val="center"/>
                </w:tcPr>
                <w:p w14:paraId="08E694DA">
                  <w:pPr>
                    <w:keepNext w:val="0"/>
                    <w:keepLines w:val="0"/>
                    <w:pageBreakBefore w:val="0"/>
                    <w:widowControl w:val="0"/>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bidi="ar"/>
                    </w:rPr>
                    <w:t>1h平均浓度值</w:t>
                  </w:r>
                  <w:r>
                    <w:rPr>
                      <w:rFonts w:hint="default" w:ascii="Times New Roman" w:hAnsi="Times New Roman" w:cs="Times New Roman"/>
                      <w:color w:val="auto"/>
                      <w:sz w:val="21"/>
                      <w:szCs w:val="21"/>
                      <w:highlight w:val="none"/>
                      <w:lang w:val="en-US" w:eastAsia="zh-CN"/>
                    </w:rPr>
                    <w:t>2.0</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2812" w:type="pct"/>
                  <w:vMerge w:val="restart"/>
                  <w:tcBorders>
                    <w:top w:val="single" w:color="auto" w:sz="4" w:space="0"/>
                    <w:left w:val="single" w:color="auto" w:sz="4" w:space="0"/>
                  </w:tcBorders>
                  <w:noWrap w:val="0"/>
                  <w:vAlign w:val="center"/>
                </w:tcPr>
                <w:p w14:paraId="0D93F68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《工业企业挥发性有机物排放控制标准》河北省地方标准（DB13/2322-20</w:t>
                  </w:r>
                  <w:r>
                    <w:rPr>
                      <w:rFonts w:hint="default" w:ascii="Times New Roman" w:hAnsi="Times New Roman" w:cs="Times New Roman"/>
                      <w:color w:val="auto"/>
                      <w:sz w:val="21"/>
                      <w:szCs w:val="21"/>
                      <w:highlight w:val="none"/>
                      <w:lang w:val="en-US" w:eastAsia="zh-CN"/>
                    </w:rPr>
                    <w:t>25</w:t>
                  </w:r>
                  <w:r>
                    <w:rPr>
                      <w:rFonts w:hint="default" w:ascii="Times New Roman" w:hAnsi="Times New Roman" w:cs="Times New Roman"/>
                      <w:color w:val="auto"/>
                      <w:sz w:val="21"/>
                      <w:szCs w:val="21"/>
                      <w:highlight w:val="none"/>
                    </w:rPr>
                    <w:t>）表</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排放标准</w:t>
                  </w:r>
                </w:p>
              </w:tc>
              <w:tc>
                <w:tcPr>
                  <w:tcW w:w="799" w:type="pct"/>
                  <w:tcBorders>
                    <w:top w:val="single" w:color="auto" w:sz="4" w:space="0"/>
                    <w:left w:val="single" w:color="auto" w:sz="4" w:space="0"/>
                  </w:tcBorders>
                  <w:noWrap w:val="0"/>
                  <w:vAlign w:val="center"/>
                </w:tcPr>
                <w:p w14:paraId="1005711C">
                  <w:pPr>
                    <w:keepNext w:val="0"/>
                    <w:keepLines w:val="0"/>
                    <w:pageBreakBefore w:val="0"/>
                    <w:widowControl w:val="0"/>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1h平均浓度值</w:t>
                  </w:r>
                  <w:r>
                    <w:rPr>
                      <w:rFonts w:hint="default" w:ascii="Times New Roman" w:hAnsi="Times New Roman" w:cs="Times New Roman"/>
                      <w:color w:val="auto"/>
                      <w:sz w:val="21"/>
                      <w:szCs w:val="21"/>
                      <w:highlight w:val="none"/>
                      <w:lang w:val="en-US" w:eastAsia="zh-CN"/>
                    </w:rPr>
                    <w:t>2.0</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r>
            <w:tr w14:paraId="3F64D61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37" w:hRule="atLeast"/>
                <w:jc w:val="center"/>
              </w:trPr>
              <w:tc>
                <w:tcPr>
                  <w:tcW w:w="255" w:type="pct"/>
                  <w:vMerge w:val="continue"/>
                  <w:tcBorders>
                    <w:right w:val="single" w:color="auto" w:sz="4" w:space="0"/>
                  </w:tcBorders>
                  <w:noWrap w:val="0"/>
                  <w:vAlign w:val="center"/>
                </w:tcPr>
                <w:p w14:paraId="5571674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491" w:type="pct"/>
                  <w:vMerge w:val="continue"/>
                  <w:tcBorders>
                    <w:left w:val="single" w:color="auto" w:sz="4" w:space="0"/>
                    <w:right w:val="single" w:color="auto" w:sz="4" w:space="0"/>
                  </w:tcBorders>
                  <w:noWrap w:val="0"/>
                  <w:vAlign w:val="center"/>
                </w:tcPr>
                <w:p w14:paraId="1B5BCE8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641" w:type="pct"/>
                  <w:tcBorders>
                    <w:top w:val="single" w:color="auto" w:sz="4" w:space="0"/>
                    <w:left w:val="single" w:color="auto" w:sz="4" w:space="0"/>
                    <w:right w:val="single" w:color="auto" w:sz="4" w:space="0"/>
                  </w:tcBorders>
                  <w:noWrap w:val="0"/>
                  <w:vAlign w:val="center"/>
                </w:tcPr>
                <w:p w14:paraId="548BF86D">
                  <w:pPr>
                    <w:keepNext w:val="0"/>
                    <w:keepLines w:val="0"/>
                    <w:pageBreakBefore w:val="0"/>
                    <w:widowControl w:val="0"/>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监控点处任意一次浓度值</w:t>
                  </w: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2812" w:type="pct"/>
                  <w:vMerge w:val="continue"/>
                  <w:tcBorders>
                    <w:left w:val="single" w:color="auto" w:sz="4" w:space="0"/>
                  </w:tcBorders>
                  <w:noWrap w:val="0"/>
                  <w:vAlign w:val="center"/>
                </w:tcPr>
                <w:p w14:paraId="68D5E3F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799" w:type="pct"/>
                  <w:tcBorders>
                    <w:left w:val="single" w:color="auto" w:sz="4" w:space="0"/>
                  </w:tcBorders>
                  <w:noWrap w:val="0"/>
                  <w:vAlign w:val="center"/>
                </w:tcPr>
                <w:p w14:paraId="43C3F8CD">
                  <w:pPr>
                    <w:keepNext w:val="0"/>
                    <w:keepLines w:val="0"/>
                    <w:pageBreakBefore w:val="0"/>
                    <w:widowControl w:val="0"/>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监控点处任意一次浓度值</w:t>
                  </w: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r>
            <w:tr w14:paraId="25AE6B9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37" w:hRule="atLeast"/>
                <w:jc w:val="center"/>
              </w:trPr>
              <w:tc>
                <w:tcPr>
                  <w:tcW w:w="255" w:type="pct"/>
                  <w:vMerge w:val="continue"/>
                  <w:tcBorders>
                    <w:bottom w:val="single" w:color="auto" w:sz="4" w:space="0"/>
                    <w:right w:val="single" w:color="auto" w:sz="4" w:space="0"/>
                  </w:tcBorders>
                  <w:noWrap w:val="0"/>
                  <w:vAlign w:val="center"/>
                </w:tcPr>
                <w:p w14:paraId="722F8D3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491" w:type="pct"/>
                  <w:tcBorders>
                    <w:left w:val="single" w:color="auto" w:sz="4" w:space="0"/>
                    <w:right w:val="single" w:color="auto" w:sz="4" w:space="0"/>
                  </w:tcBorders>
                  <w:noWrap w:val="0"/>
                  <w:vAlign w:val="center"/>
                </w:tcPr>
                <w:p w14:paraId="70B388E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企业边界</w:t>
                  </w:r>
                </w:p>
              </w:tc>
              <w:tc>
                <w:tcPr>
                  <w:tcW w:w="641" w:type="pct"/>
                  <w:tcBorders>
                    <w:top w:val="single" w:color="auto" w:sz="4" w:space="0"/>
                    <w:left w:val="single" w:color="auto" w:sz="4" w:space="0"/>
                    <w:right w:val="single" w:color="auto" w:sz="4" w:space="0"/>
                  </w:tcBorders>
                  <w:noWrap w:val="0"/>
                  <w:vAlign w:val="center"/>
                </w:tcPr>
                <w:p w14:paraId="4340D0AB">
                  <w:pPr>
                    <w:keepNext w:val="0"/>
                    <w:keepLines w:val="0"/>
                    <w:pageBreakBefore w:val="0"/>
                    <w:widowControl w:val="0"/>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4.0</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2812" w:type="pct"/>
                  <w:tcBorders>
                    <w:left w:val="single" w:color="auto" w:sz="4" w:space="0"/>
                  </w:tcBorders>
                  <w:noWrap w:val="0"/>
                  <w:vAlign w:val="center"/>
                </w:tcPr>
                <w:p w14:paraId="5236DE0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rPr>
                  </w:pPr>
                  <w:r>
                    <w:rPr>
                      <w:rFonts w:hint="eastAsia"/>
                      <w:color w:val="auto"/>
                      <w:sz w:val="21"/>
                      <w:szCs w:val="21"/>
                      <w:highlight w:val="none"/>
                    </w:rPr>
                    <w:t>《合成树脂工业污染物排放标准》（GB31572-2015</w:t>
                  </w:r>
                  <w:r>
                    <w:rPr>
                      <w:rFonts w:hint="eastAsia"/>
                      <w:color w:val="auto"/>
                      <w:sz w:val="21"/>
                      <w:szCs w:val="21"/>
                      <w:highlight w:val="none"/>
                      <w:lang w:eastAsia="zh-CN"/>
                    </w:rPr>
                    <w:t>，</w:t>
                  </w:r>
                  <w:r>
                    <w:rPr>
                      <w:rFonts w:hint="eastAsia"/>
                      <w:color w:val="auto"/>
                      <w:sz w:val="21"/>
                      <w:szCs w:val="21"/>
                      <w:highlight w:val="none"/>
                      <w:lang w:val="en-US" w:eastAsia="zh-CN"/>
                    </w:rPr>
                    <w:t>含2024年修改单</w:t>
                  </w:r>
                  <w:r>
                    <w:rPr>
                      <w:rFonts w:hint="eastAsia"/>
                      <w:color w:val="auto"/>
                      <w:sz w:val="21"/>
                      <w:szCs w:val="21"/>
                      <w:highlight w:val="none"/>
                      <w:lang w:eastAsia="zh-CN"/>
                    </w:rPr>
                    <w:t>）</w:t>
                  </w:r>
                  <w:r>
                    <w:rPr>
                      <w:rFonts w:hint="eastAsia"/>
                      <w:color w:val="auto"/>
                      <w:sz w:val="21"/>
                      <w:szCs w:val="21"/>
                      <w:highlight w:val="none"/>
                      <w:lang w:val="en-US" w:eastAsia="zh-CN"/>
                    </w:rPr>
                    <w:t>表9</w:t>
                  </w:r>
                </w:p>
              </w:tc>
              <w:tc>
                <w:tcPr>
                  <w:tcW w:w="799" w:type="pct"/>
                  <w:tcBorders>
                    <w:left w:val="single" w:color="auto" w:sz="4" w:space="0"/>
                  </w:tcBorders>
                  <w:noWrap w:val="0"/>
                  <w:vAlign w:val="center"/>
                </w:tcPr>
                <w:p w14:paraId="58ADB575">
                  <w:pPr>
                    <w:keepNext w:val="0"/>
                    <w:keepLines w:val="0"/>
                    <w:pageBreakBefore w:val="0"/>
                    <w:widowControl w:val="0"/>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w:t>
                  </w:r>
                </w:p>
              </w:tc>
            </w:tr>
            <w:tr w14:paraId="4D5286B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62" w:hRule="atLeast"/>
                <w:jc w:val="center"/>
              </w:trPr>
              <w:tc>
                <w:tcPr>
                  <w:tcW w:w="255" w:type="pct"/>
                  <w:vMerge w:val="restart"/>
                  <w:tcBorders>
                    <w:top w:val="single" w:color="auto" w:sz="4" w:space="0"/>
                    <w:right w:val="single" w:color="auto" w:sz="4" w:space="0"/>
                  </w:tcBorders>
                  <w:noWrap w:val="0"/>
                  <w:vAlign w:val="center"/>
                </w:tcPr>
                <w:p w14:paraId="2563261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苯系物（</w:t>
                  </w:r>
                  <w:r>
                    <w:rPr>
                      <w:rFonts w:hint="default" w:ascii="Times New Roman" w:hAnsi="Times New Roman" w:cs="Times New Roman"/>
                      <w:color w:val="auto"/>
                      <w:sz w:val="21"/>
                      <w:szCs w:val="21"/>
                      <w:highlight w:val="none"/>
                      <w:lang w:val="en-US" w:eastAsia="zh-CN"/>
                    </w:rPr>
                    <w:t>苯乙烯</w:t>
                  </w:r>
                  <w:r>
                    <w:rPr>
                      <w:rFonts w:hint="eastAsia" w:cs="Times New Roman"/>
                      <w:color w:val="auto"/>
                      <w:sz w:val="21"/>
                      <w:szCs w:val="21"/>
                      <w:highlight w:val="none"/>
                      <w:lang w:val="en-US" w:eastAsia="zh-CN"/>
                    </w:rPr>
                    <w:t>）</w:t>
                  </w:r>
                </w:p>
              </w:tc>
              <w:tc>
                <w:tcPr>
                  <w:tcW w:w="491" w:type="pct"/>
                  <w:vMerge w:val="restart"/>
                  <w:tcBorders>
                    <w:top w:val="single" w:color="auto" w:sz="4" w:space="0"/>
                    <w:left w:val="single" w:color="auto" w:sz="4" w:space="0"/>
                    <w:right w:val="single" w:color="auto" w:sz="4" w:space="0"/>
                  </w:tcBorders>
                  <w:noWrap w:val="0"/>
                  <w:vAlign w:val="center"/>
                </w:tcPr>
                <w:p w14:paraId="710BB7B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有组织</w:t>
                  </w:r>
                  <w:r>
                    <w:rPr>
                      <w:rFonts w:hint="eastAsia" w:cs="Times New Roman"/>
                      <w:color w:val="auto"/>
                      <w:sz w:val="21"/>
                      <w:szCs w:val="21"/>
                      <w:highlight w:val="none"/>
                      <w:lang w:eastAsia="zh-CN"/>
                    </w:rPr>
                    <w:t>（</w:t>
                  </w:r>
                  <w:r>
                    <w:rPr>
                      <w:rFonts w:hint="eastAsia" w:cs="Times New Roman"/>
                      <w:color w:val="auto"/>
                      <w:sz w:val="21"/>
                      <w:szCs w:val="21"/>
                      <w:highlight w:val="none"/>
                      <w:lang w:val="en-US" w:eastAsia="zh-CN"/>
                    </w:rPr>
                    <w:t>15米高排气筒）</w:t>
                  </w:r>
                </w:p>
              </w:tc>
              <w:tc>
                <w:tcPr>
                  <w:tcW w:w="641" w:type="pct"/>
                  <w:tcBorders>
                    <w:top w:val="single" w:color="auto" w:sz="4" w:space="0"/>
                    <w:left w:val="single" w:color="auto" w:sz="4" w:space="0"/>
                    <w:bottom w:val="single" w:color="auto" w:sz="4" w:space="0"/>
                    <w:right w:val="single" w:color="auto" w:sz="4" w:space="0"/>
                  </w:tcBorders>
                  <w:noWrap w:val="0"/>
                  <w:vAlign w:val="center"/>
                </w:tcPr>
                <w:p w14:paraId="2CB5101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2812" w:type="pct"/>
                  <w:tcBorders>
                    <w:top w:val="single" w:color="auto" w:sz="4" w:space="0"/>
                    <w:left w:val="single" w:color="auto" w:sz="4" w:space="0"/>
                    <w:bottom w:val="single" w:color="auto" w:sz="4" w:space="0"/>
                  </w:tcBorders>
                  <w:noWrap w:val="0"/>
                  <w:vAlign w:val="center"/>
                </w:tcPr>
                <w:p w14:paraId="3126053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《工业企业挥发性有机物排放控制标准》河北省地方标准（DB13/2322-20</w:t>
                  </w:r>
                  <w:r>
                    <w:rPr>
                      <w:rFonts w:hint="default" w:ascii="Times New Roman" w:hAnsi="Times New Roman" w:cs="Times New Roman"/>
                      <w:color w:val="auto"/>
                      <w:sz w:val="21"/>
                      <w:szCs w:val="21"/>
                      <w:highlight w:val="none"/>
                      <w:lang w:val="en-US" w:eastAsia="zh-CN"/>
                    </w:rPr>
                    <w:t>25</w:t>
                  </w:r>
                  <w:r>
                    <w:rPr>
                      <w:rFonts w:hint="default" w:ascii="Times New Roman" w:hAnsi="Times New Roman" w:cs="Times New Roman"/>
                      <w:color w:val="auto"/>
                      <w:sz w:val="21"/>
                      <w:szCs w:val="21"/>
                      <w:highlight w:val="none"/>
                    </w:rPr>
                    <w:t>）表1中“</w:t>
                  </w:r>
                  <w:r>
                    <w:rPr>
                      <w:rFonts w:hint="default" w:ascii="Times New Roman" w:hAnsi="Times New Roman" w:cs="Times New Roman"/>
                      <w:color w:val="auto"/>
                      <w:sz w:val="21"/>
                      <w:szCs w:val="21"/>
                      <w:highlight w:val="none"/>
                      <w:lang w:val="en-US" w:eastAsia="zh-CN"/>
                    </w:rPr>
                    <w:t>塑料制品制造</w:t>
                  </w:r>
                  <w:r>
                    <w:rPr>
                      <w:rFonts w:hint="default" w:ascii="Times New Roman" w:hAnsi="Times New Roman" w:cs="Times New Roman"/>
                      <w:color w:val="auto"/>
                      <w:sz w:val="21"/>
                      <w:szCs w:val="21"/>
                      <w:highlight w:val="none"/>
                    </w:rPr>
                    <w:t>”</w:t>
                  </w:r>
                </w:p>
              </w:tc>
              <w:tc>
                <w:tcPr>
                  <w:tcW w:w="799" w:type="pct"/>
                  <w:vMerge w:val="restart"/>
                  <w:tcBorders>
                    <w:top w:val="single" w:color="auto" w:sz="4" w:space="0"/>
                    <w:left w:val="single" w:color="auto" w:sz="4" w:space="0"/>
                  </w:tcBorders>
                  <w:noWrap w:val="0"/>
                  <w:vAlign w:val="center"/>
                </w:tcPr>
                <w:p w14:paraId="0A7AE9D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r>
            <w:tr w14:paraId="2521368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62" w:hRule="atLeast"/>
                <w:jc w:val="center"/>
              </w:trPr>
              <w:tc>
                <w:tcPr>
                  <w:tcW w:w="255" w:type="pct"/>
                  <w:vMerge w:val="continue"/>
                  <w:tcBorders>
                    <w:right w:val="single" w:color="auto" w:sz="4" w:space="0"/>
                  </w:tcBorders>
                  <w:noWrap w:val="0"/>
                  <w:vAlign w:val="center"/>
                </w:tcPr>
                <w:p w14:paraId="46C4042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auto"/>
                      <w:sz w:val="21"/>
                      <w:szCs w:val="21"/>
                      <w:highlight w:val="none"/>
                      <w:lang w:val="en-US" w:eastAsia="zh-CN"/>
                    </w:rPr>
                  </w:pPr>
                </w:p>
              </w:tc>
              <w:tc>
                <w:tcPr>
                  <w:tcW w:w="491" w:type="pct"/>
                  <w:vMerge w:val="continue"/>
                  <w:tcBorders>
                    <w:left w:val="single" w:color="auto" w:sz="4" w:space="0"/>
                    <w:right w:val="single" w:color="auto" w:sz="4" w:space="0"/>
                  </w:tcBorders>
                  <w:noWrap w:val="0"/>
                  <w:vAlign w:val="center"/>
                </w:tcPr>
                <w:p w14:paraId="4E9C8BE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641" w:type="pct"/>
                  <w:tcBorders>
                    <w:top w:val="single" w:color="auto" w:sz="4" w:space="0"/>
                    <w:left w:val="single" w:color="auto" w:sz="4" w:space="0"/>
                    <w:bottom w:val="single" w:color="auto" w:sz="4" w:space="0"/>
                    <w:right w:val="single" w:color="auto" w:sz="4" w:space="0"/>
                  </w:tcBorders>
                  <w:noWrap w:val="0"/>
                  <w:vAlign w:val="center"/>
                </w:tcPr>
                <w:p w14:paraId="1DC9327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20</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2812" w:type="pct"/>
                  <w:tcBorders>
                    <w:top w:val="single" w:color="auto" w:sz="4" w:space="0"/>
                    <w:left w:val="single" w:color="auto" w:sz="4" w:space="0"/>
                    <w:bottom w:val="single" w:color="auto" w:sz="4" w:space="0"/>
                  </w:tcBorders>
                  <w:noWrap w:val="0"/>
                  <w:vAlign w:val="center"/>
                </w:tcPr>
                <w:p w14:paraId="15C5793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eastAsia"/>
                      <w:color w:val="auto"/>
                      <w:sz w:val="21"/>
                      <w:szCs w:val="21"/>
                      <w:highlight w:val="none"/>
                    </w:rPr>
                    <w:t>《合成树脂工业污染物排放标准》（GB31572-2015</w:t>
                  </w:r>
                  <w:r>
                    <w:rPr>
                      <w:rFonts w:hint="eastAsia"/>
                      <w:color w:val="auto"/>
                      <w:sz w:val="21"/>
                      <w:szCs w:val="21"/>
                      <w:highlight w:val="none"/>
                      <w:lang w:eastAsia="zh-CN"/>
                    </w:rPr>
                    <w:t>，</w:t>
                  </w:r>
                  <w:r>
                    <w:rPr>
                      <w:rFonts w:hint="eastAsia"/>
                      <w:color w:val="auto"/>
                      <w:sz w:val="21"/>
                      <w:szCs w:val="21"/>
                      <w:highlight w:val="none"/>
                      <w:lang w:val="en-US" w:eastAsia="zh-CN"/>
                    </w:rPr>
                    <w:t>含2024年修改单</w:t>
                  </w:r>
                  <w:r>
                    <w:rPr>
                      <w:rFonts w:hint="eastAsia"/>
                      <w:color w:val="auto"/>
                      <w:sz w:val="21"/>
                      <w:szCs w:val="21"/>
                      <w:highlight w:val="none"/>
                      <w:lang w:eastAsia="zh-CN"/>
                    </w:rPr>
                    <w:t>）</w:t>
                  </w:r>
                </w:p>
              </w:tc>
              <w:tc>
                <w:tcPr>
                  <w:tcW w:w="799" w:type="pct"/>
                  <w:vMerge w:val="continue"/>
                  <w:tcBorders>
                    <w:left w:val="single" w:color="auto" w:sz="4" w:space="0"/>
                    <w:bottom w:val="single" w:color="auto" w:sz="4" w:space="0"/>
                  </w:tcBorders>
                  <w:noWrap w:val="0"/>
                  <w:vAlign w:val="center"/>
                </w:tcPr>
                <w:p w14:paraId="0FB18D8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r>
            <w:tr w14:paraId="7CBB28A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28" w:hRule="atLeast"/>
                <w:jc w:val="center"/>
              </w:trPr>
              <w:tc>
                <w:tcPr>
                  <w:tcW w:w="255" w:type="pct"/>
                  <w:vMerge w:val="continue"/>
                  <w:tcBorders>
                    <w:right w:val="single" w:color="auto" w:sz="4" w:space="0"/>
                  </w:tcBorders>
                  <w:noWrap w:val="0"/>
                  <w:vAlign w:val="center"/>
                </w:tcPr>
                <w:p w14:paraId="74F9898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p>
              </w:tc>
              <w:tc>
                <w:tcPr>
                  <w:tcW w:w="491" w:type="pct"/>
                  <w:vMerge w:val="continue"/>
                  <w:tcBorders>
                    <w:left w:val="single" w:color="auto" w:sz="4" w:space="0"/>
                    <w:bottom w:val="single" w:color="auto" w:sz="4" w:space="0"/>
                    <w:right w:val="single" w:color="auto" w:sz="4" w:space="0"/>
                  </w:tcBorders>
                  <w:noWrap w:val="0"/>
                  <w:vAlign w:val="center"/>
                </w:tcPr>
                <w:p w14:paraId="46223D8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641" w:type="pct"/>
                  <w:tcBorders>
                    <w:top w:val="single" w:color="auto" w:sz="4" w:space="0"/>
                    <w:left w:val="single" w:color="auto" w:sz="4" w:space="0"/>
                    <w:bottom w:val="single" w:color="auto" w:sz="4" w:space="0"/>
                    <w:right w:val="single" w:color="auto" w:sz="4" w:space="0"/>
                  </w:tcBorders>
                  <w:noWrap w:val="0"/>
                  <w:vAlign w:val="center"/>
                </w:tcPr>
                <w:p w14:paraId="481DEBF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6.5kg/h</w:t>
                  </w:r>
                </w:p>
              </w:tc>
              <w:tc>
                <w:tcPr>
                  <w:tcW w:w="2812" w:type="pct"/>
                  <w:tcBorders>
                    <w:top w:val="single" w:color="auto" w:sz="4" w:space="0"/>
                    <w:left w:val="single" w:color="auto" w:sz="4" w:space="0"/>
                    <w:bottom w:val="single" w:color="auto" w:sz="4" w:space="0"/>
                  </w:tcBorders>
                  <w:noWrap w:val="0"/>
                  <w:vAlign w:val="center"/>
                </w:tcPr>
                <w:p w14:paraId="2B8ACF9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《恶臭污染物排放标准》（GB14554-93）表2</w:t>
                  </w:r>
                </w:p>
              </w:tc>
              <w:tc>
                <w:tcPr>
                  <w:tcW w:w="799" w:type="pct"/>
                  <w:tcBorders>
                    <w:top w:val="single" w:color="auto" w:sz="4" w:space="0"/>
                    <w:left w:val="single" w:color="auto" w:sz="4" w:space="0"/>
                    <w:bottom w:val="single" w:color="auto" w:sz="4" w:space="0"/>
                  </w:tcBorders>
                  <w:noWrap w:val="0"/>
                  <w:vAlign w:val="center"/>
                </w:tcPr>
                <w:p w14:paraId="5EE0A2D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6.5kg/h</w:t>
                  </w:r>
                </w:p>
              </w:tc>
            </w:tr>
            <w:tr w14:paraId="4664719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39" w:hRule="atLeast"/>
                <w:jc w:val="center"/>
              </w:trPr>
              <w:tc>
                <w:tcPr>
                  <w:tcW w:w="255" w:type="pct"/>
                  <w:vMerge w:val="continue"/>
                  <w:tcBorders>
                    <w:right w:val="single" w:color="auto" w:sz="4" w:space="0"/>
                  </w:tcBorders>
                  <w:noWrap w:val="0"/>
                  <w:vAlign w:val="center"/>
                </w:tcPr>
                <w:p w14:paraId="28ACB7A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p>
              </w:tc>
              <w:tc>
                <w:tcPr>
                  <w:tcW w:w="491" w:type="pct"/>
                  <w:tcBorders>
                    <w:top w:val="single" w:color="auto" w:sz="4" w:space="0"/>
                    <w:left w:val="single" w:color="auto" w:sz="4" w:space="0"/>
                    <w:right w:val="single" w:color="auto" w:sz="4" w:space="0"/>
                  </w:tcBorders>
                  <w:noWrap w:val="0"/>
                  <w:vAlign w:val="center"/>
                </w:tcPr>
                <w:p w14:paraId="0883A31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厂界无组织</w:t>
                  </w:r>
                </w:p>
              </w:tc>
              <w:tc>
                <w:tcPr>
                  <w:tcW w:w="641" w:type="pct"/>
                  <w:tcBorders>
                    <w:top w:val="single" w:color="auto" w:sz="4" w:space="0"/>
                    <w:left w:val="single" w:color="auto" w:sz="4" w:space="0"/>
                    <w:right w:val="single" w:color="auto" w:sz="4" w:space="0"/>
                  </w:tcBorders>
                  <w:noWrap w:val="0"/>
                  <w:vAlign w:val="center"/>
                </w:tcPr>
                <w:p w14:paraId="7708247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5.0</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2812" w:type="pct"/>
                  <w:tcBorders>
                    <w:top w:val="single" w:color="auto" w:sz="4" w:space="0"/>
                    <w:left w:val="single" w:color="auto" w:sz="4" w:space="0"/>
                    <w:bottom w:val="single" w:color="auto" w:sz="4" w:space="0"/>
                  </w:tcBorders>
                  <w:noWrap w:val="0"/>
                  <w:vAlign w:val="center"/>
                </w:tcPr>
                <w:p w14:paraId="7A46CE3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《恶臭污染物排放标准》（GB14554-93）表1</w:t>
                  </w:r>
                </w:p>
              </w:tc>
              <w:tc>
                <w:tcPr>
                  <w:tcW w:w="799" w:type="pct"/>
                  <w:tcBorders>
                    <w:top w:val="single" w:color="auto" w:sz="4" w:space="0"/>
                    <w:left w:val="single" w:color="auto" w:sz="4" w:space="0"/>
                    <w:bottom w:val="single" w:color="auto" w:sz="4" w:space="0"/>
                  </w:tcBorders>
                  <w:noWrap w:val="0"/>
                  <w:vAlign w:val="center"/>
                </w:tcPr>
                <w:p w14:paraId="435A8DA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5.0</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r>
            <w:tr w14:paraId="5253360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255" w:type="pct"/>
                  <w:vMerge w:val="restart"/>
                  <w:tcBorders>
                    <w:top w:val="single" w:color="auto" w:sz="4" w:space="0"/>
                    <w:bottom w:val="single" w:color="auto" w:sz="4" w:space="0"/>
                    <w:right w:val="single" w:color="auto" w:sz="4" w:space="0"/>
                  </w:tcBorders>
                  <w:noWrap w:val="0"/>
                  <w:vAlign w:val="center"/>
                </w:tcPr>
                <w:p w14:paraId="565E5BB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臭气</w:t>
                  </w:r>
                </w:p>
                <w:p w14:paraId="2805A5C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浓度</w:t>
                  </w:r>
                </w:p>
              </w:tc>
              <w:tc>
                <w:tcPr>
                  <w:tcW w:w="491" w:type="pct"/>
                  <w:tcBorders>
                    <w:top w:val="single" w:color="auto" w:sz="4" w:space="0"/>
                    <w:left w:val="single" w:color="auto" w:sz="4" w:space="0"/>
                    <w:bottom w:val="single" w:color="auto" w:sz="4" w:space="0"/>
                    <w:right w:val="single" w:color="auto" w:sz="4" w:space="0"/>
                  </w:tcBorders>
                  <w:noWrap w:val="0"/>
                  <w:vAlign w:val="center"/>
                </w:tcPr>
                <w:p w14:paraId="1423744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15</w:t>
                  </w:r>
                  <w:r>
                    <w:rPr>
                      <w:rFonts w:hint="default" w:ascii="Times New Roman" w:hAnsi="Times New Roman" w:cs="Times New Roman"/>
                      <w:color w:val="auto"/>
                      <w:sz w:val="21"/>
                      <w:szCs w:val="21"/>
                      <w:highlight w:val="none"/>
                    </w:rPr>
                    <w:t>m排气筒</w:t>
                  </w:r>
                </w:p>
              </w:tc>
              <w:tc>
                <w:tcPr>
                  <w:tcW w:w="641" w:type="pct"/>
                  <w:tcBorders>
                    <w:top w:val="single" w:color="auto" w:sz="4" w:space="0"/>
                    <w:left w:val="single" w:color="auto" w:sz="4" w:space="0"/>
                    <w:bottom w:val="single" w:color="auto" w:sz="4" w:space="0"/>
                    <w:right w:val="single" w:color="auto" w:sz="4" w:space="0"/>
                  </w:tcBorders>
                  <w:noWrap w:val="0"/>
                  <w:vAlign w:val="center"/>
                </w:tcPr>
                <w:p w14:paraId="64C7537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000（无量纲）</w:t>
                  </w:r>
                </w:p>
              </w:tc>
              <w:tc>
                <w:tcPr>
                  <w:tcW w:w="2812" w:type="pct"/>
                  <w:tcBorders>
                    <w:top w:val="single" w:color="auto" w:sz="4" w:space="0"/>
                    <w:left w:val="single" w:color="auto" w:sz="4" w:space="0"/>
                    <w:bottom w:val="single" w:color="auto" w:sz="4" w:space="0"/>
                  </w:tcBorders>
                  <w:noWrap w:val="0"/>
                  <w:vAlign w:val="center"/>
                </w:tcPr>
                <w:p w14:paraId="49E05CD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《恶臭污染物排放标准》（GB14554-93）表2</w:t>
                  </w:r>
                </w:p>
              </w:tc>
              <w:tc>
                <w:tcPr>
                  <w:tcW w:w="799" w:type="pct"/>
                  <w:tcBorders>
                    <w:top w:val="single" w:color="auto" w:sz="4" w:space="0"/>
                    <w:left w:val="single" w:color="auto" w:sz="4" w:space="0"/>
                    <w:bottom w:val="single" w:color="auto" w:sz="4" w:space="0"/>
                  </w:tcBorders>
                  <w:noWrap w:val="0"/>
                  <w:vAlign w:val="center"/>
                </w:tcPr>
                <w:p w14:paraId="1C0DA1B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000（无量纲）</w:t>
                  </w:r>
                </w:p>
              </w:tc>
            </w:tr>
            <w:tr w14:paraId="0C368C5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255" w:type="pct"/>
                  <w:vMerge w:val="continue"/>
                  <w:tcBorders>
                    <w:top w:val="single" w:color="auto" w:sz="4" w:space="0"/>
                    <w:bottom w:val="single" w:color="auto" w:sz="4" w:space="0"/>
                    <w:right w:val="single" w:color="auto" w:sz="4" w:space="0"/>
                  </w:tcBorders>
                  <w:noWrap w:val="0"/>
                  <w:vAlign w:val="center"/>
                </w:tcPr>
                <w:p w14:paraId="0AA0AB9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491" w:type="pct"/>
                  <w:tcBorders>
                    <w:top w:val="single" w:color="auto" w:sz="4" w:space="0"/>
                    <w:left w:val="single" w:color="auto" w:sz="4" w:space="0"/>
                    <w:bottom w:val="single" w:color="auto" w:sz="4" w:space="0"/>
                    <w:right w:val="single" w:color="auto" w:sz="4" w:space="0"/>
                  </w:tcBorders>
                  <w:noWrap w:val="0"/>
                  <w:vAlign w:val="center"/>
                </w:tcPr>
                <w:p w14:paraId="046B718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厂界</w:t>
                  </w:r>
                </w:p>
                <w:p w14:paraId="3EC3368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无组织</w:t>
                  </w:r>
                </w:p>
              </w:tc>
              <w:tc>
                <w:tcPr>
                  <w:tcW w:w="641" w:type="pct"/>
                  <w:tcBorders>
                    <w:top w:val="single" w:color="auto" w:sz="4" w:space="0"/>
                    <w:left w:val="single" w:color="auto" w:sz="4" w:space="0"/>
                    <w:bottom w:val="single" w:color="auto" w:sz="4" w:space="0"/>
                    <w:right w:val="single" w:color="auto" w:sz="4" w:space="0"/>
                  </w:tcBorders>
                  <w:noWrap w:val="0"/>
                  <w:vAlign w:val="center"/>
                </w:tcPr>
                <w:p w14:paraId="3A2AE46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20（无量纲）</w:t>
                  </w:r>
                </w:p>
              </w:tc>
              <w:tc>
                <w:tcPr>
                  <w:tcW w:w="2812" w:type="pct"/>
                  <w:tcBorders>
                    <w:top w:val="single" w:color="auto" w:sz="4" w:space="0"/>
                    <w:left w:val="single" w:color="auto" w:sz="4" w:space="0"/>
                    <w:bottom w:val="single" w:color="auto" w:sz="4" w:space="0"/>
                  </w:tcBorders>
                  <w:noWrap w:val="0"/>
                  <w:vAlign w:val="center"/>
                </w:tcPr>
                <w:p w14:paraId="0DC53D7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《恶臭污染物排放标准》（GB14554-93）表1</w:t>
                  </w:r>
                </w:p>
              </w:tc>
              <w:tc>
                <w:tcPr>
                  <w:tcW w:w="799" w:type="pct"/>
                  <w:tcBorders>
                    <w:top w:val="single" w:color="auto" w:sz="4" w:space="0"/>
                    <w:left w:val="single" w:color="auto" w:sz="4" w:space="0"/>
                    <w:bottom w:val="single" w:color="auto" w:sz="4" w:space="0"/>
                  </w:tcBorders>
                  <w:noWrap w:val="0"/>
                  <w:vAlign w:val="center"/>
                </w:tcPr>
                <w:p w14:paraId="3ADE308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20（无量纲）</w:t>
                  </w:r>
                </w:p>
              </w:tc>
            </w:tr>
          </w:tbl>
          <w:p w14:paraId="434BBEB4">
            <w:pPr>
              <w:pStyle w:val="63"/>
              <w:keepNext w:val="0"/>
              <w:keepLines w:val="0"/>
              <w:pageBreakBefore w:val="0"/>
              <w:widowControl w:val="0"/>
              <w:numPr>
                <w:ilvl w:val="0"/>
                <w:numId w:val="22"/>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eastAsia="宋体"/>
                <w:color w:val="auto"/>
                <w:highlight w:val="none"/>
                <w:lang w:eastAsia="zh-CN"/>
              </w:rPr>
            </w:pPr>
            <w:r>
              <w:rPr>
                <w:rFonts w:hint="default" w:ascii="Times New Roman" w:hAnsi="Times New Roman" w:eastAsia="宋体" w:cs="Times New Roman"/>
                <w:color w:val="auto"/>
                <w:sz w:val="24"/>
                <w:szCs w:val="24"/>
                <w:highlight w:val="none"/>
                <w:lang w:val="en-US" w:eastAsia="zh-CN"/>
              </w:rPr>
              <w:t>噪声：厂界噪声执行《工业企业厂界环境噪声排放标准》（GB12348-2008）3类标准</w:t>
            </w:r>
            <w:r>
              <w:rPr>
                <w:rFonts w:hint="eastAsia" w:cs="Times New Roman"/>
                <w:color w:val="auto"/>
                <w:sz w:val="24"/>
                <w:szCs w:val="24"/>
                <w:highlight w:val="none"/>
                <w:lang w:val="en-US" w:eastAsia="zh-CN"/>
              </w:rPr>
              <w:t>：昼间65dB（A）、夜间55dB（A）</w:t>
            </w:r>
            <w:r>
              <w:rPr>
                <w:rFonts w:hint="default" w:ascii="Times New Roman" w:hAnsi="Times New Roman" w:eastAsia="宋体" w:cs="Times New Roman"/>
                <w:color w:val="auto"/>
                <w:sz w:val="24"/>
                <w:szCs w:val="24"/>
                <w:highlight w:val="none"/>
                <w:lang w:val="en-US" w:eastAsia="zh-CN"/>
              </w:rPr>
              <w:t>。</w:t>
            </w:r>
          </w:p>
          <w:p w14:paraId="11419CA1">
            <w:pPr>
              <w:pStyle w:val="63"/>
              <w:keepNext w:val="0"/>
              <w:keepLines w:val="0"/>
              <w:pageBreakBefore w:val="0"/>
              <w:widowControl w:val="0"/>
              <w:numPr>
                <w:ilvl w:val="0"/>
                <w:numId w:val="22"/>
              </w:numPr>
              <w:kinsoku/>
              <w:wordWrap/>
              <w:overflowPunct/>
              <w:topLinePunct w:val="0"/>
              <w:autoSpaceDE/>
              <w:autoSpaceDN/>
              <w:bidi w:val="0"/>
              <w:adjustRightInd/>
              <w:snapToGrid/>
              <w:spacing w:line="360" w:lineRule="auto"/>
              <w:ind w:left="0" w:leftChars="0" w:firstLine="480" w:firstLineChars="200"/>
              <w:jc w:val="left"/>
              <w:textAlignment w:val="auto"/>
              <w:rPr>
                <w:rFonts w:hint="default"/>
                <w:color w:val="auto"/>
                <w:sz w:val="24"/>
                <w:highlight w:val="none"/>
                <w:lang w:val="en-US" w:eastAsia="zh-CN"/>
              </w:rPr>
            </w:pPr>
            <w:r>
              <w:rPr>
                <w:rFonts w:hint="eastAsia" w:cs="Times New Roman"/>
                <w:color w:val="auto"/>
                <w:sz w:val="24"/>
                <w:szCs w:val="24"/>
                <w:highlight w:val="none"/>
                <w:lang w:val="en-US" w:eastAsia="zh-CN"/>
              </w:rPr>
              <w:t>固体废物：</w:t>
            </w:r>
            <w:r>
              <w:rPr>
                <w:rFonts w:hint="eastAsia"/>
                <w:color w:val="auto"/>
                <w:sz w:val="24"/>
                <w:highlight w:val="none"/>
              </w:rPr>
              <w:t>拟建项目</w:t>
            </w:r>
            <w:r>
              <w:rPr>
                <w:rFonts w:hint="default" w:ascii="Times New Roman" w:hAnsi="Times New Roman" w:eastAsia="宋体" w:cs="Times New Roman"/>
                <w:color w:val="auto"/>
                <w:kern w:val="0"/>
                <w:sz w:val="24"/>
                <w:szCs w:val="20"/>
                <w:highlight w:val="none"/>
                <w:lang w:val="en-US" w:eastAsia="zh-CN" w:bidi="ar-SA"/>
              </w:rPr>
              <w:t>一般工业固废处置参照执行《一般工业固体废物贮存和填埋污染控制标准》（GB18599-2020）相关标准要求</w:t>
            </w:r>
            <w:r>
              <w:rPr>
                <w:rFonts w:hint="eastAsia"/>
                <w:color w:val="auto"/>
                <w:sz w:val="24"/>
                <w:highlight w:val="none"/>
              </w:rPr>
              <w:t>；</w:t>
            </w:r>
            <w:r>
              <w:rPr>
                <w:color w:val="auto"/>
                <w:sz w:val="24"/>
                <w:highlight w:val="none"/>
              </w:rPr>
              <w:t>危险废物执行《危险废物贮存污染控制标准》（GB18597-20</w:t>
            </w:r>
            <w:r>
              <w:rPr>
                <w:rFonts w:hint="eastAsia"/>
                <w:color w:val="auto"/>
                <w:sz w:val="24"/>
                <w:highlight w:val="none"/>
                <w:lang w:val="en-US" w:eastAsia="zh-CN"/>
              </w:rPr>
              <w:t>23</w:t>
            </w:r>
            <w:r>
              <w:rPr>
                <w:color w:val="auto"/>
                <w:sz w:val="24"/>
                <w:highlight w:val="none"/>
              </w:rPr>
              <w:t>）规定；</w:t>
            </w:r>
            <w:r>
              <w:rPr>
                <w:rFonts w:hint="eastAsia"/>
                <w:color w:val="auto"/>
                <w:sz w:val="24"/>
                <w:highlight w:val="none"/>
              </w:rPr>
              <w:t>生活垃圾处置执行《中华人民共和国固体废物污染环境防治法》“第三节生活垃圾污染环境的防治”的规定。</w:t>
            </w:r>
          </w:p>
        </w:tc>
      </w:tr>
      <w:tr w14:paraId="2F0E44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3" w:type="dxa"/>
            <w:tcBorders>
              <w:top w:val="single" w:color="auto" w:sz="8" w:space="0"/>
              <w:bottom w:val="single" w:color="auto" w:sz="8" w:space="0"/>
              <w:right w:val="single" w:color="000000" w:sz="4" w:space="0"/>
            </w:tcBorders>
            <w:noWrap w:val="0"/>
            <w:vAlign w:val="center"/>
          </w:tcPr>
          <w:p w14:paraId="0E6680A2">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kern w:val="0"/>
                <w:sz w:val="24"/>
                <w:highlight w:val="none"/>
              </w:rPr>
              <w:t>总量控制</w:t>
            </w:r>
          </w:p>
          <w:p w14:paraId="49D516EC">
            <w:pPr>
              <w:keepLines w:val="0"/>
              <w:pageBreakBefore w:val="0"/>
              <w:widowControl w:val="0"/>
              <w:kinsoku/>
              <w:wordWrap/>
              <w:overflowPunct/>
              <w:topLinePunct w:val="0"/>
              <w:bidi w:val="0"/>
              <w:adjustRightInd w:val="0"/>
              <w:snapToGrid w:val="0"/>
              <w:jc w:val="center"/>
              <w:textAlignment w:val="auto"/>
              <w:rPr>
                <w:color w:val="auto"/>
                <w:kern w:val="0"/>
                <w:sz w:val="24"/>
                <w:highlight w:val="none"/>
              </w:rPr>
            </w:pPr>
            <w:r>
              <w:rPr>
                <w:color w:val="auto"/>
                <w:kern w:val="0"/>
                <w:sz w:val="24"/>
                <w:highlight w:val="none"/>
              </w:rPr>
              <w:t>指标</w:t>
            </w:r>
          </w:p>
        </w:tc>
        <w:tc>
          <w:tcPr>
            <w:tcW w:w="8528" w:type="dxa"/>
            <w:tcBorders>
              <w:top w:val="single" w:color="auto" w:sz="8" w:space="0"/>
              <w:left w:val="single" w:color="000000" w:sz="4" w:space="0"/>
              <w:bottom w:val="single" w:color="auto" w:sz="8" w:space="0"/>
              <w:right w:val="single" w:color="auto" w:sz="8" w:space="0"/>
            </w:tcBorders>
            <w:noWrap w:val="0"/>
            <w:vAlign w:val="center"/>
          </w:tcPr>
          <w:p w14:paraId="11F13BDD">
            <w:pPr>
              <w:pStyle w:val="109"/>
              <w:keepNext w:val="0"/>
              <w:keepLines w:val="0"/>
              <w:pageBreakBefore w:val="0"/>
              <w:widowControl w:val="0"/>
              <w:kinsoku/>
              <w:wordWrap/>
              <w:overflowPunct/>
              <w:topLinePunct w:val="0"/>
              <w:autoSpaceDE/>
              <w:autoSpaceDN/>
              <w:bidi w:val="0"/>
              <w:adjustRightInd w:val="0"/>
              <w:snapToGrid w:val="0"/>
              <w:spacing w:before="0" w:beforeLines="0" w:line="360" w:lineRule="auto"/>
              <w:ind w:firstLine="480" w:firstLineChars="200"/>
              <w:textAlignment w:val="auto"/>
              <w:rPr>
                <w:rFonts w:hint="default" w:ascii="Times New Roman" w:hAnsi="Times New Roman" w:eastAsia="宋体" w:cs="Times New Roman"/>
                <w:color w:val="auto"/>
                <w:kern w:val="0"/>
                <w:sz w:val="24"/>
                <w:szCs w:val="24"/>
                <w:highlight w:val="none"/>
                <w:lang w:val="en-US" w:eastAsia="zh-CN" w:bidi="ar-SA"/>
              </w:rPr>
            </w:pPr>
            <w:r>
              <w:rPr>
                <w:rFonts w:hint="eastAsia" w:cs="Times New Roman"/>
                <w:color w:val="auto"/>
                <w:kern w:val="0"/>
                <w:sz w:val="24"/>
                <w:szCs w:val="24"/>
                <w:highlight w:val="none"/>
                <w:lang w:val="en-US" w:eastAsia="zh-CN" w:bidi="ar-SA"/>
              </w:rPr>
              <w:t>一、废气总量控制指标</w:t>
            </w:r>
          </w:p>
          <w:p w14:paraId="0F875530">
            <w:pPr>
              <w:keepNext w:val="0"/>
              <w:keepLines w:val="0"/>
              <w:pageBreakBefore w:val="0"/>
              <w:widowControl w:val="0"/>
              <w:suppressLineNumbers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kern w:val="2"/>
                <w:sz w:val="24"/>
                <w:szCs w:val="24"/>
                <w:highlight w:val="none"/>
                <w:lang w:val="en-US" w:eastAsia="zh-CN" w:bidi="ar-SA"/>
              </w:rPr>
            </w:pPr>
            <w:r>
              <w:rPr>
                <w:rFonts w:hint="eastAsia" w:cs="Times New Roman"/>
                <w:color w:val="auto"/>
                <w:kern w:val="0"/>
                <w:sz w:val="24"/>
                <w:szCs w:val="24"/>
                <w:highlight w:val="none"/>
                <w:lang w:val="en-US" w:eastAsia="zh-CN" w:bidi="ar-SA"/>
              </w:rPr>
              <w:t>项目使用</w:t>
            </w:r>
            <w:r>
              <w:rPr>
                <w:rFonts w:hint="eastAsia" w:cs="Times New Roman"/>
                <w:color w:val="auto"/>
                <w:kern w:val="2"/>
                <w:sz w:val="24"/>
                <w:szCs w:val="24"/>
                <w:highlight w:val="none"/>
                <w:lang w:val="en-US" w:eastAsia="zh-CN" w:bidi="ar-SA"/>
              </w:rPr>
              <w:t>石家庄玉晶玻璃有限公司产生的蒸汽</w:t>
            </w:r>
            <w:r>
              <w:rPr>
                <w:rFonts w:hint="eastAsia" w:ascii="Times New Roman" w:hAnsi="Times New Roman" w:eastAsia="宋体" w:cs="Times New Roman"/>
                <w:color w:val="auto"/>
                <w:kern w:val="2"/>
                <w:sz w:val="24"/>
                <w:szCs w:val="24"/>
                <w:highlight w:val="none"/>
                <w:lang w:val="en-US" w:eastAsia="zh-CN" w:bidi="ar-SA"/>
              </w:rPr>
              <w:t>做热源，不涉及燃煤、天然气等能源，</w:t>
            </w:r>
            <w:r>
              <w:rPr>
                <w:rFonts w:hint="eastAsia" w:cs="Times New Roman"/>
                <w:color w:val="auto"/>
                <w:kern w:val="2"/>
                <w:sz w:val="24"/>
                <w:szCs w:val="24"/>
                <w:highlight w:val="none"/>
                <w:lang w:val="en-US" w:eastAsia="zh-CN" w:bidi="ar-SA"/>
              </w:rPr>
              <w:t>不涉及焚烧设施，故项目</w:t>
            </w:r>
            <w:r>
              <w:rPr>
                <w:rFonts w:hint="eastAsia" w:ascii="Times New Roman" w:hAnsi="Times New Roman" w:eastAsia="宋体" w:cs="Times New Roman"/>
                <w:color w:val="auto"/>
                <w:kern w:val="2"/>
                <w:sz w:val="24"/>
                <w:szCs w:val="24"/>
                <w:highlight w:val="none"/>
                <w:lang w:val="en-US" w:eastAsia="zh-CN" w:bidi="ar-SA"/>
              </w:rPr>
              <w:t>不产生SO</w:t>
            </w:r>
            <w:r>
              <w:rPr>
                <w:rFonts w:hint="eastAsia" w:ascii="Times New Roman" w:hAnsi="Times New Roman" w:eastAsia="宋体" w:cs="Times New Roman"/>
                <w:color w:val="auto"/>
                <w:kern w:val="2"/>
                <w:sz w:val="24"/>
                <w:szCs w:val="24"/>
                <w:highlight w:val="none"/>
                <w:vertAlign w:val="subscript"/>
                <w:lang w:val="en-US" w:eastAsia="zh-CN" w:bidi="ar-SA"/>
              </w:rPr>
              <w:t>2</w:t>
            </w:r>
            <w:r>
              <w:rPr>
                <w:rFonts w:hint="eastAsia" w:ascii="Times New Roman" w:hAnsi="Times New Roman" w:eastAsia="宋体" w:cs="Times New Roman"/>
                <w:color w:val="auto"/>
                <w:kern w:val="2"/>
                <w:sz w:val="24"/>
                <w:szCs w:val="24"/>
                <w:highlight w:val="none"/>
                <w:lang w:val="en-US" w:eastAsia="zh-CN" w:bidi="ar-SA"/>
              </w:rPr>
              <w:t>、NOx排放。</w:t>
            </w:r>
          </w:p>
          <w:p w14:paraId="0FFFAB6C">
            <w:pPr>
              <w:keepNext w:val="0"/>
              <w:keepLines w:val="0"/>
              <w:pageBreakBefore w:val="0"/>
              <w:widowControl w:val="0"/>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cs="Times New Roman"/>
                <w:color w:val="auto"/>
                <w:sz w:val="24"/>
                <w:szCs w:val="24"/>
                <w:highlight w:val="none"/>
                <w:lang w:val="en-US" w:eastAsia="zh-CN"/>
              </w:rPr>
            </w:pPr>
            <w:r>
              <w:rPr>
                <w:rFonts w:hint="eastAsia" w:ascii="Times New Roman" w:hAnsi="Times New Roman" w:eastAsia="宋体" w:cs="Times New Roman"/>
                <w:color w:val="auto"/>
                <w:kern w:val="2"/>
                <w:sz w:val="24"/>
                <w:szCs w:val="24"/>
                <w:highlight w:val="none"/>
                <w:lang w:val="en-US" w:eastAsia="zh-CN" w:bidi="ar-SA"/>
              </w:rPr>
              <w:t>项目聚苯乙烯发泡、成型工序及</w:t>
            </w:r>
            <w:r>
              <w:rPr>
                <w:rFonts w:hint="eastAsia" w:cs="Times New Roman"/>
                <w:color w:val="auto"/>
                <w:kern w:val="2"/>
                <w:sz w:val="24"/>
                <w:szCs w:val="24"/>
                <w:highlight w:val="none"/>
                <w:lang w:val="en-US" w:eastAsia="zh-CN" w:bidi="ar-SA"/>
              </w:rPr>
              <w:t>切割</w:t>
            </w:r>
            <w:r>
              <w:rPr>
                <w:rFonts w:hint="eastAsia" w:ascii="Times New Roman" w:hAnsi="Times New Roman" w:eastAsia="宋体" w:cs="Times New Roman"/>
                <w:color w:val="auto"/>
                <w:kern w:val="2"/>
                <w:sz w:val="24"/>
                <w:szCs w:val="24"/>
                <w:highlight w:val="none"/>
                <w:lang w:val="en-US" w:eastAsia="zh-CN" w:bidi="ar-SA"/>
              </w:rPr>
              <w:t>工序产生非甲烷总烃、苯乙烯</w:t>
            </w:r>
            <w:r>
              <w:rPr>
                <w:rFonts w:hint="eastAsia" w:cs="Times New Roman"/>
                <w:color w:val="auto"/>
                <w:kern w:val="2"/>
                <w:sz w:val="24"/>
                <w:szCs w:val="24"/>
                <w:highlight w:val="none"/>
                <w:lang w:val="en-US" w:eastAsia="zh-CN" w:bidi="ar-SA"/>
              </w:rPr>
              <w:t>废气</w:t>
            </w:r>
            <w:r>
              <w:rPr>
                <w:rFonts w:hint="eastAsia" w:ascii="Times New Roman" w:hAnsi="Times New Roman" w:eastAsia="宋体" w:cs="Times New Roman"/>
                <w:color w:val="auto"/>
                <w:kern w:val="2"/>
                <w:sz w:val="24"/>
                <w:szCs w:val="24"/>
                <w:highlight w:val="none"/>
                <w:lang w:val="en-US" w:eastAsia="zh-CN" w:bidi="ar-SA"/>
              </w:rPr>
              <w:t>经</w:t>
            </w:r>
            <w:r>
              <w:rPr>
                <w:rFonts w:hint="eastAsia"/>
                <w:color w:val="auto"/>
                <w:sz w:val="24"/>
                <w:szCs w:val="24"/>
                <w:highlight w:val="none"/>
                <w:lang w:val="en-US" w:eastAsia="zh-CN"/>
              </w:rPr>
              <w:t>“</w:t>
            </w:r>
            <w:r>
              <w:rPr>
                <w:rFonts w:hint="eastAsia" w:ascii="Times New Roman" w:hAnsi="Times New Roman" w:eastAsia="宋体" w:cs="Times New Roman"/>
                <w:color w:val="auto"/>
                <w:sz w:val="24"/>
                <w:szCs w:val="24"/>
                <w:highlight w:val="none"/>
                <w:lang w:val="en-US" w:eastAsia="zh-CN"/>
              </w:rPr>
              <w:t>活性炭吸附</w:t>
            </w:r>
            <w:r>
              <w:rPr>
                <w:rFonts w:hint="eastAsia"/>
                <w:color w:val="auto"/>
                <w:sz w:val="24"/>
                <w:szCs w:val="24"/>
                <w:highlight w:val="none"/>
                <w:lang w:val="en-US" w:eastAsia="zh-CN"/>
              </w:rPr>
              <w:t>“</w:t>
            </w:r>
            <w:r>
              <w:rPr>
                <w:rFonts w:hint="eastAsia" w:cs="Times New Roman"/>
                <w:color w:val="auto"/>
                <w:sz w:val="24"/>
                <w:szCs w:val="24"/>
                <w:highlight w:val="none"/>
                <w:lang w:val="en-US" w:eastAsia="zh-CN"/>
              </w:rPr>
              <w:t>TA001</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处理后经15m高排气筒DA001排放；活性炭脱附再生，脱附废气采用催化燃烧装置TA002</w:t>
            </w:r>
            <w:r>
              <w:rPr>
                <w:rFonts w:hint="default" w:cs="Times New Roman"/>
                <w:color w:val="auto"/>
                <w:sz w:val="24"/>
                <w:szCs w:val="24"/>
                <w:highlight w:val="none"/>
                <w:lang w:val="en-US" w:eastAsia="zh-CN"/>
              </w:rPr>
              <w:t>”</w:t>
            </w:r>
            <w:r>
              <w:rPr>
                <w:rFonts w:hint="eastAsia" w:cs="Times New Roman"/>
                <w:color w:val="auto"/>
                <w:sz w:val="24"/>
                <w:szCs w:val="24"/>
                <w:highlight w:val="none"/>
                <w:lang w:val="en-US" w:eastAsia="zh-CN"/>
              </w:rPr>
              <w:t>处理后经15m高排气筒DA001排放。</w:t>
            </w:r>
          </w:p>
          <w:p w14:paraId="48D96DED">
            <w:pPr>
              <w:keepNext w:val="0"/>
              <w:keepLines w:val="0"/>
              <w:pageBreakBefore w:val="0"/>
              <w:widowControl w:val="0"/>
              <w:suppressLineNumbers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依据工程分析及环境影响分析</w:t>
            </w:r>
            <w:r>
              <w:rPr>
                <w:rFonts w:hint="eastAsia" w:cs="Times New Roman"/>
                <w:color w:val="auto"/>
                <w:kern w:val="2"/>
                <w:sz w:val="24"/>
                <w:szCs w:val="24"/>
                <w:highlight w:val="none"/>
                <w:lang w:val="en-US" w:eastAsia="zh-CN" w:bidi="ar-SA"/>
              </w:rPr>
              <w:t>：</w:t>
            </w:r>
            <w:r>
              <w:rPr>
                <w:rFonts w:hint="eastAsia" w:ascii="Times New Roman" w:hAnsi="Times New Roman" w:eastAsia="宋体" w:cs="Times New Roman"/>
                <w:color w:val="auto"/>
                <w:kern w:val="2"/>
                <w:sz w:val="24"/>
                <w:szCs w:val="24"/>
                <w:highlight w:val="none"/>
                <w:lang w:val="en-US" w:eastAsia="zh-CN" w:bidi="ar-SA"/>
              </w:rPr>
              <w:t>非甲烷总烃排放量为</w:t>
            </w:r>
            <w:r>
              <w:rPr>
                <w:rFonts w:hint="eastAsia" w:cs="Times New Roman"/>
                <w:color w:val="auto"/>
                <w:kern w:val="2"/>
                <w:sz w:val="24"/>
                <w:szCs w:val="24"/>
                <w:highlight w:val="none"/>
                <w:lang w:val="en-US" w:eastAsia="zh-CN" w:bidi="ar-SA"/>
              </w:rPr>
              <w:t>1.542</w:t>
            </w:r>
            <w:r>
              <w:rPr>
                <w:rFonts w:hint="eastAsia" w:ascii="Times New Roman" w:hAnsi="Times New Roman" w:eastAsia="宋体" w:cs="Times New Roman"/>
                <w:color w:val="auto"/>
                <w:kern w:val="2"/>
                <w:sz w:val="24"/>
                <w:szCs w:val="24"/>
                <w:highlight w:val="none"/>
                <w:lang w:val="en-US" w:eastAsia="zh-CN" w:bidi="ar-SA"/>
              </w:rPr>
              <w:t>t/a、苯乙烯排放量为</w:t>
            </w:r>
            <w:r>
              <w:rPr>
                <w:rFonts w:hint="eastAsia" w:cs="Times New Roman"/>
                <w:color w:val="auto"/>
                <w:sz w:val="24"/>
                <w:szCs w:val="24"/>
                <w:highlight w:val="none"/>
                <w:lang w:val="en-US" w:eastAsia="zh-CN"/>
              </w:rPr>
              <w:t>0.026</w:t>
            </w:r>
            <w:r>
              <w:rPr>
                <w:rFonts w:hint="eastAsia" w:ascii="Times New Roman" w:hAnsi="Times New Roman" w:eastAsia="宋体" w:cs="Times New Roman"/>
                <w:color w:val="auto"/>
                <w:kern w:val="2"/>
                <w:sz w:val="24"/>
                <w:szCs w:val="24"/>
                <w:highlight w:val="none"/>
                <w:lang w:val="en-US" w:eastAsia="zh-CN" w:bidi="ar-SA"/>
              </w:rPr>
              <w:t>t/a。</w:t>
            </w:r>
          </w:p>
          <w:p w14:paraId="3FBAADD5">
            <w:pPr>
              <w:keepNext w:val="0"/>
              <w:keepLines w:val="0"/>
              <w:pageBreakBefore w:val="0"/>
              <w:widowControl w:val="0"/>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kern w:val="0"/>
                <w:sz w:val="24"/>
                <w:szCs w:val="24"/>
                <w:highlight w:val="none"/>
                <w:lang w:val="en-US" w:eastAsia="zh-CN" w:bidi="ar-SA"/>
              </w:rPr>
            </w:pPr>
            <w:r>
              <w:rPr>
                <w:rFonts w:hint="eastAsia" w:cs="Times New Roman"/>
                <w:color w:val="auto"/>
                <w:kern w:val="0"/>
                <w:sz w:val="24"/>
                <w:szCs w:val="24"/>
                <w:highlight w:val="none"/>
                <w:lang w:val="en-US" w:eastAsia="zh-CN" w:bidi="ar-SA"/>
              </w:rPr>
              <w:t>二、废水总量控制指标</w:t>
            </w:r>
          </w:p>
          <w:p w14:paraId="43C0801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ascii="Times New Roman" w:hAnsi="Times New Roman" w:eastAsia="宋体" w:cs="Times New Roman"/>
                <w:color w:val="auto"/>
                <w:sz w:val="24"/>
                <w:highlight w:val="none"/>
              </w:rPr>
              <w:t>本项目</w:t>
            </w:r>
            <w:r>
              <w:rPr>
                <w:rFonts w:hint="eastAsia" w:eastAsia="宋体" w:cs="Times New Roman"/>
                <w:color w:val="auto"/>
                <w:sz w:val="24"/>
                <w:highlight w:val="none"/>
                <w:lang w:val="en-US" w:eastAsia="zh-CN"/>
              </w:rPr>
              <w:t>无生产废水外排，仅职工生活废水。盥洗废水泼洒抑尘、</w:t>
            </w:r>
            <w:r>
              <w:rPr>
                <w:rFonts w:ascii="Times New Roman" w:hAnsi="Times New Roman" w:eastAsia="宋体" w:cs="Times New Roman"/>
                <w:color w:val="auto"/>
                <w:sz w:val="24"/>
                <w:highlight w:val="none"/>
              </w:rPr>
              <w:t>厂区设防渗旱厕，定期清掏，不外排。</w:t>
            </w:r>
            <w:r>
              <w:rPr>
                <w:rFonts w:hint="eastAsia" w:eastAsia="宋体" w:cs="Times New Roman"/>
                <w:color w:val="auto"/>
                <w:sz w:val="24"/>
                <w:highlight w:val="none"/>
                <w:lang w:val="en-US" w:eastAsia="zh-CN"/>
              </w:rPr>
              <w:t>项目不涉及</w:t>
            </w:r>
            <w:r>
              <w:rPr>
                <w:rFonts w:hint="default" w:ascii="Times New Roman" w:hAnsi="Times New Roman" w:eastAsia="宋体" w:cs="Times New Roman"/>
                <w:i w:val="0"/>
                <w:iCs w:val="0"/>
                <w:color w:val="auto"/>
                <w:sz w:val="24"/>
                <w:szCs w:val="24"/>
                <w:highlight w:val="none"/>
                <w:lang w:val="en-US" w:eastAsia="zh-CN"/>
              </w:rPr>
              <w:t>COD</w:t>
            </w:r>
            <w:r>
              <w:rPr>
                <w:rFonts w:hint="eastAsia" w:eastAsia="宋体" w:cs="Times New Roman"/>
                <w:i w:val="0"/>
                <w:iCs w:val="0"/>
                <w:color w:val="auto"/>
                <w:sz w:val="24"/>
                <w:szCs w:val="24"/>
                <w:highlight w:val="none"/>
                <w:lang w:val="en-US" w:eastAsia="zh-CN"/>
              </w:rPr>
              <w:t>、</w:t>
            </w:r>
            <w:r>
              <w:rPr>
                <w:rFonts w:hint="default" w:ascii="Times New Roman" w:hAnsi="Times New Roman" w:eastAsia="宋体" w:cs="Times New Roman"/>
                <w:i w:val="0"/>
                <w:iCs w:val="0"/>
                <w:color w:val="auto"/>
                <w:sz w:val="24"/>
                <w:szCs w:val="24"/>
                <w:highlight w:val="none"/>
                <w:lang w:val="en-US" w:eastAsia="zh-CN"/>
              </w:rPr>
              <w:t>NH</w:t>
            </w:r>
            <w:r>
              <w:rPr>
                <w:rFonts w:hint="default" w:ascii="Times New Roman" w:hAnsi="Times New Roman" w:eastAsia="宋体" w:cs="Times New Roman"/>
                <w:i w:val="0"/>
                <w:iCs w:val="0"/>
                <w:color w:val="auto"/>
                <w:sz w:val="24"/>
                <w:szCs w:val="24"/>
                <w:highlight w:val="none"/>
                <w:vertAlign w:val="subscript"/>
                <w:lang w:val="en-US" w:eastAsia="zh-CN"/>
              </w:rPr>
              <w:t>3</w:t>
            </w:r>
            <w:r>
              <w:rPr>
                <w:rFonts w:hint="default" w:ascii="Times New Roman" w:hAnsi="Times New Roman" w:eastAsia="宋体" w:cs="Times New Roman"/>
                <w:i w:val="0"/>
                <w:iCs w:val="0"/>
                <w:color w:val="auto"/>
                <w:sz w:val="24"/>
                <w:szCs w:val="24"/>
                <w:highlight w:val="none"/>
                <w:lang w:val="en-US" w:eastAsia="zh-CN"/>
              </w:rPr>
              <w:t>-N</w:t>
            </w:r>
            <w:r>
              <w:rPr>
                <w:rFonts w:hint="eastAsia" w:eastAsia="宋体" w:cs="Times New Roman"/>
                <w:i w:val="0"/>
                <w:iCs w:val="0"/>
                <w:color w:val="auto"/>
                <w:sz w:val="24"/>
                <w:szCs w:val="24"/>
                <w:highlight w:val="none"/>
                <w:lang w:val="en-US" w:eastAsia="zh-CN"/>
              </w:rPr>
              <w:t>排放</w:t>
            </w:r>
            <w:r>
              <w:rPr>
                <w:rFonts w:hint="eastAsia" w:eastAsia="宋体" w:cs="Times New Roman"/>
                <w:color w:val="auto"/>
                <w:kern w:val="2"/>
                <w:sz w:val="24"/>
                <w:szCs w:val="24"/>
                <w:highlight w:val="none"/>
                <w:lang w:val="en-US" w:eastAsia="zh-CN" w:bidi="ar-SA"/>
              </w:rPr>
              <w:t>。</w:t>
            </w:r>
          </w:p>
          <w:p w14:paraId="3B91A94E">
            <w:pPr>
              <w:keepNext w:val="0"/>
              <w:keepLines w:val="0"/>
              <w:pageBreakBefore w:val="0"/>
              <w:widowControl w:val="0"/>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color w:val="auto"/>
                <w:kern w:val="0"/>
                <w:sz w:val="24"/>
                <w:highlight w:val="none"/>
                <w:lang w:val="en-US"/>
              </w:rPr>
            </w:pPr>
            <w:r>
              <w:rPr>
                <w:rFonts w:hint="default" w:ascii="Times New Roman" w:hAnsi="Times New Roman" w:cs="Times New Roman"/>
                <w:color w:val="auto"/>
                <w:sz w:val="24"/>
                <w:szCs w:val="24"/>
                <w:highlight w:val="none"/>
                <w:lang w:val="en-US" w:eastAsia="zh-CN"/>
              </w:rPr>
              <w:t>根据上述，建议项目总量控制指标为：</w:t>
            </w:r>
            <w:r>
              <w:rPr>
                <w:rFonts w:hint="default" w:ascii="Times New Roman" w:hAnsi="Times New Roman" w:eastAsia="宋体" w:cs="Times New Roman"/>
                <w:i w:val="0"/>
                <w:iCs w:val="0"/>
                <w:color w:val="auto"/>
                <w:sz w:val="24"/>
                <w:szCs w:val="24"/>
                <w:highlight w:val="none"/>
                <w:lang w:val="en-US" w:eastAsia="zh-CN"/>
              </w:rPr>
              <w:t>COD</w:t>
            </w:r>
            <w:r>
              <w:rPr>
                <w:rFonts w:hint="default" w:ascii="Times New Roman" w:hAnsi="Times New Roman" w:eastAsia="宋体" w:cs="Times New Roman"/>
                <w:i w:val="0"/>
                <w:iCs w:val="0"/>
                <w:color w:val="auto"/>
                <w:sz w:val="24"/>
                <w:szCs w:val="24"/>
                <w:highlight w:val="none"/>
                <w:vertAlign w:val="baseline"/>
                <w:lang w:val="en-US" w:eastAsia="zh-CN"/>
              </w:rPr>
              <w:t>：</w:t>
            </w:r>
            <w:r>
              <w:rPr>
                <w:rFonts w:hint="eastAsia" w:cs="Times New Roman"/>
                <w:i w:val="0"/>
                <w:iCs w:val="0"/>
                <w:color w:val="auto"/>
                <w:sz w:val="24"/>
                <w:szCs w:val="24"/>
                <w:highlight w:val="none"/>
                <w:vertAlign w:val="baseline"/>
                <w:lang w:val="en-US" w:eastAsia="zh-CN"/>
              </w:rPr>
              <w:t>0</w:t>
            </w:r>
            <w:r>
              <w:rPr>
                <w:rFonts w:hint="default" w:ascii="Times New Roman" w:hAnsi="Times New Roman" w:eastAsia="宋体" w:cs="Times New Roman"/>
                <w:i w:val="0"/>
                <w:iCs w:val="0"/>
                <w:color w:val="auto"/>
                <w:sz w:val="24"/>
                <w:szCs w:val="24"/>
                <w:highlight w:val="none"/>
                <w:vertAlign w:val="baseline"/>
                <w:lang w:val="en-US" w:eastAsia="zh-CN"/>
              </w:rPr>
              <w:t>t/a</w:t>
            </w:r>
            <w:r>
              <w:rPr>
                <w:rFonts w:hint="eastAsia" w:cs="Times New Roman"/>
                <w:i w:val="0"/>
                <w:iCs w:val="0"/>
                <w:color w:val="auto"/>
                <w:sz w:val="24"/>
                <w:szCs w:val="24"/>
                <w:highlight w:val="none"/>
                <w:lang w:val="en-US" w:eastAsia="zh-CN"/>
              </w:rPr>
              <w:t>；</w:t>
            </w:r>
            <w:r>
              <w:rPr>
                <w:rFonts w:hint="default" w:ascii="Times New Roman" w:hAnsi="Times New Roman" w:eastAsia="宋体" w:cs="Times New Roman"/>
                <w:i w:val="0"/>
                <w:iCs w:val="0"/>
                <w:color w:val="auto"/>
                <w:sz w:val="24"/>
                <w:szCs w:val="24"/>
                <w:highlight w:val="none"/>
                <w:lang w:val="en-US" w:eastAsia="zh-CN"/>
              </w:rPr>
              <w:t>NH</w:t>
            </w:r>
            <w:r>
              <w:rPr>
                <w:rFonts w:hint="default" w:ascii="Times New Roman" w:hAnsi="Times New Roman" w:eastAsia="宋体" w:cs="Times New Roman"/>
                <w:i w:val="0"/>
                <w:iCs w:val="0"/>
                <w:color w:val="auto"/>
                <w:sz w:val="24"/>
                <w:szCs w:val="24"/>
                <w:highlight w:val="none"/>
                <w:vertAlign w:val="subscript"/>
                <w:lang w:val="en-US" w:eastAsia="zh-CN"/>
              </w:rPr>
              <w:t>3</w:t>
            </w:r>
            <w:r>
              <w:rPr>
                <w:rFonts w:hint="default" w:ascii="Times New Roman" w:hAnsi="Times New Roman" w:eastAsia="宋体" w:cs="Times New Roman"/>
                <w:i w:val="0"/>
                <w:iCs w:val="0"/>
                <w:color w:val="auto"/>
                <w:sz w:val="24"/>
                <w:szCs w:val="24"/>
                <w:highlight w:val="none"/>
                <w:lang w:val="en-US" w:eastAsia="zh-CN"/>
              </w:rPr>
              <w:t>-N</w:t>
            </w:r>
            <w:r>
              <w:rPr>
                <w:rFonts w:hint="default" w:ascii="Times New Roman" w:hAnsi="Times New Roman" w:eastAsia="宋体" w:cs="Times New Roman"/>
                <w:i w:val="0"/>
                <w:iCs w:val="0"/>
                <w:color w:val="auto"/>
                <w:sz w:val="24"/>
                <w:szCs w:val="24"/>
                <w:highlight w:val="none"/>
                <w:vertAlign w:val="baseline"/>
                <w:lang w:val="en-US" w:eastAsia="zh-CN"/>
              </w:rPr>
              <w:t>：</w:t>
            </w:r>
            <w:r>
              <w:rPr>
                <w:rFonts w:hint="eastAsia" w:cs="Times New Roman"/>
                <w:i w:val="0"/>
                <w:color w:val="auto"/>
                <w:kern w:val="0"/>
                <w:sz w:val="24"/>
                <w:szCs w:val="24"/>
                <w:highlight w:val="none"/>
                <w:u w:val="none"/>
                <w:lang w:val="en-US" w:eastAsia="zh-CN" w:bidi="ar"/>
              </w:rPr>
              <w:t>0</w:t>
            </w:r>
            <w:r>
              <w:rPr>
                <w:rFonts w:hint="default" w:ascii="Times New Roman" w:hAnsi="Times New Roman" w:eastAsia="宋体" w:cs="Times New Roman"/>
                <w:color w:val="auto"/>
                <w:sz w:val="24"/>
                <w:szCs w:val="24"/>
                <w:highlight w:val="none"/>
                <w:lang w:val="en-US" w:eastAsia="zh-CN"/>
              </w:rPr>
              <w:t>t/a</w:t>
            </w:r>
            <w:r>
              <w:rPr>
                <w:rFonts w:hint="eastAsia" w:cs="Times New Roman"/>
                <w:i w:val="0"/>
                <w:iCs w:val="0"/>
                <w:color w:val="auto"/>
                <w:sz w:val="24"/>
                <w:szCs w:val="24"/>
                <w:highlight w:val="none"/>
                <w:lang w:val="en-US" w:eastAsia="zh-CN"/>
              </w:rPr>
              <w:t>；</w:t>
            </w:r>
            <w:r>
              <w:rPr>
                <w:rFonts w:hint="eastAsia" w:ascii="Times New Roman" w:hAnsi="Times New Roman" w:eastAsia="宋体" w:cs="Times New Roman"/>
                <w:color w:val="auto"/>
                <w:kern w:val="2"/>
                <w:sz w:val="24"/>
                <w:szCs w:val="24"/>
                <w:highlight w:val="none"/>
                <w:lang w:val="en-US" w:eastAsia="zh-CN" w:bidi="ar-SA"/>
              </w:rPr>
              <w:t>SO</w:t>
            </w:r>
            <w:r>
              <w:rPr>
                <w:rFonts w:hint="eastAsia" w:ascii="Times New Roman" w:hAnsi="Times New Roman" w:eastAsia="宋体" w:cs="Times New Roman"/>
                <w:color w:val="auto"/>
                <w:kern w:val="2"/>
                <w:sz w:val="24"/>
                <w:szCs w:val="24"/>
                <w:highlight w:val="none"/>
                <w:vertAlign w:val="subscript"/>
                <w:lang w:val="en-US" w:eastAsia="zh-CN" w:bidi="ar-SA"/>
              </w:rPr>
              <w:t>2</w:t>
            </w:r>
            <w:r>
              <w:rPr>
                <w:rFonts w:hint="eastAsia" w:eastAsia="宋体" w:cs="Times New Roman"/>
                <w:color w:val="auto"/>
                <w:kern w:val="2"/>
                <w:sz w:val="24"/>
                <w:szCs w:val="24"/>
                <w:highlight w:val="none"/>
                <w:vertAlign w:val="subscript"/>
                <w:lang w:val="en-US" w:eastAsia="zh-CN" w:bidi="ar-SA"/>
              </w:rPr>
              <w:t>:</w:t>
            </w:r>
            <w:r>
              <w:rPr>
                <w:rFonts w:hint="eastAsia" w:cs="Times New Roman"/>
                <w:i w:val="0"/>
                <w:color w:val="auto"/>
                <w:kern w:val="0"/>
                <w:sz w:val="24"/>
                <w:szCs w:val="24"/>
                <w:highlight w:val="none"/>
                <w:u w:val="none"/>
                <w:lang w:val="en-US" w:eastAsia="zh-CN" w:bidi="ar"/>
              </w:rPr>
              <w:t>0</w:t>
            </w:r>
            <w:r>
              <w:rPr>
                <w:rFonts w:hint="default" w:ascii="Times New Roman" w:hAnsi="Times New Roman" w:eastAsia="宋体" w:cs="Times New Roman"/>
                <w:color w:val="auto"/>
                <w:sz w:val="24"/>
                <w:szCs w:val="24"/>
                <w:highlight w:val="none"/>
                <w:lang w:val="en-US" w:eastAsia="zh-CN"/>
              </w:rPr>
              <w:t>t/a</w:t>
            </w:r>
            <w:r>
              <w:rPr>
                <w:rFonts w:hint="eastAsia" w:ascii="Times New Roman" w:hAnsi="Times New Roman" w:eastAsia="宋体" w:cs="Times New Roman"/>
                <w:color w:val="auto"/>
                <w:kern w:val="2"/>
                <w:sz w:val="24"/>
                <w:szCs w:val="24"/>
                <w:highlight w:val="none"/>
                <w:lang w:val="en-US" w:eastAsia="zh-CN" w:bidi="ar-SA"/>
              </w:rPr>
              <w:t>、NOx</w:t>
            </w:r>
            <w:r>
              <w:rPr>
                <w:rFonts w:hint="default" w:ascii="Times New Roman" w:hAnsi="Times New Roman" w:eastAsia="宋体" w:cs="Times New Roman"/>
                <w:i w:val="0"/>
                <w:iCs w:val="0"/>
                <w:color w:val="auto"/>
                <w:sz w:val="24"/>
                <w:szCs w:val="24"/>
                <w:highlight w:val="none"/>
                <w:vertAlign w:val="baseline"/>
                <w:lang w:val="en-US" w:eastAsia="zh-CN"/>
              </w:rPr>
              <w:t>：</w:t>
            </w:r>
            <w:r>
              <w:rPr>
                <w:rFonts w:hint="eastAsia" w:cs="Times New Roman"/>
                <w:i w:val="0"/>
                <w:color w:val="auto"/>
                <w:kern w:val="0"/>
                <w:sz w:val="24"/>
                <w:szCs w:val="24"/>
                <w:highlight w:val="none"/>
                <w:u w:val="none"/>
                <w:lang w:val="en-US" w:eastAsia="zh-CN" w:bidi="ar"/>
              </w:rPr>
              <w:t>0</w:t>
            </w:r>
            <w:r>
              <w:rPr>
                <w:rFonts w:hint="default" w:ascii="Times New Roman" w:hAnsi="Times New Roman" w:eastAsia="宋体" w:cs="Times New Roman"/>
                <w:color w:val="auto"/>
                <w:sz w:val="24"/>
                <w:szCs w:val="24"/>
                <w:highlight w:val="none"/>
                <w:lang w:val="en-US" w:eastAsia="zh-CN"/>
              </w:rPr>
              <w:t>t/a</w:t>
            </w:r>
            <w:r>
              <w:rPr>
                <w:rFonts w:hint="eastAsia" w:eastAsia="宋体" w:cs="Times New Roman"/>
                <w:color w:val="auto"/>
                <w:sz w:val="24"/>
                <w:szCs w:val="24"/>
                <w:highlight w:val="none"/>
                <w:lang w:val="en-US" w:eastAsia="zh-CN"/>
              </w:rPr>
              <w:t>；</w:t>
            </w:r>
            <w:r>
              <w:rPr>
                <w:rFonts w:hint="eastAsia" w:ascii="Times New Roman" w:hAnsi="Times New Roman" w:eastAsia="宋体" w:cs="Times New Roman"/>
                <w:color w:val="auto"/>
                <w:kern w:val="2"/>
                <w:sz w:val="24"/>
                <w:szCs w:val="24"/>
                <w:highlight w:val="none"/>
                <w:lang w:val="en-US" w:eastAsia="zh-CN" w:bidi="ar-SA"/>
              </w:rPr>
              <w:t>非甲烷总烃</w:t>
            </w:r>
            <w:r>
              <w:rPr>
                <w:rFonts w:hint="eastAsia" w:cs="Times New Roman"/>
                <w:color w:val="auto"/>
                <w:kern w:val="2"/>
                <w:sz w:val="24"/>
                <w:szCs w:val="24"/>
                <w:highlight w:val="none"/>
                <w:lang w:val="en-US" w:eastAsia="zh-CN" w:bidi="ar-SA"/>
              </w:rPr>
              <w:t>：1.542</w:t>
            </w:r>
            <w:r>
              <w:rPr>
                <w:rFonts w:hint="eastAsia" w:ascii="Times New Roman" w:hAnsi="Times New Roman" w:eastAsia="宋体" w:cs="Times New Roman"/>
                <w:color w:val="auto"/>
                <w:kern w:val="2"/>
                <w:sz w:val="24"/>
                <w:szCs w:val="24"/>
                <w:highlight w:val="none"/>
                <w:lang w:val="en-US" w:eastAsia="zh-CN" w:bidi="ar-SA"/>
              </w:rPr>
              <w:t>t/a</w:t>
            </w:r>
            <w:r>
              <w:rPr>
                <w:rFonts w:hint="eastAsia" w:ascii="Times New Roman" w:hAnsi="Times New Roman" w:eastAsia="宋体" w:cs="Times New Roman"/>
                <w:color w:val="auto"/>
                <w:kern w:val="2"/>
                <w:sz w:val="24"/>
                <w:szCs w:val="24"/>
                <w:highlight w:val="none"/>
                <w:vertAlign w:val="baseline"/>
                <w:lang w:val="en-US" w:eastAsia="zh-CN" w:bidi="ar-SA"/>
              </w:rPr>
              <w:t>。</w:t>
            </w:r>
          </w:p>
          <w:p w14:paraId="2D34E6F3">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21EF64AE">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0BECC847">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2B8E5613">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6E8977F6">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0BF8EA94">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69A41C6D">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0037D579">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04DD5C62">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0AA8A056">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4C24620A">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61AED11D">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3F19C6FC">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0BE9D403">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1DFA96CF">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23226080">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06E02EDA">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465839F5">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643B5A7F">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6327CDC9">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13F9FA38">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7FBCD7AF">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09E3C5F5">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58092B4F">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70BA21C7">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276D2652">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2877CC41">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p w14:paraId="607E3C5D">
            <w:pPr>
              <w:pStyle w:val="13"/>
              <w:keepLines w:val="0"/>
              <w:pageBreakBefore w:val="0"/>
              <w:widowControl w:val="0"/>
              <w:numPr>
                <w:ilvl w:val="0"/>
                <w:numId w:val="0"/>
              </w:numPr>
              <w:kinsoku/>
              <w:wordWrap/>
              <w:overflowPunct/>
              <w:topLinePunct w:val="0"/>
              <w:bidi w:val="0"/>
              <w:jc w:val="both"/>
              <w:textAlignment w:val="auto"/>
              <w:rPr>
                <w:rFonts w:hint="default"/>
                <w:color w:val="auto"/>
                <w:kern w:val="0"/>
                <w:sz w:val="24"/>
                <w:highlight w:val="none"/>
                <w:lang w:val="en-US"/>
              </w:rPr>
            </w:pPr>
          </w:p>
        </w:tc>
      </w:tr>
    </w:tbl>
    <w:p w14:paraId="7488D90F">
      <w:pPr>
        <w:pStyle w:val="30"/>
        <w:jc w:val="center"/>
        <w:outlineLvl w:val="0"/>
        <w:rPr>
          <w:rFonts w:ascii="Times New Roman" w:hAnsi="Times New Roman" w:eastAsia="黑体"/>
          <w:snapToGrid w:val="0"/>
          <w:color w:val="auto"/>
          <w:sz w:val="30"/>
          <w:szCs w:val="30"/>
          <w:highlight w:val="none"/>
        </w:rPr>
      </w:pPr>
      <w:r>
        <w:rPr>
          <w:rFonts w:ascii="Times New Roman" w:hAnsi="Times New Roman" w:eastAsia="黑体"/>
          <w:snapToGrid w:val="0"/>
          <w:color w:val="auto"/>
          <w:sz w:val="36"/>
          <w:szCs w:val="36"/>
          <w:highlight w:val="none"/>
        </w:rPr>
        <w:br w:type="page"/>
      </w:r>
      <w:bookmarkStart w:id="48" w:name="_Toc16631"/>
      <w:r>
        <w:rPr>
          <w:rFonts w:ascii="Times New Roman" w:hAnsi="Times New Roman" w:eastAsia="黑体"/>
          <w:snapToGrid w:val="0"/>
          <w:color w:val="auto"/>
          <w:sz w:val="30"/>
          <w:szCs w:val="30"/>
          <w:highlight w:val="none"/>
        </w:rPr>
        <w:t>四、主要环境影响和保护措施</w:t>
      </w:r>
      <w:bookmarkEnd w:id="48"/>
    </w:p>
    <w:tbl>
      <w:tblPr>
        <w:tblStyle w:val="34"/>
        <w:tblW w:w="89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283"/>
        <w:gridCol w:w="8698"/>
      </w:tblGrid>
      <w:tr w14:paraId="3FAF00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71" w:type="dxa"/>
            <w:noWrap w:val="0"/>
            <w:tcMar>
              <w:left w:w="28" w:type="dxa"/>
              <w:right w:w="28" w:type="dxa"/>
            </w:tcMar>
            <w:vAlign w:val="center"/>
          </w:tcPr>
          <w:p w14:paraId="4E9D8086">
            <w:pPr>
              <w:pStyle w:val="30"/>
              <w:adjustRightInd w:val="0"/>
              <w:snapToGrid w:val="0"/>
              <w:spacing w:before="0" w:beforeAutospacing="0" w:after="0" w:afterAutospacing="0"/>
              <w:jc w:val="center"/>
              <w:rPr>
                <w:rFonts w:ascii="Times New Roman" w:hAnsi="Times New Roman"/>
                <w:color w:val="auto"/>
                <w:kern w:val="2"/>
                <w:szCs w:val="24"/>
                <w:highlight w:val="none"/>
              </w:rPr>
            </w:pPr>
            <w:r>
              <w:rPr>
                <w:rFonts w:ascii="Times New Roman" w:hAnsi="Times New Roman"/>
                <w:color w:val="auto"/>
                <w:kern w:val="2"/>
                <w:szCs w:val="24"/>
                <w:highlight w:val="none"/>
              </w:rPr>
              <w:t>施工</w:t>
            </w:r>
          </w:p>
          <w:p w14:paraId="74C48BCB">
            <w:pPr>
              <w:pStyle w:val="30"/>
              <w:adjustRightInd w:val="0"/>
              <w:snapToGrid w:val="0"/>
              <w:spacing w:before="0" w:beforeAutospacing="0" w:after="0" w:afterAutospacing="0"/>
              <w:jc w:val="center"/>
              <w:rPr>
                <w:rFonts w:ascii="Times New Roman" w:hAnsi="Times New Roman"/>
                <w:color w:val="auto"/>
                <w:kern w:val="2"/>
                <w:szCs w:val="24"/>
                <w:highlight w:val="none"/>
              </w:rPr>
            </w:pPr>
            <w:r>
              <w:rPr>
                <w:rFonts w:ascii="Times New Roman" w:hAnsi="Times New Roman"/>
                <w:color w:val="auto"/>
                <w:kern w:val="2"/>
                <w:szCs w:val="24"/>
                <w:highlight w:val="none"/>
              </w:rPr>
              <w:t>期环</w:t>
            </w:r>
          </w:p>
          <w:p w14:paraId="3B92969C">
            <w:pPr>
              <w:pStyle w:val="30"/>
              <w:adjustRightInd w:val="0"/>
              <w:snapToGrid w:val="0"/>
              <w:spacing w:before="0" w:beforeAutospacing="0" w:after="0" w:afterAutospacing="0"/>
              <w:jc w:val="center"/>
              <w:rPr>
                <w:rFonts w:ascii="Times New Roman" w:hAnsi="Times New Roman"/>
                <w:color w:val="auto"/>
                <w:kern w:val="2"/>
                <w:szCs w:val="24"/>
                <w:highlight w:val="none"/>
              </w:rPr>
            </w:pPr>
            <w:r>
              <w:rPr>
                <w:rFonts w:ascii="Times New Roman" w:hAnsi="Times New Roman"/>
                <w:color w:val="auto"/>
                <w:kern w:val="2"/>
                <w:szCs w:val="24"/>
                <w:highlight w:val="none"/>
              </w:rPr>
              <w:t>境保</w:t>
            </w:r>
          </w:p>
          <w:p w14:paraId="40DF53A1">
            <w:pPr>
              <w:pStyle w:val="30"/>
              <w:adjustRightInd w:val="0"/>
              <w:snapToGrid w:val="0"/>
              <w:spacing w:before="0" w:beforeAutospacing="0" w:after="0" w:afterAutospacing="0"/>
              <w:jc w:val="center"/>
              <w:rPr>
                <w:rFonts w:ascii="Times New Roman" w:hAnsi="Times New Roman"/>
                <w:color w:val="auto"/>
                <w:kern w:val="2"/>
                <w:szCs w:val="24"/>
                <w:highlight w:val="none"/>
              </w:rPr>
            </w:pPr>
            <w:r>
              <w:rPr>
                <w:rFonts w:ascii="Times New Roman" w:hAnsi="Times New Roman"/>
                <w:color w:val="auto"/>
                <w:kern w:val="2"/>
                <w:szCs w:val="24"/>
                <w:highlight w:val="none"/>
              </w:rPr>
              <w:t>护措</w:t>
            </w:r>
          </w:p>
          <w:p w14:paraId="4FC56391">
            <w:pPr>
              <w:pStyle w:val="30"/>
              <w:adjustRightInd w:val="0"/>
              <w:snapToGrid w:val="0"/>
              <w:spacing w:before="0" w:beforeAutospacing="0" w:after="0" w:afterAutospacing="0"/>
              <w:jc w:val="center"/>
              <w:rPr>
                <w:rFonts w:ascii="Times New Roman" w:hAnsi="Times New Roman"/>
                <w:bCs/>
                <w:color w:val="auto"/>
                <w:kern w:val="2"/>
                <w:szCs w:val="24"/>
                <w:highlight w:val="none"/>
              </w:rPr>
            </w:pPr>
            <w:r>
              <w:rPr>
                <w:rFonts w:ascii="Times New Roman" w:hAnsi="Times New Roman"/>
                <w:color w:val="auto"/>
                <w:kern w:val="2"/>
                <w:szCs w:val="24"/>
                <w:highlight w:val="none"/>
              </w:rPr>
              <w:t>施</w:t>
            </w:r>
          </w:p>
        </w:tc>
        <w:tc>
          <w:tcPr>
            <w:tcW w:w="8510" w:type="dxa"/>
            <w:noWrap w:val="0"/>
            <w:vAlign w:val="center"/>
          </w:tcPr>
          <w:p w14:paraId="491ACB06">
            <w:pPr>
              <w:pStyle w:val="126"/>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宋体" w:hAnsi="宋体" w:cs="宋体"/>
                <w:color w:val="auto"/>
                <w:kern w:val="0"/>
                <w:sz w:val="24"/>
                <w:szCs w:val="24"/>
                <w:highlight w:val="none"/>
                <w:lang w:val="en-US" w:eastAsia="zh-CN" w:bidi="ar"/>
              </w:rPr>
            </w:pPr>
            <w:r>
              <w:rPr>
                <w:rFonts w:hint="eastAsia"/>
                <w:color w:val="auto"/>
                <w:sz w:val="24"/>
                <w:szCs w:val="24"/>
                <w:highlight w:val="none"/>
                <w:lang w:val="en-US" w:eastAsia="zh-CN"/>
              </w:rPr>
              <w:t>项目利用</w:t>
            </w:r>
            <w:r>
              <w:rPr>
                <w:rFonts w:hint="eastAsia" w:cs="Times New Roman"/>
                <w:color w:val="auto"/>
                <w:sz w:val="24"/>
                <w:highlight w:val="none"/>
                <w:lang w:val="en-US" w:eastAsia="zh-CN"/>
              </w:rPr>
              <w:t>隆泰家具2号车间厂房为</w:t>
            </w:r>
            <w:r>
              <w:rPr>
                <w:rFonts w:hint="eastAsia"/>
                <w:color w:val="auto"/>
                <w:sz w:val="24"/>
                <w:szCs w:val="24"/>
                <w:highlight w:val="none"/>
                <w:lang w:val="en-US" w:eastAsia="zh-CN"/>
              </w:rPr>
              <w:t>主要生产区，并新增建构筑物面积约53</w:t>
            </w:r>
            <w:r>
              <w:rPr>
                <w:rFonts w:hint="default"/>
                <w:color w:val="auto"/>
                <w:sz w:val="24"/>
                <w:szCs w:val="24"/>
                <w:highlight w:val="none"/>
                <w:lang w:val="en-US" w:eastAsia="zh-CN"/>
              </w:rPr>
              <w:t>m</w:t>
            </w:r>
            <w:r>
              <w:rPr>
                <w:rFonts w:hint="default"/>
                <w:color w:val="auto"/>
                <w:sz w:val="24"/>
                <w:szCs w:val="24"/>
                <w:highlight w:val="none"/>
                <w:vertAlign w:val="superscript"/>
                <w:lang w:val="en-US" w:eastAsia="zh-CN"/>
              </w:rPr>
              <w:t>2</w:t>
            </w:r>
            <w:r>
              <w:rPr>
                <w:rFonts w:hint="eastAsia"/>
                <w:color w:val="auto"/>
                <w:sz w:val="24"/>
                <w:szCs w:val="24"/>
                <w:highlight w:val="none"/>
                <w:vertAlign w:val="baseline"/>
                <w:lang w:val="en-US" w:eastAsia="zh-CN"/>
              </w:rPr>
              <w:t>的</w:t>
            </w:r>
            <w:r>
              <w:rPr>
                <w:rFonts w:hint="eastAsia"/>
                <w:color w:val="auto"/>
                <w:sz w:val="24"/>
                <w:szCs w:val="24"/>
                <w:highlight w:val="none"/>
                <w:lang w:val="en-US" w:eastAsia="zh-CN"/>
              </w:rPr>
              <w:t>辅助用房</w:t>
            </w:r>
            <w:r>
              <w:rPr>
                <w:rFonts w:hint="eastAsia"/>
                <w:color w:val="auto"/>
                <w:sz w:val="24"/>
                <w:highlight w:val="none"/>
                <w:lang w:val="en-US" w:eastAsia="zh-CN"/>
              </w:rPr>
              <w:t>。项目仅为设备的安装和车间外危废间、循环水池、原料库房等辅助用房的建设。辅助用房采用彩钢结构，不涉及大规模的土建工程。故施工期环境污染主要为</w:t>
            </w:r>
            <w:r>
              <w:rPr>
                <w:rFonts w:hint="eastAsia" w:ascii="宋体" w:hAnsi="宋体" w:eastAsia="宋体" w:cs="宋体"/>
                <w:color w:val="auto"/>
                <w:kern w:val="0"/>
                <w:sz w:val="24"/>
                <w:szCs w:val="24"/>
                <w:highlight w:val="none"/>
                <w:lang w:val="en-US" w:eastAsia="zh-CN" w:bidi="ar"/>
              </w:rPr>
              <w:t>包装材料拆除、废料清扫等作业时</w:t>
            </w:r>
            <w:r>
              <w:rPr>
                <w:rFonts w:hint="eastAsia" w:ascii="宋体" w:hAnsi="宋体" w:cs="宋体"/>
                <w:color w:val="auto"/>
                <w:kern w:val="0"/>
                <w:sz w:val="24"/>
                <w:szCs w:val="24"/>
                <w:highlight w:val="none"/>
                <w:lang w:val="en-US" w:eastAsia="zh-CN" w:bidi="ar"/>
              </w:rPr>
              <w:t>；</w:t>
            </w:r>
            <w:r>
              <w:rPr>
                <w:rFonts w:hint="eastAsia"/>
                <w:color w:val="auto"/>
                <w:sz w:val="24"/>
                <w:highlight w:val="none"/>
                <w:lang w:val="en-US" w:eastAsia="zh-CN"/>
              </w:rPr>
              <w:t>彩钢房建设过程中产生噪声和设备安装噪声以及设备包装、施工人员生活垃圾及生活废水。由于施工期短，施工结束后影响即消除，不做具体分析，</w:t>
            </w:r>
            <w:r>
              <w:rPr>
                <w:rFonts w:hint="eastAsia" w:ascii="宋体" w:hAnsi="宋体" w:cs="宋体"/>
                <w:color w:val="auto"/>
                <w:kern w:val="0"/>
                <w:sz w:val="24"/>
                <w:szCs w:val="24"/>
                <w:highlight w:val="none"/>
                <w:lang w:val="en-US" w:eastAsia="zh-CN" w:bidi="ar"/>
              </w:rPr>
              <w:t>企业拟采取的措施如下。</w:t>
            </w:r>
          </w:p>
          <w:p w14:paraId="4E150B62">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Times New Roman" w:hAnsi="Times New Roman" w:eastAsia="宋体" w:cs="Times New Roman"/>
                <w:color w:val="auto"/>
                <w:kern w:val="0"/>
                <w:sz w:val="24"/>
                <w:szCs w:val="24"/>
                <w:highlight w:val="none"/>
                <w:lang w:val="en-US" w:eastAsia="zh-CN" w:bidi="ar-SA"/>
              </w:rPr>
            </w:pPr>
            <w:r>
              <w:rPr>
                <w:rFonts w:hint="eastAsia" w:ascii="Times New Roman" w:hAnsi="Times New Roman" w:eastAsia="宋体" w:cs="Times New Roman"/>
                <w:color w:val="auto"/>
                <w:kern w:val="0"/>
                <w:sz w:val="24"/>
                <w:szCs w:val="24"/>
                <w:highlight w:val="none"/>
                <w:lang w:val="en-US" w:eastAsia="zh-CN" w:bidi="ar-SA"/>
              </w:rPr>
              <w:t>施工扬尘：包装材料拆除、废料清扫等作业时，采取洒水降尘措施，减少扬尘产生；对施工产生的扬尘及时清扫收集，避免随风扩散。</w:t>
            </w:r>
          </w:p>
          <w:p w14:paraId="4FC250C3">
            <w:pPr>
              <w:pStyle w:val="33"/>
              <w:keepNext w:val="0"/>
              <w:keepLines w:val="0"/>
              <w:pageBreakBefore w:val="0"/>
              <w:kinsoku/>
              <w:wordWrap/>
              <w:overflowPunct/>
              <w:topLinePunct w:val="0"/>
              <w:autoSpaceDE/>
              <w:autoSpaceDN/>
              <w:bidi w:val="0"/>
              <w:adjustRightInd/>
              <w:snapToGrid/>
              <w:spacing w:after="0" w:line="360" w:lineRule="auto"/>
              <w:ind w:left="0" w:leftChars="0" w:firstLine="480" w:firstLineChars="200"/>
              <w:jc w:val="both"/>
              <w:textAlignment w:val="auto"/>
              <w:rPr>
                <w:rFonts w:hint="eastAsia" w:ascii="Times New Roman" w:hAnsi="Times New Roman" w:eastAsia="宋体" w:cs="Times New Roman"/>
                <w:color w:val="auto"/>
                <w:kern w:val="0"/>
                <w:sz w:val="24"/>
                <w:szCs w:val="24"/>
                <w:highlight w:val="none"/>
                <w:lang w:val="en-US" w:eastAsia="zh-CN" w:bidi="ar-SA"/>
              </w:rPr>
            </w:pPr>
            <w:r>
              <w:rPr>
                <w:rFonts w:hint="eastAsia" w:ascii="Times New Roman" w:hAnsi="Times New Roman" w:eastAsia="宋体" w:cs="Times New Roman"/>
                <w:color w:val="auto"/>
                <w:kern w:val="0"/>
                <w:sz w:val="24"/>
                <w:szCs w:val="24"/>
                <w:highlight w:val="none"/>
                <w:lang w:val="en-US" w:eastAsia="zh-CN" w:bidi="ar-SA"/>
              </w:rPr>
              <w:t>施工废水：仅为生活污水，全部排入防渗旱厕；</w:t>
            </w:r>
          </w:p>
          <w:p w14:paraId="16F50088">
            <w:pPr>
              <w:pStyle w:val="126"/>
              <w:keepNext w:val="0"/>
              <w:keepLines w:val="0"/>
              <w:pageBreakBefore w:val="0"/>
              <w:widowControl/>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Times New Roman" w:hAnsi="Times New Roman" w:eastAsia="宋体" w:cs="Times New Roman"/>
                <w:color w:val="auto"/>
                <w:kern w:val="0"/>
                <w:sz w:val="24"/>
                <w:szCs w:val="24"/>
                <w:highlight w:val="none"/>
                <w:lang w:val="en-US" w:eastAsia="zh-CN" w:bidi="ar-SA"/>
              </w:rPr>
            </w:pPr>
            <w:r>
              <w:rPr>
                <w:rFonts w:hint="eastAsia" w:ascii="Times New Roman" w:hAnsi="Times New Roman" w:eastAsia="宋体" w:cs="Times New Roman"/>
                <w:color w:val="auto"/>
                <w:kern w:val="0"/>
                <w:sz w:val="24"/>
                <w:szCs w:val="24"/>
                <w:highlight w:val="none"/>
                <w:lang w:val="en-US" w:eastAsia="zh-CN" w:bidi="ar-SA"/>
              </w:rPr>
              <w:t>施工噪声：施工安排在白天非居民休息时间，避免对敏感点产生影响；</w:t>
            </w:r>
          </w:p>
          <w:p w14:paraId="541FC44C">
            <w:pPr>
              <w:pStyle w:val="126"/>
              <w:keepNext w:val="0"/>
              <w:keepLines w:val="0"/>
              <w:pageBreakBefore w:val="0"/>
              <w:widowControl/>
              <w:kinsoku/>
              <w:wordWrap/>
              <w:overflowPunct/>
              <w:topLinePunct w:val="0"/>
              <w:autoSpaceDE/>
              <w:autoSpaceDN/>
              <w:bidi w:val="0"/>
              <w:adjustRightInd/>
              <w:snapToGrid/>
              <w:spacing w:line="360" w:lineRule="auto"/>
              <w:ind w:left="0" w:leftChars="0" w:firstLine="480" w:firstLineChars="200"/>
              <w:jc w:val="both"/>
              <w:textAlignment w:val="auto"/>
              <w:rPr>
                <w:rFonts w:hint="default"/>
                <w:color w:val="auto"/>
                <w:highlight w:val="none"/>
                <w:lang w:val="en-US" w:eastAsia="zh-CN"/>
              </w:rPr>
            </w:pPr>
            <w:r>
              <w:rPr>
                <w:rFonts w:hint="eastAsia" w:ascii="Times New Roman" w:hAnsi="Times New Roman" w:eastAsia="宋体" w:cs="Times New Roman"/>
                <w:color w:val="auto"/>
                <w:kern w:val="0"/>
                <w:sz w:val="24"/>
                <w:szCs w:val="24"/>
                <w:highlight w:val="none"/>
                <w:lang w:val="en-US" w:eastAsia="zh-CN" w:bidi="ar-SA"/>
              </w:rPr>
              <w:t>固体废物：在施工过程中做好设备包装、生活垃圾收集工作，杜绝逸散。</w:t>
            </w:r>
          </w:p>
        </w:tc>
      </w:tr>
      <w:tr w14:paraId="2BC218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61" w:hRule="atLeast"/>
          <w:jc w:val="center"/>
        </w:trPr>
        <w:tc>
          <w:tcPr>
            <w:tcW w:w="471" w:type="dxa"/>
            <w:noWrap w:val="0"/>
            <w:tcMar>
              <w:left w:w="28" w:type="dxa"/>
              <w:right w:w="28" w:type="dxa"/>
            </w:tcMar>
            <w:vAlign w:val="center"/>
          </w:tcPr>
          <w:p w14:paraId="034C4A27">
            <w:pPr>
              <w:adjustRightInd w:val="0"/>
              <w:snapToGrid w:val="0"/>
              <w:jc w:val="center"/>
              <w:rPr>
                <w:bCs/>
                <w:color w:val="auto"/>
                <w:sz w:val="24"/>
                <w:highlight w:val="none"/>
              </w:rPr>
            </w:pPr>
            <w:r>
              <w:rPr>
                <w:bCs/>
                <w:color w:val="auto"/>
                <w:sz w:val="24"/>
                <w:highlight w:val="none"/>
              </w:rPr>
              <w:t>运营</w:t>
            </w:r>
          </w:p>
          <w:p w14:paraId="1911605C">
            <w:pPr>
              <w:adjustRightInd w:val="0"/>
              <w:snapToGrid w:val="0"/>
              <w:jc w:val="center"/>
              <w:rPr>
                <w:bCs/>
                <w:color w:val="auto"/>
                <w:sz w:val="24"/>
                <w:highlight w:val="none"/>
              </w:rPr>
            </w:pPr>
            <w:r>
              <w:rPr>
                <w:bCs/>
                <w:color w:val="auto"/>
                <w:sz w:val="24"/>
                <w:highlight w:val="none"/>
              </w:rPr>
              <w:t>期环</w:t>
            </w:r>
          </w:p>
          <w:p w14:paraId="2870E15B">
            <w:pPr>
              <w:adjustRightInd w:val="0"/>
              <w:snapToGrid w:val="0"/>
              <w:jc w:val="center"/>
              <w:rPr>
                <w:bCs/>
                <w:color w:val="auto"/>
                <w:sz w:val="24"/>
                <w:highlight w:val="none"/>
              </w:rPr>
            </w:pPr>
            <w:r>
              <w:rPr>
                <w:bCs/>
                <w:color w:val="auto"/>
                <w:sz w:val="24"/>
                <w:highlight w:val="none"/>
              </w:rPr>
              <w:t>境影</w:t>
            </w:r>
          </w:p>
          <w:p w14:paraId="3A8A2D23">
            <w:pPr>
              <w:adjustRightInd w:val="0"/>
              <w:snapToGrid w:val="0"/>
              <w:jc w:val="center"/>
              <w:rPr>
                <w:bCs/>
                <w:color w:val="auto"/>
                <w:sz w:val="24"/>
                <w:highlight w:val="none"/>
              </w:rPr>
            </w:pPr>
            <w:r>
              <w:rPr>
                <w:bCs/>
                <w:color w:val="auto"/>
                <w:sz w:val="24"/>
                <w:highlight w:val="none"/>
              </w:rPr>
              <w:t>响和</w:t>
            </w:r>
          </w:p>
          <w:p w14:paraId="44BB4839">
            <w:pPr>
              <w:adjustRightInd w:val="0"/>
              <w:snapToGrid w:val="0"/>
              <w:jc w:val="center"/>
              <w:rPr>
                <w:bCs/>
                <w:color w:val="auto"/>
                <w:sz w:val="24"/>
                <w:highlight w:val="none"/>
              </w:rPr>
            </w:pPr>
            <w:r>
              <w:rPr>
                <w:bCs/>
                <w:color w:val="auto"/>
                <w:sz w:val="24"/>
                <w:highlight w:val="none"/>
              </w:rPr>
              <w:t>保护</w:t>
            </w:r>
          </w:p>
          <w:p w14:paraId="11450BFA">
            <w:pPr>
              <w:adjustRightInd w:val="0"/>
              <w:snapToGrid w:val="0"/>
              <w:jc w:val="center"/>
              <w:rPr>
                <w:bCs/>
                <w:color w:val="auto"/>
                <w:szCs w:val="21"/>
                <w:highlight w:val="none"/>
              </w:rPr>
            </w:pPr>
            <w:r>
              <w:rPr>
                <w:bCs/>
                <w:color w:val="auto"/>
                <w:sz w:val="24"/>
                <w:highlight w:val="none"/>
              </w:rPr>
              <w:t>措施</w:t>
            </w:r>
          </w:p>
        </w:tc>
        <w:tc>
          <w:tcPr>
            <w:tcW w:w="8510" w:type="dxa"/>
            <w:noWrap w:val="0"/>
            <w:vAlign w:val="center"/>
          </w:tcPr>
          <w:p w14:paraId="4F0DDE09">
            <w:pPr>
              <w:keepNext w:val="0"/>
              <w:keepLines w:val="0"/>
              <w:pageBreakBefore w:val="0"/>
              <w:kinsoku/>
              <w:wordWrap/>
              <w:overflowPunct/>
              <w:topLinePunct w:val="0"/>
              <w:autoSpaceDE/>
              <w:autoSpaceDN/>
              <w:bidi w:val="0"/>
              <w:adjustRightInd w:val="0"/>
              <w:snapToGrid w:val="0"/>
              <w:spacing w:line="360" w:lineRule="auto"/>
              <w:jc w:val="left"/>
              <w:textAlignment w:val="auto"/>
              <w:outlineLvl w:val="9"/>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一、废气</w:t>
            </w:r>
            <w:r>
              <w:rPr>
                <w:rFonts w:hint="eastAsia" w:ascii="Times New Roman" w:hAnsi="Times New Roman" w:cs="Times New Roman"/>
                <w:b/>
                <w:bCs/>
                <w:color w:val="auto"/>
                <w:sz w:val="24"/>
                <w:szCs w:val="24"/>
                <w:highlight w:val="none"/>
                <w:lang w:val="en-US" w:eastAsia="zh-CN"/>
              </w:rPr>
              <w:t>治理措施及环境影响</w:t>
            </w:r>
          </w:p>
          <w:p w14:paraId="5EE024FB">
            <w:pPr>
              <w:pStyle w:val="33"/>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80" w:firstLineChars="200"/>
              <w:jc w:val="left"/>
              <w:textAlignment w:val="auto"/>
              <w:outlineLvl w:val="9"/>
              <w:rPr>
                <w:rFonts w:hint="default" w:ascii="Times New Roman" w:hAnsi="Times New Roman" w:eastAsia="宋体" w:cs="Times New Roman"/>
                <w:b w:val="0"/>
                <w:bCs w:val="0"/>
                <w:color w:val="auto"/>
                <w:sz w:val="24"/>
                <w:szCs w:val="24"/>
                <w:highlight w:val="none"/>
                <w:lang w:val="en-US" w:eastAsia="zh-CN"/>
              </w:rPr>
            </w:pPr>
            <w:r>
              <w:rPr>
                <w:rFonts w:hint="eastAsia" w:cs="Times New Roman"/>
                <w:b w:val="0"/>
                <w:bCs w:val="0"/>
                <w:color w:val="auto"/>
                <w:sz w:val="24"/>
                <w:szCs w:val="24"/>
                <w:highlight w:val="none"/>
                <w:lang w:val="en-US" w:eastAsia="zh-CN"/>
              </w:rPr>
              <w:t>1.</w:t>
            </w:r>
            <w:r>
              <w:rPr>
                <w:rFonts w:hint="default" w:ascii="Times New Roman" w:hAnsi="Times New Roman" w:eastAsia="宋体" w:cs="Times New Roman"/>
                <w:b w:val="0"/>
                <w:bCs w:val="0"/>
                <w:color w:val="auto"/>
                <w:sz w:val="24"/>
                <w:szCs w:val="24"/>
                <w:highlight w:val="none"/>
                <w:lang w:val="en-US" w:eastAsia="zh-CN"/>
              </w:rPr>
              <w:t>污染源源强核算</w:t>
            </w:r>
          </w:p>
          <w:p w14:paraId="3374B07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outlineLvl w:val="9"/>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（1）</w:t>
            </w:r>
            <w:r>
              <w:rPr>
                <w:rFonts w:hint="eastAsia" w:cs="Times New Roman"/>
                <w:b w:val="0"/>
                <w:bCs w:val="0"/>
                <w:color w:val="auto"/>
                <w:kern w:val="2"/>
                <w:sz w:val="24"/>
                <w:szCs w:val="24"/>
                <w:highlight w:val="none"/>
                <w:lang w:val="en-US" w:eastAsia="zh-CN" w:bidi="ar-SA"/>
              </w:rPr>
              <w:t>正常工况</w:t>
            </w:r>
          </w:p>
          <w:p w14:paraId="39D9656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outlineLvl w:val="9"/>
              <w:rPr>
                <w:rFonts w:hint="default" w:ascii="Times New Roman" w:hAnsi="Times New Roman" w:eastAsia="宋体" w:cs="Times New Roman"/>
                <w:b w:val="0"/>
                <w:bCs w:val="0"/>
                <w:color w:val="auto"/>
                <w:sz w:val="24"/>
                <w:szCs w:val="24"/>
                <w:highlight w:val="none"/>
                <w:lang w:val="en-US"/>
              </w:rPr>
            </w:pPr>
            <w:r>
              <w:rPr>
                <w:rFonts w:hint="eastAsia" w:cs="Times New Roman"/>
                <w:b w:val="0"/>
                <w:bCs w:val="0"/>
                <w:color w:val="auto"/>
                <w:kern w:val="2"/>
                <w:sz w:val="24"/>
                <w:szCs w:val="24"/>
                <w:highlight w:val="none"/>
                <w:lang w:val="en-US" w:eastAsia="zh-CN" w:bidi="ar-SA"/>
              </w:rPr>
              <w:t>1）</w:t>
            </w:r>
            <w:r>
              <w:rPr>
                <w:rFonts w:hint="default" w:ascii="Times New Roman" w:hAnsi="Times New Roman" w:eastAsia="宋体" w:cs="Times New Roman"/>
                <w:b w:val="0"/>
                <w:bCs w:val="0"/>
                <w:color w:val="auto"/>
                <w:kern w:val="2"/>
                <w:sz w:val="24"/>
                <w:szCs w:val="24"/>
                <w:highlight w:val="none"/>
                <w:lang w:val="en-US" w:eastAsia="zh-CN" w:bidi="ar-SA"/>
              </w:rPr>
              <w:t>有组织废气</w:t>
            </w:r>
            <w:r>
              <w:rPr>
                <w:rFonts w:hint="eastAsia" w:cs="Times New Roman"/>
                <w:b w:val="0"/>
                <w:bCs w:val="0"/>
                <w:color w:val="auto"/>
                <w:kern w:val="2"/>
                <w:sz w:val="24"/>
                <w:szCs w:val="24"/>
                <w:highlight w:val="none"/>
                <w:lang w:val="en-US" w:eastAsia="zh-CN" w:bidi="ar-SA"/>
              </w:rPr>
              <w:t>源强核算</w:t>
            </w:r>
          </w:p>
          <w:p w14:paraId="4F072E25">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outlineLvl w:val="9"/>
              <w:rPr>
                <w:rFonts w:hint="default" w:ascii="Times New Roman" w:hAnsi="Times New Roman"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 xml:space="preserve">①发泡及成型废气  </w:t>
            </w:r>
          </w:p>
          <w:p w14:paraId="535BB024">
            <w:pPr>
              <w:keepNext w:val="0"/>
              <w:keepLines w:val="0"/>
              <w:pageBreakBefore w:val="0"/>
              <w:widowControl/>
              <w:suppressLineNumbers w:val="0"/>
              <w:kinsoku/>
              <w:wordWrap/>
              <w:overflowPunct/>
              <w:topLinePunct w:val="0"/>
              <w:autoSpaceDE/>
              <w:autoSpaceDN/>
              <w:bidi w:val="0"/>
              <w:spacing w:line="360" w:lineRule="auto"/>
              <w:ind w:firstLine="480" w:firstLineChars="200"/>
              <w:jc w:val="left"/>
              <w:textAlignment w:val="auto"/>
              <w:outlineLvl w:val="9"/>
              <w:rPr>
                <w:rFonts w:hint="default"/>
                <w:b/>
                <w:bCs/>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依据“关于发布《排放源统计调查产排污核算方法和系数手册》的公告”（环境部公告2021年第24号）中“</w:t>
            </w:r>
            <w:r>
              <w:rPr>
                <w:rFonts w:hint="default" w:ascii="Times New Roman" w:hAnsi="Times New Roman" w:eastAsia="宋体" w:cs="Times New Roman"/>
                <w:color w:val="auto"/>
                <w:sz w:val="24"/>
                <w:szCs w:val="24"/>
                <w:highlight w:val="none"/>
              </w:rPr>
              <w:t>2924泡沫塑料制造行业系数表</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中“</w:t>
            </w:r>
            <w:r>
              <w:rPr>
                <w:rFonts w:hint="default" w:ascii="Times New Roman" w:hAnsi="Times New Roman" w:eastAsia="宋体" w:cs="Times New Roman"/>
                <w:color w:val="auto"/>
                <w:sz w:val="24"/>
                <w:szCs w:val="24"/>
                <w:highlight w:val="none"/>
              </w:rPr>
              <w:t>泡沫塑料</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模塑发泡</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挥发性有机物产污系数</w:t>
            </w:r>
            <w:r>
              <w:rPr>
                <w:rFonts w:hint="default" w:ascii="Times New Roman" w:hAnsi="Times New Roman" w:cs="Times New Roman"/>
                <w:color w:val="auto"/>
                <w:sz w:val="24"/>
                <w:szCs w:val="24"/>
                <w:highlight w:val="none"/>
                <w:lang w:val="en-US" w:eastAsia="zh-CN"/>
              </w:rPr>
              <w:t>30千克/吨-产品</w:t>
            </w:r>
            <w:r>
              <w:rPr>
                <w:rFonts w:hint="eastAsia"/>
                <w:b w:val="0"/>
                <w:bCs w:val="0"/>
                <w:color w:val="auto"/>
                <w:sz w:val="24"/>
                <w:szCs w:val="24"/>
                <w:highlight w:val="none"/>
                <w:lang w:val="en-US" w:eastAsia="zh-CN"/>
              </w:rPr>
              <w:t>；苯乙烯单体残留量≤0.2%（详见聚苯乙烯理化性质及危险性），聚合物基体中残留的苯乙烯单体仅部分受热释放。根据</w:t>
            </w:r>
            <w:r>
              <w:rPr>
                <w:rFonts w:ascii="宋体" w:hAnsi="宋体" w:eastAsia="宋体" w:cs="宋体"/>
                <w:color w:val="auto"/>
                <w:sz w:val="24"/>
                <w:szCs w:val="24"/>
              </w:rPr>
              <w:t>《工业源挥发性有机物产排污核算技术指南（试行）》（生态环境部）聚合物加工过程中，残留单体挥发量需结合原料特性、工艺温度、停留时间综合确定；无实测数据时，可采用行业通用经验系数（15%–30%）。</w:t>
            </w:r>
            <w:r>
              <w:rPr>
                <w:rFonts w:hint="eastAsia"/>
                <w:b w:val="0"/>
                <w:bCs w:val="0"/>
                <w:color w:val="auto"/>
                <w:sz w:val="24"/>
                <w:szCs w:val="24"/>
                <w:highlight w:val="none"/>
                <w:lang w:val="en-US" w:eastAsia="zh-CN"/>
              </w:rPr>
              <w:t>本次评价以残留量的25%计。</w:t>
            </w:r>
            <w:r>
              <w:rPr>
                <w:rFonts w:hint="default" w:ascii="Times New Roman" w:hAnsi="Times New Roman" w:cs="Times New Roman"/>
                <w:color w:val="auto"/>
                <w:sz w:val="24"/>
                <w:szCs w:val="24"/>
                <w:highlight w:val="none"/>
                <w:lang w:val="en-US" w:eastAsia="zh-CN"/>
              </w:rPr>
              <w:t>可发性聚苯乙烯颗粒年使用量为</w:t>
            </w:r>
            <w:r>
              <w:rPr>
                <w:rFonts w:hint="eastAsia" w:cs="Times New Roman"/>
                <w:color w:val="auto"/>
                <w:sz w:val="24"/>
                <w:szCs w:val="24"/>
                <w:highlight w:val="none"/>
                <w:lang w:val="en-US" w:eastAsia="zh-CN"/>
              </w:rPr>
              <w:t>6</w:t>
            </w:r>
            <w:r>
              <w:rPr>
                <w:rFonts w:hint="default" w:ascii="Times New Roman" w:hAnsi="Times New Roman" w:cs="Times New Roman"/>
                <w:color w:val="auto"/>
                <w:sz w:val="24"/>
                <w:szCs w:val="24"/>
                <w:highlight w:val="none"/>
                <w:lang w:val="en-US" w:eastAsia="zh-CN"/>
              </w:rPr>
              <w:t>00吨，本次评价按照原料全部</w:t>
            </w:r>
            <w:r>
              <w:rPr>
                <w:rFonts w:hint="default" w:ascii="Times New Roman" w:hAnsi="Times New Roman" w:eastAsia="宋体" w:cs="Times New Roman"/>
                <w:color w:val="auto"/>
                <w:sz w:val="24"/>
                <w:szCs w:val="24"/>
                <w:highlight w:val="none"/>
                <w:lang w:val="en-US" w:eastAsia="zh-CN"/>
              </w:rPr>
              <w:t>转化为产品进行核算，则挥发性有机物（以非甲烷总烃计）的产生量为</w:t>
            </w:r>
            <w:r>
              <w:rPr>
                <w:rFonts w:hint="eastAsia" w:cs="Times New Roman"/>
                <w:color w:val="auto"/>
                <w:sz w:val="24"/>
                <w:szCs w:val="24"/>
                <w:highlight w:val="none"/>
                <w:lang w:val="en-US" w:eastAsia="zh-CN"/>
              </w:rPr>
              <w:t>18</w:t>
            </w:r>
            <w:r>
              <w:rPr>
                <w:rFonts w:hint="default" w:ascii="Times New Roman" w:hAnsi="Times New Roman" w:eastAsia="宋体" w:cs="Times New Roman"/>
                <w:color w:val="auto"/>
                <w:sz w:val="24"/>
                <w:szCs w:val="24"/>
                <w:highlight w:val="none"/>
                <w:lang w:val="en-US" w:eastAsia="zh-CN"/>
              </w:rPr>
              <w:t>t/a</w:t>
            </w:r>
            <w:r>
              <w:rPr>
                <w:rFonts w:hint="eastAsia"/>
                <w:b w:val="0"/>
                <w:bCs w:val="0"/>
                <w:color w:val="auto"/>
                <w:sz w:val="24"/>
                <w:szCs w:val="24"/>
                <w:highlight w:val="none"/>
                <w:lang w:val="en-US" w:eastAsia="zh-CN"/>
              </w:rPr>
              <w:t>、苯乙烯</w:t>
            </w:r>
            <w:r>
              <w:rPr>
                <w:rFonts w:hint="default" w:ascii="Times New Roman" w:hAnsi="Times New Roman" w:eastAsia="宋体" w:cs="Times New Roman"/>
                <w:color w:val="auto"/>
                <w:sz w:val="24"/>
                <w:szCs w:val="24"/>
                <w:highlight w:val="none"/>
                <w:lang w:val="en-US" w:eastAsia="zh-CN"/>
              </w:rPr>
              <w:t>产生量为</w:t>
            </w:r>
            <w:r>
              <w:rPr>
                <w:rFonts w:hint="eastAsia" w:cs="Times New Roman"/>
                <w:color w:val="auto"/>
                <w:sz w:val="24"/>
                <w:szCs w:val="24"/>
                <w:highlight w:val="none"/>
                <w:lang w:val="en-US" w:eastAsia="zh-CN"/>
              </w:rPr>
              <w:t>0.3</w:t>
            </w:r>
            <w:r>
              <w:rPr>
                <w:rFonts w:hint="default" w:ascii="Times New Roman" w:hAnsi="Times New Roman" w:eastAsia="宋体" w:cs="Times New Roman"/>
                <w:color w:val="auto"/>
                <w:sz w:val="24"/>
                <w:szCs w:val="24"/>
                <w:highlight w:val="none"/>
                <w:lang w:val="en-US" w:eastAsia="zh-CN"/>
              </w:rPr>
              <w:t>t/a</w:t>
            </w:r>
            <w:r>
              <w:rPr>
                <w:rFonts w:hint="eastAsia" w:cs="Times New Roman"/>
                <w:color w:val="auto"/>
                <w:sz w:val="24"/>
                <w:szCs w:val="24"/>
                <w:highlight w:val="none"/>
                <w:lang w:val="en-US" w:eastAsia="zh-CN"/>
              </w:rPr>
              <w:t>。</w:t>
            </w:r>
          </w:p>
          <w:p w14:paraId="02FC4405">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outlineLvl w:val="9"/>
              <w:rPr>
                <w:rFonts w:hint="default" w:eastAsia="宋体"/>
                <w:color w:val="auto"/>
                <w:sz w:val="24"/>
                <w:szCs w:val="24"/>
                <w:highlight w:val="none"/>
                <w:lang w:val="en-US" w:eastAsia="zh-CN"/>
              </w:rPr>
            </w:pPr>
            <w:r>
              <w:rPr>
                <w:rFonts w:hint="default" w:eastAsia="宋体"/>
                <w:color w:val="auto"/>
                <w:sz w:val="24"/>
                <w:szCs w:val="24"/>
                <w:highlight w:val="none"/>
                <w:lang w:val="en-US" w:eastAsia="zh-CN"/>
              </w:rPr>
              <w:t>②</w:t>
            </w:r>
            <w:r>
              <w:rPr>
                <w:rFonts w:hint="eastAsia" w:eastAsia="宋体"/>
                <w:color w:val="auto"/>
                <w:sz w:val="24"/>
                <w:szCs w:val="24"/>
                <w:highlight w:val="none"/>
                <w:lang w:val="en-US" w:eastAsia="zh-CN"/>
              </w:rPr>
              <w:t>切割废气</w:t>
            </w:r>
            <w:r>
              <w:rPr>
                <w:rFonts w:hint="eastAsia"/>
                <w:color w:val="auto"/>
                <w:sz w:val="24"/>
                <w:szCs w:val="24"/>
                <w:highlight w:val="none"/>
                <w:lang w:val="en-US" w:eastAsia="zh-CN"/>
              </w:rPr>
              <w:t xml:space="preserve"> </w:t>
            </w:r>
          </w:p>
          <w:p w14:paraId="032C5D2C">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outlineLvl w:val="9"/>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项目年生产</w:t>
            </w:r>
            <w:r>
              <w:rPr>
                <w:rFonts w:hint="eastAsia"/>
                <w:color w:val="auto"/>
                <w:sz w:val="24"/>
                <w:szCs w:val="24"/>
                <w:highlight w:val="none"/>
                <w:lang w:val="en-US" w:eastAsia="zh-CN"/>
              </w:rPr>
              <w:t>300</w:t>
            </w:r>
            <w:r>
              <w:rPr>
                <w:rFonts w:hint="eastAsia" w:eastAsia="宋体"/>
                <w:color w:val="auto"/>
                <w:sz w:val="24"/>
                <w:szCs w:val="24"/>
                <w:highlight w:val="none"/>
                <w:lang w:val="en-US" w:eastAsia="zh-CN"/>
              </w:rPr>
              <w:t>吨泡沫板，电切割温度为180℃，180℃属中低温切割，非甲烷总烃释放以残留戊烷+微量降解有机物为主</w:t>
            </w:r>
            <w:r>
              <w:rPr>
                <w:rFonts w:hint="eastAsia"/>
                <w:color w:val="auto"/>
                <w:sz w:val="24"/>
                <w:szCs w:val="24"/>
                <w:highlight w:val="none"/>
                <w:lang w:val="en-US" w:eastAsia="zh-CN"/>
              </w:rPr>
              <w:t>、</w:t>
            </w:r>
            <w:r>
              <w:rPr>
                <w:rFonts w:hint="eastAsia" w:eastAsia="宋体"/>
                <w:color w:val="auto"/>
                <w:sz w:val="24"/>
                <w:szCs w:val="24"/>
                <w:highlight w:val="none"/>
                <w:lang w:val="en-US" w:eastAsia="zh-CN"/>
              </w:rPr>
              <w:t>苯乙烯来自原料游离苯乙烯单体。《环境影响评价实用手册（塑料制品类）》《聚苯乙烯泡沫塑料工程分析技术规范》中，EPS板材切割工序NMHC产污系数通用区间为0.2～0.5kg/t产品</w:t>
            </w:r>
            <w:r>
              <w:rPr>
                <w:rFonts w:hint="eastAsia"/>
                <w:color w:val="auto"/>
                <w:sz w:val="24"/>
                <w:szCs w:val="24"/>
                <w:highlight w:val="none"/>
                <w:lang w:val="en-US" w:eastAsia="zh-CN"/>
              </w:rPr>
              <w:t>，</w:t>
            </w:r>
            <w:r>
              <w:rPr>
                <w:rFonts w:ascii="宋体" w:hAnsi="宋体" w:eastAsia="宋体" w:cs="宋体"/>
                <w:color w:val="auto"/>
                <w:sz w:val="24"/>
                <w:szCs w:val="24"/>
              </w:rPr>
              <w:t>结合本项目原料特性、加热温度与停留时间，确定</w:t>
            </w:r>
            <w:r>
              <w:rPr>
                <w:rFonts w:hint="eastAsia"/>
                <w:color w:val="auto"/>
                <w:sz w:val="24"/>
                <w:szCs w:val="24"/>
                <w:highlight w:val="none"/>
                <w:lang w:val="en-US" w:eastAsia="zh-CN"/>
              </w:rPr>
              <w:t>本评价</w:t>
            </w:r>
            <w:r>
              <w:rPr>
                <w:rFonts w:hint="eastAsia" w:eastAsia="宋体"/>
                <w:color w:val="auto"/>
                <w:sz w:val="24"/>
                <w:szCs w:val="24"/>
                <w:highlight w:val="none"/>
                <w:lang w:val="en-US" w:eastAsia="zh-CN"/>
              </w:rPr>
              <w:t>非甲烷总烃以0.3千克/吨</w:t>
            </w:r>
            <w:r>
              <w:rPr>
                <w:rFonts w:hint="eastAsia"/>
                <w:color w:val="auto"/>
                <w:sz w:val="24"/>
                <w:szCs w:val="24"/>
                <w:highlight w:val="none"/>
                <w:lang w:val="en-US" w:eastAsia="zh-CN"/>
              </w:rPr>
              <w:t>－</w:t>
            </w:r>
            <w:r>
              <w:rPr>
                <w:rFonts w:hint="eastAsia" w:eastAsia="宋体"/>
                <w:color w:val="auto"/>
                <w:sz w:val="24"/>
                <w:szCs w:val="24"/>
                <w:highlight w:val="none"/>
                <w:lang w:val="en-US" w:eastAsia="zh-CN"/>
              </w:rPr>
              <w:t>产品计</w:t>
            </w:r>
            <w:r>
              <w:rPr>
                <w:rFonts w:hint="eastAsia"/>
                <w:color w:val="auto"/>
                <w:sz w:val="24"/>
                <w:szCs w:val="24"/>
                <w:highlight w:val="none"/>
                <w:lang w:val="en-US" w:eastAsia="zh-CN"/>
              </w:rPr>
              <w:t>，</w:t>
            </w:r>
            <w:r>
              <w:rPr>
                <w:rFonts w:hint="eastAsia" w:eastAsia="宋体"/>
                <w:color w:val="auto"/>
                <w:sz w:val="24"/>
                <w:szCs w:val="24"/>
                <w:highlight w:val="none"/>
                <w:lang w:val="en-US" w:eastAsia="zh-CN"/>
              </w:rPr>
              <w:t>苯乙烯以0.012千克/吨</w:t>
            </w:r>
            <w:r>
              <w:rPr>
                <w:rFonts w:hint="eastAsia"/>
                <w:color w:val="auto"/>
                <w:sz w:val="24"/>
                <w:szCs w:val="24"/>
                <w:highlight w:val="none"/>
                <w:lang w:val="en-US" w:eastAsia="zh-CN"/>
              </w:rPr>
              <w:t>－</w:t>
            </w:r>
            <w:r>
              <w:rPr>
                <w:rFonts w:hint="eastAsia" w:eastAsia="宋体"/>
                <w:color w:val="auto"/>
                <w:sz w:val="24"/>
                <w:szCs w:val="24"/>
                <w:highlight w:val="none"/>
                <w:lang w:val="en-US" w:eastAsia="zh-CN"/>
              </w:rPr>
              <w:t>产品计</w:t>
            </w:r>
            <w:r>
              <w:rPr>
                <w:rFonts w:hint="eastAsia"/>
                <w:color w:val="auto"/>
                <w:sz w:val="24"/>
                <w:szCs w:val="24"/>
                <w:highlight w:val="none"/>
                <w:lang w:val="en-US" w:eastAsia="zh-CN"/>
              </w:rPr>
              <w:t>。</w:t>
            </w:r>
            <w:r>
              <w:rPr>
                <w:rFonts w:hint="eastAsia" w:eastAsia="宋体"/>
                <w:color w:val="auto"/>
                <w:sz w:val="24"/>
                <w:szCs w:val="24"/>
                <w:highlight w:val="none"/>
                <w:lang w:val="en-US" w:eastAsia="zh-CN"/>
              </w:rPr>
              <w:t>则切割工序非甲烷总烃的产生量为</w:t>
            </w:r>
            <w:r>
              <w:rPr>
                <w:rFonts w:hint="eastAsia"/>
                <w:color w:val="auto"/>
                <w:sz w:val="24"/>
                <w:szCs w:val="24"/>
                <w:highlight w:val="none"/>
                <w:lang w:val="en-US" w:eastAsia="zh-CN"/>
              </w:rPr>
              <w:t>0.09</w:t>
            </w:r>
            <w:r>
              <w:rPr>
                <w:rFonts w:hint="eastAsia" w:eastAsia="宋体"/>
                <w:color w:val="auto"/>
                <w:sz w:val="24"/>
                <w:szCs w:val="24"/>
                <w:highlight w:val="none"/>
                <w:lang w:val="en-US" w:eastAsia="zh-CN"/>
              </w:rPr>
              <w:t>t/a</w:t>
            </w:r>
            <w:r>
              <w:rPr>
                <w:rFonts w:hint="eastAsia"/>
                <w:color w:val="auto"/>
                <w:sz w:val="24"/>
                <w:szCs w:val="24"/>
                <w:highlight w:val="none"/>
                <w:lang w:val="en-US" w:eastAsia="zh-CN"/>
              </w:rPr>
              <w:t>、</w:t>
            </w:r>
            <w:r>
              <w:rPr>
                <w:rFonts w:hint="eastAsia" w:eastAsia="宋体"/>
                <w:color w:val="auto"/>
                <w:sz w:val="24"/>
                <w:szCs w:val="24"/>
                <w:highlight w:val="none"/>
                <w:lang w:val="en-US" w:eastAsia="zh-CN"/>
              </w:rPr>
              <w:t>苯乙烯产生量为0.00</w:t>
            </w:r>
            <w:r>
              <w:rPr>
                <w:rFonts w:hint="eastAsia"/>
                <w:color w:val="auto"/>
                <w:sz w:val="24"/>
                <w:szCs w:val="24"/>
                <w:highlight w:val="none"/>
                <w:lang w:val="en-US" w:eastAsia="zh-CN"/>
              </w:rPr>
              <w:t>36</w:t>
            </w:r>
            <w:r>
              <w:rPr>
                <w:rFonts w:hint="eastAsia" w:eastAsia="宋体"/>
                <w:color w:val="auto"/>
                <w:sz w:val="24"/>
                <w:szCs w:val="24"/>
                <w:highlight w:val="none"/>
                <w:lang w:val="en-US" w:eastAsia="zh-CN"/>
              </w:rPr>
              <w:t>t/a。</w:t>
            </w:r>
          </w:p>
          <w:p w14:paraId="52316AB2">
            <w:pPr>
              <w:pStyle w:val="84"/>
              <w:keepNext w:val="0"/>
              <w:keepLines w:val="0"/>
              <w:pageBreakBefore w:val="0"/>
              <w:widowControl/>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outlineLvl w:val="9"/>
              <w:rPr>
                <w:rFonts w:hint="eastAsia" w:eastAsia="宋体"/>
                <w:color w:val="auto"/>
                <w:sz w:val="24"/>
                <w:szCs w:val="24"/>
                <w:highlight w:val="none"/>
                <w:lang w:val="en-US" w:eastAsia="zh-CN"/>
              </w:rPr>
            </w:pPr>
            <w:r>
              <w:rPr>
                <w:rFonts w:hint="eastAsia"/>
                <w:color w:val="auto"/>
                <w:sz w:val="24"/>
                <w:szCs w:val="24"/>
                <w:highlight w:val="none"/>
                <w:lang w:val="en-US" w:eastAsia="zh-CN"/>
              </w:rPr>
              <w:t>综上，</w:t>
            </w:r>
            <w:r>
              <w:rPr>
                <w:rFonts w:hint="default" w:ascii="Times New Roman" w:hAnsi="Times New Roman" w:eastAsia="宋体" w:cs="Times New Roman"/>
                <w:color w:val="auto"/>
                <w:sz w:val="24"/>
                <w:szCs w:val="24"/>
                <w:highlight w:val="none"/>
                <w:lang w:val="en-US" w:eastAsia="zh-CN"/>
              </w:rPr>
              <w:t>项目</w:t>
            </w:r>
            <w:r>
              <w:rPr>
                <w:rFonts w:hint="eastAsia" w:cs="Times New Roman"/>
                <w:color w:val="auto"/>
                <w:sz w:val="24"/>
                <w:szCs w:val="24"/>
                <w:highlight w:val="none"/>
                <w:lang w:val="en-US" w:eastAsia="zh-CN"/>
              </w:rPr>
              <w:t>废气（按照全厂污染物）</w:t>
            </w:r>
            <w:r>
              <w:rPr>
                <w:rFonts w:hint="default" w:ascii="Times New Roman" w:hAnsi="Times New Roman" w:eastAsia="宋体" w:cs="Times New Roman"/>
                <w:color w:val="auto"/>
                <w:sz w:val="24"/>
                <w:szCs w:val="24"/>
                <w:highlight w:val="none"/>
                <w:lang w:val="en-US" w:eastAsia="zh-CN"/>
              </w:rPr>
              <w:t>非甲烷总烃产生量为</w:t>
            </w:r>
            <w:r>
              <w:rPr>
                <w:rFonts w:hint="eastAsia" w:cs="Times New Roman"/>
                <w:color w:val="auto"/>
                <w:sz w:val="24"/>
                <w:szCs w:val="24"/>
                <w:highlight w:val="none"/>
                <w:lang w:val="en-US" w:eastAsia="zh-CN"/>
              </w:rPr>
              <w:t>18.09</w:t>
            </w:r>
            <w:r>
              <w:rPr>
                <w:rFonts w:hint="default" w:ascii="Times New Roman" w:hAnsi="Times New Roman" w:eastAsia="宋体" w:cs="Times New Roman"/>
                <w:color w:val="auto"/>
                <w:sz w:val="24"/>
                <w:szCs w:val="24"/>
                <w:highlight w:val="none"/>
                <w:lang w:val="en-US" w:eastAsia="zh-CN"/>
              </w:rPr>
              <w:t>t/a</w:t>
            </w:r>
            <w:r>
              <w:rPr>
                <w:rFonts w:hint="eastAsia" w:cs="Times New Roman"/>
                <w:color w:val="auto"/>
                <w:sz w:val="24"/>
                <w:szCs w:val="24"/>
                <w:highlight w:val="none"/>
                <w:lang w:val="en-US" w:eastAsia="zh-CN"/>
              </w:rPr>
              <w:t>、</w:t>
            </w:r>
            <w:r>
              <w:rPr>
                <w:rFonts w:hint="eastAsia" w:eastAsia="宋体"/>
                <w:color w:val="auto"/>
                <w:sz w:val="24"/>
                <w:szCs w:val="24"/>
                <w:highlight w:val="none"/>
                <w:lang w:val="en-US" w:eastAsia="zh-CN"/>
              </w:rPr>
              <w:t>苯乙烯产生量为</w:t>
            </w:r>
            <w:r>
              <w:rPr>
                <w:rFonts w:hint="eastAsia"/>
                <w:color w:val="auto"/>
                <w:sz w:val="24"/>
                <w:szCs w:val="24"/>
                <w:highlight w:val="none"/>
                <w:lang w:val="en-US" w:eastAsia="zh-CN"/>
              </w:rPr>
              <w:t>0.3036</w:t>
            </w:r>
            <w:r>
              <w:rPr>
                <w:rFonts w:hint="eastAsia" w:eastAsia="宋体"/>
                <w:color w:val="auto"/>
                <w:sz w:val="24"/>
                <w:szCs w:val="24"/>
                <w:highlight w:val="none"/>
                <w:lang w:val="en-US" w:eastAsia="zh-CN"/>
              </w:rPr>
              <w:t>t/a。</w:t>
            </w:r>
            <w:r>
              <w:rPr>
                <w:rFonts w:hint="eastAsia"/>
                <w:color w:val="auto"/>
                <w:sz w:val="24"/>
                <w:szCs w:val="24"/>
                <w:highlight w:val="none"/>
                <w:lang w:val="en-US" w:eastAsia="zh-CN"/>
              </w:rPr>
              <w:t>发泡废气经气液分离预处理后与其他工序废气一起引入</w:t>
            </w:r>
            <w:r>
              <w:rPr>
                <w:rFonts w:hint="eastAsia" w:eastAsia="宋体"/>
                <w:color w:val="auto"/>
                <w:sz w:val="24"/>
                <w:szCs w:val="24"/>
                <w:highlight w:val="none"/>
                <w:lang w:val="en-US" w:eastAsia="zh-CN"/>
              </w:rPr>
              <w:t>1套活性炭吸附</w:t>
            </w:r>
            <w:r>
              <w:rPr>
                <w:rFonts w:hint="eastAsia" w:cs="Times New Roman"/>
                <w:color w:val="auto"/>
                <w:sz w:val="24"/>
                <w:szCs w:val="32"/>
                <w:highlight w:val="none"/>
                <w:lang w:val="en-US" w:eastAsia="zh-CN"/>
              </w:rPr>
              <w:t>（TA001）-脱附催化燃烧装置（TA002）</w:t>
            </w:r>
            <w:r>
              <w:rPr>
                <w:rFonts w:hint="eastAsia" w:eastAsia="宋体"/>
                <w:color w:val="auto"/>
                <w:sz w:val="24"/>
                <w:szCs w:val="24"/>
                <w:highlight w:val="none"/>
                <w:lang w:val="en-US" w:eastAsia="zh-CN"/>
              </w:rPr>
              <w:t>处理后通过1根15米高的排气筒（DA001）排放。</w:t>
            </w:r>
          </w:p>
          <w:p w14:paraId="48B80DE5">
            <w:pPr>
              <w:pStyle w:val="33"/>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80" w:firstLineChars="200"/>
              <w:jc w:val="left"/>
              <w:textAlignment w:val="auto"/>
              <w:outlineLvl w:val="9"/>
              <w:rPr>
                <w:rFonts w:hint="default" w:ascii="Times New Roman" w:hAnsi="Times New Roman" w:eastAsia="宋体" w:cs="Times New Roman"/>
                <w:b w:val="0"/>
                <w:bCs w:val="0"/>
                <w:color w:val="auto"/>
                <w:sz w:val="24"/>
                <w:szCs w:val="24"/>
                <w:highlight w:val="none"/>
                <w:lang w:val="en-US" w:eastAsia="zh-CN"/>
              </w:rPr>
            </w:pPr>
            <w:r>
              <w:rPr>
                <w:rFonts w:hint="eastAsia" w:eastAsia="宋体" w:cs="Times New Roman"/>
                <w:b w:val="0"/>
                <w:bCs w:val="0"/>
                <w:color w:val="auto"/>
                <w:sz w:val="24"/>
                <w:szCs w:val="24"/>
                <w:highlight w:val="none"/>
                <w:lang w:val="en-US" w:eastAsia="zh-CN"/>
              </w:rPr>
              <w:t>2）</w:t>
            </w:r>
            <w:r>
              <w:rPr>
                <w:rFonts w:hint="eastAsia" w:cs="Times New Roman"/>
                <w:b w:val="0"/>
                <w:bCs w:val="0"/>
                <w:color w:val="auto"/>
                <w:sz w:val="24"/>
                <w:szCs w:val="24"/>
                <w:highlight w:val="none"/>
                <w:lang w:val="en-US" w:eastAsia="zh-CN"/>
              </w:rPr>
              <w:t>有组织</w:t>
            </w:r>
            <w:r>
              <w:rPr>
                <w:rFonts w:hint="eastAsia" w:eastAsia="宋体" w:cs="Times New Roman"/>
                <w:b w:val="0"/>
                <w:bCs w:val="0"/>
                <w:color w:val="auto"/>
                <w:sz w:val="24"/>
                <w:szCs w:val="24"/>
                <w:highlight w:val="none"/>
                <w:lang w:val="en-US" w:eastAsia="zh-CN"/>
              </w:rPr>
              <w:t>风量</w:t>
            </w:r>
            <w:r>
              <w:rPr>
                <w:rFonts w:hint="default" w:ascii="Times New Roman" w:hAnsi="Times New Roman" w:eastAsia="宋体" w:cs="Times New Roman"/>
                <w:b w:val="0"/>
                <w:bCs w:val="0"/>
                <w:color w:val="auto"/>
                <w:sz w:val="24"/>
                <w:szCs w:val="24"/>
                <w:highlight w:val="none"/>
                <w:lang w:val="en-US" w:eastAsia="zh-CN"/>
              </w:rPr>
              <w:t>核算</w:t>
            </w:r>
          </w:p>
          <w:p w14:paraId="5739815C">
            <w:pPr>
              <w:pStyle w:val="137"/>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default" w:ascii="Times New Roman" w:hAnsi="Times New Roman" w:eastAsia="宋体" w:cs="Times New Roman"/>
                <w:b w:val="0"/>
                <w:bCs w:val="0"/>
                <w:color w:val="auto"/>
                <w:sz w:val="24"/>
                <w:highlight w:val="none"/>
                <w:lang w:val="en-US" w:eastAsia="zh-CN"/>
              </w:rPr>
            </w:pPr>
            <w:r>
              <w:rPr>
                <w:rFonts w:hint="eastAsia" w:eastAsia="宋体" w:cs="Times New Roman"/>
                <w:b w:val="0"/>
                <w:bCs w:val="0"/>
                <w:color w:val="auto"/>
                <w:spacing w:val="0"/>
                <w:kern w:val="2"/>
                <w:sz w:val="24"/>
                <w:szCs w:val="24"/>
                <w:highlight w:val="none"/>
                <w:lang w:val="en-US" w:eastAsia="zh-CN" w:bidi="ar-SA"/>
              </w:rPr>
              <w:t>项目设发泡机4套、成型机26套、切割机</w:t>
            </w:r>
            <w:r>
              <w:rPr>
                <w:rFonts w:hint="eastAsia" w:cs="Times New Roman"/>
                <w:b w:val="0"/>
                <w:bCs w:val="0"/>
                <w:color w:val="auto"/>
                <w:spacing w:val="0"/>
                <w:kern w:val="2"/>
                <w:sz w:val="24"/>
                <w:szCs w:val="24"/>
                <w:highlight w:val="none"/>
                <w:lang w:val="en-US" w:eastAsia="zh-CN" w:bidi="ar-SA"/>
              </w:rPr>
              <w:t>3</w:t>
            </w:r>
            <w:r>
              <w:rPr>
                <w:rFonts w:hint="eastAsia" w:eastAsia="宋体" w:cs="Times New Roman"/>
                <w:b w:val="0"/>
                <w:bCs w:val="0"/>
                <w:color w:val="auto"/>
                <w:spacing w:val="0"/>
                <w:kern w:val="2"/>
                <w:sz w:val="24"/>
                <w:szCs w:val="24"/>
                <w:highlight w:val="none"/>
                <w:lang w:val="en-US" w:eastAsia="zh-CN" w:bidi="ar-SA"/>
              </w:rPr>
              <w:t>套，</w:t>
            </w:r>
            <w:r>
              <w:rPr>
                <w:rFonts w:hint="default" w:ascii="Times New Roman" w:hAnsi="Times New Roman" w:eastAsia="宋体" w:cs="Times New Roman"/>
                <w:b w:val="0"/>
                <w:bCs w:val="0"/>
                <w:color w:val="auto"/>
                <w:sz w:val="24"/>
                <w:highlight w:val="none"/>
                <w:lang w:val="en-US" w:eastAsia="zh-CN"/>
              </w:rPr>
              <w:t>项目废气</w:t>
            </w:r>
            <w:r>
              <w:rPr>
                <w:rFonts w:hint="default" w:ascii="Times New Roman" w:hAnsi="Times New Roman" w:eastAsia="宋体" w:cs="Times New Roman"/>
                <w:b w:val="0"/>
                <w:bCs w:val="0"/>
                <w:color w:val="auto"/>
                <w:sz w:val="24"/>
                <w:highlight w:val="none"/>
              </w:rPr>
              <w:t>收集系统</w:t>
            </w:r>
            <w:r>
              <w:rPr>
                <w:rFonts w:hint="eastAsia" w:eastAsia="宋体" w:cs="Times New Roman"/>
                <w:b w:val="0"/>
                <w:bCs w:val="0"/>
                <w:color w:val="auto"/>
                <w:sz w:val="24"/>
                <w:highlight w:val="none"/>
                <w:lang w:val="en-US" w:eastAsia="zh-CN"/>
              </w:rPr>
              <w:t>为设备密闭，在发泡及成型机出料口设</w:t>
            </w:r>
            <w:r>
              <w:rPr>
                <w:rFonts w:hint="default" w:ascii="Times New Roman" w:hAnsi="Times New Roman" w:eastAsia="宋体" w:cs="Times New Roman"/>
                <w:b w:val="0"/>
                <w:bCs w:val="0"/>
                <w:color w:val="auto"/>
                <w:sz w:val="24"/>
                <w:highlight w:val="none"/>
              </w:rPr>
              <w:t>集气罩</w:t>
            </w:r>
            <w:r>
              <w:rPr>
                <w:rFonts w:hint="default" w:ascii="Times New Roman" w:hAnsi="Times New Roman" w:eastAsia="宋体" w:cs="Times New Roman"/>
                <w:b w:val="0"/>
                <w:bCs w:val="0"/>
                <w:color w:val="auto"/>
                <w:sz w:val="24"/>
                <w:highlight w:val="none"/>
                <w:lang w:eastAsia="zh-CN"/>
              </w:rPr>
              <w:t>，</w:t>
            </w:r>
            <w:r>
              <w:rPr>
                <w:rFonts w:hint="default" w:ascii="Times New Roman" w:hAnsi="Times New Roman" w:eastAsia="宋体" w:cs="Times New Roman"/>
                <w:b w:val="0"/>
                <w:bCs w:val="0"/>
                <w:color w:val="auto"/>
                <w:sz w:val="24"/>
                <w:highlight w:val="none"/>
                <w:lang w:val="en-US" w:eastAsia="zh-CN"/>
              </w:rPr>
              <w:t>设备四周密闭，仅留出料口</w:t>
            </w:r>
            <w:r>
              <w:rPr>
                <w:rFonts w:hint="eastAsia" w:cs="Times New Roman"/>
                <w:b w:val="0"/>
                <w:bCs w:val="0"/>
                <w:color w:val="auto"/>
                <w:sz w:val="24"/>
                <w:highlight w:val="none"/>
                <w:lang w:val="en-US" w:eastAsia="zh-CN"/>
              </w:rPr>
              <w:t>。</w:t>
            </w:r>
          </w:p>
          <w:p w14:paraId="0C4ED8C7">
            <w:pPr>
              <w:pStyle w:val="134"/>
              <w:keepNext w:val="0"/>
              <w:keepLines w:val="0"/>
              <w:pageBreakBefore w:val="0"/>
              <w:widowControl w:val="0"/>
              <w:tabs>
                <w:tab w:val="left" w:pos="327"/>
                <w:tab w:val="left" w:pos="507"/>
                <w:tab w:val="right" w:pos="8913"/>
              </w:tabs>
              <w:kinsoku/>
              <w:wordWrap/>
              <w:overflowPunct/>
              <w:topLinePunct w:val="0"/>
              <w:autoSpaceDE/>
              <w:autoSpaceDN/>
              <w:bidi w:val="0"/>
              <w:spacing w:line="360" w:lineRule="auto"/>
              <w:jc w:val="left"/>
              <w:textAlignment w:val="auto"/>
              <w:outlineLvl w:val="9"/>
              <w:rPr>
                <w:rFonts w:hint="default" w:ascii="Times New Roman" w:hAnsi="Times New Roman" w:eastAsia="宋体" w:cs="Times New Roman"/>
                <w:b w:val="0"/>
                <w:bCs w:val="0"/>
                <w:color w:val="auto"/>
                <w:szCs w:val="25"/>
                <w:highlight w:val="none"/>
              </w:rPr>
            </w:pPr>
            <w:r>
              <w:rPr>
                <w:rFonts w:hint="default" w:ascii="Times New Roman" w:hAnsi="Times New Roman" w:eastAsia="宋体" w:cs="Times New Roman"/>
                <w:b w:val="0"/>
                <w:bCs w:val="0"/>
                <w:color w:val="auto"/>
                <w:szCs w:val="25"/>
                <w:highlight w:val="none"/>
              </w:rPr>
              <w:t>集气罩的风量</w:t>
            </w:r>
            <w:r>
              <w:rPr>
                <w:rFonts w:hint="eastAsia" w:cs="Times New Roman"/>
                <w:b w:val="0"/>
                <w:bCs w:val="0"/>
                <w:color w:val="auto"/>
                <w:szCs w:val="25"/>
                <w:highlight w:val="none"/>
                <w:lang w:val="en-US" w:eastAsia="zh-CN"/>
              </w:rPr>
              <w:t>参考</w:t>
            </w:r>
            <w:r>
              <w:rPr>
                <w:rFonts w:hint="default" w:ascii="Times New Roman" w:hAnsi="Times New Roman" w:eastAsia="宋体" w:cs="Times New Roman"/>
                <w:b w:val="0"/>
                <w:bCs w:val="0"/>
                <w:color w:val="auto"/>
                <w:szCs w:val="25"/>
                <w:highlight w:val="none"/>
              </w:rPr>
              <w:t>《三废处理工程技术手册-废气卷》中有关公式计算，</w:t>
            </w:r>
            <w:r>
              <w:rPr>
                <w:rFonts w:hint="eastAsia" w:cs="Times New Roman"/>
                <w:b w:val="0"/>
                <w:bCs w:val="0"/>
                <w:color w:val="auto"/>
                <w:szCs w:val="25"/>
                <w:highlight w:val="none"/>
                <w:lang w:eastAsia="zh-CN"/>
              </w:rPr>
              <w:t>计算公式</w:t>
            </w:r>
            <w:r>
              <w:rPr>
                <w:rFonts w:hint="default" w:ascii="Times New Roman" w:hAnsi="Times New Roman" w:eastAsia="宋体" w:cs="Times New Roman"/>
                <w:b w:val="0"/>
                <w:bCs w:val="0"/>
                <w:color w:val="auto"/>
                <w:szCs w:val="25"/>
                <w:highlight w:val="none"/>
              </w:rPr>
              <w:t>如下：</w:t>
            </w:r>
          </w:p>
          <w:p w14:paraId="2D4837D7">
            <w:pPr>
              <w:pStyle w:val="134"/>
              <w:keepNext w:val="0"/>
              <w:keepLines w:val="0"/>
              <w:pageBreakBefore w:val="0"/>
              <w:widowControl w:val="0"/>
              <w:tabs>
                <w:tab w:val="left" w:pos="327"/>
                <w:tab w:val="left" w:pos="507"/>
                <w:tab w:val="right" w:pos="8913"/>
              </w:tabs>
              <w:kinsoku/>
              <w:wordWrap/>
              <w:overflowPunct/>
              <w:topLinePunct w:val="0"/>
              <w:autoSpaceDE/>
              <w:autoSpaceDN/>
              <w:bidi w:val="0"/>
              <w:spacing w:line="360" w:lineRule="auto"/>
              <w:jc w:val="left"/>
              <w:textAlignment w:val="auto"/>
              <w:outlineLvl w:val="9"/>
              <w:rPr>
                <w:rFonts w:hint="default" w:ascii="Times New Roman" w:hAnsi="Times New Roman" w:eastAsia="宋体" w:cs="Times New Roman"/>
                <w:b w:val="0"/>
                <w:bCs w:val="0"/>
                <w:color w:val="auto"/>
                <w:szCs w:val="25"/>
                <w:highlight w:val="none"/>
              </w:rPr>
            </w:pPr>
            <w:r>
              <w:rPr>
                <w:rFonts w:hint="default" w:ascii="Times New Roman" w:hAnsi="Times New Roman" w:eastAsia="宋体" w:cs="Times New Roman"/>
                <w:b w:val="0"/>
                <w:bCs w:val="0"/>
                <w:color w:val="auto"/>
                <w:szCs w:val="25"/>
                <w:highlight w:val="none"/>
              </w:rPr>
              <w:t>Q=K×V×F×3600</w:t>
            </w:r>
          </w:p>
          <w:p w14:paraId="53E1C68F">
            <w:pPr>
              <w:pStyle w:val="134"/>
              <w:keepNext w:val="0"/>
              <w:keepLines w:val="0"/>
              <w:pageBreakBefore w:val="0"/>
              <w:widowControl w:val="0"/>
              <w:tabs>
                <w:tab w:val="left" w:pos="327"/>
                <w:tab w:val="left" w:pos="507"/>
                <w:tab w:val="right" w:pos="8913"/>
              </w:tabs>
              <w:kinsoku/>
              <w:wordWrap/>
              <w:overflowPunct/>
              <w:topLinePunct w:val="0"/>
              <w:autoSpaceDE/>
              <w:autoSpaceDN/>
              <w:bidi w:val="0"/>
              <w:spacing w:line="360" w:lineRule="auto"/>
              <w:jc w:val="left"/>
              <w:textAlignment w:val="auto"/>
              <w:outlineLvl w:val="9"/>
              <w:rPr>
                <w:rFonts w:hint="default" w:ascii="Times New Roman" w:hAnsi="Times New Roman" w:eastAsia="宋体" w:cs="Times New Roman"/>
                <w:b w:val="0"/>
                <w:bCs w:val="0"/>
                <w:color w:val="auto"/>
                <w:szCs w:val="25"/>
                <w:highlight w:val="none"/>
              </w:rPr>
            </w:pPr>
            <w:r>
              <w:rPr>
                <w:rFonts w:hint="default" w:ascii="Times New Roman" w:hAnsi="Times New Roman" w:eastAsia="宋体" w:cs="Times New Roman"/>
                <w:b w:val="0"/>
                <w:bCs w:val="0"/>
                <w:color w:val="auto"/>
                <w:szCs w:val="25"/>
                <w:highlight w:val="none"/>
              </w:rPr>
              <w:t>式中：Q：设计风量，m</w:t>
            </w:r>
            <w:r>
              <w:rPr>
                <w:rFonts w:hint="default" w:ascii="Times New Roman" w:hAnsi="Times New Roman" w:eastAsia="宋体" w:cs="Times New Roman"/>
                <w:b w:val="0"/>
                <w:bCs w:val="0"/>
                <w:color w:val="auto"/>
                <w:szCs w:val="25"/>
                <w:highlight w:val="none"/>
                <w:vertAlign w:val="superscript"/>
              </w:rPr>
              <w:t>3</w:t>
            </w:r>
            <w:r>
              <w:rPr>
                <w:rFonts w:hint="default" w:ascii="Times New Roman" w:hAnsi="Times New Roman" w:eastAsia="宋体" w:cs="Times New Roman"/>
                <w:b w:val="0"/>
                <w:bCs w:val="0"/>
                <w:color w:val="auto"/>
                <w:szCs w:val="25"/>
                <w:highlight w:val="none"/>
              </w:rPr>
              <w:t>/h</w:t>
            </w:r>
          </w:p>
          <w:p w14:paraId="3BCBAF4F">
            <w:pPr>
              <w:pStyle w:val="134"/>
              <w:keepNext w:val="0"/>
              <w:keepLines w:val="0"/>
              <w:pageBreakBefore w:val="0"/>
              <w:widowControl w:val="0"/>
              <w:tabs>
                <w:tab w:val="left" w:pos="327"/>
                <w:tab w:val="left" w:pos="507"/>
                <w:tab w:val="right" w:pos="8913"/>
              </w:tabs>
              <w:kinsoku/>
              <w:wordWrap/>
              <w:overflowPunct/>
              <w:topLinePunct w:val="0"/>
              <w:autoSpaceDE/>
              <w:autoSpaceDN/>
              <w:bidi w:val="0"/>
              <w:spacing w:line="360" w:lineRule="auto"/>
              <w:jc w:val="left"/>
              <w:textAlignment w:val="auto"/>
              <w:outlineLvl w:val="9"/>
              <w:rPr>
                <w:rFonts w:hint="default" w:ascii="Times New Roman" w:hAnsi="Times New Roman" w:eastAsia="宋体" w:cs="Times New Roman"/>
                <w:b w:val="0"/>
                <w:bCs w:val="0"/>
                <w:color w:val="auto"/>
                <w:szCs w:val="25"/>
                <w:highlight w:val="none"/>
                <w:lang w:val="en-US" w:eastAsia="zh-CN"/>
              </w:rPr>
            </w:pPr>
            <w:r>
              <w:rPr>
                <w:rFonts w:hint="default" w:ascii="Times New Roman" w:hAnsi="Times New Roman" w:eastAsia="宋体" w:cs="Times New Roman"/>
                <w:b w:val="0"/>
                <w:bCs w:val="0"/>
                <w:color w:val="auto"/>
                <w:szCs w:val="25"/>
                <w:highlight w:val="none"/>
              </w:rPr>
              <w:t>K：高度分布不均匀系数（经验值</w:t>
            </w:r>
            <w:r>
              <w:rPr>
                <w:rFonts w:hint="eastAsia" w:cs="Times New Roman"/>
                <w:b w:val="0"/>
                <w:bCs w:val="0"/>
                <w:color w:val="auto"/>
                <w:szCs w:val="25"/>
                <w:highlight w:val="none"/>
                <w:lang w:val="en-US" w:eastAsia="zh-CN"/>
              </w:rPr>
              <w:t>1.1</w:t>
            </w:r>
            <w:r>
              <w:rPr>
                <w:rFonts w:hint="default" w:ascii="Times New Roman" w:hAnsi="Times New Roman" w:eastAsia="宋体" w:cs="Times New Roman"/>
                <w:b w:val="0"/>
                <w:bCs w:val="0"/>
                <w:color w:val="auto"/>
                <w:szCs w:val="25"/>
                <w:highlight w:val="none"/>
              </w:rPr>
              <w:t>）</w:t>
            </w:r>
          </w:p>
          <w:p w14:paraId="5A63A860">
            <w:pPr>
              <w:pStyle w:val="134"/>
              <w:keepNext w:val="0"/>
              <w:keepLines w:val="0"/>
              <w:pageBreakBefore w:val="0"/>
              <w:widowControl w:val="0"/>
              <w:tabs>
                <w:tab w:val="left" w:pos="327"/>
                <w:tab w:val="left" w:pos="507"/>
                <w:tab w:val="right" w:pos="8913"/>
              </w:tabs>
              <w:kinsoku/>
              <w:wordWrap/>
              <w:overflowPunct/>
              <w:topLinePunct w:val="0"/>
              <w:autoSpaceDE/>
              <w:autoSpaceDN/>
              <w:bidi w:val="0"/>
              <w:spacing w:line="360" w:lineRule="auto"/>
              <w:jc w:val="left"/>
              <w:textAlignment w:val="auto"/>
              <w:outlineLvl w:val="9"/>
              <w:rPr>
                <w:rFonts w:hint="default" w:ascii="Times New Roman" w:hAnsi="Times New Roman" w:eastAsia="宋体" w:cs="Times New Roman"/>
                <w:b w:val="0"/>
                <w:bCs w:val="0"/>
                <w:color w:val="auto"/>
                <w:szCs w:val="25"/>
                <w:highlight w:val="none"/>
                <w:lang w:val="en-US" w:eastAsia="zh-CN"/>
              </w:rPr>
            </w:pPr>
            <w:r>
              <w:rPr>
                <w:rFonts w:hint="default" w:ascii="Times New Roman" w:hAnsi="Times New Roman" w:eastAsia="宋体" w:cs="Times New Roman"/>
                <w:b w:val="0"/>
                <w:bCs w:val="0"/>
                <w:color w:val="auto"/>
                <w:szCs w:val="25"/>
                <w:highlight w:val="none"/>
              </w:rPr>
              <w:t>V：</w:t>
            </w:r>
            <w:r>
              <w:rPr>
                <w:rFonts w:hint="eastAsia" w:cs="Times New Roman"/>
                <w:b w:val="0"/>
                <w:bCs w:val="0"/>
                <w:color w:val="auto"/>
                <w:szCs w:val="25"/>
                <w:highlight w:val="none"/>
                <w:lang w:val="en-US" w:eastAsia="zh-CN"/>
              </w:rPr>
              <w:t>操作口处空气吸入风速</w:t>
            </w:r>
            <w:r>
              <w:rPr>
                <w:rFonts w:hint="default" w:ascii="Times New Roman" w:hAnsi="Times New Roman" w:eastAsia="宋体" w:cs="Times New Roman"/>
                <w:b w:val="0"/>
                <w:bCs w:val="0"/>
                <w:color w:val="auto"/>
                <w:szCs w:val="25"/>
                <w:highlight w:val="none"/>
              </w:rPr>
              <w:t>，m/s，</w:t>
            </w:r>
            <w:r>
              <w:rPr>
                <w:rFonts w:hint="default" w:ascii="Times New Roman" w:hAnsi="Times New Roman" w:eastAsia="宋体" w:cs="Times New Roman"/>
                <w:b w:val="0"/>
                <w:bCs w:val="0"/>
                <w:color w:val="auto"/>
                <w:szCs w:val="25"/>
                <w:highlight w:val="none"/>
                <w:lang w:val="en-US" w:eastAsia="zh-CN"/>
              </w:rPr>
              <w:t>本项目全部取</w:t>
            </w:r>
            <w:r>
              <w:rPr>
                <w:rFonts w:hint="eastAsia" w:cs="Times New Roman"/>
                <w:b w:val="0"/>
                <w:bCs w:val="0"/>
                <w:color w:val="auto"/>
                <w:szCs w:val="25"/>
                <w:highlight w:val="none"/>
                <w:lang w:val="en-US" w:eastAsia="zh-CN"/>
              </w:rPr>
              <w:t>1.0</w:t>
            </w:r>
          </w:p>
          <w:p w14:paraId="5735067A">
            <w:pPr>
              <w:pStyle w:val="134"/>
              <w:keepNext w:val="0"/>
              <w:keepLines w:val="0"/>
              <w:pageBreakBefore w:val="0"/>
              <w:widowControl w:val="0"/>
              <w:tabs>
                <w:tab w:val="left" w:pos="327"/>
                <w:tab w:val="left" w:pos="507"/>
                <w:tab w:val="right" w:pos="8913"/>
              </w:tabs>
              <w:kinsoku/>
              <w:wordWrap/>
              <w:overflowPunct/>
              <w:topLinePunct w:val="0"/>
              <w:autoSpaceDE/>
              <w:autoSpaceDN/>
              <w:bidi w:val="0"/>
              <w:spacing w:line="360" w:lineRule="auto"/>
              <w:jc w:val="left"/>
              <w:textAlignment w:val="auto"/>
              <w:outlineLvl w:val="9"/>
              <w:rPr>
                <w:rFonts w:hint="eastAsia"/>
                <w:b/>
                <w:bCs/>
                <w:color w:val="auto"/>
                <w:sz w:val="24"/>
                <w:szCs w:val="24"/>
                <w:highlight w:val="none"/>
                <w:lang w:val="en-US" w:eastAsia="zh-CN"/>
              </w:rPr>
            </w:pPr>
            <w:r>
              <w:rPr>
                <w:rFonts w:hint="default" w:ascii="Times New Roman" w:hAnsi="Times New Roman" w:eastAsia="宋体" w:cs="Times New Roman"/>
                <w:b w:val="0"/>
                <w:bCs w:val="0"/>
                <w:color w:val="auto"/>
                <w:szCs w:val="25"/>
                <w:highlight w:val="none"/>
              </w:rPr>
              <w:t>F：集气罩面积，m</w:t>
            </w:r>
            <w:r>
              <w:rPr>
                <w:rFonts w:hint="default" w:ascii="Times New Roman" w:hAnsi="Times New Roman" w:eastAsia="宋体" w:cs="Times New Roman"/>
                <w:b w:val="0"/>
                <w:bCs w:val="0"/>
                <w:color w:val="auto"/>
                <w:szCs w:val="25"/>
                <w:highlight w:val="none"/>
                <w:vertAlign w:val="superscript"/>
              </w:rPr>
              <w:t>2</w:t>
            </w:r>
          </w:p>
          <w:p w14:paraId="042D7754">
            <w:pPr>
              <w:keepNext w:val="0"/>
              <w:keepLines w:val="0"/>
              <w:pageBreakBefore w:val="0"/>
              <w:widowControl w:val="0"/>
              <w:kinsoku/>
              <w:wordWrap/>
              <w:overflowPunct/>
              <w:topLinePunct w:val="0"/>
              <w:autoSpaceDE/>
              <w:autoSpaceDN/>
              <w:bidi w:val="0"/>
              <w:adjustRightInd/>
              <w:snapToGrid/>
              <w:jc w:val="center"/>
              <w:textAlignment w:val="auto"/>
              <w:rPr>
                <w:rFonts w:hint="default" w:eastAsia="宋体"/>
                <w:b/>
                <w:bCs/>
                <w:color w:val="auto"/>
                <w:sz w:val="24"/>
                <w:szCs w:val="24"/>
                <w:highlight w:val="none"/>
                <w:lang w:val="en-US" w:eastAsia="zh-CN"/>
              </w:rPr>
            </w:pPr>
            <w:r>
              <w:rPr>
                <w:rFonts w:hint="eastAsia"/>
                <w:b/>
                <w:bCs/>
                <w:color w:val="auto"/>
                <w:sz w:val="24"/>
                <w:szCs w:val="24"/>
                <w:highlight w:val="none"/>
                <w:lang w:val="en-US" w:eastAsia="zh-CN"/>
              </w:rPr>
              <w:t>表4-1风气量核算一览表</w:t>
            </w:r>
          </w:p>
          <w:tbl>
            <w:tblPr>
              <w:tblStyle w:val="34"/>
              <w:tblW w:w="4998" w:type="pct"/>
              <w:tblInd w:w="5"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1089"/>
              <w:gridCol w:w="2143"/>
              <w:gridCol w:w="870"/>
              <w:gridCol w:w="1813"/>
              <w:gridCol w:w="928"/>
              <w:gridCol w:w="1636"/>
            </w:tblGrid>
            <w:tr w14:paraId="76E5BEA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PrEx>
              <w:trPr>
                <w:trHeight w:val="556" w:hRule="atLeast"/>
              </w:trPr>
              <w:tc>
                <w:tcPr>
                  <w:tcW w:w="642" w:type="pct"/>
                  <w:noWrap w:val="0"/>
                  <w:vAlign w:val="center"/>
                </w:tcPr>
                <w:p w14:paraId="5857304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val="0"/>
                      <w:color w:val="auto"/>
                      <w:spacing w:val="-11"/>
                      <w:sz w:val="21"/>
                      <w:szCs w:val="21"/>
                      <w:highlight w:val="none"/>
                      <w:lang w:val="en-US" w:eastAsia="zh-CN"/>
                    </w:rPr>
                  </w:pPr>
                  <w:r>
                    <w:rPr>
                      <w:rFonts w:hint="default" w:ascii="Times New Roman" w:hAnsi="Times New Roman" w:eastAsia="宋体" w:cs="Times New Roman"/>
                      <w:b/>
                      <w:bCs w:val="0"/>
                      <w:color w:val="auto"/>
                      <w:spacing w:val="-11"/>
                      <w:sz w:val="21"/>
                      <w:szCs w:val="21"/>
                      <w:highlight w:val="none"/>
                      <w:lang w:val="en-US" w:eastAsia="zh-CN"/>
                    </w:rPr>
                    <w:t>产生工序</w:t>
                  </w:r>
                </w:p>
              </w:tc>
              <w:tc>
                <w:tcPr>
                  <w:tcW w:w="1264" w:type="pct"/>
                  <w:noWrap w:val="0"/>
                  <w:vAlign w:val="center"/>
                </w:tcPr>
                <w:p w14:paraId="65A8EC3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val="0"/>
                      <w:color w:val="auto"/>
                      <w:spacing w:val="-11"/>
                      <w:sz w:val="21"/>
                      <w:szCs w:val="21"/>
                      <w:highlight w:val="none"/>
                      <w:lang w:val="en-US" w:eastAsia="zh-CN"/>
                    </w:rPr>
                  </w:pPr>
                  <w:r>
                    <w:rPr>
                      <w:rFonts w:hint="default" w:ascii="Times New Roman" w:hAnsi="Times New Roman" w:eastAsia="宋体" w:cs="Times New Roman"/>
                      <w:b/>
                      <w:bCs w:val="0"/>
                      <w:color w:val="auto"/>
                      <w:spacing w:val="-11"/>
                      <w:sz w:val="21"/>
                      <w:szCs w:val="21"/>
                      <w:highlight w:val="none"/>
                      <w:lang w:val="en-US" w:eastAsia="zh-CN"/>
                    </w:rPr>
                    <w:t>收集方式</w:t>
                  </w:r>
                </w:p>
              </w:tc>
              <w:tc>
                <w:tcPr>
                  <w:tcW w:w="513" w:type="pct"/>
                  <w:noWrap w:val="0"/>
                  <w:vAlign w:val="center"/>
                </w:tcPr>
                <w:p w14:paraId="342B6C7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val="0"/>
                      <w:color w:val="auto"/>
                      <w:spacing w:val="-11"/>
                      <w:sz w:val="21"/>
                      <w:szCs w:val="21"/>
                      <w:highlight w:val="none"/>
                      <w:lang w:val="en-US" w:eastAsia="zh-CN"/>
                    </w:rPr>
                  </w:pPr>
                  <w:r>
                    <w:rPr>
                      <w:rFonts w:hint="default" w:ascii="Times New Roman" w:hAnsi="Times New Roman" w:eastAsia="宋体" w:cs="Times New Roman"/>
                      <w:b/>
                      <w:bCs w:val="0"/>
                      <w:color w:val="auto"/>
                      <w:spacing w:val="-11"/>
                      <w:sz w:val="21"/>
                      <w:szCs w:val="21"/>
                      <w:highlight w:val="none"/>
                      <w:lang w:val="en-US" w:eastAsia="zh-CN"/>
                    </w:rPr>
                    <w:t>数量</w:t>
                  </w:r>
                </w:p>
              </w:tc>
              <w:tc>
                <w:tcPr>
                  <w:tcW w:w="1069" w:type="pct"/>
                  <w:noWrap w:val="0"/>
                  <w:vAlign w:val="center"/>
                </w:tcPr>
                <w:p w14:paraId="4904F4B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val="0"/>
                      <w:color w:val="auto"/>
                      <w:spacing w:val="-11"/>
                      <w:sz w:val="21"/>
                      <w:szCs w:val="21"/>
                      <w:highlight w:val="none"/>
                      <w:lang w:val="en-US" w:eastAsia="zh-CN"/>
                    </w:rPr>
                  </w:pPr>
                  <w:r>
                    <w:rPr>
                      <w:rFonts w:hint="default" w:ascii="Times New Roman" w:hAnsi="Times New Roman" w:eastAsia="宋体" w:cs="Times New Roman"/>
                      <w:b/>
                      <w:bCs w:val="0"/>
                      <w:color w:val="auto"/>
                      <w:spacing w:val="-11"/>
                      <w:sz w:val="21"/>
                      <w:szCs w:val="21"/>
                      <w:highlight w:val="none"/>
                      <w:lang w:val="en-US" w:eastAsia="zh-CN"/>
                    </w:rPr>
                    <w:t>尺寸*①</w:t>
                  </w:r>
                </w:p>
                <w:p w14:paraId="13C9147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val="0"/>
                      <w:color w:val="auto"/>
                      <w:spacing w:val="-11"/>
                      <w:sz w:val="21"/>
                      <w:szCs w:val="21"/>
                      <w:highlight w:val="none"/>
                      <w:lang w:val="en-US" w:eastAsia="zh-CN"/>
                    </w:rPr>
                  </w:pPr>
                  <w:r>
                    <w:rPr>
                      <w:rFonts w:hint="default" w:ascii="Times New Roman" w:hAnsi="Times New Roman" w:eastAsia="宋体" w:cs="Times New Roman"/>
                      <w:b/>
                      <w:bCs w:val="0"/>
                      <w:color w:val="auto"/>
                      <w:spacing w:val="-11"/>
                      <w:sz w:val="21"/>
                      <w:szCs w:val="21"/>
                      <w:highlight w:val="none"/>
                      <w:lang w:val="en-US" w:eastAsia="zh-CN"/>
                    </w:rPr>
                    <w:t>（长、宽、高m）</w:t>
                  </w:r>
                </w:p>
              </w:tc>
              <w:tc>
                <w:tcPr>
                  <w:tcW w:w="1511" w:type="pct"/>
                  <w:gridSpan w:val="2"/>
                  <w:noWrap w:val="0"/>
                  <w:vAlign w:val="center"/>
                </w:tcPr>
                <w:p w14:paraId="2236DDB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val="0"/>
                      <w:color w:val="auto"/>
                      <w:spacing w:val="-11"/>
                      <w:sz w:val="21"/>
                      <w:szCs w:val="21"/>
                      <w:highlight w:val="none"/>
                      <w:lang w:val="en-US" w:eastAsia="zh-CN"/>
                    </w:rPr>
                  </w:pPr>
                  <w:r>
                    <w:rPr>
                      <w:rFonts w:hint="default" w:ascii="Times New Roman" w:hAnsi="Times New Roman" w:eastAsia="宋体" w:cs="Times New Roman"/>
                      <w:b/>
                      <w:bCs w:val="0"/>
                      <w:color w:val="auto"/>
                      <w:spacing w:val="-11"/>
                      <w:sz w:val="21"/>
                      <w:szCs w:val="21"/>
                      <w:highlight w:val="none"/>
                      <w:lang w:val="en-US" w:eastAsia="zh-CN"/>
                    </w:rPr>
                    <w:t>风量（总）</w:t>
                  </w:r>
                  <w:r>
                    <w:rPr>
                      <w:rFonts w:hint="default" w:ascii="Times New Roman" w:hAnsi="Times New Roman" w:eastAsia="宋体" w:cs="Times New Roman"/>
                      <w:bCs/>
                      <w:color w:val="auto"/>
                      <w:spacing w:val="-11"/>
                      <w:sz w:val="21"/>
                      <w:szCs w:val="21"/>
                      <w:highlight w:val="none"/>
                    </w:rPr>
                    <w:t>m</w:t>
                  </w:r>
                  <w:r>
                    <w:rPr>
                      <w:rFonts w:hint="default" w:ascii="Times New Roman" w:hAnsi="Times New Roman" w:eastAsia="宋体" w:cs="Times New Roman"/>
                      <w:bCs/>
                      <w:color w:val="auto"/>
                      <w:spacing w:val="-11"/>
                      <w:sz w:val="21"/>
                      <w:szCs w:val="21"/>
                      <w:highlight w:val="none"/>
                      <w:vertAlign w:val="superscript"/>
                    </w:rPr>
                    <w:t>3</w:t>
                  </w:r>
                  <w:r>
                    <w:rPr>
                      <w:rFonts w:hint="default" w:ascii="Times New Roman" w:hAnsi="Times New Roman" w:eastAsia="宋体" w:cs="Times New Roman"/>
                      <w:bCs/>
                      <w:color w:val="auto"/>
                      <w:spacing w:val="-11"/>
                      <w:sz w:val="21"/>
                      <w:szCs w:val="21"/>
                      <w:highlight w:val="none"/>
                    </w:rPr>
                    <w:t>/h</w:t>
                  </w:r>
                </w:p>
              </w:tc>
            </w:tr>
            <w:tr w14:paraId="6F26A35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642" w:type="pct"/>
                  <w:vMerge w:val="restart"/>
                  <w:noWrap w:val="0"/>
                  <w:vAlign w:val="center"/>
                </w:tcPr>
                <w:p w14:paraId="659D72B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发泡机</w:t>
                  </w:r>
                </w:p>
              </w:tc>
              <w:tc>
                <w:tcPr>
                  <w:tcW w:w="1264" w:type="pct"/>
                  <w:noWrap w:val="0"/>
                  <w:vAlign w:val="center"/>
                </w:tcPr>
                <w:p w14:paraId="4F0EFE3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r>
                    <w:rPr>
                      <w:rFonts w:hint="default" w:ascii="Times New Roman" w:hAnsi="Times New Roman" w:eastAsia="宋体" w:cs="Times New Roman"/>
                      <w:bCs/>
                      <w:color w:val="auto"/>
                      <w:spacing w:val="-11"/>
                      <w:sz w:val="21"/>
                      <w:szCs w:val="21"/>
                      <w:highlight w:val="none"/>
                      <w:lang w:val="en-US" w:eastAsia="zh-CN"/>
                    </w:rPr>
                    <w:t>集气罩（四周加软帘）</w:t>
                  </w:r>
                </w:p>
              </w:tc>
              <w:tc>
                <w:tcPr>
                  <w:tcW w:w="513" w:type="pct"/>
                  <w:noWrap w:val="0"/>
                  <w:vAlign w:val="center"/>
                </w:tcPr>
                <w:p w14:paraId="7E1F2AB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r>
                    <w:rPr>
                      <w:rFonts w:hint="default" w:ascii="Times New Roman" w:hAnsi="Times New Roman" w:eastAsia="宋体" w:cs="Times New Roman"/>
                      <w:bCs/>
                      <w:color w:val="auto"/>
                      <w:spacing w:val="-11"/>
                      <w:sz w:val="21"/>
                      <w:szCs w:val="21"/>
                      <w:highlight w:val="none"/>
                      <w:lang w:val="en-US" w:eastAsia="zh-CN"/>
                    </w:rPr>
                    <w:t>2</w:t>
                  </w:r>
                </w:p>
              </w:tc>
              <w:tc>
                <w:tcPr>
                  <w:tcW w:w="1069" w:type="pct"/>
                  <w:noWrap w:val="0"/>
                  <w:vAlign w:val="center"/>
                </w:tcPr>
                <w:p w14:paraId="38BEDC9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r>
                    <w:rPr>
                      <w:rFonts w:hint="eastAsia" w:cs="Times New Roman"/>
                      <w:bCs/>
                      <w:color w:val="auto"/>
                      <w:spacing w:val="-11"/>
                      <w:sz w:val="21"/>
                      <w:szCs w:val="21"/>
                      <w:highlight w:val="none"/>
                      <w:lang w:val="en-US" w:eastAsia="zh-CN"/>
                    </w:rPr>
                    <w:t>1.5</w:t>
                  </w:r>
                  <w:r>
                    <w:rPr>
                      <w:rFonts w:hint="default" w:ascii="Times New Roman" w:hAnsi="Times New Roman" w:eastAsia="宋体" w:cs="Times New Roman"/>
                      <w:bCs/>
                      <w:color w:val="auto"/>
                      <w:spacing w:val="-11"/>
                      <w:sz w:val="21"/>
                      <w:szCs w:val="21"/>
                      <w:highlight w:val="none"/>
                      <w:lang w:val="en-US" w:eastAsia="zh-CN"/>
                    </w:rPr>
                    <w:t>×</w:t>
                  </w:r>
                  <w:r>
                    <w:rPr>
                      <w:rFonts w:hint="eastAsia" w:cs="Times New Roman"/>
                      <w:bCs/>
                      <w:color w:val="auto"/>
                      <w:spacing w:val="-11"/>
                      <w:sz w:val="21"/>
                      <w:szCs w:val="21"/>
                      <w:highlight w:val="none"/>
                      <w:lang w:val="en-US" w:eastAsia="zh-CN"/>
                    </w:rPr>
                    <w:t>1</w:t>
                  </w:r>
                  <w:r>
                    <w:rPr>
                      <w:rFonts w:hint="default" w:ascii="Times New Roman" w:hAnsi="Times New Roman" w:eastAsia="宋体" w:cs="Times New Roman"/>
                      <w:bCs/>
                      <w:color w:val="auto"/>
                      <w:spacing w:val="-11"/>
                      <w:sz w:val="21"/>
                      <w:szCs w:val="21"/>
                      <w:highlight w:val="none"/>
                      <w:lang w:val="en-US" w:eastAsia="zh-CN"/>
                    </w:rPr>
                    <w:t>×0.4</w:t>
                  </w:r>
                </w:p>
              </w:tc>
              <w:tc>
                <w:tcPr>
                  <w:tcW w:w="547" w:type="pct"/>
                  <w:noWrap w:val="0"/>
                  <w:vAlign w:val="center"/>
                </w:tcPr>
                <w:p w14:paraId="1F7929D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4752</w:t>
                  </w:r>
                </w:p>
              </w:tc>
              <w:tc>
                <w:tcPr>
                  <w:tcW w:w="964" w:type="pct"/>
                  <w:vMerge w:val="restart"/>
                  <w:noWrap w:val="0"/>
                  <w:vAlign w:val="center"/>
                </w:tcPr>
                <w:p w14:paraId="79B7914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r>
                    <w:rPr>
                      <w:rFonts w:hint="eastAsia" w:cs="Times New Roman"/>
                      <w:bCs/>
                      <w:color w:val="auto"/>
                      <w:spacing w:val="-11"/>
                      <w:sz w:val="21"/>
                      <w:szCs w:val="21"/>
                      <w:highlight w:val="none"/>
                      <w:lang w:val="en-US" w:eastAsia="zh-CN"/>
                    </w:rPr>
                    <w:t>27872.46</w:t>
                  </w:r>
                </w:p>
              </w:tc>
            </w:tr>
            <w:tr w14:paraId="4458845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642" w:type="pct"/>
                  <w:vMerge w:val="continue"/>
                  <w:noWrap w:val="0"/>
                  <w:vAlign w:val="center"/>
                </w:tcPr>
                <w:p w14:paraId="78CA406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11"/>
                      <w:sz w:val="21"/>
                      <w:szCs w:val="21"/>
                      <w:highlight w:val="none"/>
                      <w:lang w:val="en-US" w:eastAsia="zh-CN"/>
                    </w:rPr>
                  </w:pPr>
                </w:p>
              </w:tc>
              <w:tc>
                <w:tcPr>
                  <w:tcW w:w="1264" w:type="pct"/>
                  <w:noWrap w:val="0"/>
                  <w:vAlign w:val="center"/>
                </w:tcPr>
                <w:p w14:paraId="471969D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kern w:val="2"/>
                      <w:sz w:val="21"/>
                      <w:szCs w:val="21"/>
                      <w:highlight w:val="none"/>
                      <w:lang w:val="en-US" w:eastAsia="zh-CN" w:bidi="ar-SA"/>
                    </w:rPr>
                  </w:pPr>
                  <w:r>
                    <w:rPr>
                      <w:rFonts w:hint="default" w:ascii="Times New Roman" w:hAnsi="Times New Roman" w:eastAsia="宋体" w:cs="Times New Roman"/>
                      <w:bCs/>
                      <w:color w:val="auto"/>
                      <w:spacing w:val="-11"/>
                      <w:sz w:val="21"/>
                      <w:szCs w:val="21"/>
                      <w:highlight w:val="none"/>
                      <w:lang w:val="en-US" w:eastAsia="zh-CN"/>
                    </w:rPr>
                    <w:t>集气罩（四周加软帘）</w:t>
                  </w:r>
                </w:p>
              </w:tc>
              <w:tc>
                <w:tcPr>
                  <w:tcW w:w="513" w:type="pct"/>
                  <w:noWrap w:val="0"/>
                  <w:vAlign w:val="center"/>
                </w:tcPr>
                <w:p w14:paraId="039E41A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kern w:val="2"/>
                      <w:sz w:val="21"/>
                      <w:szCs w:val="21"/>
                      <w:highlight w:val="none"/>
                      <w:lang w:val="en-US" w:eastAsia="zh-CN" w:bidi="ar-SA"/>
                    </w:rPr>
                  </w:pPr>
                  <w:r>
                    <w:rPr>
                      <w:rFonts w:hint="default" w:ascii="Times New Roman" w:hAnsi="Times New Roman" w:eastAsia="宋体" w:cs="Times New Roman"/>
                      <w:bCs/>
                      <w:color w:val="auto"/>
                      <w:spacing w:val="-11"/>
                      <w:sz w:val="21"/>
                      <w:szCs w:val="21"/>
                      <w:highlight w:val="none"/>
                      <w:lang w:val="en-US" w:eastAsia="zh-CN"/>
                    </w:rPr>
                    <w:t>2</w:t>
                  </w:r>
                </w:p>
              </w:tc>
              <w:tc>
                <w:tcPr>
                  <w:tcW w:w="1069" w:type="pct"/>
                  <w:noWrap w:val="0"/>
                  <w:vAlign w:val="center"/>
                </w:tcPr>
                <w:p w14:paraId="749AD13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kern w:val="2"/>
                      <w:sz w:val="21"/>
                      <w:szCs w:val="21"/>
                      <w:highlight w:val="none"/>
                      <w:lang w:val="en-US" w:eastAsia="zh-CN" w:bidi="ar-SA"/>
                    </w:rPr>
                  </w:pPr>
                  <w:r>
                    <w:rPr>
                      <w:rFonts w:hint="eastAsia" w:cs="Times New Roman"/>
                      <w:bCs/>
                      <w:color w:val="auto"/>
                      <w:spacing w:val="-11"/>
                      <w:sz w:val="21"/>
                      <w:szCs w:val="21"/>
                      <w:highlight w:val="none"/>
                      <w:lang w:val="en-US" w:eastAsia="zh-CN"/>
                    </w:rPr>
                    <w:t>1</w:t>
                  </w:r>
                  <w:r>
                    <w:rPr>
                      <w:rFonts w:hint="default" w:ascii="Times New Roman" w:hAnsi="Times New Roman" w:eastAsia="宋体" w:cs="Times New Roman"/>
                      <w:bCs/>
                      <w:color w:val="auto"/>
                      <w:spacing w:val="-11"/>
                      <w:sz w:val="21"/>
                      <w:szCs w:val="21"/>
                      <w:highlight w:val="none"/>
                      <w:lang w:val="en-US" w:eastAsia="zh-CN"/>
                    </w:rPr>
                    <w:t>×</w:t>
                  </w:r>
                  <w:r>
                    <w:rPr>
                      <w:rFonts w:hint="eastAsia" w:cs="Times New Roman"/>
                      <w:bCs/>
                      <w:color w:val="auto"/>
                      <w:spacing w:val="-11"/>
                      <w:sz w:val="21"/>
                      <w:szCs w:val="21"/>
                      <w:highlight w:val="none"/>
                      <w:lang w:val="en-US" w:eastAsia="zh-CN"/>
                    </w:rPr>
                    <w:t>1</w:t>
                  </w:r>
                  <w:r>
                    <w:rPr>
                      <w:rFonts w:hint="default" w:ascii="Times New Roman" w:hAnsi="Times New Roman" w:eastAsia="宋体" w:cs="Times New Roman"/>
                      <w:bCs/>
                      <w:color w:val="auto"/>
                      <w:spacing w:val="-11"/>
                      <w:sz w:val="21"/>
                      <w:szCs w:val="21"/>
                      <w:highlight w:val="none"/>
                      <w:lang w:val="en-US" w:eastAsia="zh-CN"/>
                    </w:rPr>
                    <w:t>×0.4</w:t>
                  </w:r>
                </w:p>
              </w:tc>
              <w:tc>
                <w:tcPr>
                  <w:tcW w:w="547" w:type="pct"/>
                  <w:noWrap w:val="0"/>
                  <w:vAlign w:val="center"/>
                </w:tcPr>
                <w:p w14:paraId="3B3CFD6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3168</w:t>
                  </w:r>
                </w:p>
              </w:tc>
              <w:tc>
                <w:tcPr>
                  <w:tcW w:w="964" w:type="pct"/>
                  <w:vMerge w:val="continue"/>
                  <w:noWrap w:val="0"/>
                  <w:vAlign w:val="center"/>
                </w:tcPr>
                <w:p w14:paraId="7B0FC9B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p>
              </w:tc>
            </w:tr>
            <w:tr w14:paraId="106F70A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642" w:type="pct"/>
                  <w:vMerge w:val="restart"/>
                  <w:noWrap w:val="0"/>
                  <w:vAlign w:val="center"/>
                </w:tcPr>
                <w:p w14:paraId="188BF63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成型机</w:t>
                  </w:r>
                </w:p>
              </w:tc>
              <w:tc>
                <w:tcPr>
                  <w:tcW w:w="1264" w:type="pct"/>
                  <w:noWrap w:val="0"/>
                  <w:vAlign w:val="center"/>
                </w:tcPr>
                <w:p w14:paraId="55412E4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r>
                    <w:rPr>
                      <w:rFonts w:hint="default" w:ascii="Times New Roman" w:hAnsi="Times New Roman" w:eastAsia="宋体" w:cs="Times New Roman"/>
                      <w:bCs/>
                      <w:color w:val="auto"/>
                      <w:spacing w:val="-11"/>
                      <w:sz w:val="21"/>
                      <w:szCs w:val="21"/>
                      <w:highlight w:val="none"/>
                      <w:lang w:val="en-US" w:eastAsia="zh-CN"/>
                    </w:rPr>
                    <w:t>集气罩（四周加软帘）</w:t>
                  </w:r>
                </w:p>
              </w:tc>
              <w:tc>
                <w:tcPr>
                  <w:tcW w:w="513" w:type="pct"/>
                  <w:noWrap w:val="0"/>
                  <w:vAlign w:val="center"/>
                </w:tcPr>
                <w:p w14:paraId="31F9161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r>
                    <w:rPr>
                      <w:rFonts w:hint="default" w:ascii="Times New Roman" w:hAnsi="Times New Roman" w:eastAsia="宋体" w:cs="Times New Roman"/>
                      <w:bCs/>
                      <w:color w:val="auto"/>
                      <w:spacing w:val="-11"/>
                      <w:sz w:val="21"/>
                      <w:szCs w:val="21"/>
                      <w:highlight w:val="none"/>
                      <w:lang w:val="en-US" w:eastAsia="zh-CN"/>
                    </w:rPr>
                    <w:t>16</w:t>
                  </w:r>
                </w:p>
              </w:tc>
              <w:tc>
                <w:tcPr>
                  <w:tcW w:w="1069" w:type="pct"/>
                  <w:noWrap w:val="0"/>
                  <w:vAlign w:val="center"/>
                </w:tcPr>
                <w:p w14:paraId="6D898EE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r>
                    <w:rPr>
                      <w:rFonts w:hint="default" w:ascii="Times New Roman" w:hAnsi="Times New Roman" w:eastAsia="宋体" w:cs="Times New Roman"/>
                      <w:bCs/>
                      <w:color w:val="auto"/>
                      <w:spacing w:val="-11"/>
                      <w:sz w:val="21"/>
                      <w:szCs w:val="21"/>
                      <w:highlight w:val="none"/>
                      <w:lang w:val="en-US" w:eastAsia="zh-CN"/>
                    </w:rPr>
                    <w:t>1×0.</w:t>
                  </w:r>
                  <w:r>
                    <w:rPr>
                      <w:rFonts w:hint="eastAsia" w:cs="Times New Roman"/>
                      <w:bCs/>
                      <w:color w:val="auto"/>
                      <w:spacing w:val="-11"/>
                      <w:sz w:val="21"/>
                      <w:szCs w:val="21"/>
                      <w:highlight w:val="none"/>
                      <w:lang w:val="en-US" w:eastAsia="zh-CN"/>
                    </w:rPr>
                    <w:t>4</w:t>
                  </w:r>
                  <w:r>
                    <w:rPr>
                      <w:rFonts w:hint="default" w:ascii="Times New Roman" w:hAnsi="Times New Roman" w:eastAsia="宋体" w:cs="Times New Roman"/>
                      <w:bCs/>
                      <w:color w:val="auto"/>
                      <w:spacing w:val="-11"/>
                      <w:sz w:val="21"/>
                      <w:szCs w:val="21"/>
                      <w:highlight w:val="none"/>
                      <w:lang w:val="en-US" w:eastAsia="zh-CN"/>
                    </w:rPr>
                    <w:t>×0.4</w:t>
                  </w:r>
                </w:p>
              </w:tc>
              <w:tc>
                <w:tcPr>
                  <w:tcW w:w="547" w:type="pct"/>
                  <w:noWrap w:val="0"/>
                  <w:vAlign w:val="center"/>
                </w:tcPr>
                <w:p w14:paraId="1B37DDA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10137.6</w:t>
                  </w:r>
                </w:p>
              </w:tc>
              <w:tc>
                <w:tcPr>
                  <w:tcW w:w="964" w:type="pct"/>
                  <w:vMerge w:val="continue"/>
                  <w:noWrap w:val="0"/>
                  <w:vAlign w:val="center"/>
                </w:tcPr>
                <w:p w14:paraId="3F56D6B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p>
              </w:tc>
            </w:tr>
            <w:tr w14:paraId="2E4A0EB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642" w:type="pct"/>
                  <w:vMerge w:val="continue"/>
                  <w:noWrap w:val="0"/>
                  <w:vAlign w:val="center"/>
                </w:tcPr>
                <w:p w14:paraId="10BE8F0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11"/>
                      <w:sz w:val="21"/>
                      <w:szCs w:val="21"/>
                      <w:highlight w:val="none"/>
                      <w:lang w:val="en-US" w:eastAsia="zh-CN"/>
                    </w:rPr>
                  </w:pPr>
                </w:p>
              </w:tc>
              <w:tc>
                <w:tcPr>
                  <w:tcW w:w="1264" w:type="pct"/>
                  <w:noWrap w:val="0"/>
                  <w:vAlign w:val="center"/>
                </w:tcPr>
                <w:p w14:paraId="71B8319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kern w:val="2"/>
                      <w:sz w:val="21"/>
                      <w:szCs w:val="21"/>
                      <w:highlight w:val="none"/>
                      <w:lang w:val="en-US" w:eastAsia="zh-CN" w:bidi="ar-SA"/>
                    </w:rPr>
                  </w:pPr>
                  <w:r>
                    <w:rPr>
                      <w:rFonts w:hint="default" w:ascii="Times New Roman" w:hAnsi="Times New Roman" w:eastAsia="宋体" w:cs="Times New Roman"/>
                      <w:bCs/>
                      <w:color w:val="auto"/>
                      <w:spacing w:val="-11"/>
                      <w:sz w:val="21"/>
                      <w:szCs w:val="21"/>
                      <w:highlight w:val="none"/>
                      <w:lang w:val="en-US" w:eastAsia="zh-CN"/>
                    </w:rPr>
                    <w:t>集气罩（四周加软帘）</w:t>
                  </w:r>
                </w:p>
              </w:tc>
              <w:tc>
                <w:tcPr>
                  <w:tcW w:w="513" w:type="pct"/>
                  <w:noWrap w:val="0"/>
                  <w:vAlign w:val="center"/>
                </w:tcPr>
                <w:p w14:paraId="4EBFF17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r>
                    <w:rPr>
                      <w:rFonts w:hint="default" w:ascii="Times New Roman" w:hAnsi="Times New Roman" w:eastAsia="宋体" w:cs="Times New Roman"/>
                      <w:bCs/>
                      <w:color w:val="auto"/>
                      <w:spacing w:val="-11"/>
                      <w:sz w:val="21"/>
                      <w:szCs w:val="21"/>
                      <w:highlight w:val="none"/>
                      <w:lang w:val="en-US" w:eastAsia="zh-CN"/>
                    </w:rPr>
                    <w:t>10</w:t>
                  </w:r>
                </w:p>
              </w:tc>
              <w:tc>
                <w:tcPr>
                  <w:tcW w:w="1069" w:type="pct"/>
                  <w:noWrap w:val="0"/>
                  <w:vAlign w:val="center"/>
                </w:tcPr>
                <w:p w14:paraId="51B4ED0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kern w:val="2"/>
                      <w:sz w:val="21"/>
                      <w:szCs w:val="21"/>
                      <w:highlight w:val="none"/>
                      <w:lang w:val="en-US" w:eastAsia="zh-CN" w:bidi="ar-SA"/>
                    </w:rPr>
                  </w:pPr>
                  <w:r>
                    <w:rPr>
                      <w:rFonts w:hint="default" w:ascii="Times New Roman" w:hAnsi="Times New Roman" w:eastAsia="宋体" w:cs="Times New Roman"/>
                      <w:bCs/>
                      <w:color w:val="auto"/>
                      <w:spacing w:val="-11"/>
                      <w:sz w:val="21"/>
                      <w:szCs w:val="21"/>
                      <w:highlight w:val="none"/>
                      <w:lang w:val="en-US" w:eastAsia="zh-CN"/>
                    </w:rPr>
                    <w:t>0.8×0.</w:t>
                  </w:r>
                  <w:r>
                    <w:rPr>
                      <w:rFonts w:hint="eastAsia" w:cs="Times New Roman"/>
                      <w:bCs/>
                      <w:color w:val="auto"/>
                      <w:spacing w:val="-11"/>
                      <w:sz w:val="21"/>
                      <w:szCs w:val="21"/>
                      <w:highlight w:val="none"/>
                      <w:lang w:val="en-US" w:eastAsia="zh-CN"/>
                    </w:rPr>
                    <w:t>3</w:t>
                  </w:r>
                  <w:r>
                    <w:rPr>
                      <w:rFonts w:hint="default" w:ascii="Times New Roman" w:hAnsi="Times New Roman" w:eastAsia="宋体" w:cs="Times New Roman"/>
                      <w:bCs/>
                      <w:color w:val="auto"/>
                      <w:spacing w:val="-11"/>
                      <w:sz w:val="21"/>
                      <w:szCs w:val="21"/>
                      <w:highlight w:val="none"/>
                      <w:lang w:val="en-US" w:eastAsia="zh-CN"/>
                    </w:rPr>
                    <w:t>×0.4</w:t>
                  </w:r>
                </w:p>
              </w:tc>
              <w:tc>
                <w:tcPr>
                  <w:tcW w:w="547" w:type="pct"/>
                  <w:noWrap w:val="0"/>
                  <w:vAlign w:val="center"/>
                </w:tcPr>
                <w:p w14:paraId="398F55E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3801.6</w:t>
                  </w:r>
                </w:p>
              </w:tc>
              <w:tc>
                <w:tcPr>
                  <w:tcW w:w="964" w:type="pct"/>
                  <w:vMerge w:val="continue"/>
                  <w:noWrap w:val="0"/>
                  <w:vAlign w:val="center"/>
                </w:tcPr>
                <w:p w14:paraId="701DF7B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p>
              </w:tc>
            </w:tr>
            <w:tr w14:paraId="123441F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642" w:type="pct"/>
                  <w:noWrap w:val="0"/>
                  <w:vAlign w:val="center"/>
                </w:tcPr>
                <w:p w14:paraId="2EF7CB7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snapToGrid w:val="0"/>
                      <w:color w:val="auto"/>
                      <w:spacing w:val="-11"/>
                      <w:kern w:val="0"/>
                      <w:sz w:val="21"/>
                      <w:szCs w:val="21"/>
                      <w:highlight w:val="none"/>
                      <w:lang w:val="en-US" w:eastAsia="zh-CN"/>
                    </w:rPr>
                    <w:t>切割机</w:t>
                  </w:r>
                </w:p>
              </w:tc>
              <w:tc>
                <w:tcPr>
                  <w:tcW w:w="1264" w:type="pct"/>
                  <w:noWrap w:val="0"/>
                  <w:vAlign w:val="center"/>
                </w:tcPr>
                <w:p w14:paraId="718FCEF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kern w:val="2"/>
                      <w:sz w:val="21"/>
                      <w:szCs w:val="21"/>
                      <w:highlight w:val="none"/>
                      <w:lang w:val="en-US" w:eastAsia="zh-CN" w:bidi="ar-SA"/>
                    </w:rPr>
                  </w:pPr>
                  <w:r>
                    <w:rPr>
                      <w:rFonts w:hint="default" w:ascii="Times New Roman" w:hAnsi="Times New Roman" w:eastAsia="宋体" w:cs="Times New Roman"/>
                      <w:bCs/>
                      <w:color w:val="auto"/>
                      <w:spacing w:val="-11"/>
                      <w:sz w:val="21"/>
                      <w:szCs w:val="21"/>
                      <w:highlight w:val="none"/>
                      <w:lang w:val="en-US" w:eastAsia="zh-CN"/>
                    </w:rPr>
                    <w:t>集气罩（四周加软帘）</w:t>
                  </w:r>
                </w:p>
              </w:tc>
              <w:tc>
                <w:tcPr>
                  <w:tcW w:w="513" w:type="pct"/>
                  <w:noWrap w:val="0"/>
                  <w:vAlign w:val="center"/>
                </w:tcPr>
                <w:p w14:paraId="37EABB4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r>
                    <w:rPr>
                      <w:rFonts w:hint="default" w:ascii="Times New Roman" w:hAnsi="Times New Roman" w:eastAsia="宋体" w:cs="Times New Roman"/>
                      <w:bCs/>
                      <w:color w:val="auto"/>
                      <w:spacing w:val="-11"/>
                      <w:sz w:val="21"/>
                      <w:szCs w:val="21"/>
                      <w:highlight w:val="none"/>
                      <w:lang w:val="en-US" w:eastAsia="zh-CN"/>
                    </w:rPr>
                    <w:t>3</w:t>
                  </w:r>
                </w:p>
              </w:tc>
              <w:tc>
                <w:tcPr>
                  <w:tcW w:w="1069" w:type="pct"/>
                  <w:noWrap w:val="0"/>
                  <w:vAlign w:val="center"/>
                </w:tcPr>
                <w:p w14:paraId="2182FB9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kern w:val="2"/>
                      <w:sz w:val="21"/>
                      <w:szCs w:val="21"/>
                      <w:highlight w:val="none"/>
                      <w:lang w:val="en-US" w:eastAsia="zh-CN" w:bidi="ar-SA"/>
                    </w:rPr>
                  </w:pPr>
                  <w:r>
                    <w:rPr>
                      <w:rFonts w:hint="eastAsia" w:cs="Times New Roman"/>
                      <w:bCs/>
                      <w:color w:val="auto"/>
                      <w:spacing w:val="-11"/>
                      <w:sz w:val="21"/>
                      <w:szCs w:val="21"/>
                      <w:highlight w:val="none"/>
                      <w:lang w:val="en-US" w:eastAsia="zh-CN"/>
                    </w:rPr>
                    <w:t>3</w:t>
                  </w:r>
                  <w:r>
                    <w:rPr>
                      <w:rFonts w:hint="default" w:ascii="Times New Roman" w:hAnsi="Times New Roman" w:eastAsia="宋体" w:cs="Times New Roman"/>
                      <w:bCs/>
                      <w:color w:val="auto"/>
                      <w:spacing w:val="-11"/>
                      <w:sz w:val="21"/>
                      <w:szCs w:val="21"/>
                      <w:highlight w:val="none"/>
                      <w:lang w:val="en-US" w:eastAsia="zh-CN"/>
                    </w:rPr>
                    <w:t>×</w:t>
                  </w:r>
                  <w:r>
                    <w:rPr>
                      <w:rFonts w:hint="eastAsia" w:cs="Times New Roman"/>
                      <w:bCs/>
                      <w:color w:val="auto"/>
                      <w:spacing w:val="-11"/>
                      <w:sz w:val="21"/>
                      <w:szCs w:val="21"/>
                      <w:highlight w:val="none"/>
                      <w:lang w:val="en-US" w:eastAsia="zh-CN"/>
                    </w:rPr>
                    <w:t>0.4</w:t>
                  </w:r>
                  <w:r>
                    <w:rPr>
                      <w:rFonts w:hint="default" w:ascii="Times New Roman" w:hAnsi="Times New Roman" w:eastAsia="宋体" w:cs="Times New Roman"/>
                      <w:bCs/>
                      <w:color w:val="auto"/>
                      <w:spacing w:val="-11"/>
                      <w:sz w:val="21"/>
                      <w:szCs w:val="21"/>
                      <w:highlight w:val="none"/>
                      <w:lang w:val="en-US" w:eastAsia="zh-CN"/>
                    </w:rPr>
                    <w:t>×0.4</w:t>
                  </w:r>
                </w:p>
              </w:tc>
              <w:tc>
                <w:tcPr>
                  <w:tcW w:w="547" w:type="pct"/>
                  <w:noWrap w:val="0"/>
                  <w:vAlign w:val="center"/>
                </w:tcPr>
                <w:p w14:paraId="6B8C346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5702.4</w:t>
                  </w:r>
                </w:p>
              </w:tc>
              <w:tc>
                <w:tcPr>
                  <w:tcW w:w="964" w:type="pct"/>
                  <w:vMerge w:val="continue"/>
                  <w:noWrap w:val="0"/>
                  <w:vAlign w:val="center"/>
                </w:tcPr>
                <w:p w14:paraId="3D4655A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p>
              </w:tc>
            </w:tr>
            <w:tr w14:paraId="7E79DB9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642" w:type="pct"/>
                  <w:noWrap w:val="0"/>
                  <w:vAlign w:val="center"/>
                </w:tcPr>
                <w:p w14:paraId="7AF4412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auto"/>
                      <w:spacing w:val="-11"/>
                      <w:kern w:val="0"/>
                      <w:sz w:val="21"/>
                      <w:szCs w:val="21"/>
                      <w:highlight w:val="none"/>
                      <w:lang w:val="en-US" w:eastAsia="zh-CN"/>
                    </w:rPr>
                  </w:pPr>
                  <w:r>
                    <w:rPr>
                      <w:rFonts w:hint="eastAsia" w:cs="Times New Roman"/>
                      <w:snapToGrid w:val="0"/>
                      <w:color w:val="auto"/>
                      <w:spacing w:val="-11"/>
                      <w:kern w:val="0"/>
                      <w:sz w:val="21"/>
                      <w:szCs w:val="21"/>
                      <w:highlight w:val="none"/>
                      <w:lang w:val="en-US" w:eastAsia="zh-CN"/>
                    </w:rPr>
                    <w:t>真空泵废气</w:t>
                  </w:r>
                </w:p>
              </w:tc>
              <w:tc>
                <w:tcPr>
                  <w:tcW w:w="1264" w:type="pct"/>
                  <w:noWrap w:val="0"/>
                  <w:vAlign w:val="center"/>
                </w:tcPr>
                <w:p w14:paraId="64E4ABA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r>
                    <w:rPr>
                      <w:rFonts w:hint="eastAsia" w:cs="Times New Roman"/>
                      <w:bCs/>
                      <w:color w:val="auto"/>
                      <w:spacing w:val="-11"/>
                      <w:sz w:val="21"/>
                      <w:szCs w:val="21"/>
                      <w:highlight w:val="none"/>
                      <w:lang w:val="en-US" w:eastAsia="zh-CN"/>
                    </w:rPr>
                    <w:t>密闭管道</w:t>
                  </w:r>
                </w:p>
              </w:tc>
              <w:tc>
                <w:tcPr>
                  <w:tcW w:w="513" w:type="pct"/>
                  <w:noWrap w:val="0"/>
                  <w:vAlign w:val="center"/>
                </w:tcPr>
                <w:p w14:paraId="1A2642B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r>
                    <w:rPr>
                      <w:rFonts w:hint="eastAsia" w:cs="Times New Roman"/>
                      <w:bCs/>
                      <w:color w:val="auto"/>
                      <w:spacing w:val="-11"/>
                      <w:sz w:val="21"/>
                      <w:szCs w:val="21"/>
                      <w:highlight w:val="none"/>
                      <w:lang w:val="en-US" w:eastAsia="zh-CN"/>
                    </w:rPr>
                    <w:t>3</w:t>
                  </w:r>
                </w:p>
              </w:tc>
              <w:tc>
                <w:tcPr>
                  <w:tcW w:w="1069" w:type="pct"/>
                  <w:noWrap w:val="0"/>
                  <w:vAlign w:val="center"/>
                </w:tcPr>
                <w:p w14:paraId="055BE5D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w:t>
                  </w:r>
                  <w:r>
                    <w:rPr>
                      <w:rFonts w:hint="eastAsia" w:cs="Times New Roman"/>
                      <w:b w:val="0"/>
                      <w:bCs/>
                      <w:color w:val="auto"/>
                      <w:kern w:val="0"/>
                      <w:sz w:val="21"/>
                      <w:szCs w:val="21"/>
                      <w:highlight w:val="none"/>
                      <w:vertAlign w:val="baseline"/>
                      <w:lang w:val="en-US" w:eastAsia="zh-CN"/>
                    </w:rPr>
                    <w:t>100</w:t>
                  </w:r>
                  <w:r>
                    <w:rPr>
                      <w:rFonts w:hint="eastAsia" w:ascii="Times New Roman" w:hAnsi="Times New Roman" w:eastAsia="宋体" w:cs="Times New Roman"/>
                      <w:b w:val="0"/>
                      <w:bCs/>
                      <w:color w:val="auto"/>
                      <w:kern w:val="0"/>
                      <w:sz w:val="21"/>
                      <w:szCs w:val="21"/>
                      <w:highlight w:val="none"/>
                      <w:vertAlign w:val="baseline"/>
                      <w:lang w:val="en-US" w:eastAsia="zh-CN"/>
                    </w:rPr>
                    <w:t>mm</w:t>
                  </w:r>
                  <w:r>
                    <w:rPr>
                      <w:rFonts w:hint="eastAsia" w:eastAsia="宋体" w:cs="Times New Roman"/>
                      <w:b w:val="0"/>
                      <w:bCs/>
                      <w:color w:val="auto"/>
                      <w:kern w:val="0"/>
                      <w:sz w:val="21"/>
                      <w:szCs w:val="21"/>
                      <w:highlight w:val="none"/>
                      <w:vertAlign w:val="baseline"/>
                      <w:lang w:val="en-US" w:eastAsia="zh-CN"/>
                    </w:rPr>
                    <w:t>，流速10m/s</w:t>
                  </w:r>
                </w:p>
              </w:tc>
              <w:tc>
                <w:tcPr>
                  <w:tcW w:w="547" w:type="pct"/>
                  <w:noWrap w:val="0"/>
                  <w:vAlign w:val="center"/>
                </w:tcPr>
                <w:p w14:paraId="0AADF64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kern w:val="0"/>
                      <w:sz w:val="21"/>
                      <w:szCs w:val="21"/>
                      <w:highlight w:val="none"/>
                      <w:vertAlign w:val="baseline"/>
                      <w:lang w:val="en-US" w:eastAsia="zh-CN"/>
                    </w:rPr>
                  </w:pPr>
                  <w:r>
                    <w:rPr>
                      <w:rFonts w:hint="eastAsia" w:ascii="Times New Roman" w:hAnsi="Times New Roman" w:eastAsia="宋体" w:cs="Times New Roman"/>
                      <w:b w:val="0"/>
                      <w:bCs/>
                      <w:color w:val="auto"/>
                      <w:kern w:val="0"/>
                      <w:sz w:val="21"/>
                      <w:szCs w:val="21"/>
                      <w:highlight w:val="none"/>
                      <w:vertAlign w:val="baseline"/>
                      <w:lang w:val="en-US" w:eastAsia="zh-CN"/>
                    </w:rPr>
                    <w:t>310.86</w:t>
                  </w:r>
                </w:p>
              </w:tc>
              <w:tc>
                <w:tcPr>
                  <w:tcW w:w="964" w:type="pct"/>
                  <w:vMerge w:val="continue"/>
                  <w:noWrap w:val="0"/>
                  <w:vAlign w:val="center"/>
                </w:tcPr>
                <w:p w14:paraId="75209E0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Cs/>
                      <w:color w:val="auto"/>
                      <w:spacing w:val="-11"/>
                      <w:sz w:val="21"/>
                      <w:szCs w:val="21"/>
                      <w:highlight w:val="none"/>
                      <w:lang w:val="en-US" w:eastAsia="zh-CN"/>
                    </w:rPr>
                  </w:pPr>
                </w:p>
              </w:tc>
            </w:tr>
            <w:tr w14:paraId="314CC8A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5000" w:type="pct"/>
                  <w:gridSpan w:val="6"/>
                  <w:noWrap w:val="0"/>
                  <w:vAlign w:val="center"/>
                </w:tcPr>
                <w:p w14:paraId="53D5C3D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val="0"/>
                      <w:color w:val="auto"/>
                      <w:spacing w:val="-11"/>
                      <w:sz w:val="21"/>
                      <w:szCs w:val="21"/>
                      <w:highlight w:val="none"/>
                      <w:lang w:val="en-US" w:eastAsia="zh-CN"/>
                    </w:rPr>
                  </w:pPr>
                  <w:r>
                    <w:rPr>
                      <w:rFonts w:hint="eastAsia" w:cs="Times New Roman"/>
                      <w:b/>
                      <w:bCs w:val="0"/>
                      <w:color w:val="auto"/>
                      <w:spacing w:val="-11"/>
                      <w:sz w:val="21"/>
                      <w:szCs w:val="21"/>
                      <w:highlight w:val="none"/>
                      <w:lang w:val="en-US" w:eastAsia="zh-CN"/>
                    </w:rPr>
                    <w:t>①</w:t>
                  </w:r>
                  <w:r>
                    <w:rPr>
                      <w:rFonts w:hint="default" w:ascii="Times New Roman" w:hAnsi="Times New Roman" w:eastAsia="宋体" w:cs="Times New Roman"/>
                      <w:b/>
                      <w:bCs w:val="0"/>
                      <w:color w:val="auto"/>
                      <w:spacing w:val="-11"/>
                      <w:sz w:val="21"/>
                      <w:szCs w:val="21"/>
                      <w:highlight w:val="none"/>
                      <w:lang w:val="en-US" w:eastAsia="zh-CN"/>
                    </w:rPr>
                    <w:t>高度为操作工序的高度</w:t>
                  </w:r>
                </w:p>
              </w:tc>
            </w:tr>
          </w:tbl>
          <w:p w14:paraId="51E16696">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pacing w:line="360" w:lineRule="auto"/>
              <w:ind w:left="0" w:leftChars="0" w:right="0" w:rightChars="0" w:firstLine="480" w:firstLineChars="200"/>
              <w:jc w:val="both"/>
              <w:textAlignment w:val="auto"/>
              <w:rPr>
                <w:rFonts w:hint="default" w:ascii="Times New Roman" w:hAnsi="Times New Roman" w:eastAsia="宋体" w:cs="Times New Roman"/>
                <w:bCs/>
                <w:color w:val="auto"/>
                <w:sz w:val="24"/>
                <w:szCs w:val="24"/>
                <w:highlight w:val="none"/>
              </w:rPr>
            </w:pPr>
            <w:r>
              <w:rPr>
                <w:rFonts w:ascii="Times New Roman" w:hAnsi="Times New Roman" w:eastAsia="宋体" w:cs="Times New Roman"/>
                <w:bCs/>
                <w:color w:val="auto"/>
                <w:szCs w:val="25"/>
                <w:highlight w:val="none"/>
              </w:rPr>
              <w:t>因此，</w:t>
            </w:r>
            <w:r>
              <w:rPr>
                <w:rFonts w:hint="eastAsia" w:cs="Times New Roman"/>
                <w:bCs/>
                <w:color w:val="auto"/>
                <w:szCs w:val="25"/>
                <w:highlight w:val="none"/>
                <w:lang w:val="en-US" w:eastAsia="zh-CN"/>
              </w:rPr>
              <w:t>本项目</w:t>
            </w:r>
            <w:r>
              <w:rPr>
                <w:rFonts w:ascii="Times New Roman" w:hAnsi="Times New Roman" w:eastAsia="宋体" w:cs="Times New Roman"/>
                <w:bCs/>
                <w:color w:val="auto"/>
                <w:szCs w:val="25"/>
                <w:highlight w:val="none"/>
              </w:rPr>
              <w:t>有机废气为</w:t>
            </w:r>
            <w:r>
              <w:rPr>
                <w:rFonts w:hint="eastAsia" w:cs="Times New Roman"/>
                <w:bCs/>
                <w:color w:val="auto"/>
                <w:szCs w:val="25"/>
                <w:highlight w:val="none"/>
                <w:lang w:val="en-US" w:eastAsia="zh-CN"/>
              </w:rPr>
              <w:t>27872.46</w:t>
            </w:r>
            <w:r>
              <w:rPr>
                <w:rFonts w:ascii="Times New Roman" w:hAnsi="Times New Roman" w:eastAsia="宋体" w:cs="Times New Roman"/>
                <w:bCs/>
                <w:color w:val="auto"/>
                <w:szCs w:val="25"/>
                <w:highlight w:val="none"/>
              </w:rPr>
              <w:t>m</w:t>
            </w:r>
            <w:r>
              <w:rPr>
                <w:rFonts w:ascii="Times New Roman" w:hAnsi="Times New Roman" w:eastAsia="宋体" w:cs="Times New Roman"/>
                <w:bCs/>
                <w:color w:val="auto"/>
                <w:szCs w:val="25"/>
                <w:highlight w:val="none"/>
                <w:vertAlign w:val="superscript"/>
              </w:rPr>
              <w:t>3</w:t>
            </w:r>
            <w:r>
              <w:rPr>
                <w:rFonts w:ascii="Times New Roman" w:hAnsi="Times New Roman" w:eastAsia="宋体" w:cs="Times New Roman"/>
                <w:bCs/>
                <w:color w:val="auto"/>
                <w:szCs w:val="25"/>
                <w:highlight w:val="none"/>
              </w:rPr>
              <w:t>/h，考虑到风阻损失、距离等问题，</w:t>
            </w:r>
            <w:r>
              <w:rPr>
                <w:rFonts w:hint="default" w:ascii="Times New Roman" w:hAnsi="Times New Roman" w:eastAsia="宋体" w:cs="Times New Roman"/>
                <w:bCs/>
                <w:color w:val="auto"/>
                <w:sz w:val="24"/>
                <w:szCs w:val="24"/>
                <w:highlight w:val="none"/>
              </w:rPr>
              <w:t>取风机风量为</w:t>
            </w:r>
            <w:r>
              <w:rPr>
                <w:rFonts w:hint="default" w:ascii="Times New Roman" w:hAnsi="Times New Roman" w:cs="Times New Roman"/>
                <w:bCs/>
                <w:color w:val="auto"/>
                <w:sz w:val="24"/>
                <w:szCs w:val="24"/>
                <w:highlight w:val="none"/>
                <w:lang w:val="en-US" w:eastAsia="zh-CN"/>
              </w:rPr>
              <w:t>3</w:t>
            </w:r>
            <w:r>
              <w:rPr>
                <w:rFonts w:hint="eastAsia" w:cs="Times New Roman"/>
                <w:bCs/>
                <w:color w:val="auto"/>
                <w:sz w:val="24"/>
                <w:szCs w:val="24"/>
                <w:highlight w:val="none"/>
                <w:lang w:val="en-US" w:eastAsia="zh-CN"/>
              </w:rPr>
              <w:t>0</w:t>
            </w:r>
            <w:r>
              <w:rPr>
                <w:rFonts w:hint="default" w:ascii="Times New Roman" w:hAnsi="Times New Roman" w:cs="Times New Roman"/>
                <w:bCs/>
                <w:color w:val="auto"/>
                <w:sz w:val="24"/>
                <w:szCs w:val="24"/>
                <w:highlight w:val="none"/>
                <w:lang w:val="en-US" w:eastAsia="zh-CN"/>
              </w:rPr>
              <w:t>000</w:t>
            </w:r>
            <w:r>
              <w:rPr>
                <w:rFonts w:hint="default" w:ascii="Times New Roman" w:hAnsi="Times New Roman" w:eastAsia="宋体" w:cs="Times New Roman"/>
                <w:bCs/>
                <w:color w:val="auto"/>
                <w:sz w:val="24"/>
                <w:szCs w:val="24"/>
                <w:highlight w:val="none"/>
              </w:rPr>
              <w:t>m</w:t>
            </w:r>
            <w:r>
              <w:rPr>
                <w:rFonts w:hint="default" w:ascii="Times New Roman" w:hAnsi="Times New Roman" w:eastAsia="宋体" w:cs="Times New Roman"/>
                <w:bCs/>
                <w:color w:val="auto"/>
                <w:sz w:val="24"/>
                <w:szCs w:val="24"/>
                <w:highlight w:val="none"/>
                <w:vertAlign w:val="superscript"/>
              </w:rPr>
              <w:t>3</w:t>
            </w:r>
            <w:r>
              <w:rPr>
                <w:rFonts w:hint="default" w:ascii="Times New Roman" w:hAnsi="Times New Roman" w:eastAsia="宋体" w:cs="Times New Roman"/>
                <w:bCs/>
                <w:color w:val="auto"/>
                <w:sz w:val="24"/>
                <w:szCs w:val="24"/>
                <w:highlight w:val="none"/>
              </w:rPr>
              <w:t>/h</w:t>
            </w:r>
            <w:r>
              <w:rPr>
                <w:rFonts w:hint="default" w:ascii="Times New Roman" w:hAnsi="Times New Roman" w:eastAsia="宋体" w:cs="Times New Roman"/>
                <w:color w:val="auto"/>
                <w:sz w:val="24"/>
                <w:szCs w:val="24"/>
                <w:highlight w:val="none"/>
              </w:rPr>
              <w:t>，</w:t>
            </w:r>
            <w:r>
              <w:rPr>
                <w:rFonts w:hint="eastAsia" w:cs="Times New Roman"/>
                <w:color w:val="auto"/>
                <w:sz w:val="24"/>
                <w:szCs w:val="24"/>
                <w:highlight w:val="none"/>
                <w:lang w:val="en-US" w:eastAsia="zh-CN"/>
              </w:rPr>
              <w:t>发泡及成型</w:t>
            </w:r>
            <w:r>
              <w:rPr>
                <w:rFonts w:hint="default" w:ascii="Times New Roman" w:hAnsi="Times New Roman" w:eastAsia="宋体" w:cs="Times New Roman"/>
                <w:color w:val="auto"/>
                <w:sz w:val="24"/>
                <w:szCs w:val="24"/>
                <w:highlight w:val="none"/>
                <w:lang w:val="en-US" w:eastAsia="zh-CN"/>
              </w:rPr>
              <w:t>年运行时间为</w:t>
            </w:r>
            <w:r>
              <w:rPr>
                <w:rFonts w:hint="eastAsia" w:cs="Times New Roman"/>
                <w:color w:val="auto"/>
                <w:sz w:val="24"/>
                <w:szCs w:val="24"/>
                <w:highlight w:val="none"/>
                <w:lang w:val="en-US" w:eastAsia="zh-CN"/>
              </w:rPr>
              <w:t>2400</w:t>
            </w:r>
            <w:r>
              <w:rPr>
                <w:rFonts w:hint="default" w:ascii="Times New Roman" w:hAnsi="Times New Roman" w:eastAsia="宋体" w:cs="Times New Roman"/>
                <w:color w:val="auto"/>
                <w:sz w:val="24"/>
                <w:szCs w:val="24"/>
                <w:highlight w:val="none"/>
                <w:lang w:val="en-US" w:eastAsia="zh-CN"/>
              </w:rPr>
              <w:t>小时</w:t>
            </w:r>
            <w:r>
              <w:rPr>
                <w:rFonts w:hint="eastAsia" w:cs="Times New Roman"/>
                <w:color w:val="auto"/>
                <w:sz w:val="24"/>
                <w:szCs w:val="24"/>
                <w:highlight w:val="none"/>
                <w:lang w:val="en-US" w:eastAsia="zh-CN"/>
              </w:rPr>
              <w:t>、切割工序年运行时间为600小时</w:t>
            </w:r>
            <w:r>
              <w:rPr>
                <w:rFonts w:hint="default" w:ascii="Times New Roman" w:hAnsi="Times New Roman" w:eastAsia="宋体" w:cs="Times New Roman"/>
                <w:color w:val="auto"/>
                <w:sz w:val="24"/>
                <w:szCs w:val="24"/>
                <w:highlight w:val="none"/>
              </w:rPr>
              <w:t>。</w:t>
            </w:r>
          </w:p>
          <w:p w14:paraId="4F40F754">
            <w:pPr>
              <w:keepNext w:val="0"/>
              <w:keepLines w:val="0"/>
              <w:pageBreakBefore w:val="0"/>
              <w:widowControl w:val="0"/>
              <w:kinsoku/>
              <w:wordWrap/>
              <w:overflowPunct/>
              <w:topLinePunct w:val="0"/>
              <w:autoSpaceDE/>
              <w:autoSpaceDN/>
              <w:bidi w:val="0"/>
              <w:adjustRightInd/>
              <w:spacing w:line="360" w:lineRule="auto"/>
              <w:ind w:left="0" w:leftChars="0" w:right="0" w:rightChars="0"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3）有组织</w:t>
            </w:r>
            <w:r>
              <w:rPr>
                <w:rFonts w:hint="default" w:ascii="Times New Roman" w:hAnsi="Times New Roman" w:eastAsia="宋体" w:cs="Times New Roman"/>
                <w:color w:val="auto"/>
                <w:sz w:val="24"/>
                <w:szCs w:val="24"/>
                <w:highlight w:val="none"/>
                <w:lang w:val="en-US" w:eastAsia="zh-CN"/>
              </w:rPr>
              <w:t>排放源强分析</w:t>
            </w:r>
          </w:p>
          <w:p w14:paraId="15743FFB">
            <w:pPr>
              <w:keepNext w:val="0"/>
              <w:keepLines w:val="0"/>
              <w:pageBreakBefore w:val="0"/>
              <w:widowControl w:val="0"/>
              <w:kinsoku/>
              <w:wordWrap/>
              <w:overflowPunct/>
              <w:topLinePunct w:val="0"/>
              <w:autoSpaceDE/>
              <w:autoSpaceDN/>
              <w:bidi w:val="0"/>
              <w:adjustRightInd/>
              <w:spacing w:line="360" w:lineRule="auto"/>
              <w:ind w:left="0" w:leftChars="0" w:right="0" w:rightChars="0" w:firstLine="480" w:firstLineChars="200"/>
              <w:jc w:val="both"/>
              <w:textAlignment w:val="auto"/>
              <w:rPr>
                <w:rFonts w:hint="default" w:ascii="Times New Roman" w:hAnsi="Times New Roman" w:eastAsia="宋体" w:cs="Times New Roman"/>
                <w:color w:val="auto"/>
                <w:sz w:val="24"/>
                <w:szCs w:val="32"/>
                <w:highlight w:val="none"/>
                <w:lang w:val="en-US" w:eastAsia="zh-CN"/>
              </w:rPr>
            </w:pPr>
            <w:r>
              <w:rPr>
                <w:rFonts w:hint="default" w:ascii="Times New Roman" w:hAnsi="Times New Roman" w:eastAsia="宋体" w:cs="Times New Roman"/>
                <w:color w:val="auto"/>
                <w:sz w:val="24"/>
                <w:szCs w:val="24"/>
                <w:highlight w:val="none"/>
              </w:rPr>
              <w:t>根据《石家庄市涉VOCs企业综合治理“一厂一策”编写大纲（修订版）》废气收集集气效率参考值</w:t>
            </w:r>
            <w:r>
              <w:rPr>
                <w:rFonts w:hint="eastAsia" w:cs="Times New Roman"/>
                <w:color w:val="auto"/>
                <w:sz w:val="24"/>
                <w:szCs w:val="24"/>
                <w:highlight w:val="none"/>
                <w:lang w:eastAsia="zh-CN"/>
              </w:rPr>
              <w:t>，以</w:t>
            </w:r>
            <w:r>
              <w:rPr>
                <w:rFonts w:hint="default" w:ascii="Times New Roman" w:hAnsi="Times New Roman" w:eastAsia="宋体" w:cs="Times New Roman"/>
                <w:color w:val="auto"/>
                <w:sz w:val="24"/>
                <w:szCs w:val="24"/>
                <w:highlight w:val="none"/>
              </w:rPr>
              <w:t>半密闭罩方式收集</w:t>
            </w:r>
            <w:r>
              <w:rPr>
                <w:rFonts w:hint="eastAsia" w:cs="Times New Roman"/>
                <w:color w:val="auto"/>
                <w:sz w:val="24"/>
                <w:szCs w:val="24"/>
                <w:highlight w:val="none"/>
                <w:lang w:eastAsia="zh-CN"/>
              </w:rPr>
              <w:t>，在</w:t>
            </w:r>
            <w:r>
              <w:rPr>
                <w:rFonts w:hint="default" w:ascii="Times New Roman" w:hAnsi="Times New Roman" w:eastAsia="宋体" w:cs="Times New Roman"/>
                <w:color w:val="auto"/>
                <w:sz w:val="24"/>
                <w:szCs w:val="24"/>
                <w:highlight w:val="none"/>
              </w:rPr>
              <w:t>污染物产生点（面）处，往吸入口方向的控制风速不小于0.3m/s时，集气效率为85%</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本项目各集气罩收集效率均按照85%</w:t>
            </w:r>
            <w:r>
              <w:rPr>
                <w:rFonts w:hint="eastAsia" w:cs="Times New Roman"/>
                <w:color w:val="auto"/>
                <w:sz w:val="24"/>
                <w:szCs w:val="24"/>
                <w:highlight w:val="none"/>
                <w:lang w:val="en-US" w:eastAsia="zh-CN"/>
              </w:rPr>
              <w:t>计算</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发泡及成型</w:t>
            </w:r>
            <w:r>
              <w:rPr>
                <w:rFonts w:hint="default" w:ascii="Times New Roman" w:hAnsi="Times New Roman" w:eastAsia="宋体" w:cs="Times New Roman"/>
                <w:color w:val="auto"/>
                <w:sz w:val="24"/>
                <w:szCs w:val="24"/>
                <w:highlight w:val="none"/>
                <w:lang w:val="en-US" w:eastAsia="zh-CN"/>
              </w:rPr>
              <w:t>年运行时间为</w:t>
            </w:r>
            <w:r>
              <w:rPr>
                <w:rFonts w:hint="eastAsia" w:cs="Times New Roman"/>
                <w:color w:val="auto"/>
                <w:sz w:val="24"/>
                <w:szCs w:val="24"/>
                <w:highlight w:val="none"/>
                <w:lang w:val="en-US" w:eastAsia="zh-CN"/>
              </w:rPr>
              <w:t>2400</w:t>
            </w:r>
            <w:r>
              <w:rPr>
                <w:rFonts w:hint="default" w:ascii="Times New Roman" w:hAnsi="Times New Roman" w:eastAsia="宋体" w:cs="Times New Roman"/>
                <w:color w:val="auto"/>
                <w:sz w:val="24"/>
                <w:szCs w:val="24"/>
                <w:highlight w:val="none"/>
                <w:lang w:val="en-US" w:eastAsia="zh-CN"/>
              </w:rPr>
              <w:t>小时</w:t>
            </w:r>
            <w:r>
              <w:rPr>
                <w:rFonts w:hint="eastAsia" w:cs="Times New Roman"/>
                <w:color w:val="auto"/>
                <w:sz w:val="24"/>
                <w:szCs w:val="24"/>
                <w:highlight w:val="none"/>
                <w:lang w:val="en-US" w:eastAsia="zh-CN"/>
              </w:rPr>
              <w:t>、切割工序年运行时间为600小时，项目按照年运行600小时进行达标分析；年排放量仍按照全厂排放</w:t>
            </w:r>
            <w:r>
              <w:rPr>
                <w:rFonts w:hint="default" w:ascii="Times New Roman" w:hAnsi="Times New Roman" w:cs="Times New Roman"/>
                <w:color w:val="auto"/>
                <w:sz w:val="24"/>
                <w:szCs w:val="24"/>
                <w:highlight w:val="none"/>
                <w:lang w:val="en-US" w:eastAsia="zh-CN"/>
              </w:rPr>
              <w:t>量核算。《三废处理工程技术手册・废气卷》指出，设计合理的活性炭吸附装置对有机废气净化效率可达85%～95%，项目考虑配备活性炭脱附装置，本次评价</w:t>
            </w:r>
            <w:r>
              <w:rPr>
                <w:rFonts w:hint="default" w:ascii="Times New Roman" w:hAnsi="Times New Roman" w:eastAsia="宋体" w:cs="Times New Roman"/>
                <w:color w:val="auto"/>
                <w:kern w:val="0"/>
                <w:sz w:val="24"/>
                <w:szCs w:val="24"/>
                <w:highlight w:val="none"/>
                <w:lang w:val="en-US" w:eastAsia="zh-CN"/>
              </w:rPr>
              <w:t>活性炭处置装置</w:t>
            </w:r>
            <w:r>
              <w:rPr>
                <w:rFonts w:hint="default" w:ascii="Times New Roman" w:hAnsi="Times New Roman" w:eastAsia="宋体" w:cs="Times New Roman"/>
                <w:color w:val="auto"/>
                <w:kern w:val="0"/>
                <w:sz w:val="24"/>
                <w:szCs w:val="24"/>
                <w:highlight w:val="none"/>
              </w:rPr>
              <w:t>处理效率取</w:t>
            </w:r>
            <w:r>
              <w:rPr>
                <w:rFonts w:hint="default" w:ascii="Times New Roman" w:hAnsi="Times New Roman" w:cs="Times New Roman"/>
                <w:color w:val="auto"/>
                <w:kern w:val="0"/>
                <w:sz w:val="24"/>
                <w:szCs w:val="24"/>
                <w:highlight w:val="none"/>
                <w:lang w:val="en-US" w:eastAsia="zh-CN"/>
              </w:rPr>
              <w:t>90</w:t>
            </w:r>
            <w:r>
              <w:rPr>
                <w:rFonts w:hint="default" w:ascii="Times New Roman" w:hAnsi="Times New Roman" w:eastAsia="宋体" w:cs="Times New Roman"/>
                <w:color w:val="auto"/>
                <w:kern w:val="0"/>
                <w:sz w:val="24"/>
                <w:szCs w:val="24"/>
                <w:highlight w:val="none"/>
              </w:rPr>
              <w:t>%</w:t>
            </w:r>
            <w:r>
              <w:rPr>
                <w:rFonts w:hint="default" w:ascii="Times New Roman" w:hAnsi="Times New Roman" w:cs="Times New Roman"/>
                <w:color w:val="auto"/>
                <w:kern w:val="0"/>
                <w:sz w:val="24"/>
                <w:szCs w:val="24"/>
                <w:highlight w:val="none"/>
                <w:lang w:eastAsia="zh-CN"/>
              </w:rPr>
              <w:t>；</w:t>
            </w:r>
            <w:r>
              <w:rPr>
                <w:rFonts w:hint="default" w:ascii="Times New Roman" w:hAnsi="Times New Roman" w:cs="Times New Roman"/>
                <w:color w:val="auto"/>
                <w:sz w:val="24"/>
                <w:szCs w:val="24"/>
                <w:highlight w:val="none"/>
                <w:lang w:val="en-US" w:eastAsia="zh-CN"/>
              </w:rPr>
              <w:t>根据《有机废气治理工程技术规范》（HJ2026-2013）、《蓄热燃烧法工业有机废气治理工程技术规范》（HJ1093-2020）及工程实测数据，催化燃烧装置/蓄热式催化燃烧在反应温度≥250℃、催化剂活性正常、废气在燃烧室停留时间满足设计要求时，可将有机废气充分氧化分解为CO₂和H₂O，对VOCs净化效率可达95%～99.5%以上，本次项目采用的是成熟、正规设计的催化燃烧装置温度、停留时间、催化剂均满足规范要求</w:t>
            </w:r>
            <w:r>
              <w:rPr>
                <w:rFonts w:hint="eastAsia"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本次评价催化燃烧处理效率为99.5%</w:t>
            </w:r>
            <w:r>
              <w:rPr>
                <w:rFonts w:hint="default" w:ascii="Times New Roman" w:hAnsi="Times New Roman" w:cs="Times New Roman"/>
                <w:color w:val="auto"/>
                <w:kern w:val="0"/>
                <w:sz w:val="24"/>
                <w:szCs w:val="24"/>
                <w:highlight w:val="none"/>
                <w:lang w:val="en-US" w:eastAsia="zh-CN"/>
              </w:rPr>
              <w:t>。</w:t>
            </w:r>
            <w:r>
              <w:rPr>
                <w:rFonts w:hint="default" w:ascii="Times New Roman" w:hAnsi="Times New Roman" w:cs="Times New Roman"/>
                <w:color w:val="auto"/>
                <w:sz w:val="24"/>
                <w:szCs w:val="32"/>
                <w:highlight w:val="none"/>
                <w:lang w:val="en-US" w:eastAsia="zh-CN"/>
              </w:rPr>
              <w:t>本项</w:t>
            </w:r>
            <w:r>
              <w:rPr>
                <w:rFonts w:hint="eastAsia" w:cs="Times New Roman"/>
                <w:color w:val="auto"/>
                <w:sz w:val="24"/>
                <w:szCs w:val="32"/>
                <w:highlight w:val="none"/>
                <w:lang w:val="en-US" w:eastAsia="zh-CN"/>
              </w:rPr>
              <w:t>目活性炭吸附脱附--催化燃烧装置设有两个工作箱（即吸附箱1个，催化燃烧箱1个），项目脱附时企业停止生产。本次评价分仅吸附时、仅脱附-催化燃烧时开展达标评价。</w:t>
            </w:r>
            <w:r>
              <w:rPr>
                <w:rFonts w:hint="default" w:ascii="Times New Roman" w:hAnsi="Times New Roman" w:eastAsia="宋体" w:cs="Times New Roman"/>
                <w:color w:val="auto"/>
                <w:sz w:val="24"/>
                <w:szCs w:val="32"/>
                <w:highlight w:val="none"/>
                <w:lang w:val="en-US" w:eastAsia="zh-CN"/>
              </w:rPr>
              <w:t>项目年工作时间2400h，</w:t>
            </w:r>
            <w:r>
              <w:rPr>
                <w:rFonts w:hint="eastAsia" w:ascii="Times New Roman" w:hAnsi="Times New Roman" w:eastAsia="宋体" w:cs="Times New Roman"/>
                <w:color w:val="auto"/>
                <w:sz w:val="24"/>
                <w:szCs w:val="24"/>
                <w:highlight w:val="none"/>
                <w:lang w:val="en-US" w:eastAsia="zh-CN"/>
              </w:rPr>
              <w:t>依据《石家庄市涉VOCs企业活性炭吸附脱附</w:t>
            </w:r>
            <w:r>
              <w:rPr>
                <w:rFonts w:hint="default" w:ascii="Times New Roman" w:hAnsi="Times New Roman" w:eastAsia="宋体" w:cs="Times New Roman"/>
                <w:color w:val="auto"/>
                <w:sz w:val="24"/>
                <w:szCs w:val="24"/>
                <w:highlight w:val="none"/>
                <w:lang w:val="en-US" w:eastAsia="zh-CN"/>
              </w:rPr>
              <w:t>技术指南</w:t>
            </w:r>
            <w:r>
              <w:rPr>
                <w:rFonts w:hint="eastAsia" w:ascii="Times New Roman" w:hAnsi="Times New Roman" w:eastAsia="宋体" w:cs="Times New Roman"/>
                <w:color w:val="auto"/>
                <w:sz w:val="24"/>
                <w:szCs w:val="24"/>
                <w:highlight w:val="none"/>
                <w:lang w:val="en-US" w:eastAsia="zh-CN"/>
              </w:rPr>
              <w:t>》，活性炭填充量与每小时处理废气量体积之比应不小于</w:t>
            </w:r>
            <w:r>
              <w:rPr>
                <w:rFonts w:hint="default" w:ascii="Times New Roman" w:hAnsi="Times New Roman" w:eastAsia="宋体" w:cs="Times New Roman"/>
                <w:color w:val="auto"/>
                <w:sz w:val="24"/>
                <w:szCs w:val="24"/>
                <w:highlight w:val="none"/>
                <w:lang w:val="en-US" w:eastAsia="zh-CN"/>
              </w:rPr>
              <w:t>1:5000</w:t>
            </w:r>
            <w:r>
              <w:rPr>
                <w:rFonts w:hint="eastAsia" w:ascii="Times New Roman" w:hAnsi="Times New Roman" w:eastAsia="宋体" w:cs="Times New Roman"/>
                <w:color w:val="auto"/>
                <w:sz w:val="24"/>
                <w:szCs w:val="24"/>
                <w:highlight w:val="none"/>
                <w:lang w:val="en-US" w:eastAsia="zh-CN"/>
              </w:rPr>
              <w:t>，项目“活性炭吸附”设备风量为</w:t>
            </w:r>
            <w:r>
              <w:rPr>
                <w:rFonts w:hint="eastAsia" w:cs="Times New Roman"/>
                <w:color w:val="auto"/>
                <w:sz w:val="24"/>
                <w:szCs w:val="24"/>
                <w:highlight w:val="none"/>
                <w:lang w:val="en-US" w:eastAsia="zh-CN"/>
              </w:rPr>
              <w:t>3</w:t>
            </w:r>
            <w:r>
              <w:rPr>
                <w:rFonts w:hint="eastAsia" w:ascii="Times New Roman" w:hAnsi="Times New Roman" w:eastAsia="宋体" w:cs="Times New Roman"/>
                <w:color w:val="auto"/>
                <w:sz w:val="24"/>
                <w:szCs w:val="24"/>
                <w:highlight w:val="none"/>
                <w:lang w:val="en-US" w:eastAsia="zh-CN"/>
              </w:rPr>
              <w:t>00</w:t>
            </w:r>
            <w:r>
              <w:rPr>
                <w:rFonts w:hint="eastAsia" w:cs="Times New Roman"/>
                <w:color w:val="auto"/>
                <w:sz w:val="24"/>
                <w:szCs w:val="24"/>
                <w:highlight w:val="none"/>
                <w:lang w:val="en-US" w:eastAsia="zh-CN"/>
              </w:rPr>
              <w:t>0</w:t>
            </w:r>
            <w:r>
              <w:rPr>
                <w:rFonts w:hint="eastAsia" w:ascii="Times New Roman" w:hAnsi="Times New Roman" w:eastAsia="宋体" w:cs="Times New Roman"/>
                <w:color w:val="auto"/>
                <w:sz w:val="24"/>
                <w:szCs w:val="24"/>
                <w:highlight w:val="none"/>
                <w:lang w:val="en-US" w:eastAsia="zh-CN"/>
              </w:rPr>
              <w:t>0m</w:t>
            </w:r>
            <w:r>
              <w:rPr>
                <w:rFonts w:hint="eastAsia" w:ascii="Times New Roman" w:hAnsi="Times New Roman" w:eastAsia="宋体" w:cs="Times New Roman"/>
                <w:color w:val="auto"/>
                <w:sz w:val="24"/>
                <w:szCs w:val="24"/>
                <w:highlight w:val="none"/>
                <w:vertAlign w:val="superscript"/>
                <w:lang w:val="en-US" w:eastAsia="zh-CN"/>
              </w:rPr>
              <w:t>3</w:t>
            </w:r>
            <w:r>
              <w:rPr>
                <w:rFonts w:hint="eastAsia" w:ascii="Times New Roman" w:hAnsi="Times New Roman" w:eastAsia="宋体" w:cs="Times New Roman"/>
                <w:color w:val="auto"/>
                <w:sz w:val="24"/>
                <w:szCs w:val="24"/>
                <w:highlight w:val="none"/>
                <w:lang w:val="en-US" w:eastAsia="zh-CN"/>
              </w:rPr>
              <w:t>/h，活性炭填装量为</w:t>
            </w:r>
            <w:r>
              <w:rPr>
                <w:rFonts w:hint="eastAsia" w:cs="Times New Roman"/>
                <w:color w:val="auto"/>
                <w:sz w:val="24"/>
                <w:szCs w:val="24"/>
                <w:highlight w:val="none"/>
                <w:lang w:val="en-US" w:eastAsia="zh-CN"/>
              </w:rPr>
              <w:t>6</w:t>
            </w:r>
            <w:r>
              <w:rPr>
                <w:rFonts w:hint="eastAsia" w:ascii="Times New Roman" w:hAnsi="Times New Roman" w:eastAsia="宋体" w:cs="Times New Roman"/>
                <w:color w:val="auto"/>
                <w:sz w:val="24"/>
                <w:szCs w:val="24"/>
                <w:highlight w:val="none"/>
                <w:lang w:val="en-US" w:eastAsia="zh-CN"/>
              </w:rPr>
              <w:t>m</w:t>
            </w:r>
            <w:r>
              <w:rPr>
                <w:rFonts w:hint="eastAsia" w:ascii="Times New Roman" w:hAnsi="Times New Roman" w:eastAsia="宋体" w:cs="Times New Roman"/>
                <w:color w:val="auto"/>
                <w:sz w:val="24"/>
                <w:szCs w:val="24"/>
                <w:highlight w:val="none"/>
                <w:vertAlign w:val="superscript"/>
                <w:lang w:val="en-US" w:eastAsia="zh-CN"/>
              </w:rPr>
              <w:t>3</w:t>
            </w:r>
            <w:r>
              <w:rPr>
                <w:rFonts w:hint="eastAsia" w:ascii="Times New Roman" w:hAnsi="Times New Roman" w:eastAsia="宋体" w:cs="Times New Roman"/>
                <w:color w:val="auto"/>
                <w:sz w:val="24"/>
                <w:szCs w:val="24"/>
                <w:highlight w:val="none"/>
                <w:vertAlign w:val="baseline"/>
                <w:lang w:val="en-US" w:eastAsia="zh-CN"/>
              </w:rPr>
              <w:t>。蜂窝活性炭的质量一般为0.45</w:t>
            </w:r>
            <w:r>
              <w:rPr>
                <w:rFonts w:hint="eastAsia" w:cs="Times New Roman"/>
                <w:color w:val="auto"/>
                <w:sz w:val="24"/>
                <w:szCs w:val="24"/>
                <w:highlight w:val="none"/>
                <w:vertAlign w:val="baseline"/>
                <w:lang w:val="en-US" w:eastAsia="zh-CN"/>
              </w:rPr>
              <w:t>～</w:t>
            </w:r>
            <w:r>
              <w:rPr>
                <w:rFonts w:hint="eastAsia" w:ascii="Times New Roman" w:hAnsi="Times New Roman" w:eastAsia="宋体" w:cs="Times New Roman"/>
                <w:color w:val="auto"/>
                <w:sz w:val="24"/>
                <w:szCs w:val="24"/>
                <w:highlight w:val="none"/>
                <w:vertAlign w:val="baseline"/>
                <w:lang w:val="en-US" w:eastAsia="zh-CN"/>
              </w:rPr>
              <w:t>0.65t/</w:t>
            </w:r>
            <w:r>
              <w:rPr>
                <w:rFonts w:hint="eastAsia" w:ascii="Times New Roman" w:hAnsi="Times New Roman" w:eastAsia="宋体" w:cs="Times New Roman"/>
                <w:color w:val="auto"/>
                <w:sz w:val="24"/>
                <w:szCs w:val="24"/>
                <w:highlight w:val="none"/>
                <w:lang w:val="en-US" w:eastAsia="zh-CN"/>
              </w:rPr>
              <w:t>m</w:t>
            </w:r>
            <w:r>
              <w:rPr>
                <w:rFonts w:hint="eastAsia" w:ascii="Times New Roman" w:hAnsi="Times New Roman" w:eastAsia="宋体" w:cs="Times New Roman"/>
                <w:color w:val="auto"/>
                <w:sz w:val="24"/>
                <w:szCs w:val="24"/>
                <w:highlight w:val="none"/>
                <w:vertAlign w:val="superscript"/>
                <w:lang w:val="en-US" w:eastAsia="zh-CN"/>
              </w:rPr>
              <w:t>3</w:t>
            </w:r>
            <w:r>
              <w:rPr>
                <w:rFonts w:hint="eastAsia" w:ascii="Times New Roman" w:hAnsi="Times New Roman" w:eastAsia="宋体" w:cs="Times New Roman"/>
                <w:color w:val="auto"/>
                <w:sz w:val="24"/>
                <w:szCs w:val="24"/>
                <w:highlight w:val="none"/>
                <w:lang w:val="en-US" w:eastAsia="zh-CN"/>
              </w:rPr>
              <w:t>，本次估算按0.5</w:t>
            </w:r>
            <w:r>
              <w:rPr>
                <w:rFonts w:hint="eastAsia" w:ascii="Times New Roman" w:hAnsi="Times New Roman" w:eastAsia="宋体" w:cs="Times New Roman"/>
                <w:color w:val="auto"/>
                <w:sz w:val="24"/>
                <w:szCs w:val="24"/>
                <w:highlight w:val="none"/>
                <w:vertAlign w:val="baseline"/>
                <w:lang w:val="en-US" w:eastAsia="zh-CN"/>
              </w:rPr>
              <w:t>t/</w:t>
            </w:r>
            <w:r>
              <w:rPr>
                <w:rFonts w:hint="eastAsia" w:ascii="Times New Roman" w:hAnsi="Times New Roman" w:eastAsia="宋体" w:cs="Times New Roman"/>
                <w:color w:val="auto"/>
                <w:sz w:val="24"/>
                <w:szCs w:val="24"/>
                <w:highlight w:val="none"/>
                <w:lang w:val="en-US" w:eastAsia="zh-CN"/>
              </w:rPr>
              <w:t>m</w:t>
            </w:r>
            <w:r>
              <w:rPr>
                <w:rFonts w:hint="eastAsia" w:ascii="Times New Roman" w:hAnsi="Times New Roman" w:eastAsia="宋体" w:cs="Times New Roman"/>
                <w:color w:val="auto"/>
                <w:sz w:val="24"/>
                <w:szCs w:val="24"/>
                <w:highlight w:val="none"/>
                <w:vertAlign w:val="superscript"/>
                <w:lang w:val="en-US" w:eastAsia="zh-CN"/>
              </w:rPr>
              <w:t>3</w:t>
            </w:r>
            <w:r>
              <w:rPr>
                <w:rFonts w:hint="eastAsia" w:ascii="Times New Roman" w:hAnsi="Times New Roman" w:eastAsia="宋体" w:cs="Times New Roman"/>
                <w:color w:val="auto"/>
                <w:sz w:val="24"/>
                <w:szCs w:val="24"/>
                <w:highlight w:val="none"/>
                <w:vertAlign w:val="baseline"/>
                <w:lang w:val="en-US" w:eastAsia="zh-CN"/>
              </w:rPr>
              <w:t>计算，</w:t>
            </w:r>
            <w:r>
              <w:rPr>
                <w:rFonts w:hint="eastAsia" w:ascii="Times New Roman" w:hAnsi="Times New Roman" w:eastAsia="宋体" w:cs="Times New Roman"/>
                <w:bCs w:val="0"/>
                <w:color w:val="auto"/>
                <w:kern w:val="0"/>
                <w:sz w:val="24"/>
                <w:szCs w:val="24"/>
                <w:highlight w:val="none"/>
                <w:lang w:val="en-US" w:eastAsia="zh-CN" w:bidi="ar-SA"/>
              </w:rPr>
              <w:t>填装活性炭</w:t>
            </w:r>
            <w:r>
              <w:rPr>
                <w:rFonts w:hint="eastAsia" w:cs="Times New Roman"/>
                <w:bCs w:val="0"/>
                <w:color w:val="auto"/>
                <w:kern w:val="0"/>
                <w:sz w:val="24"/>
                <w:szCs w:val="24"/>
                <w:highlight w:val="none"/>
                <w:lang w:val="en-US" w:eastAsia="zh-CN" w:bidi="ar-SA"/>
              </w:rPr>
              <w:t>3t</w:t>
            </w:r>
            <w:r>
              <w:rPr>
                <w:rFonts w:hint="default" w:ascii="Times New Roman" w:hAnsi="Times New Roman" w:eastAsia="宋体" w:cs="Times New Roman"/>
                <w:color w:val="auto"/>
                <w:sz w:val="24"/>
                <w:szCs w:val="32"/>
                <w:highlight w:val="none"/>
                <w:lang w:val="en-US" w:eastAsia="zh-CN"/>
              </w:rPr>
              <w:t>。</w:t>
            </w:r>
          </w:p>
          <w:p w14:paraId="7FD44257">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object>
                <v:shape id="_x0000_i1025" o:spt="75" type="#_x0000_t75" style="height:40pt;width:116.4pt;" o:ole="t" filled="f" o:preferrelative="t" stroked="f" coordsize="21600,21600">
                  <v:path/>
                  <v:fill on="f" focussize="0,0"/>
                  <v:stroke on="f"/>
                  <v:imagedata r:id="rId12" o:title=""/>
                  <o:lock v:ext="edit" aspectratio="t"/>
                  <w10:wrap type="none"/>
                  <w10:anchorlock/>
                </v:shape>
                <o:OLEObject Type="Embed" ProgID="Equation.KSEE3" ShapeID="_x0000_i1025" DrawAspect="Content" ObjectID="_1468075725" r:id="rId11">
                  <o:LockedField>false</o:LockedField>
                </o:OLEObject>
              </w:object>
            </w:r>
          </w:p>
          <w:p w14:paraId="03D64FD9">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式中：</w:t>
            </w:r>
          </w:p>
          <w:p w14:paraId="3883689B">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T——更换周期，</w:t>
            </w:r>
            <w:r>
              <w:rPr>
                <w:rFonts w:hint="eastAsia" w:ascii="Times New Roman" w:hAnsi="Times New Roman" w:cs="Times New Roman"/>
                <w:b w:val="0"/>
                <w:bCs w:val="0"/>
                <w:color w:val="auto"/>
                <w:kern w:val="2"/>
                <w:sz w:val="24"/>
                <w:szCs w:val="24"/>
                <w:highlight w:val="none"/>
                <w:lang w:val="en-US" w:eastAsia="zh-CN" w:bidi="ar-SA"/>
              </w:rPr>
              <w:t>h</w:t>
            </w:r>
            <w:r>
              <w:rPr>
                <w:rFonts w:hint="default" w:ascii="Times New Roman" w:hAnsi="Times New Roman" w:eastAsia="宋体" w:cs="Times New Roman"/>
                <w:b w:val="0"/>
                <w:bCs w:val="0"/>
                <w:color w:val="auto"/>
                <w:kern w:val="2"/>
                <w:sz w:val="24"/>
                <w:szCs w:val="24"/>
                <w:highlight w:val="none"/>
                <w:lang w:val="en-US" w:eastAsia="zh-CN" w:bidi="ar-SA"/>
              </w:rPr>
              <w:t>；</w:t>
            </w:r>
          </w:p>
          <w:p w14:paraId="5A79253E">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G——活性炭重量，</w:t>
            </w:r>
            <w:r>
              <w:rPr>
                <w:rFonts w:hint="eastAsia" w:cs="Times New Roman"/>
                <w:b w:val="0"/>
                <w:bCs w:val="0"/>
                <w:color w:val="auto"/>
                <w:kern w:val="2"/>
                <w:sz w:val="24"/>
                <w:szCs w:val="24"/>
                <w:highlight w:val="none"/>
                <w:lang w:val="en-US" w:eastAsia="zh-CN" w:bidi="ar-SA"/>
              </w:rPr>
              <w:t>3</w:t>
            </w:r>
            <w:r>
              <w:rPr>
                <w:rFonts w:hint="default" w:ascii="Times New Roman" w:hAnsi="Times New Roman" w:eastAsia="宋体" w:cs="Times New Roman"/>
                <w:b w:val="0"/>
                <w:bCs w:val="0"/>
                <w:color w:val="auto"/>
                <w:kern w:val="2"/>
                <w:sz w:val="24"/>
                <w:szCs w:val="24"/>
                <w:highlight w:val="none"/>
                <w:lang w:val="en-US" w:eastAsia="zh-CN" w:bidi="ar-SA"/>
              </w:rPr>
              <w:t>t；</w:t>
            </w:r>
          </w:p>
          <w:p w14:paraId="7BB1E588">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C——</w:t>
            </w:r>
            <w:r>
              <w:rPr>
                <w:rFonts w:hint="eastAsia" w:cs="Times New Roman"/>
                <w:b w:val="0"/>
                <w:bCs w:val="0"/>
                <w:color w:val="auto"/>
                <w:kern w:val="2"/>
                <w:sz w:val="24"/>
                <w:szCs w:val="24"/>
                <w:highlight w:val="none"/>
                <w:lang w:val="en-US" w:eastAsia="zh-CN" w:bidi="ar-SA"/>
              </w:rPr>
              <w:t>发泡及成型工序</w:t>
            </w:r>
            <w:r>
              <w:rPr>
                <w:rFonts w:hint="default" w:ascii="Times New Roman" w:hAnsi="Times New Roman" w:eastAsia="宋体" w:cs="Times New Roman"/>
                <w:b w:val="0"/>
                <w:bCs w:val="0"/>
                <w:color w:val="auto"/>
                <w:kern w:val="2"/>
                <w:sz w:val="24"/>
                <w:szCs w:val="24"/>
                <w:highlight w:val="none"/>
                <w:lang w:val="en-US" w:eastAsia="zh-CN" w:bidi="ar-SA"/>
              </w:rPr>
              <w:t>活性炭消减的VOC</w:t>
            </w:r>
            <w:r>
              <w:rPr>
                <w:rFonts w:hint="default" w:ascii="Times New Roman" w:hAnsi="Times New Roman" w:eastAsia="宋体" w:cs="Times New Roman"/>
                <w:b w:val="0"/>
                <w:bCs w:val="0"/>
                <w:color w:val="auto"/>
                <w:kern w:val="2"/>
                <w:sz w:val="24"/>
                <w:szCs w:val="24"/>
                <w:highlight w:val="none"/>
                <w:vertAlign w:val="subscript"/>
                <w:lang w:val="en-US" w:eastAsia="zh-CN" w:bidi="ar-SA"/>
              </w:rPr>
              <w:t>S</w:t>
            </w:r>
            <w:r>
              <w:rPr>
                <w:rFonts w:hint="default" w:ascii="Times New Roman" w:hAnsi="Times New Roman" w:eastAsia="宋体" w:cs="Times New Roman"/>
                <w:b w:val="0"/>
                <w:bCs w:val="0"/>
                <w:color w:val="auto"/>
                <w:kern w:val="2"/>
                <w:sz w:val="24"/>
                <w:szCs w:val="24"/>
                <w:highlight w:val="none"/>
                <w:lang w:val="en-US" w:eastAsia="zh-CN" w:bidi="ar-SA"/>
              </w:rPr>
              <w:t>浓度</w:t>
            </w:r>
            <w:r>
              <w:rPr>
                <w:rFonts w:hint="eastAsia" w:cs="Times New Roman"/>
                <w:b w:val="0"/>
                <w:bCs w:val="0"/>
                <w:color w:val="auto"/>
                <w:kern w:val="2"/>
                <w:sz w:val="24"/>
                <w:szCs w:val="24"/>
                <w:highlight w:val="none"/>
                <w:lang w:val="en-US" w:eastAsia="zh-CN" w:bidi="ar-SA"/>
              </w:rPr>
              <w:t>为239.0625（非甲烷总烃）</w:t>
            </w:r>
            <w:r>
              <w:rPr>
                <w:rFonts w:hint="default" w:ascii="Times New Roman" w:hAnsi="Times New Roman" w:eastAsia="宋体" w:cs="Times New Roman"/>
                <w:b w:val="0"/>
                <w:bCs w:val="0"/>
                <w:color w:val="auto"/>
                <w:kern w:val="2"/>
                <w:sz w:val="24"/>
                <w:szCs w:val="24"/>
                <w:highlight w:val="none"/>
                <w:lang w:val="en-US" w:eastAsia="zh-CN" w:bidi="ar-SA"/>
              </w:rPr>
              <w:t>；</w:t>
            </w:r>
            <w:r>
              <w:rPr>
                <w:rFonts w:hint="eastAsia" w:cs="Times New Roman"/>
                <w:b w:val="0"/>
                <w:bCs w:val="0"/>
                <w:color w:val="auto"/>
                <w:kern w:val="2"/>
                <w:sz w:val="24"/>
                <w:szCs w:val="24"/>
                <w:highlight w:val="none"/>
                <w:lang w:val="en-US" w:eastAsia="zh-CN" w:bidi="ar-SA"/>
              </w:rPr>
              <w:t>切割工序</w:t>
            </w:r>
            <w:r>
              <w:rPr>
                <w:rFonts w:hint="default" w:ascii="Times New Roman" w:hAnsi="Times New Roman" w:eastAsia="宋体" w:cs="Times New Roman"/>
                <w:b w:val="0"/>
                <w:bCs w:val="0"/>
                <w:color w:val="auto"/>
                <w:kern w:val="2"/>
                <w:sz w:val="24"/>
                <w:szCs w:val="24"/>
                <w:highlight w:val="none"/>
                <w:lang w:val="en-US" w:eastAsia="zh-CN" w:bidi="ar-SA"/>
              </w:rPr>
              <w:t>活性炭消减的VOC</w:t>
            </w:r>
            <w:r>
              <w:rPr>
                <w:rFonts w:hint="default" w:ascii="Times New Roman" w:hAnsi="Times New Roman" w:eastAsia="宋体" w:cs="Times New Roman"/>
                <w:b w:val="0"/>
                <w:bCs w:val="0"/>
                <w:color w:val="auto"/>
                <w:kern w:val="2"/>
                <w:sz w:val="24"/>
                <w:szCs w:val="24"/>
                <w:highlight w:val="none"/>
                <w:vertAlign w:val="subscript"/>
                <w:lang w:val="en-US" w:eastAsia="zh-CN" w:bidi="ar-SA"/>
              </w:rPr>
              <w:t>S</w:t>
            </w:r>
            <w:r>
              <w:rPr>
                <w:rFonts w:hint="default" w:ascii="Times New Roman" w:hAnsi="Times New Roman" w:eastAsia="宋体" w:cs="Times New Roman"/>
                <w:b w:val="0"/>
                <w:bCs w:val="0"/>
                <w:color w:val="auto"/>
                <w:kern w:val="2"/>
                <w:sz w:val="24"/>
                <w:szCs w:val="24"/>
                <w:highlight w:val="none"/>
                <w:lang w:val="en-US" w:eastAsia="zh-CN" w:bidi="ar-SA"/>
              </w:rPr>
              <w:t>浓度</w:t>
            </w:r>
            <w:r>
              <w:rPr>
                <w:rFonts w:hint="eastAsia" w:cs="Times New Roman"/>
                <w:b w:val="0"/>
                <w:bCs w:val="0"/>
                <w:color w:val="auto"/>
                <w:kern w:val="2"/>
                <w:sz w:val="24"/>
                <w:szCs w:val="24"/>
                <w:highlight w:val="none"/>
                <w:lang w:val="en-US" w:eastAsia="zh-CN" w:bidi="ar-SA"/>
              </w:rPr>
              <w:t>为19.125（非甲烷总烃）。</w:t>
            </w:r>
          </w:p>
          <w:p w14:paraId="191C3EB3">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Q——风量，</w:t>
            </w:r>
            <w:r>
              <w:rPr>
                <w:rFonts w:hint="default" w:ascii="Times New Roman" w:hAnsi="Times New Roman" w:cs="Times New Roman"/>
                <w:b w:val="0"/>
                <w:bCs w:val="0"/>
                <w:color w:val="auto"/>
                <w:kern w:val="2"/>
                <w:sz w:val="24"/>
                <w:szCs w:val="24"/>
                <w:highlight w:val="none"/>
                <w:lang w:val="en-US" w:eastAsia="zh-CN" w:bidi="ar-SA"/>
              </w:rPr>
              <w:t>3</w:t>
            </w:r>
            <w:r>
              <w:rPr>
                <w:rFonts w:hint="eastAsia" w:cs="Times New Roman"/>
                <w:b w:val="0"/>
                <w:bCs w:val="0"/>
                <w:color w:val="auto"/>
                <w:kern w:val="2"/>
                <w:sz w:val="24"/>
                <w:szCs w:val="24"/>
                <w:highlight w:val="none"/>
                <w:lang w:val="en-US" w:eastAsia="zh-CN" w:bidi="ar-SA"/>
              </w:rPr>
              <w:t>0</w:t>
            </w:r>
            <w:r>
              <w:rPr>
                <w:rFonts w:hint="default" w:ascii="Times New Roman" w:hAnsi="Times New Roman" w:cs="Times New Roman"/>
                <w:b w:val="0"/>
                <w:bCs w:val="0"/>
                <w:color w:val="auto"/>
                <w:kern w:val="2"/>
                <w:sz w:val="24"/>
                <w:szCs w:val="24"/>
                <w:highlight w:val="none"/>
                <w:lang w:val="en-US" w:eastAsia="zh-CN" w:bidi="ar-SA"/>
              </w:rPr>
              <w:t>000</w:t>
            </w:r>
            <w:r>
              <w:rPr>
                <w:rFonts w:hint="default" w:ascii="Times New Roman" w:hAnsi="Times New Roman" w:eastAsia="宋体" w:cs="Times New Roman"/>
                <w:b w:val="0"/>
                <w:bCs w:val="0"/>
                <w:color w:val="auto"/>
                <w:kern w:val="2"/>
                <w:sz w:val="24"/>
                <w:szCs w:val="24"/>
                <w:highlight w:val="none"/>
                <w:lang w:val="en-US" w:eastAsia="zh-CN" w:bidi="ar-SA"/>
              </w:rPr>
              <w:t>m</w:t>
            </w:r>
            <w:r>
              <w:rPr>
                <w:rFonts w:hint="default" w:ascii="Times New Roman" w:hAnsi="Times New Roman" w:eastAsia="宋体" w:cs="Times New Roman"/>
                <w:b w:val="0"/>
                <w:bCs w:val="0"/>
                <w:color w:val="auto"/>
                <w:kern w:val="2"/>
                <w:sz w:val="24"/>
                <w:szCs w:val="24"/>
                <w:highlight w:val="none"/>
                <w:vertAlign w:val="superscript"/>
                <w:lang w:val="en-US" w:eastAsia="zh-CN" w:bidi="ar-SA"/>
              </w:rPr>
              <w:t>3</w:t>
            </w:r>
            <w:r>
              <w:rPr>
                <w:rFonts w:hint="default" w:ascii="Times New Roman" w:hAnsi="Times New Roman" w:eastAsia="宋体" w:cs="Times New Roman"/>
                <w:b w:val="0"/>
                <w:bCs w:val="0"/>
                <w:color w:val="auto"/>
                <w:kern w:val="2"/>
                <w:sz w:val="24"/>
                <w:szCs w:val="24"/>
                <w:highlight w:val="none"/>
                <w:lang w:val="en-US" w:eastAsia="zh-CN" w:bidi="ar-SA"/>
              </w:rPr>
              <w:t>/h</w:t>
            </w:r>
            <w:r>
              <w:rPr>
                <w:rFonts w:hint="eastAsia" w:cs="Times New Roman"/>
                <w:b w:val="0"/>
                <w:bCs w:val="0"/>
                <w:color w:val="auto"/>
                <w:kern w:val="2"/>
                <w:sz w:val="24"/>
                <w:szCs w:val="24"/>
                <w:highlight w:val="none"/>
                <w:lang w:val="en-US" w:eastAsia="zh-CN" w:bidi="ar-SA"/>
              </w:rPr>
              <w:t>（发泡及成型工序24000</w:t>
            </w:r>
            <w:r>
              <w:rPr>
                <w:rFonts w:hint="default" w:ascii="Times New Roman" w:hAnsi="Times New Roman" w:eastAsia="宋体" w:cs="Times New Roman"/>
                <w:b w:val="0"/>
                <w:bCs w:val="0"/>
                <w:color w:val="auto"/>
                <w:kern w:val="2"/>
                <w:sz w:val="24"/>
                <w:szCs w:val="24"/>
                <w:highlight w:val="none"/>
                <w:lang w:val="en-US" w:eastAsia="zh-CN" w:bidi="ar-SA"/>
              </w:rPr>
              <w:t>m</w:t>
            </w:r>
            <w:r>
              <w:rPr>
                <w:rFonts w:hint="default" w:ascii="Times New Roman" w:hAnsi="Times New Roman" w:eastAsia="宋体" w:cs="Times New Roman"/>
                <w:b w:val="0"/>
                <w:bCs w:val="0"/>
                <w:color w:val="auto"/>
                <w:kern w:val="2"/>
                <w:sz w:val="24"/>
                <w:szCs w:val="24"/>
                <w:highlight w:val="none"/>
                <w:vertAlign w:val="superscript"/>
                <w:lang w:val="en-US" w:eastAsia="zh-CN" w:bidi="ar-SA"/>
              </w:rPr>
              <w:t>3</w:t>
            </w:r>
            <w:r>
              <w:rPr>
                <w:rFonts w:hint="default" w:ascii="Times New Roman" w:hAnsi="Times New Roman" w:eastAsia="宋体" w:cs="Times New Roman"/>
                <w:b w:val="0"/>
                <w:bCs w:val="0"/>
                <w:color w:val="auto"/>
                <w:kern w:val="2"/>
                <w:sz w:val="24"/>
                <w:szCs w:val="24"/>
                <w:highlight w:val="none"/>
                <w:lang w:val="en-US" w:eastAsia="zh-CN" w:bidi="ar-SA"/>
              </w:rPr>
              <w:t>/h；</w:t>
            </w:r>
            <w:r>
              <w:rPr>
                <w:rFonts w:hint="eastAsia" w:cs="Times New Roman"/>
                <w:b w:val="0"/>
                <w:bCs w:val="0"/>
                <w:color w:val="auto"/>
                <w:kern w:val="2"/>
                <w:sz w:val="24"/>
                <w:szCs w:val="24"/>
                <w:highlight w:val="none"/>
                <w:lang w:val="en-US" w:eastAsia="zh-CN" w:bidi="ar-SA"/>
              </w:rPr>
              <w:t>切割工序6000</w:t>
            </w:r>
            <w:r>
              <w:rPr>
                <w:rFonts w:hint="default" w:ascii="Times New Roman" w:hAnsi="Times New Roman" w:eastAsia="宋体" w:cs="Times New Roman"/>
                <w:b w:val="0"/>
                <w:bCs w:val="0"/>
                <w:color w:val="auto"/>
                <w:kern w:val="2"/>
                <w:sz w:val="24"/>
                <w:szCs w:val="24"/>
                <w:highlight w:val="none"/>
                <w:lang w:val="en-US" w:eastAsia="zh-CN" w:bidi="ar-SA"/>
              </w:rPr>
              <w:t>m</w:t>
            </w:r>
            <w:r>
              <w:rPr>
                <w:rFonts w:hint="default" w:ascii="Times New Roman" w:hAnsi="Times New Roman" w:eastAsia="宋体" w:cs="Times New Roman"/>
                <w:b w:val="0"/>
                <w:bCs w:val="0"/>
                <w:color w:val="auto"/>
                <w:kern w:val="2"/>
                <w:sz w:val="24"/>
                <w:szCs w:val="24"/>
                <w:highlight w:val="none"/>
                <w:vertAlign w:val="superscript"/>
                <w:lang w:val="en-US" w:eastAsia="zh-CN" w:bidi="ar-SA"/>
              </w:rPr>
              <w:t>3</w:t>
            </w:r>
            <w:r>
              <w:rPr>
                <w:rFonts w:hint="default" w:ascii="Times New Roman" w:hAnsi="Times New Roman" w:eastAsia="宋体" w:cs="Times New Roman"/>
                <w:b w:val="0"/>
                <w:bCs w:val="0"/>
                <w:color w:val="auto"/>
                <w:kern w:val="2"/>
                <w:sz w:val="24"/>
                <w:szCs w:val="24"/>
                <w:highlight w:val="none"/>
                <w:lang w:val="en-US" w:eastAsia="zh-CN" w:bidi="ar-SA"/>
              </w:rPr>
              <w:t>/h</w:t>
            </w:r>
            <w:r>
              <w:rPr>
                <w:rFonts w:hint="eastAsia" w:cs="Times New Roman"/>
                <w:b w:val="0"/>
                <w:bCs w:val="0"/>
                <w:color w:val="auto"/>
                <w:kern w:val="2"/>
                <w:sz w:val="24"/>
                <w:szCs w:val="24"/>
                <w:highlight w:val="none"/>
                <w:lang w:val="en-US" w:eastAsia="zh-CN" w:bidi="ar-SA"/>
              </w:rPr>
              <w:t>）</w:t>
            </w:r>
          </w:p>
          <w:p w14:paraId="2EB5B3B7">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T1——生产时间，</w:t>
            </w:r>
            <w:r>
              <w:rPr>
                <w:rFonts w:hint="eastAsia" w:cs="Times New Roman"/>
                <w:b w:val="0"/>
                <w:bCs w:val="0"/>
                <w:color w:val="auto"/>
                <w:kern w:val="2"/>
                <w:sz w:val="24"/>
                <w:szCs w:val="24"/>
                <w:highlight w:val="none"/>
                <w:lang w:val="en-US" w:eastAsia="zh-CN" w:bidi="ar-SA"/>
              </w:rPr>
              <w:t>1</w:t>
            </w:r>
            <w:r>
              <w:rPr>
                <w:rFonts w:hint="default" w:ascii="Times New Roman" w:hAnsi="Times New Roman" w:eastAsia="宋体" w:cs="Times New Roman"/>
                <w:b w:val="0"/>
                <w:bCs w:val="0"/>
                <w:color w:val="auto"/>
                <w:kern w:val="2"/>
                <w:sz w:val="24"/>
                <w:szCs w:val="24"/>
                <w:highlight w:val="none"/>
                <w:lang w:val="en-US" w:eastAsia="zh-CN" w:bidi="ar-SA"/>
              </w:rPr>
              <w:t>h。</w:t>
            </w:r>
          </w:p>
          <w:p w14:paraId="55854EA5">
            <w:pPr>
              <w:keepNext w:val="0"/>
              <w:keepLines w:val="0"/>
              <w:pageBreakBefore w:val="0"/>
              <w:widowControl w:val="0"/>
              <w:kinsoku/>
              <w:wordWrap/>
              <w:overflowPunct/>
              <w:topLinePunct w:val="0"/>
              <w:autoSpaceDE/>
              <w:autoSpaceDN/>
              <w:bidi w:val="0"/>
              <w:adjustRightInd/>
              <w:spacing w:line="360" w:lineRule="auto"/>
              <w:ind w:left="0" w:leftChars="0" w:right="0" w:rightChars="0" w:firstLine="480" w:firstLineChars="200"/>
              <w:jc w:val="both"/>
              <w:textAlignment w:val="auto"/>
              <w:rPr>
                <w:rFonts w:hint="default" w:ascii="Times New Roman" w:hAnsi="Times New Roman" w:eastAsia="宋体" w:cs="Times New Roman"/>
                <w:color w:val="auto"/>
                <w:sz w:val="24"/>
                <w:szCs w:val="32"/>
                <w:highlight w:val="none"/>
                <w:lang w:val="en-US" w:eastAsia="zh-CN"/>
              </w:rPr>
            </w:pPr>
            <w:r>
              <w:rPr>
                <w:rFonts w:hint="eastAsia" w:cs="Times New Roman"/>
                <w:bCs w:val="0"/>
                <w:color w:val="auto"/>
                <w:kern w:val="0"/>
                <w:sz w:val="24"/>
                <w:szCs w:val="24"/>
                <w:highlight w:val="none"/>
                <w:lang w:val="en-US" w:eastAsia="zh-CN" w:bidi="ar-SA"/>
              </w:rPr>
              <w:t>根据活性炭更换周期计算</w:t>
            </w:r>
            <w:r>
              <w:rPr>
                <w:rFonts w:hint="default" w:ascii="Times New Roman" w:hAnsi="Times New Roman" w:eastAsia="宋体" w:cs="Times New Roman"/>
                <w:color w:val="auto"/>
                <w:sz w:val="24"/>
                <w:szCs w:val="32"/>
                <w:highlight w:val="none"/>
                <w:lang w:val="en-US" w:eastAsia="zh-CN"/>
              </w:rPr>
              <w:t>运行时活性炭吸附箱每吸附5</w:t>
            </w:r>
            <w:r>
              <w:rPr>
                <w:rFonts w:hint="eastAsia" w:cs="Times New Roman"/>
                <w:color w:val="auto"/>
                <w:sz w:val="24"/>
                <w:szCs w:val="32"/>
                <w:highlight w:val="none"/>
                <w:lang w:val="en-US" w:eastAsia="zh-CN"/>
              </w:rPr>
              <w:t>1.262</w:t>
            </w:r>
            <w:r>
              <w:rPr>
                <w:rFonts w:hint="default" w:ascii="Times New Roman" w:hAnsi="Times New Roman" w:eastAsia="宋体" w:cs="Times New Roman"/>
                <w:color w:val="auto"/>
                <w:sz w:val="24"/>
                <w:szCs w:val="32"/>
                <w:highlight w:val="none"/>
                <w:lang w:val="en-US" w:eastAsia="zh-CN"/>
              </w:rPr>
              <w:t>h需脱附再生一次</w:t>
            </w:r>
            <w:r>
              <w:rPr>
                <w:rFonts w:hint="eastAsia" w:ascii="Times New Roman" w:hAnsi="Times New Roman" w:cs="Times New Roman"/>
                <w:color w:val="auto"/>
                <w:sz w:val="24"/>
                <w:szCs w:val="32"/>
                <w:highlight w:val="none"/>
                <w:lang w:val="en-US" w:eastAsia="zh-CN"/>
              </w:rPr>
              <w:t>。</w:t>
            </w:r>
            <w:r>
              <w:rPr>
                <w:rFonts w:hint="default" w:ascii="Times New Roman" w:hAnsi="Times New Roman" w:eastAsia="宋体" w:cs="Times New Roman"/>
                <w:color w:val="auto"/>
                <w:sz w:val="24"/>
                <w:szCs w:val="32"/>
                <w:highlight w:val="none"/>
                <w:lang w:val="en-US" w:eastAsia="zh-CN"/>
              </w:rPr>
              <w:t>年脱附-催化燃烧次数为</w:t>
            </w:r>
            <w:r>
              <w:rPr>
                <w:rFonts w:hint="eastAsia" w:cs="Times New Roman"/>
                <w:color w:val="auto"/>
                <w:sz w:val="24"/>
                <w:szCs w:val="32"/>
                <w:highlight w:val="none"/>
                <w:lang w:val="en-US" w:eastAsia="zh-CN"/>
              </w:rPr>
              <w:t>48</w:t>
            </w:r>
            <w:r>
              <w:rPr>
                <w:rFonts w:hint="default" w:ascii="Times New Roman" w:hAnsi="Times New Roman" w:eastAsia="宋体" w:cs="Times New Roman"/>
                <w:color w:val="auto"/>
                <w:sz w:val="24"/>
                <w:szCs w:val="32"/>
                <w:highlight w:val="none"/>
                <w:lang w:val="en-US" w:eastAsia="zh-CN"/>
              </w:rPr>
              <w:t>次，活性炭吸附箱脱附再生时间为3h/次，仅吸附工作时间为2400h/a，仅脱附-催化燃烧工作时间为144h/a。</w:t>
            </w:r>
          </w:p>
          <w:p w14:paraId="2514739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32"/>
                <w:highlight w:val="none"/>
                <w:lang w:val="en-US" w:eastAsia="zh-CN"/>
              </w:rPr>
            </w:pPr>
            <w:r>
              <w:rPr>
                <w:rFonts w:hint="default" w:ascii="Times New Roman" w:hAnsi="Times New Roman" w:eastAsia="宋体" w:cs="Times New Roman"/>
                <w:color w:val="auto"/>
                <w:sz w:val="24"/>
                <w:szCs w:val="32"/>
                <w:highlight w:val="none"/>
                <w:lang w:val="en-US" w:eastAsia="zh-CN"/>
              </w:rPr>
              <w:t>仅吸附时，</w:t>
            </w:r>
            <w:r>
              <w:rPr>
                <w:rFonts w:hint="default" w:ascii="Times New Roman" w:hAnsi="Times New Roman" w:eastAsia="宋体" w:cs="Times New Roman"/>
                <w:color w:val="auto"/>
                <w:sz w:val="24"/>
                <w:szCs w:val="24"/>
                <w:highlight w:val="none"/>
                <w:lang w:val="en-US" w:eastAsia="zh-CN"/>
              </w:rPr>
              <w:t>有组织产生量（按照全厂污染物）非甲烷总烃产生量为15.377t/a、苯乙烯产生量为0.258t/a；产生速率（按照最不利600小时核算）非甲烷总烃6.503kg/h、苯乙烯0.111kg/h；产生浓度为非甲烷总烃216.75</w:t>
            </w:r>
            <w:r>
              <w:rPr>
                <w:rFonts w:hint="default" w:ascii="Times New Roman" w:hAnsi="Times New Roman" w:eastAsia="宋体" w:cs="Times New Roman"/>
                <w:color w:val="auto"/>
                <w:kern w:val="0"/>
                <w:sz w:val="24"/>
                <w:szCs w:val="24"/>
                <w:highlight w:val="none"/>
              </w:rPr>
              <w:t>mg/m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sz w:val="24"/>
                <w:szCs w:val="24"/>
                <w:highlight w:val="none"/>
                <w:lang w:val="en-US" w:eastAsia="zh-CN"/>
              </w:rPr>
              <w:t>、苯乙烯3.712</w:t>
            </w:r>
            <w:r>
              <w:rPr>
                <w:rFonts w:hint="default" w:ascii="Times New Roman" w:hAnsi="Times New Roman" w:eastAsia="宋体" w:cs="Times New Roman"/>
                <w:color w:val="auto"/>
                <w:kern w:val="0"/>
                <w:sz w:val="24"/>
                <w:szCs w:val="24"/>
                <w:highlight w:val="none"/>
              </w:rPr>
              <w:t>mg/m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sz w:val="24"/>
                <w:szCs w:val="24"/>
                <w:highlight w:val="none"/>
                <w:lang w:val="en-US" w:eastAsia="zh-CN"/>
              </w:rPr>
              <w:t>。有组织排放量（按照全厂污染物）非甲烷总烃排放量为1.538t/a、苯乙烯0.026t/a。排放速率（按照最不利600小时核算）非甲烷总烃0.650kg/h、苯乙烯0.011kg/h；排放浓度为非甲烷总烃21.675</w:t>
            </w:r>
            <w:r>
              <w:rPr>
                <w:rFonts w:hint="default" w:ascii="Times New Roman" w:hAnsi="Times New Roman" w:eastAsia="宋体" w:cs="Times New Roman"/>
                <w:color w:val="auto"/>
                <w:kern w:val="0"/>
                <w:sz w:val="24"/>
                <w:szCs w:val="24"/>
                <w:highlight w:val="none"/>
              </w:rPr>
              <w:t>mg/m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sz w:val="24"/>
                <w:szCs w:val="24"/>
                <w:highlight w:val="none"/>
                <w:lang w:val="en-US" w:eastAsia="zh-CN"/>
              </w:rPr>
              <w:t>、苯乙烯0.371</w:t>
            </w:r>
            <w:r>
              <w:rPr>
                <w:rFonts w:hint="default" w:ascii="Times New Roman" w:hAnsi="Times New Roman" w:eastAsia="宋体" w:cs="Times New Roman"/>
                <w:color w:val="auto"/>
                <w:kern w:val="0"/>
                <w:sz w:val="24"/>
                <w:szCs w:val="24"/>
                <w:highlight w:val="none"/>
              </w:rPr>
              <w:t>mg/m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sz w:val="24"/>
                <w:szCs w:val="24"/>
                <w:highlight w:val="none"/>
                <w:lang w:val="en-US" w:eastAsia="zh-CN"/>
              </w:rPr>
              <w:t>。</w:t>
            </w:r>
          </w:p>
          <w:p w14:paraId="4A4AC15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32"/>
                <w:highlight w:val="none"/>
                <w:lang w:val="en-US" w:eastAsia="zh-CN"/>
              </w:rPr>
            </w:pPr>
            <w:r>
              <w:rPr>
                <w:rFonts w:hint="default" w:ascii="Times New Roman" w:hAnsi="Times New Roman" w:eastAsia="宋体" w:cs="Times New Roman"/>
                <w:color w:val="auto"/>
                <w:sz w:val="24"/>
                <w:szCs w:val="32"/>
                <w:highlight w:val="none"/>
                <w:lang w:val="en-US" w:eastAsia="zh-CN"/>
              </w:rPr>
              <w:t>仅吸附脱附--催化燃烧时，脱附风量为1500m</w:t>
            </w:r>
            <w:r>
              <w:rPr>
                <w:rFonts w:hint="default" w:ascii="Times New Roman" w:hAnsi="Times New Roman" w:eastAsia="宋体" w:cs="Times New Roman"/>
                <w:color w:val="auto"/>
                <w:sz w:val="24"/>
                <w:szCs w:val="32"/>
                <w:highlight w:val="none"/>
                <w:vertAlign w:val="superscript"/>
                <w:lang w:val="en-US" w:eastAsia="zh-CN"/>
              </w:rPr>
              <w:t>3</w:t>
            </w:r>
            <w:r>
              <w:rPr>
                <w:rFonts w:hint="default" w:ascii="Times New Roman" w:hAnsi="Times New Roman" w:eastAsia="宋体" w:cs="Times New Roman"/>
                <w:color w:val="auto"/>
                <w:sz w:val="24"/>
                <w:szCs w:val="32"/>
                <w:highlight w:val="none"/>
                <w:lang w:val="en-US" w:eastAsia="zh-CN"/>
              </w:rPr>
              <w:t>/h、非甲烷总烃脱附量为【24000m</w:t>
            </w:r>
            <w:r>
              <w:rPr>
                <w:rFonts w:hint="default" w:ascii="Times New Roman" w:hAnsi="Times New Roman" w:eastAsia="宋体" w:cs="Times New Roman"/>
                <w:color w:val="auto"/>
                <w:sz w:val="24"/>
                <w:szCs w:val="32"/>
                <w:highlight w:val="none"/>
                <w:vertAlign w:val="superscript"/>
                <w:lang w:val="en-US" w:eastAsia="zh-CN"/>
              </w:rPr>
              <w:t>3</w:t>
            </w:r>
            <w:r>
              <w:rPr>
                <w:rFonts w:hint="default" w:ascii="Times New Roman" w:hAnsi="Times New Roman" w:eastAsia="宋体" w:cs="Times New Roman"/>
                <w:color w:val="auto"/>
                <w:sz w:val="24"/>
                <w:szCs w:val="32"/>
                <w:highlight w:val="none"/>
                <w:lang w:val="en-US" w:eastAsia="zh-CN"/>
              </w:rPr>
              <w:t>/h×239.0625</w:t>
            </w:r>
            <w:r>
              <w:rPr>
                <w:rFonts w:hint="default" w:ascii="Times New Roman" w:hAnsi="Times New Roman" w:eastAsia="宋体" w:cs="Times New Roman"/>
                <w:color w:val="auto"/>
                <w:kern w:val="0"/>
                <w:sz w:val="24"/>
                <w:szCs w:val="24"/>
                <w:highlight w:val="none"/>
              </w:rPr>
              <w:t>mg/m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sz w:val="24"/>
                <w:szCs w:val="32"/>
                <w:highlight w:val="none"/>
                <w:lang w:val="en-US" w:eastAsia="zh-CN"/>
              </w:rPr>
              <w:t>（非甲烷总烃削减浓度）+6000m</w:t>
            </w:r>
            <w:r>
              <w:rPr>
                <w:rFonts w:hint="default" w:ascii="Times New Roman" w:hAnsi="Times New Roman" w:eastAsia="宋体" w:cs="Times New Roman"/>
                <w:color w:val="auto"/>
                <w:sz w:val="24"/>
                <w:szCs w:val="32"/>
                <w:highlight w:val="none"/>
                <w:vertAlign w:val="superscript"/>
                <w:lang w:val="en-US" w:eastAsia="zh-CN"/>
              </w:rPr>
              <w:t>3</w:t>
            </w:r>
            <w:r>
              <w:rPr>
                <w:rFonts w:hint="default" w:ascii="Times New Roman" w:hAnsi="Times New Roman" w:eastAsia="宋体" w:cs="Times New Roman"/>
                <w:color w:val="auto"/>
                <w:sz w:val="24"/>
                <w:szCs w:val="32"/>
                <w:highlight w:val="none"/>
                <w:lang w:val="en-US" w:eastAsia="zh-CN"/>
              </w:rPr>
              <w:t>/h×19.125</w:t>
            </w:r>
            <w:r>
              <w:rPr>
                <w:rFonts w:hint="default" w:ascii="Times New Roman" w:hAnsi="Times New Roman" w:eastAsia="宋体" w:cs="Times New Roman"/>
                <w:color w:val="auto"/>
                <w:kern w:val="0"/>
                <w:sz w:val="24"/>
                <w:szCs w:val="24"/>
                <w:highlight w:val="none"/>
              </w:rPr>
              <w:t>mg/m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sz w:val="24"/>
                <w:szCs w:val="32"/>
                <w:highlight w:val="none"/>
                <w:lang w:val="en-US" w:eastAsia="zh-CN"/>
              </w:rPr>
              <w:t>（非甲烷总烃削减浓度）】×10</w:t>
            </w:r>
            <w:r>
              <w:rPr>
                <w:rFonts w:hint="default" w:ascii="Times New Roman" w:hAnsi="Times New Roman" w:eastAsia="宋体" w:cs="Times New Roman"/>
                <w:color w:val="auto"/>
                <w:sz w:val="24"/>
                <w:szCs w:val="32"/>
                <w:highlight w:val="none"/>
                <w:vertAlign w:val="superscript"/>
                <w:lang w:val="en-US" w:eastAsia="zh-CN"/>
              </w:rPr>
              <w:t>-9</w:t>
            </w:r>
            <w:r>
              <w:rPr>
                <w:rFonts w:hint="default" w:ascii="Times New Roman" w:hAnsi="Times New Roman" w:eastAsia="宋体" w:cs="Times New Roman"/>
                <w:color w:val="auto"/>
                <w:sz w:val="24"/>
                <w:szCs w:val="32"/>
                <w:highlight w:val="none"/>
                <w:lang w:val="en-US" w:eastAsia="zh-CN"/>
              </w:rPr>
              <w:t>×144h/a≈</w:t>
            </w:r>
            <w:r>
              <w:rPr>
                <w:rFonts w:hint="eastAsia" w:ascii="Times New Roman" w:hAnsi="Times New Roman" w:eastAsia="宋体" w:cs="Times New Roman"/>
                <w:color w:val="auto"/>
                <w:sz w:val="24"/>
                <w:szCs w:val="32"/>
                <w:highlight w:val="none"/>
                <w:lang w:val="en-US" w:eastAsia="zh-CN"/>
              </w:rPr>
              <w:t>0.843</w:t>
            </w:r>
            <w:r>
              <w:rPr>
                <w:rFonts w:hint="default" w:ascii="Times New Roman" w:hAnsi="Times New Roman" w:eastAsia="宋体" w:cs="Times New Roman"/>
                <w:color w:val="auto"/>
                <w:sz w:val="24"/>
                <w:szCs w:val="24"/>
                <w:highlight w:val="none"/>
                <w:lang w:val="en-US" w:eastAsia="zh-CN"/>
              </w:rPr>
              <w:t>t/a。</w:t>
            </w:r>
            <w:r>
              <w:rPr>
                <w:rFonts w:hint="default" w:ascii="Times New Roman" w:hAnsi="Times New Roman" w:eastAsia="宋体" w:cs="Times New Roman"/>
                <w:color w:val="auto"/>
                <w:sz w:val="24"/>
                <w:szCs w:val="32"/>
                <w:highlight w:val="none"/>
                <w:lang w:val="en-US" w:eastAsia="zh-CN"/>
              </w:rPr>
              <w:t>苯乙烯脱附量为【24000m</w:t>
            </w:r>
            <w:r>
              <w:rPr>
                <w:rFonts w:hint="default" w:ascii="Times New Roman" w:hAnsi="Times New Roman" w:eastAsia="宋体" w:cs="Times New Roman"/>
                <w:color w:val="auto"/>
                <w:sz w:val="24"/>
                <w:szCs w:val="32"/>
                <w:highlight w:val="none"/>
                <w:vertAlign w:val="superscript"/>
                <w:lang w:val="en-US" w:eastAsia="zh-CN"/>
              </w:rPr>
              <w:t>3</w:t>
            </w:r>
            <w:r>
              <w:rPr>
                <w:rFonts w:hint="default" w:ascii="Times New Roman" w:hAnsi="Times New Roman" w:eastAsia="宋体" w:cs="Times New Roman"/>
                <w:color w:val="auto"/>
                <w:sz w:val="24"/>
                <w:szCs w:val="32"/>
                <w:highlight w:val="none"/>
                <w:lang w:val="en-US" w:eastAsia="zh-CN"/>
              </w:rPr>
              <w:t>/h×3.984</w:t>
            </w:r>
            <w:r>
              <w:rPr>
                <w:rFonts w:hint="default" w:ascii="Times New Roman" w:hAnsi="Times New Roman" w:eastAsia="宋体" w:cs="Times New Roman"/>
                <w:color w:val="auto"/>
                <w:kern w:val="0"/>
                <w:sz w:val="24"/>
                <w:szCs w:val="24"/>
                <w:highlight w:val="none"/>
              </w:rPr>
              <w:t>mg/m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sz w:val="24"/>
                <w:szCs w:val="32"/>
                <w:highlight w:val="none"/>
                <w:lang w:val="en-US" w:eastAsia="zh-CN"/>
              </w:rPr>
              <w:t>（苯乙烯削减浓度）+6000m</w:t>
            </w:r>
            <w:r>
              <w:rPr>
                <w:rFonts w:hint="default" w:ascii="Times New Roman" w:hAnsi="Times New Roman" w:eastAsia="宋体" w:cs="Times New Roman"/>
                <w:color w:val="auto"/>
                <w:sz w:val="24"/>
                <w:szCs w:val="32"/>
                <w:highlight w:val="none"/>
                <w:vertAlign w:val="superscript"/>
                <w:lang w:val="en-US" w:eastAsia="zh-CN"/>
              </w:rPr>
              <w:t>3</w:t>
            </w:r>
            <w:r>
              <w:rPr>
                <w:rFonts w:hint="default" w:ascii="Times New Roman" w:hAnsi="Times New Roman" w:eastAsia="宋体" w:cs="Times New Roman"/>
                <w:color w:val="auto"/>
                <w:sz w:val="24"/>
                <w:szCs w:val="32"/>
                <w:highlight w:val="none"/>
                <w:lang w:val="en-US" w:eastAsia="zh-CN"/>
              </w:rPr>
              <w:t>/h×0.765</w:t>
            </w:r>
            <w:r>
              <w:rPr>
                <w:rFonts w:hint="default" w:ascii="Times New Roman" w:hAnsi="Times New Roman" w:eastAsia="宋体" w:cs="Times New Roman"/>
                <w:color w:val="auto"/>
                <w:kern w:val="0"/>
                <w:sz w:val="24"/>
                <w:szCs w:val="24"/>
                <w:highlight w:val="none"/>
              </w:rPr>
              <w:t>mg/m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sz w:val="24"/>
                <w:szCs w:val="32"/>
                <w:highlight w:val="none"/>
                <w:lang w:val="en-US" w:eastAsia="zh-CN"/>
              </w:rPr>
              <w:t>（苯乙烯削减浓度）】×10</w:t>
            </w:r>
            <w:r>
              <w:rPr>
                <w:rFonts w:hint="default" w:ascii="Times New Roman" w:hAnsi="Times New Roman" w:eastAsia="宋体" w:cs="Times New Roman"/>
                <w:color w:val="auto"/>
                <w:sz w:val="24"/>
                <w:szCs w:val="32"/>
                <w:highlight w:val="none"/>
                <w:vertAlign w:val="superscript"/>
                <w:lang w:val="en-US" w:eastAsia="zh-CN"/>
              </w:rPr>
              <w:t>-9</w:t>
            </w:r>
            <w:r>
              <w:rPr>
                <w:rFonts w:hint="default" w:ascii="Times New Roman" w:hAnsi="Times New Roman" w:eastAsia="宋体" w:cs="Times New Roman"/>
                <w:color w:val="auto"/>
                <w:sz w:val="24"/>
                <w:szCs w:val="32"/>
                <w:highlight w:val="none"/>
                <w:lang w:val="en-US" w:eastAsia="zh-CN"/>
              </w:rPr>
              <w:t>×144h/a≈</w:t>
            </w:r>
            <w:r>
              <w:rPr>
                <w:rFonts w:hint="eastAsia" w:ascii="Times New Roman" w:hAnsi="Times New Roman" w:eastAsia="宋体" w:cs="Times New Roman"/>
                <w:color w:val="auto"/>
                <w:sz w:val="24"/>
                <w:szCs w:val="32"/>
                <w:highlight w:val="none"/>
                <w:lang w:val="en-US" w:eastAsia="zh-CN"/>
              </w:rPr>
              <w:t>0.014</w:t>
            </w:r>
            <w:r>
              <w:rPr>
                <w:rFonts w:hint="default" w:ascii="Times New Roman" w:hAnsi="Times New Roman" w:eastAsia="宋体" w:cs="Times New Roman"/>
                <w:color w:val="auto"/>
                <w:sz w:val="24"/>
                <w:szCs w:val="24"/>
                <w:highlight w:val="none"/>
                <w:lang w:val="en-US" w:eastAsia="zh-CN"/>
              </w:rPr>
              <w:t>t/a。产生速率非甲烷总烃</w:t>
            </w:r>
            <w:r>
              <w:rPr>
                <w:rFonts w:hint="eastAsia" w:ascii="Times New Roman" w:hAnsi="Times New Roman" w:cs="Times New Roman"/>
                <w:color w:val="auto"/>
                <w:sz w:val="24"/>
                <w:szCs w:val="24"/>
                <w:highlight w:val="none"/>
                <w:lang w:val="en-US" w:eastAsia="zh-CN"/>
              </w:rPr>
              <w:t>5.852</w:t>
            </w:r>
            <w:r>
              <w:rPr>
                <w:rFonts w:hint="default" w:ascii="Times New Roman" w:hAnsi="Times New Roman" w:eastAsia="宋体" w:cs="Times New Roman"/>
                <w:color w:val="auto"/>
                <w:sz w:val="24"/>
                <w:szCs w:val="24"/>
                <w:highlight w:val="none"/>
                <w:lang w:val="en-US" w:eastAsia="zh-CN"/>
              </w:rPr>
              <w:t>kg/h、苯乙烯</w:t>
            </w:r>
            <w:r>
              <w:rPr>
                <w:rFonts w:hint="eastAsia" w:ascii="Times New Roman" w:hAnsi="Times New Roman" w:cs="Times New Roman"/>
                <w:color w:val="auto"/>
                <w:sz w:val="24"/>
                <w:szCs w:val="24"/>
                <w:highlight w:val="none"/>
                <w:lang w:val="en-US" w:eastAsia="zh-CN"/>
              </w:rPr>
              <w:t>0.100</w:t>
            </w:r>
            <w:r>
              <w:rPr>
                <w:rFonts w:hint="default" w:ascii="Times New Roman" w:hAnsi="Times New Roman" w:eastAsia="宋体" w:cs="Times New Roman"/>
                <w:color w:val="auto"/>
                <w:sz w:val="24"/>
                <w:szCs w:val="24"/>
                <w:highlight w:val="none"/>
                <w:lang w:val="en-US" w:eastAsia="zh-CN"/>
              </w:rPr>
              <w:t>kg/h；产生浓度为非甲烷总烃</w:t>
            </w:r>
            <w:r>
              <w:rPr>
                <w:rFonts w:hint="eastAsia" w:ascii="Times New Roman" w:hAnsi="Times New Roman" w:cs="Times New Roman"/>
                <w:color w:val="auto"/>
                <w:sz w:val="24"/>
                <w:szCs w:val="24"/>
                <w:highlight w:val="none"/>
                <w:lang w:val="en-US" w:eastAsia="zh-CN"/>
              </w:rPr>
              <w:t>3901.5</w:t>
            </w:r>
            <w:r>
              <w:rPr>
                <w:rFonts w:hint="default" w:ascii="Times New Roman" w:hAnsi="Times New Roman" w:eastAsia="宋体" w:cs="Times New Roman"/>
                <w:color w:val="auto"/>
                <w:kern w:val="0"/>
                <w:sz w:val="24"/>
                <w:szCs w:val="24"/>
                <w:highlight w:val="none"/>
              </w:rPr>
              <w:t>mg/m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sz w:val="24"/>
                <w:szCs w:val="24"/>
                <w:highlight w:val="none"/>
                <w:lang w:val="en-US" w:eastAsia="zh-CN"/>
              </w:rPr>
              <w:t>、苯乙烯</w:t>
            </w:r>
            <w:r>
              <w:rPr>
                <w:rFonts w:hint="eastAsia" w:ascii="Times New Roman" w:hAnsi="Times New Roman" w:cs="Times New Roman"/>
                <w:color w:val="auto"/>
                <w:sz w:val="24"/>
                <w:szCs w:val="24"/>
                <w:highlight w:val="none"/>
                <w:lang w:val="en-US" w:eastAsia="zh-CN"/>
              </w:rPr>
              <w:t>66.81</w:t>
            </w:r>
            <w:r>
              <w:rPr>
                <w:rFonts w:hint="default" w:ascii="Times New Roman" w:hAnsi="Times New Roman" w:eastAsia="宋体" w:cs="Times New Roman"/>
                <w:color w:val="auto"/>
                <w:kern w:val="0"/>
                <w:sz w:val="24"/>
                <w:szCs w:val="24"/>
                <w:highlight w:val="none"/>
              </w:rPr>
              <w:t>mg/m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sz w:val="24"/>
                <w:szCs w:val="24"/>
                <w:highlight w:val="none"/>
                <w:lang w:val="en-US" w:eastAsia="zh-CN"/>
              </w:rPr>
              <w:t>。非甲烷总烃排放量为</w:t>
            </w:r>
            <w:r>
              <w:rPr>
                <w:rFonts w:hint="eastAsia" w:ascii="Times New Roman" w:hAnsi="Times New Roman" w:cs="Times New Roman"/>
                <w:color w:val="auto"/>
                <w:sz w:val="24"/>
                <w:szCs w:val="24"/>
                <w:highlight w:val="none"/>
                <w:lang w:val="en-US" w:eastAsia="zh-CN"/>
              </w:rPr>
              <w:t>0.004</w:t>
            </w:r>
            <w:r>
              <w:rPr>
                <w:rFonts w:hint="default" w:ascii="Times New Roman" w:hAnsi="Times New Roman" w:eastAsia="宋体" w:cs="Times New Roman"/>
                <w:color w:val="auto"/>
                <w:sz w:val="24"/>
                <w:szCs w:val="24"/>
                <w:highlight w:val="none"/>
                <w:lang w:val="en-US" w:eastAsia="zh-CN"/>
              </w:rPr>
              <w:t>t/a、苯乙烯</w:t>
            </w:r>
            <w:r>
              <w:rPr>
                <w:rFonts w:hint="eastAsia" w:ascii="Times New Roman" w:hAnsi="Times New Roman" w:cs="Times New Roman"/>
                <w:color w:val="auto"/>
                <w:sz w:val="24"/>
                <w:szCs w:val="24"/>
                <w:highlight w:val="none"/>
                <w:lang w:val="en-US" w:eastAsia="zh-CN"/>
              </w:rPr>
              <w:t>7.2</w:t>
            </w:r>
            <w:r>
              <w:rPr>
                <w:rFonts w:hint="default" w:ascii="Times New Roman" w:hAnsi="Times New Roman" w:eastAsia="宋体" w:cs="Times New Roman"/>
                <w:color w:val="auto"/>
                <w:sz w:val="24"/>
                <w:szCs w:val="32"/>
                <w:highlight w:val="none"/>
                <w:lang w:val="en-US" w:eastAsia="zh-CN"/>
              </w:rPr>
              <w:t>×10</w:t>
            </w:r>
            <w:r>
              <w:rPr>
                <w:rFonts w:hint="default" w:ascii="Times New Roman" w:hAnsi="Times New Roman" w:eastAsia="宋体" w:cs="Times New Roman"/>
                <w:color w:val="auto"/>
                <w:sz w:val="24"/>
                <w:szCs w:val="32"/>
                <w:highlight w:val="none"/>
                <w:vertAlign w:val="superscript"/>
                <w:lang w:val="en-US" w:eastAsia="zh-CN"/>
              </w:rPr>
              <w:t>-</w:t>
            </w:r>
            <w:r>
              <w:rPr>
                <w:rFonts w:hint="eastAsia" w:ascii="Times New Roman" w:hAnsi="Times New Roman" w:cs="Times New Roman"/>
                <w:color w:val="auto"/>
                <w:sz w:val="24"/>
                <w:szCs w:val="32"/>
                <w:highlight w:val="none"/>
                <w:vertAlign w:val="superscript"/>
                <w:lang w:val="en-US" w:eastAsia="zh-CN"/>
              </w:rPr>
              <w:t>5</w:t>
            </w:r>
            <w:r>
              <w:rPr>
                <w:rFonts w:hint="default" w:ascii="Times New Roman" w:hAnsi="Times New Roman" w:eastAsia="宋体" w:cs="Times New Roman"/>
                <w:color w:val="auto"/>
                <w:sz w:val="24"/>
                <w:szCs w:val="24"/>
                <w:highlight w:val="none"/>
                <w:lang w:val="en-US" w:eastAsia="zh-CN"/>
              </w:rPr>
              <w:t>t/a。排放速率非甲烷总烃</w:t>
            </w:r>
            <w:r>
              <w:rPr>
                <w:rFonts w:hint="eastAsia" w:ascii="Times New Roman" w:hAnsi="Times New Roman" w:cs="Times New Roman"/>
                <w:color w:val="auto"/>
                <w:sz w:val="24"/>
                <w:szCs w:val="24"/>
                <w:highlight w:val="none"/>
                <w:lang w:val="en-US" w:eastAsia="zh-CN"/>
              </w:rPr>
              <w:t>0.029</w:t>
            </w:r>
            <w:r>
              <w:rPr>
                <w:rFonts w:hint="default" w:ascii="Times New Roman" w:hAnsi="Times New Roman" w:eastAsia="宋体" w:cs="Times New Roman"/>
                <w:color w:val="auto"/>
                <w:sz w:val="24"/>
                <w:szCs w:val="24"/>
                <w:highlight w:val="none"/>
                <w:lang w:val="en-US" w:eastAsia="zh-CN"/>
              </w:rPr>
              <w:t>kg/h、苯乙烯</w:t>
            </w:r>
            <w:r>
              <w:rPr>
                <w:rFonts w:hint="eastAsia" w:ascii="Times New Roman" w:hAnsi="Times New Roman" w:cs="Times New Roman"/>
                <w:color w:val="auto"/>
                <w:sz w:val="24"/>
                <w:szCs w:val="24"/>
                <w:highlight w:val="none"/>
                <w:lang w:val="en-US" w:eastAsia="zh-CN"/>
              </w:rPr>
              <w:t>0.0005</w:t>
            </w:r>
            <w:r>
              <w:rPr>
                <w:rFonts w:hint="default" w:ascii="Times New Roman" w:hAnsi="Times New Roman" w:eastAsia="宋体" w:cs="Times New Roman"/>
                <w:color w:val="auto"/>
                <w:sz w:val="24"/>
                <w:szCs w:val="24"/>
                <w:highlight w:val="none"/>
                <w:lang w:val="en-US" w:eastAsia="zh-CN"/>
              </w:rPr>
              <w:t>kg/h；排放浓度为非甲烷总烃</w:t>
            </w:r>
            <w:r>
              <w:rPr>
                <w:rFonts w:hint="eastAsia" w:ascii="Times New Roman" w:hAnsi="Times New Roman" w:cs="Times New Roman"/>
                <w:color w:val="auto"/>
                <w:sz w:val="24"/>
                <w:szCs w:val="24"/>
                <w:highlight w:val="none"/>
                <w:lang w:val="en-US" w:eastAsia="zh-CN"/>
              </w:rPr>
              <w:t>19.508</w:t>
            </w:r>
            <w:r>
              <w:rPr>
                <w:rFonts w:hint="default" w:ascii="Times New Roman" w:hAnsi="Times New Roman" w:eastAsia="宋体" w:cs="Times New Roman"/>
                <w:color w:val="auto"/>
                <w:kern w:val="0"/>
                <w:sz w:val="24"/>
                <w:szCs w:val="24"/>
                <w:highlight w:val="none"/>
              </w:rPr>
              <w:t>mg/m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sz w:val="24"/>
                <w:szCs w:val="24"/>
                <w:highlight w:val="none"/>
                <w:lang w:val="en-US" w:eastAsia="zh-CN"/>
              </w:rPr>
              <w:t>、苯乙烯0</w:t>
            </w:r>
            <w:r>
              <w:rPr>
                <w:rFonts w:hint="eastAsia"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3</w:t>
            </w:r>
            <w:r>
              <w:rPr>
                <w:rFonts w:hint="eastAsia" w:ascii="Times New Roman" w:hAnsi="Times New Roman" w:cs="Times New Roman"/>
                <w:color w:val="auto"/>
                <w:sz w:val="24"/>
                <w:szCs w:val="24"/>
                <w:highlight w:val="none"/>
                <w:lang w:val="en-US" w:eastAsia="zh-CN"/>
              </w:rPr>
              <w:t>34</w:t>
            </w:r>
            <w:r>
              <w:rPr>
                <w:rFonts w:hint="default" w:ascii="Times New Roman" w:hAnsi="Times New Roman" w:eastAsia="宋体" w:cs="Times New Roman"/>
                <w:color w:val="auto"/>
                <w:kern w:val="0"/>
                <w:sz w:val="24"/>
                <w:szCs w:val="24"/>
                <w:highlight w:val="none"/>
              </w:rPr>
              <w:t>mg/m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sz w:val="24"/>
                <w:szCs w:val="24"/>
                <w:highlight w:val="none"/>
                <w:lang w:val="en-US" w:eastAsia="zh-CN"/>
              </w:rPr>
              <w:t>。</w:t>
            </w:r>
          </w:p>
          <w:p w14:paraId="66087E09">
            <w:pPr>
              <w:keepNext w:val="0"/>
              <w:keepLines w:val="0"/>
              <w:pageBreakBefore w:val="0"/>
              <w:widowControl w:val="0"/>
              <w:kinsoku/>
              <w:wordWrap/>
              <w:overflowPunct/>
              <w:topLinePunct w:val="0"/>
              <w:autoSpaceDE/>
              <w:autoSpaceDN/>
              <w:bidi w:val="0"/>
              <w:adjustRightInd/>
              <w:spacing w:line="360" w:lineRule="auto"/>
              <w:ind w:left="0" w:leftChars="0" w:right="0" w:rightChars="0" w:firstLine="480" w:firstLineChars="200"/>
              <w:jc w:val="both"/>
              <w:textAlignment w:val="auto"/>
              <w:rPr>
                <w:rFonts w:hint="eastAsia"/>
                <w:color w:val="auto"/>
                <w:sz w:val="24"/>
                <w:szCs w:val="24"/>
                <w:highlight w:val="none"/>
                <w:lang w:eastAsia="zh-CN"/>
              </w:rPr>
            </w:pPr>
            <w:r>
              <w:rPr>
                <w:rFonts w:hint="eastAsia" w:cs="Times New Roman"/>
                <w:color w:val="auto"/>
                <w:sz w:val="24"/>
                <w:szCs w:val="32"/>
                <w:highlight w:val="none"/>
                <w:lang w:val="en-US" w:eastAsia="zh-CN"/>
              </w:rPr>
              <w:t>综上，吸附时、仅脱附-催化燃烧时</w:t>
            </w:r>
            <w:r>
              <w:rPr>
                <w:rFonts w:hint="eastAsia"/>
                <w:color w:val="auto"/>
                <w:sz w:val="24"/>
                <w:highlight w:val="none"/>
                <w:lang w:val="en-US" w:eastAsia="zh-CN"/>
              </w:rPr>
              <w:t>非甲烷总烃排放满足</w:t>
            </w:r>
            <w:r>
              <w:rPr>
                <w:rFonts w:hint="eastAsia"/>
                <w:color w:val="auto"/>
                <w:sz w:val="24"/>
                <w:highlight w:val="none"/>
              </w:rPr>
              <w:t>河北省地方标准《工业企业挥发性有机物排放控制标准》（DB13/2322-20</w:t>
            </w:r>
            <w:r>
              <w:rPr>
                <w:rFonts w:hint="eastAsia"/>
                <w:color w:val="auto"/>
                <w:sz w:val="24"/>
                <w:highlight w:val="none"/>
                <w:lang w:val="en-US" w:eastAsia="zh-CN"/>
              </w:rPr>
              <w:t>25</w:t>
            </w:r>
            <w:r>
              <w:rPr>
                <w:rFonts w:hint="eastAsia"/>
                <w:color w:val="auto"/>
                <w:sz w:val="24"/>
                <w:highlight w:val="none"/>
              </w:rPr>
              <w:t>）</w:t>
            </w:r>
            <w:r>
              <w:rPr>
                <w:rFonts w:hint="eastAsia"/>
                <w:color w:val="auto"/>
                <w:sz w:val="24"/>
                <w:highlight w:val="none"/>
                <w:lang w:val="en-US" w:eastAsia="zh-CN"/>
              </w:rPr>
              <w:t>以及</w:t>
            </w:r>
            <w:r>
              <w:rPr>
                <w:rFonts w:hint="eastAsia"/>
                <w:color w:val="auto"/>
                <w:sz w:val="24"/>
                <w:highlight w:val="none"/>
              </w:rPr>
              <w:t>《合成树脂工业污染物排放标准》（GB31572-2015</w:t>
            </w:r>
            <w:r>
              <w:rPr>
                <w:rFonts w:hint="eastAsia"/>
                <w:color w:val="auto"/>
                <w:sz w:val="24"/>
                <w:highlight w:val="none"/>
                <w:lang w:eastAsia="zh-CN"/>
              </w:rPr>
              <w:t>，</w:t>
            </w:r>
            <w:r>
              <w:rPr>
                <w:rFonts w:hint="eastAsia"/>
                <w:color w:val="auto"/>
                <w:sz w:val="24"/>
                <w:highlight w:val="none"/>
                <w:lang w:val="en-US" w:eastAsia="zh-CN"/>
              </w:rPr>
              <w:t>含2024年修改单</w:t>
            </w:r>
            <w:r>
              <w:rPr>
                <w:rFonts w:hint="eastAsia"/>
                <w:color w:val="auto"/>
                <w:sz w:val="24"/>
                <w:highlight w:val="none"/>
                <w:lang w:eastAsia="zh-CN"/>
              </w:rPr>
              <w:t>）</w:t>
            </w:r>
            <w:r>
              <w:rPr>
                <w:rFonts w:hint="eastAsia"/>
                <w:color w:val="auto"/>
                <w:sz w:val="24"/>
                <w:highlight w:val="none"/>
                <w:lang w:val="en-US" w:eastAsia="zh-CN"/>
              </w:rPr>
              <w:t>标准</w:t>
            </w:r>
            <w:r>
              <w:rPr>
                <w:rFonts w:hint="eastAsia"/>
                <w:color w:val="auto"/>
                <w:sz w:val="24"/>
                <w:szCs w:val="24"/>
                <w:highlight w:val="none"/>
                <w:lang w:eastAsia="zh-CN"/>
              </w:rPr>
              <w:t>；</w:t>
            </w:r>
            <w:r>
              <w:rPr>
                <w:rFonts w:hint="eastAsia"/>
                <w:color w:val="auto"/>
                <w:sz w:val="24"/>
                <w:highlight w:val="none"/>
                <w:lang w:val="en-US" w:eastAsia="zh-CN"/>
              </w:rPr>
              <w:t>苯乙烯可满足</w:t>
            </w:r>
            <w:r>
              <w:rPr>
                <w:rFonts w:hint="eastAsia"/>
                <w:color w:val="auto"/>
                <w:sz w:val="24"/>
                <w:highlight w:val="none"/>
              </w:rPr>
              <w:t>河北省地方标准《工业企业挥发性有机物排放控制标准》（DB13/2322-20</w:t>
            </w:r>
            <w:r>
              <w:rPr>
                <w:rFonts w:hint="eastAsia"/>
                <w:color w:val="auto"/>
                <w:sz w:val="24"/>
                <w:highlight w:val="none"/>
                <w:lang w:val="en-US" w:eastAsia="zh-CN"/>
              </w:rPr>
              <w:t>25</w:t>
            </w:r>
            <w:r>
              <w:rPr>
                <w:rFonts w:hint="eastAsia"/>
                <w:color w:val="auto"/>
                <w:sz w:val="24"/>
                <w:highlight w:val="none"/>
              </w:rPr>
              <w:t>）</w:t>
            </w:r>
            <w:r>
              <w:rPr>
                <w:rFonts w:hint="eastAsia"/>
                <w:color w:val="auto"/>
                <w:sz w:val="24"/>
                <w:highlight w:val="none"/>
                <w:lang w:val="en-US" w:eastAsia="zh-CN"/>
              </w:rPr>
              <w:t>及</w:t>
            </w:r>
            <w:r>
              <w:rPr>
                <w:rFonts w:hint="eastAsia"/>
                <w:color w:val="auto"/>
                <w:sz w:val="24"/>
                <w:highlight w:val="none"/>
              </w:rPr>
              <w:t>《合成树脂工业污染物排放标准》（GB31572-2015</w:t>
            </w:r>
            <w:r>
              <w:rPr>
                <w:rFonts w:hint="eastAsia"/>
                <w:color w:val="auto"/>
                <w:sz w:val="24"/>
                <w:highlight w:val="none"/>
                <w:lang w:eastAsia="zh-CN"/>
              </w:rPr>
              <w:t>，</w:t>
            </w:r>
            <w:r>
              <w:rPr>
                <w:rFonts w:hint="eastAsia"/>
                <w:color w:val="auto"/>
                <w:sz w:val="24"/>
                <w:highlight w:val="none"/>
                <w:lang w:val="en-US" w:eastAsia="zh-CN"/>
              </w:rPr>
              <w:t>含2024修改单</w:t>
            </w:r>
            <w:r>
              <w:rPr>
                <w:rFonts w:hint="eastAsia"/>
                <w:color w:val="auto"/>
                <w:sz w:val="24"/>
                <w:highlight w:val="none"/>
                <w:lang w:eastAsia="zh-CN"/>
              </w:rPr>
              <w:t>）</w:t>
            </w:r>
            <w:r>
              <w:rPr>
                <w:rFonts w:hint="eastAsia"/>
                <w:color w:val="auto"/>
                <w:sz w:val="24"/>
                <w:highlight w:val="none"/>
                <w:lang w:val="en-US" w:eastAsia="zh-CN"/>
              </w:rPr>
              <w:t>和</w:t>
            </w:r>
            <w:r>
              <w:rPr>
                <w:rFonts w:hint="eastAsia"/>
                <w:color w:val="auto"/>
                <w:sz w:val="24"/>
                <w:szCs w:val="24"/>
                <w:highlight w:val="none"/>
              </w:rPr>
              <w:t>《恶臭污染物排放标准》（GB14554-93）</w:t>
            </w:r>
            <w:r>
              <w:rPr>
                <w:rFonts w:hint="eastAsia"/>
                <w:color w:val="auto"/>
                <w:sz w:val="24"/>
                <w:szCs w:val="24"/>
                <w:highlight w:val="none"/>
                <w:lang w:eastAsia="zh-CN"/>
              </w:rPr>
              <w:t>。</w:t>
            </w:r>
          </w:p>
          <w:p w14:paraId="22050A02">
            <w:pPr>
              <w:keepNext/>
              <w:keepLines w:val="0"/>
              <w:pageBreakBefore w:val="0"/>
              <w:widowControl w:val="0"/>
              <w:kinsoku/>
              <w:wordWrap/>
              <w:overflowPunct w:val="0"/>
              <w:topLinePunct w:val="0"/>
              <w:autoSpaceDE/>
              <w:autoSpaceDN/>
              <w:bidi w:val="0"/>
              <w:adjustRightInd/>
              <w:snapToGrid w:val="0"/>
              <w:spacing w:before="0" w:after="0" w:line="360" w:lineRule="auto"/>
              <w:ind w:left="0" w:leftChars="0" w:firstLine="480" w:firstLineChars="200"/>
              <w:jc w:val="both"/>
              <w:textAlignment w:val="auto"/>
              <w:outlineLvl w:val="9"/>
              <w:rPr>
                <w:rFonts w:hint="eastAsia" w:ascii="Times New Roman" w:hAnsi="Times New Roman" w:eastAsia="宋体" w:cs="Times New Roman"/>
                <w:b w:val="0"/>
                <w:bCs w:val="0"/>
                <w:color w:val="auto"/>
                <w:kern w:val="2"/>
                <w:sz w:val="24"/>
                <w:szCs w:val="24"/>
                <w:highlight w:val="none"/>
                <w:lang w:val="en-US" w:eastAsia="zh-CN" w:bidi="ar-SA"/>
              </w:rPr>
            </w:pPr>
            <w:r>
              <w:rPr>
                <w:rFonts w:hint="eastAsia" w:ascii="Times New Roman" w:hAnsi="Times New Roman" w:eastAsia="宋体" w:cs="Times New Roman"/>
                <w:b w:val="0"/>
                <w:bCs w:val="0"/>
                <w:color w:val="auto"/>
                <w:kern w:val="2"/>
                <w:sz w:val="24"/>
                <w:szCs w:val="24"/>
                <w:highlight w:val="none"/>
                <w:lang w:val="en-US" w:eastAsia="zh-CN" w:bidi="ar-SA"/>
              </w:rPr>
              <w:t>臭气浓度</w:t>
            </w:r>
            <w:r>
              <w:rPr>
                <w:rFonts w:hint="eastAsia" w:cs="Times New Roman"/>
                <w:b w:val="0"/>
                <w:bCs w:val="0"/>
                <w:color w:val="auto"/>
                <w:kern w:val="2"/>
                <w:sz w:val="24"/>
                <w:szCs w:val="24"/>
                <w:highlight w:val="none"/>
                <w:lang w:val="en-US" w:eastAsia="zh-CN" w:bidi="ar-SA"/>
              </w:rPr>
              <w:t>类比《</w:t>
            </w:r>
            <w:r>
              <w:rPr>
                <w:rFonts w:ascii="宋体" w:hAnsi="宋体" w:eastAsia="宋体" w:cs="宋体"/>
                <w:color w:val="auto"/>
                <w:sz w:val="24"/>
                <w:szCs w:val="24"/>
                <w:highlight w:val="none"/>
              </w:rPr>
              <w:t>南宁程鸿泡沫板生产项目竣工环境保护验收监测报告</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中相关数据。类比项目生产工艺为预发泡、熟化、成型、烘干、切割，所用原料为</w:t>
            </w:r>
            <w:r>
              <w:rPr>
                <w:rFonts w:ascii="宋体" w:hAnsi="宋体" w:eastAsia="宋体" w:cs="宋体"/>
                <w:color w:val="auto"/>
                <w:sz w:val="24"/>
                <w:szCs w:val="24"/>
                <w:highlight w:val="none"/>
              </w:rPr>
              <w:t>720吨</w:t>
            </w:r>
            <w:r>
              <w:rPr>
                <w:rFonts w:hint="eastAsia" w:ascii="宋体" w:hAnsi="宋体" w:eastAsia="宋体" w:cs="宋体"/>
                <w:color w:val="auto"/>
                <w:sz w:val="24"/>
                <w:szCs w:val="24"/>
                <w:highlight w:val="none"/>
                <w:lang w:val="en-US" w:eastAsia="zh-CN"/>
              </w:rPr>
              <w:t>可发性聚苯乙烯颗粒，治理措施为两级活性炭。类比项目有组织臭气浓度最大值为1514</w:t>
            </w:r>
            <w:r>
              <w:rPr>
                <w:rFonts w:hint="eastAsia" w:ascii="Times New Roman" w:hAnsi="Times New Roman" w:eastAsia="宋体" w:cs="Times New Roman"/>
                <w:b w:val="0"/>
                <w:bCs w:val="0"/>
                <w:color w:val="auto"/>
                <w:kern w:val="2"/>
                <w:sz w:val="24"/>
                <w:szCs w:val="24"/>
                <w:highlight w:val="none"/>
                <w:lang w:val="en-US" w:eastAsia="zh-CN" w:bidi="ar-SA"/>
              </w:rPr>
              <w:t>（无量纲）</w:t>
            </w:r>
            <w:r>
              <w:rPr>
                <w:rFonts w:hint="eastAsia" w:cs="Times New Roman"/>
                <w:b w:val="0"/>
                <w:bCs w:val="0"/>
                <w:color w:val="auto"/>
                <w:kern w:val="2"/>
                <w:sz w:val="24"/>
                <w:szCs w:val="24"/>
                <w:highlight w:val="none"/>
                <w:lang w:val="en-US" w:eastAsia="zh-CN" w:bidi="ar-SA"/>
              </w:rPr>
              <w:t>。</w:t>
            </w:r>
            <w:r>
              <w:rPr>
                <w:rFonts w:hint="eastAsia" w:ascii="Times New Roman" w:hAnsi="Times New Roman" w:eastAsia="宋体" w:cs="Times New Roman"/>
                <w:b w:val="0"/>
                <w:bCs w:val="0"/>
                <w:color w:val="auto"/>
                <w:kern w:val="2"/>
                <w:sz w:val="24"/>
                <w:szCs w:val="24"/>
                <w:highlight w:val="none"/>
                <w:lang w:val="en-US" w:eastAsia="zh-CN" w:bidi="ar-SA"/>
              </w:rPr>
              <w:t>本项目与类比项目原料种类相同、生产工艺相同，且本项目使用原料小于类比项目</w:t>
            </w:r>
            <w:r>
              <w:rPr>
                <w:rFonts w:hint="eastAsia" w:cs="Times New Roman"/>
                <w:b w:val="0"/>
                <w:bCs w:val="0"/>
                <w:color w:val="auto"/>
                <w:kern w:val="2"/>
                <w:sz w:val="24"/>
                <w:szCs w:val="24"/>
                <w:highlight w:val="none"/>
                <w:lang w:val="en-US" w:eastAsia="zh-CN" w:bidi="ar-SA"/>
              </w:rPr>
              <w:t>、治理工艺为活性炭吸附-脱附催化燃烧优于类比项目</w:t>
            </w:r>
            <w:r>
              <w:rPr>
                <w:rFonts w:hint="eastAsia" w:ascii="Times New Roman" w:hAnsi="Times New Roman" w:eastAsia="宋体" w:cs="Times New Roman"/>
                <w:b w:val="0"/>
                <w:bCs w:val="0"/>
                <w:color w:val="auto"/>
                <w:kern w:val="2"/>
                <w:sz w:val="24"/>
                <w:szCs w:val="24"/>
                <w:highlight w:val="none"/>
                <w:lang w:val="en-US" w:eastAsia="zh-CN" w:bidi="ar-SA"/>
              </w:rPr>
              <w:t>，因此本项目</w:t>
            </w:r>
            <w:r>
              <w:rPr>
                <w:rFonts w:hint="eastAsia" w:cs="Times New Roman"/>
                <w:b w:val="0"/>
                <w:bCs w:val="0"/>
                <w:color w:val="auto"/>
                <w:kern w:val="2"/>
                <w:sz w:val="24"/>
                <w:szCs w:val="24"/>
                <w:highlight w:val="none"/>
                <w:lang w:val="en-US" w:eastAsia="zh-CN" w:bidi="ar-SA"/>
              </w:rPr>
              <w:t>有组织</w:t>
            </w:r>
            <w:r>
              <w:rPr>
                <w:rFonts w:hint="eastAsia" w:ascii="Times New Roman" w:hAnsi="Times New Roman" w:eastAsia="宋体" w:cs="Times New Roman"/>
                <w:b w:val="0"/>
                <w:bCs w:val="0"/>
                <w:color w:val="auto"/>
                <w:kern w:val="2"/>
                <w:sz w:val="24"/>
                <w:szCs w:val="24"/>
                <w:highlight w:val="none"/>
                <w:lang w:val="en-US" w:eastAsia="zh-CN" w:bidi="ar-SA"/>
              </w:rPr>
              <w:t>臭气浓度可满足《恶臭污染物排放标准》（GB14554-93）。</w:t>
            </w:r>
          </w:p>
          <w:p w14:paraId="4515475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200" w:right="0" w:rightChars="0"/>
              <w:jc w:val="both"/>
              <w:textAlignment w:val="auto"/>
              <w:rPr>
                <w:rFonts w:hint="default" w:ascii="Times New Roman" w:hAnsi="Times New Roman"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4）</w:t>
            </w:r>
            <w:r>
              <w:rPr>
                <w:rFonts w:hint="default" w:ascii="Times New Roman" w:hAnsi="Times New Roman" w:cs="Times New Roman"/>
                <w:color w:val="auto"/>
                <w:kern w:val="2"/>
                <w:sz w:val="24"/>
                <w:szCs w:val="24"/>
                <w:highlight w:val="none"/>
                <w:lang w:val="en-US" w:eastAsia="zh-CN" w:bidi="ar-SA"/>
              </w:rPr>
              <w:t>无组织</w:t>
            </w:r>
            <w:r>
              <w:rPr>
                <w:rFonts w:hint="eastAsia" w:cs="Times New Roman"/>
                <w:color w:val="auto"/>
                <w:kern w:val="2"/>
                <w:sz w:val="24"/>
                <w:szCs w:val="24"/>
                <w:highlight w:val="none"/>
                <w:lang w:val="en-US" w:eastAsia="zh-CN" w:bidi="ar-SA"/>
              </w:rPr>
              <w:t>源强核算</w:t>
            </w:r>
          </w:p>
          <w:p w14:paraId="2E88A6A1">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cs="Times New Roman"/>
                <w:color w:val="auto"/>
                <w:sz w:val="24"/>
                <w:szCs w:val="24"/>
                <w:highlight w:val="none"/>
                <w:lang w:val="en-US" w:eastAsia="zh-CN"/>
              </w:rPr>
            </w:pPr>
            <w:r>
              <w:rPr>
                <w:rFonts w:hint="default" w:ascii="Times New Roman" w:hAnsi="Times New Roman" w:eastAsia="宋体" w:cs="Times New Roman"/>
                <w:b w:val="0"/>
                <w:bCs w:val="0"/>
                <w:color w:val="auto"/>
                <w:sz w:val="24"/>
                <w:szCs w:val="24"/>
                <w:highlight w:val="none"/>
                <w:lang w:val="en-US" w:eastAsia="zh-CN"/>
              </w:rPr>
              <w:t>发泡、成型及切割工序集气罩未收集的废气无组织排放。</w:t>
            </w:r>
            <w:r>
              <w:rPr>
                <w:rFonts w:hint="default" w:ascii="Times New Roman" w:hAnsi="Times New Roman" w:cs="Times New Roman"/>
                <w:color w:val="auto"/>
                <w:sz w:val="24"/>
                <w:szCs w:val="24"/>
                <w:highlight w:val="none"/>
                <w:lang w:val="en-US" w:eastAsia="zh-CN"/>
              </w:rPr>
              <w:t>无组织（按照全厂污染物）</w:t>
            </w:r>
            <w:r>
              <w:rPr>
                <w:rFonts w:hint="default" w:ascii="Times New Roman" w:hAnsi="Times New Roman" w:eastAsia="宋体" w:cs="Times New Roman"/>
                <w:color w:val="auto"/>
                <w:sz w:val="24"/>
                <w:szCs w:val="24"/>
                <w:highlight w:val="none"/>
                <w:lang w:val="en-US" w:eastAsia="zh-CN"/>
              </w:rPr>
              <w:t>非甲烷总烃产生量为</w:t>
            </w:r>
            <w:r>
              <w:rPr>
                <w:rFonts w:hint="eastAsia" w:cs="Times New Roman"/>
                <w:color w:val="auto"/>
                <w:sz w:val="24"/>
                <w:szCs w:val="24"/>
                <w:highlight w:val="none"/>
                <w:lang w:val="en-US" w:eastAsia="zh-CN"/>
              </w:rPr>
              <w:t>2.714</w:t>
            </w:r>
            <w:r>
              <w:rPr>
                <w:rFonts w:hint="default" w:ascii="Times New Roman" w:hAnsi="Times New Roman" w:eastAsia="宋体" w:cs="Times New Roman"/>
                <w:color w:val="auto"/>
                <w:sz w:val="24"/>
                <w:szCs w:val="24"/>
                <w:highlight w:val="none"/>
                <w:lang w:val="en-US" w:eastAsia="zh-CN"/>
              </w:rPr>
              <w:t>t/a</w:t>
            </w:r>
            <w:r>
              <w:rPr>
                <w:rFonts w:hint="eastAsia"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苯乙烯</w:t>
            </w:r>
            <w:r>
              <w:rPr>
                <w:rFonts w:hint="default" w:ascii="Times New Roman" w:hAnsi="Times New Roman" w:eastAsia="宋体" w:cs="Times New Roman"/>
                <w:color w:val="auto"/>
                <w:sz w:val="24"/>
                <w:szCs w:val="24"/>
                <w:highlight w:val="none"/>
                <w:lang w:val="en-US" w:eastAsia="zh-CN"/>
              </w:rPr>
              <w:t>产生量为</w:t>
            </w:r>
            <w:r>
              <w:rPr>
                <w:rFonts w:hint="eastAsia" w:cs="Times New Roman"/>
                <w:color w:val="auto"/>
                <w:sz w:val="24"/>
                <w:szCs w:val="24"/>
                <w:highlight w:val="none"/>
                <w:lang w:val="en-US" w:eastAsia="zh-CN"/>
              </w:rPr>
              <w:t>0.046</w:t>
            </w:r>
            <w:r>
              <w:rPr>
                <w:rFonts w:hint="default" w:ascii="Times New Roman" w:hAnsi="Times New Roman" w:eastAsia="宋体" w:cs="Times New Roman"/>
                <w:color w:val="auto"/>
                <w:sz w:val="24"/>
                <w:szCs w:val="24"/>
                <w:highlight w:val="none"/>
                <w:lang w:val="en-US" w:eastAsia="zh-CN"/>
              </w:rPr>
              <w:t>t/a</w:t>
            </w:r>
            <w:r>
              <w:rPr>
                <w:rFonts w:hint="eastAsia" w:cs="Times New Roman"/>
                <w:color w:val="auto"/>
                <w:sz w:val="24"/>
                <w:szCs w:val="24"/>
                <w:highlight w:val="none"/>
                <w:lang w:val="en-US" w:eastAsia="zh-CN"/>
              </w:rPr>
              <w:t>；</w:t>
            </w:r>
            <w:r>
              <w:rPr>
                <w:rFonts w:hint="eastAsia"/>
                <w:color w:val="auto"/>
                <w:sz w:val="24"/>
                <w:szCs w:val="24"/>
                <w:highlight w:val="none"/>
                <w:lang w:val="en-US" w:eastAsia="zh-CN"/>
              </w:rPr>
              <w:t>排放速率（按照最不利600小时核算）</w:t>
            </w:r>
            <w:r>
              <w:rPr>
                <w:rFonts w:hint="default" w:ascii="Times New Roman" w:hAnsi="Times New Roman" w:eastAsia="宋体" w:cs="Times New Roman"/>
                <w:color w:val="auto"/>
                <w:sz w:val="24"/>
                <w:szCs w:val="24"/>
                <w:highlight w:val="none"/>
                <w:lang w:val="en-US" w:eastAsia="zh-CN"/>
              </w:rPr>
              <w:t>非甲烷总烃</w:t>
            </w:r>
            <w:r>
              <w:rPr>
                <w:rFonts w:hint="eastAsia" w:cs="Times New Roman"/>
                <w:color w:val="auto"/>
                <w:sz w:val="24"/>
                <w:szCs w:val="24"/>
                <w:highlight w:val="none"/>
                <w:lang w:val="en-US" w:eastAsia="zh-CN"/>
              </w:rPr>
              <w:t>1.148kg</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h、苯乙烯0.020kg</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h</w:t>
            </w:r>
            <w:r>
              <w:rPr>
                <w:rFonts w:hint="eastAsia" w:eastAsia="宋体"/>
                <w:color w:val="auto"/>
                <w:sz w:val="24"/>
                <w:szCs w:val="24"/>
                <w:highlight w:val="none"/>
                <w:lang w:val="en-US" w:eastAsia="zh-CN"/>
              </w:rPr>
              <w:t>。</w:t>
            </w:r>
          </w:p>
          <w:p w14:paraId="4113D4AC">
            <w:pPr>
              <w:spacing w:line="240" w:lineRule="auto"/>
              <w:jc w:val="center"/>
              <w:rPr>
                <w:rFonts w:ascii="Times New Roman" w:hAnsi="Times New Roman" w:eastAsia="宋体" w:cs="Times New Roman"/>
                <w:b/>
                <w:color w:val="auto"/>
                <w:sz w:val="24"/>
                <w:szCs w:val="22"/>
                <w:highlight w:val="none"/>
              </w:rPr>
            </w:pPr>
            <w:r>
              <w:rPr>
                <w:rFonts w:ascii="Times New Roman" w:hAnsi="Times New Roman" w:eastAsia="宋体" w:cs="Times New Roman"/>
                <w:b/>
                <w:color w:val="auto"/>
                <w:sz w:val="24"/>
                <w:szCs w:val="22"/>
                <w:highlight w:val="none"/>
              </w:rPr>
              <w:t>表4-</w:t>
            </w:r>
            <w:r>
              <w:rPr>
                <w:rFonts w:hint="eastAsia" w:cs="Times New Roman"/>
                <w:b/>
                <w:color w:val="auto"/>
                <w:sz w:val="24"/>
                <w:szCs w:val="22"/>
                <w:highlight w:val="none"/>
                <w:lang w:val="en-US" w:eastAsia="zh-CN"/>
              </w:rPr>
              <w:t>2</w:t>
            </w:r>
            <w:r>
              <w:rPr>
                <w:rFonts w:ascii="Times New Roman" w:hAnsi="Times New Roman" w:eastAsia="宋体" w:cs="Times New Roman"/>
                <w:b/>
                <w:color w:val="auto"/>
                <w:sz w:val="24"/>
                <w:szCs w:val="22"/>
                <w:highlight w:val="none"/>
              </w:rPr>
              <w:t xml:space="preserve"> </w:t>
            </w:r>
            <w:r>
              <w:rPr>
                <w:rFonts w:hint="eastAsia" w:ascii="Times New Roman" w:hAnsi="Times New Roman" w:eastAsia="宋体" w:cs="Times New Roman"/>
                <w:b/>
                <w:color w:val="auto"/>
                <w:sz w:val="24"/>
                <w:szCs w:val="22"/>
                <w:highlight w:val="none"/>
                <w:lang w:val="en-US" w:eastAsia="zh-CN"/>
              </w:rPr>
              <w:t>工程建成全厂</w:t>
            </w:r>
            <w:r>
              <w:rPr>
                <w:rFonts w:hint="eastAsia" w:cs="Times New Roman"/>
                <w:b/>
                <w:color w:val="auto"/>
                <w:sz w:val="24"/>
                <w:szCs w:val="22"/>
                <w:highlight w:val="none"/>
                <w:lang w:val="en-US" w:eastAsia="zh-CN"/>
              </w:rPr>
              <w:t>（生产车间）</w:t>
            </w:r>
            <w:r>
              <w:rPr>
                <w:rFonts w:hint="eastAsia" w:ascii="Times New Roman" w:hAnsi="Times New Roman" w:eastAsia="宋体" w:cs="Times New Roman"/>
                <w:b/>
                <w:color w:val="auto"/>
                <w:sz w:val="24"/>
                <w:szCs w:val="22"/>
                <w:highlight w:val="none"/>
                <w:lang w:val="en-US" w:eastAsia="zh-CN"/>
              </w:rPr>
              <w:t>无组织源强统计</w:t>
            </w:r>
            <w:r>
              <w:rPr>
                <w:rFonts w:ascii="Times New Roman" w:hAnsi="Times New Roman" w:eastAsia="宋体" w:cs="Times New Roman"/>
                <w:b/>
                <w:color w:val="auto"/>
                <w:sz w:val="24"/>
                <w:szCs w:val="22"/>
                <w:highlight w:val="none"/>
              </w:rPr>
              <w:t>表</w:t>
            </w:r>
          </w:p>
          <w:tbl>
            <w:tblPr>
              <w:tblStyle w:val="34"/>
              <w:tblW w:w="4995"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0" w:type="dxa"/>
                <w:bottom w:w="0" w:type="dxa"/>
                <w:right w:w="0" w:type="dxa"/>
              </w:tblCellMar>
            </w:tblPr>
            <w:tblGrid>
              <w:gridCol w:w="778"/>
              <w:gridCol w:w="828"/>
              <w:gridCol w:w="835"/>
              <w:gridCol w:w="517"/>
              <w:gridCol w:w="575"/>
              <w:gridCol w:w="987"/>
              <w:gridCol w:w="765"/>
              <w:gridCol w:w="775"/>
              <w:gridCol w:w="1206"/>
              <w:gridCol w:w="1208"/>
            </w:tblGrid>
            <w:tr w14:paraId="45E4EFD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2" w:hRule="atLeast"/>
                <w:jc w:val="center"/>
              </w:trPr>
              <w:tc>
                <w:tcPr>
                  <w:tcW w:w="947" w:type="pct"/>
                  <w:gridSpan w:val="2"/>
                  <w:noWrap w:val="0"/>
                  <w:vAlign w:val="center"/>
                </w:tcPr>
                <w:p w14:paraId="1C98D3DC">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r>
                    <w:rPr>
                      <w:rFonts w:hint="default" w:ascii="Times New Roman" w:hAnsi="Times New Roman" w:eastAsia="宋体" w:cs="Times New Roman"/>
                      <w:b/>
                      <w:bCs/>
                      <w:color w:val="auto"/>
                      <w:spacing w:val="-20"/>
                      <w:sz w:val="21"/>
                      <w:szCs w:val="21"/>
                      <w:highlight w:val="none"/>
                    </w:rPr>
                    <w:t>面源起点坐标</w:t>
                  </w:r>
                </w:p>
              </w:tc>
              <w:tc>
                <w:tcPr>
                  <w:tcW w:w="492" w:type="pct"/>
                  <w:vMerge w:val="restart"/>
                  <w:noWrap w:val="0"/>
                  <w:vAlign w:val="center"/>
                </w:tcPr>
                <w:p w14:paraId="2D3DA7AF">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r>
                    <w:rPr>
                      <w:rFonts w:hint="default" w:ascii="Times New Roman" w:hAnsi="Times New Roman" w:eastAsia="宋体" w:cs="Times New Roman"/>
                      <w:b/>
                      <w:bCs/>
                      <w:color w:val="auto"/>
                      <w:spacing w:val="-20"/>
                      <w:sz w:val="21"/>
                      <w:szCs w:val="21"/>
                      <w:highlight w:val="none"/>
                    </w:rPr>
                    <w:t>面源海拔</w:t>
                  </w:r>
                </w:p>
                <w:p w14:paraId="5CF6C7D5">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r>
                    <w:rPr>
                      <w:rFonts w:hint="default" w:ascii="Times New Roman" w:hAnsi="Times New Roman" w:eastAsia="宋体" w:cs="Times New Roman"/>
                      <w:b/>
                      <w:bCs/>
                      <w:color w:val="auto"/>
                      <w:spacing w:val="-20"/>
                      <w:sz w:val="21"/>
                      <w:szCs w:val="21"/>
                      <w:highlight w:val="none"/>
                    </w:rPr>
                    <w:t>高度/m</w:t>
                  </w:r>
                </w:p>
              </w:tc>
              <w:tc>
                <w:tcPr>
                  <w:tcW w:w="305" w:type="pct"/>
                  <w:vMerge w:val="restart"/>
                  <w:noWrap w:val="0"/>
                  <w:vAlign w:val="center"/>
                </w:tcPr>
                <w:p w14:paraId="0E94AC71">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r>
                    <w:rPr>
                      <w:rFonts w:hint="default" w:ascii="Times New Roman" w:hAnsi="Times New Roman" w:eastAsia="宋体" w:cs="Times New Roman"/>
                      <w:b/>
                      <w:bCs/>
                      <w:color w:val="auto"/>
                      <w:spacing w:val="-20"/>
                      <w:sz w:val="21"/>
                      <w:szCs w:val="21"/>
                      <w:highlight w:val="none"/>
                    </w:rPr>
                    <w:t>面源长度/m</w:t>
                  </w:r>
                </w:p>
              </w:tc>
              <w:tc>
                <w:tcPr>
                  <w:tcW w:w="339" w:type="pct"/>
                  <w:vMerge w:val="restart"/>
                  <w:noWrap w:val="0"/>
                  <w:vAlign w:val="center"/>
                </w:tcPr>
                <w:p w14:paraId="2E969599">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r>
                    <w:rPr>
                      <w:rFonts w:hint="default" w:ascii="Times New Roman" w:hAnsi="Times New Roman" w:eastAsia="宋体" w:cs="Times New Roman"/>
                      <w:b/>
                      <w:bCs/>
                      <w:color w:val="auto"/>
                      <w:spacing w:val="-20"/>
                      <w:sz w:val="21"/>
                      <w:szCs w:val="21"/>
                      <w:highlight w:val="none"/>
                    </w:rPr>
                    <w:t>面源宽度/m</w:t>
                  </w:r>
                </w:p>
              </w:tc>
              <w:tc>
                <w:tcPr>
                  <w:tcW w:w="582" w:type="pct"/>
                  <w:vMerge w:val="restart"/>
                  <w:noWrap w:val="0"/>
                  <w:vAlign w:val="center"/>
                </w:tcPr>
                <w:p w14:paraId="282D53A1">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r>
                    <w:rPr>
                      <w:rFonts w:hint="default" w:ascii="Times New Roman" w:hAnsi="Times New Roman" w:eastAsia="宋体" w:cs="Times New Roman"/>
                      <w:b/>
                      <w:bCs/>
                      <w:color w:val="auto"/>
                      <w:spacing w:val="-20"/>
                      <w:sz w:val="21"/>
                      <w:szCs w:val="21"/>
                      <w:highlight w:val="none"/>
                    </w:rPr>
                    <w:t>面源有效排放高度/m</w:t>
                  </w:r>
                </w:p>
              </w:tc>
              <w:tc>
                <w:tcPr>
                  <w:tcW w:w="451" w:type="pct"/>
                  <w:vMerge w:val="restart"/>
                  <w:noWrap w:val="0"/>
                  <w:vAlign w:val="center"/>
                </w:tcPr>
                <w:p w14:paraId="3F8A4A02">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r>
                    <w:rPr>
                      <w:rFonts w:hint="default" w:ascii="Times New Roman" w:hAnsi="Times New Roman" w:eastAsia="宋体" w:cs="Times New Roman"/>
                      <w:b/>
                      <w:bCs/>
                      <w:color w:val="auto"/>
                      <w:spacing w:val="-20"/>
                      <w:sz w:val="21"/>
                      <w:szCs w:val="21"/>
                      <w:highlight w:val="none"/>
                    </w:rPr>
                    <w:t>年排放小时数/h</w:t>
                  </w:r>
                </w:p>
              </w:tc>
              <w:tc>
                <w:tcPr>
                  <w:tcW w:w="457" w:type="pct"/>
                  <w:vMerge w:val="restart"/>
                  <w:noWrap w:val="0"/>
                  <w:vAlign w:val="center"/>
                </w:tcPr>
                <w:p w14:paraId="7446AF0B">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r>
                    <w:rPr>
                      <w:rFonts w:hint="default" w:ascii="Times New Roman" w:hAnsi="Times New Roman" w:eastAsia="宋体" w:cs="Times New Roman"/>
                      <w:b/>
                      <w:bCs/>
                      <w:color w:val="auto"/>
                      <w:spacing w:val="-20"/>
                      <w:sz w:val="21"/>
                      <w:szCs w:val="21"/>
                      <w:highlight w:val="none"/>
                    </w:rPr>
                    <w:t>排放工况</w:t>
                  </w:r>
                </w:p>
              </w:tc>
              <w:tc>
                <w:tcPr>
                  <w:tcW w:w="1423" w:type="pct"/>
                  <w:gridSpan w:val="2"/>
                  <w:noWrap w:val="0"/>
                  <w:vAlign w:val="center"/>
                </w:tcPr>
                <w:p w14:paraId="499A685E">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r>
                    <w:rPr>
                      <w:rFonts w:hint="default" w:ascii="Times New Roman" w:hAnsi="Times New Roman" w:eastAsia="宋体" w:cs="Times New Roman"/>
                      <w:b/>
                      <w:bCs/>
                      <w:color w:val="auto"/>
                      <w:spacing w:val="-20"/>
                      <w:sz w:val="21"/>
                      <w:szCs w:val="21"/>
                      <w:highlight w:val="none"/>
                    </w:rPr>
                    <w:t>排气筒排放速率/（kg/h）</w:t>
                  </w:r>
                </w:p>
              </w:tc>
            </w:tr>
            <w:tr w14:paraId="54DA0B7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37" w:hRule="atLeast"/>
                <w:jc w:val="center"/>
              </w:trPr>
              <w:tc>
                <w:tcPr>
                  <w:tcW w:w="459" w:type="pct"/>
                  <w:noWrap w:val="0"/>
                  <w:vAlign w:val="center"/>
                </w:tcPr>
                <w:p w14:paraId="17747C06">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lang w:val="en-US" w:eastAsia="zh-CN"/>
                    </w:rPr>
                  </w:pPr>
                  <w:r>
                    <w:rPr>
                      <w:rFonts w:hint="default" w:ascii="Times New Roman" w:hAnsi="Times New Roman" w:eastAsia="宋体" w:cs="Times New Roman"/>
                      <w:b/>
                      <w:bCs/>
                      <w:color w:val="auto"/>
                      <w:spacing w:val="-20"/>
                      <w:sz w:val="21"/>
                      <w:szCs w:val="21"/>
                      <w:highlight w:val="none"/>
                    </w:rPr>
                    <w:t>X/</w:t>
                  </w:r>
                  <w:r>
                    <w:rPr>
                      <w:rFonts w:hint="default" w:ascii="Times New Roman" w:hAnsi="Times New Roman" w:eastAsia="宋体" w:cs="Times New Roman"/>
                      <w:b/>
                      <w:bCs/>
                      <w:color w:val="auto"/>
                      <w:spacing w:val="-20"/>
                      <w:sz w:val="21"/>
                      <w:szCs w:val="21"/>
                      <w:highlight w:val="none"/>
                      <w:lang w:val="en-US" w:eastAsia="zh-CN"/>
                    </w:rPr>
                    <w:t>°</w:t>
                  </w:r>
                </w:p>
              </w:tc>
              <w:tc>
                <w:tcPr>
                  <w:tcW w:w="488" w:type="pct"/>
                  <w:noWrap w:val="0"/>
                  <w:vAlign w:val="center"/>
                </w:tcPr>
                <w:p w14:paraId="3B9D09A7">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r>
                    <w:rPr>
                      <w:rFonts w:hint="default" w:ascii="Times New Roman" w:hAnsi="Times New Roman" w:eastAsia="宋体" w:cs="Times New Roman"/>
                      <w:b/>
                      <w:bCs/>
                      <w:color w:val="auto"/>
                      <w:spacing w:val="-20"/>
                      <w:sz w:val="21"/>
                      <w:szCs w:val="21"/>
                      <w:highlight w:val="none"/>
                    </w:rPr>
                    <w:t>Y/</w:t>
                  </w:r>
                  <w:r>
                    <w:rPr>
                      <w:rFonts w:hint="default" w:ascii="Times New Roman" w:hAnsi="Times New Roman" w:eastAsia="宋体" w:cs="Times New Roman"/>
                      <w:b/>
                      <w:bCs/>
                      <w:color w:val="auto"/>
                      <w:spacing w:val="-20"/>
                      <w:sz w:val="21"/>
                      <w:szCs w:val="21"/>
                      <w:highlight w:val="none"/>
                      <w:lang w:val="en-US" w:eastAsia="zh-CN"/>
                    </w:rPr>
                    <w:t>°</w:t>
                  </w:r>
                </w:p>
              </w:tc>
              <w:tc>
                <w:tcPr>
                  <w:tcW w:w="492" w:type="pct"/>
                  <w:vMerge w:val="continue"/>
                  <w:noWrap w:val="0"/>
                  <w:vAlign w:val="center"/>
                </w:tcPr>
                <w:p w14:paraId="61A225DD">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p>
              </w:tc>
              <w:tc>
                <w:tcPr>
                  <w:tcW w:w="305" w:type="pct"/>
                  <w:vMerge w:val="continue"/>
                  <w:noWrap w:val="0"/>
                  <w:vAlign w:val="center"/>
                </w:tcPr>
                <w:p w14:paraId="06FA5F66">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p>
              </w:tc>
              <w:tc>
                <w:tcPr>
                  <w:tcW w:w="339" w:type="pct"/>
                  <w:vMerge w:val="continue"/>
                  <w:noWrap w:val="0"/>
                  <w:vAlign w:val="center"/>
                </w:tcPr>
                <w:p w14:paraId="4707C052">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p>
              </w:tc>
              <w:tc>
                <w:tcPr>
                  <w:tcW w:w="582" w:type="pct"/>
                  <w:vMerge w:val="continue"/>
                  <w:noWrap w:val="0"/>
                  <w:vAlign w:val="center"/>
                </w:tcPr>
                <w:p w14:paraId="2B67198C">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p>
              </w:tc>
              <w:tc>
                <w:tcPr>
                  <w:tcW w:w="451" w:type="pct"/>
                  <w:vMerge w:val="continue"/>
                  <w:noWrap w:val="0"/>
                  <w:vAlign w:val="center"/>
                </w:tcPr>
                <w:p w14:paraId="34DD7144">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p>
              </w:tc>
              <w:tc>
                <w:tcPr>
                  <w:tcW w:w="457" w:type="pct"/>
                  <w:vMerge w:val="continue"/>
                  <w:noWrap w:val="0"/>
                  <w:vAlign w:val="center"/>
                </w:tcPr>
                <w:p w14:paraId="008DE822">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rPr>
                  </w:pPr>
                </w:p>
              </w:tc>
              <w:tc>
                <w:tcPr>
                  <w:tcW w:w="711" w:type="pct"/>
                  <w:noWrap w:val="0"/>
                  <w:vAlign w:val="center"/>
                </w:tcPr>
                <w:p w14:paraId="18EC3ADE">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b/>
                      <w:bCs/>
                      <w:color w:val="auto"/>
                      <w:spacing w:val="-20"/>
                      <w:sz w:val="21"/>
                      <w:szCs w:val="21"/>
                      <w:highlight w:val="none"/>
                      <w:lang w:val="en-US" w:eastAsia="zh-CN"/>
                    </w:rPr>
                  </w:pPr>
                  <w:r>
                    <w:rPr>
                      <w:rFonts w:hint="default" w:ascii="Times New Roman" w:hAnsi="Times New Roman" w:eastAsia="宋体" w:cs="Times New Roman"/>
                      <w:b/>
                      <w:bCs/>
                      <w:color w:val="auto"/>
                      <w:spacing w:val="-20"/>
                      <w:sz w:val="21"/>
                      <w:szCs w:val="21"/>
                      <w:highlight w:val="none"/>
                    </w:rPr>
                    <w:t>非甲烷总烃</w:t>
                  </w:r>
                </w:p>
              </w:tc>
              <w:tc>
                <w:tcPr>
                  <w:tcW w:w="711" w:type="pct"/>
                  <w:noWrap w:val="0"/>
                  <w:vAlign w:val="center"/>
                </w:tcPr>
                <w:p w14:paraId="28F9AE07">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eastAsia" w:ascii="Times New Roman" w:hAnsi="Times New Roman" w:eastAsia="宋体" w:cs="Times New Roman"/>
                      <w:b/>
                      <w:bCs/>
                      <w:color w:val="auto"/>
                      <w:spacing w:val="-20"/>
                      <w:sz w:val="21"/>
                      <w:szCs w:val="21"/>
                      <w:highlight w:val="none"/>
                      <w:lang w:val="en-US" w:eastAsia="zh-CN"/>
                    </w:rPr>
                  </w:pPr>
                  <w:r>
                    <w:rPr>
                      <w:rFonts w:hint="eastAsia" w:cs="Times New Roman"/>
                      <w:b/>
                      <w:bCs/>
                      <w:color w:val="auto"/>
                      <w:spacing w:val="-20"/>
                      <w:sz w:val="21"/>
                      <w:szCs w:val="21"/>
                      <w:highlight w:val="none"/>
                      <w:lang w:val="en-US" w:eastAsia="zh-CN"/>
                    </w:rPr>
                    <w:t>苯乙烯</w:t>
                  </w:r>
                </w:p>
              </w:tc>
            </w:tr>
            <w:tr w14:paraId="37593F9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459" w:type="pct"/>
                  <w:noWrap w:val="0"/>
                  <w:vAlign w:val="center"/>
                </w:tcPr>
                <w:p w14:paraId="68E69DA5">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color w:val="auto"/>
                      <w:spacing w:val="-20"/>
                      <w:sz w:val="21"/>
                      <w:szCs w:val="21"/>
                      <w:highlight w:val="none"/>
                    </w:rPr>
                  </w:pPr>
                  <w:r>
                    <w:rPr>
                      <w:rFonts w:hint="default" w:ascii="Times New Roman" w:hAnsi="Times New Roman" w:eastAsia="宋体" w:cs="Times New Roman"/>
                      <w:b w:val="0"/>
                      <w:color w:val="auto"/>
                      <w:spacing w:val="-20"/>
                      <w:sz w:val="21"/>
                      <w:szCs w:val="21"/>
                      <w:highlight w:val="none"/>
                    </w:rPr>
                    <w:t>114.506216</w:t>
                  </w:r>
                </w:p>
              </w:tc>
              <w:tc>
                <w:tcPr>
                  <w:tcW w:w="488" w:type="pct"/>
                  <w:noWrap w:val="0"/>
                  <w:vAlign w:val="center"/>
                </w:tcPr>
                <w:p w14:paraId="2CE61DC0">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color w:val="auto"/>
                      <w:spacing w:val="-20"/>
                      <w:sz w:val="21"/>
                      <w:szCs w:val="21"/>
                      <w:highlight w:val="none"/>
                    </w:rPr>
                  </w:pPr>
                  <w:r>
                    <w:rPr>
                      <w:rFonts w:hint="default" w:ascii="Times New Roman" w:hAnsi="Times New Roman" w:eastAsia="宋体" w:cs="Times New Roman"/>
                      <w:b w:val="0"/>
                      <w:color w:val="auto"/>
                      <w:spacing w:val="-20"/>
                      <w:sz w:val="21"/>
                      <w:szCs w:val="21"/>
                      <w:highlight w:val="none"/>
                    </w:rPr>
                    <w:t>38.390077</w:t>
                  </w:r>
                </w:p>
              </w:tc>
              <w:tc>
                <w:tcPr>
                  <w:tcW w:w="492" w:type="pct"/>
                  <w:noWrap w:val="0"/>
                  <w:vAlign w:val="center"/>
                </w:tcPr>
                <w:p w14:paraId="5BCE8F5D">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color w:val="auto"/>
                      <w:spacing w:val="-20"/>
                      <w:sz w:val="21"/>
                      <w:szCs w:val="21"/>
                      <w:highlight w:val="none"/>
                      <w:lang w:val="en-US" w:eastAsia="zh-CN"/>
                    </w:rPr>
                  </w:pPr>
                  <w:r>
                    <w:rPr>
                      <w:rFonts w:hint="default" w:ascii="Times New Roman" w:hAnsi="Times New Roman" w:eastAsia="宋体" w:cs="Times New Roman"/>
                      <w:b w:val="0"/>
                      <w:color w:val="auto"/>
                      <w:spacing w:val="-20"/>
                      <w:sz w:val="21"/>
                      <w:szCs w:val="21"/>
                      <w:highlight w:val="none"/>
                    </w:rPr>
                    <w:t>108</w:t>
                  </w:r>
                </w:p>
              </w:tc>
              <w:tc>
                <w:tcPr>
                  <w:tcW w:w="305" w:type="pct"/>
                  <w:noWrap w:val="0"/>
                  <w:vAlign w:val="center"/>
                </w:tcPr>
                <w:p w14:paraId="0D006587">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color w:val="auto"/>
                      <w:spacing w:val="-20"/>
                      <w:sz w:val="21"/>
                      <w:szCs w:val="21"/>
                      <w:highlight w:val="none"/>
                      <w:lang w:val="en-US" w:eastAsia="zh-CN"/>
                    </w:rPr>
                  </w:pPr>
                  <w:r>
                    <w:rPr>
                      <w:rFonts w:hint="default" w:ascii="Times New Roman" w:hAnsi="Times New Roman" w:eastAsia="宋体" w:cs="Times New Roman"/>
                      <w:b w:val="0"/>
                      <w:color w:val="auto"/>
                      <w:spacing w:val="-20"/>
                      <w:sz w:val="21"/>
                      <w:szCs w:val="21"/>
                      <w:highlight w:val="none"/>
                    </w:rPr>
                    <w:t>84</w:t>
                  </w:r>
                </w:p>
              </w:tc>
              <w:tc>
                <w:tcPr>
                  <w:tcW w:w="339" w:type="pct"/>
                  <w:noWrap w:val="0"/>
                  <w:vAlign w:val="center"/>
                </w:tcPr>
                <w:p w14:paraId="4344BC2B">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color w:val="auto"/>
                      <w:spacing w:val="-20"/>
                      <w:sz w:val="21"/>
                      <w:szCs w:val="21"/>
                      <w:highlight w:val="none"/>
                      <w:lang w:val="en-US" w:eastAsia="zh-CN"/>
                    </w:rPr>
                  </w:pPr>
                  <w:r>
                    <w:rPr>
                      <w:rFonts w:hint="default" w:ascii="Times New Roman" w:hAnsi="Times New Roman" w:eastAsia="宋体" w:cs="Times New Roman"/>
                      <w:b w:val="0"/>
                      <w:color w:val="auto"/>
                      <w:spacing w:val="-20"/>
                      <w:sz w:val="21"/>
                      <w:szCs w:val="21"/>
                      <w:highlight w:val="none"/>
                    </w:rPr>
                    <w:t>50</w:t>
                  </w:r>
                </w:p>
              </w:tc>
              <w:tc>
                <w:tcPr>
                  <w:tcW w:w="582" w:type="pct"/>
                  <w:noWrap w:val="0"/>
                  <w:vAlign w:val="center"/>
                </w:tcPr>
                <w:p w14:paraId="6388F341">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color w:val="auto"/>
                      <w:spacing w:val="-20"/>
                      <w:sz w:val="21"/>
                      <w:szCs w:val="21"/>
                      <w:highlight w:val="none"/>
                      <w:lang w:val="en-US" w:eastAsia="zh-CN"/>
                    </w:rPr>
                  </w:pPr>
                  <w:r>
                    <w:rPr>
                      <w:rFonts w:hint="default" w:ascii="Times New Roman" w:hAnsi="Times New Roman" w:eastAsia="宋体" w:cs="Times New Roman"/>
                      <w:b w:val="0"/>
                      <w:color w:val="auto"/>
                      <w:spacing w:val="-20"/>
                      <w:sz w:val="21"/>
                      <w:szCs w:val="21"/>
                      <w:highlight w:val="none"/>
                    </w:rPr>
                    <w:t>8</w:t>
                  </w:r>
                </w:p>
              </w:tc>
              <w:tc>
                <w:tcPr>
                  <w:tcW w:w="451" w:type="pct"/>
                  <w:noWrap w:val="0"/>
                  <w:vAlign w:val="center"/>
                </w:tcPr>
                <w:p w14:paraId="30E1DC14">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color w:val="auto"/>
                      <w:spacing w:val="-20"/>
                      <w:sz w:val="21"/>
                      <w:szCs w:val="21"/>
                      <w:highlight w:val="none"/>
                      <w:lang w:val="en-US" w:eastAsia="zh-CN"/>
                    </w:rPr>
                  </w:pPr>
                  <w:r>
                    <w:rPr>
                      <w:rFonts w:hint="default" w:ascii="Times New Roman" w:hAnsi="Times New Roman" w:eastAsia="宋体" w:cs="Times New Roman"/>
                      <w:color w:val="auto"/>
                      <w:spacing w:val="-20"/>
                      <w:sz w:val="21"/>
                      <w:szCs w:val="21"/>
                      <w:highlight w:val="none"/>
                      <w:lang w:val="en-US" w:eastAsia="zh-CN"/>
                    </w:rPr>
                    <w:t>2400/600</w:t>
                  </w:r>
                </w:p>
              </w:tc>
              <w:tc>
                <w:tcPr>
                  <w:tcW w:w="457" w:type="pct"/>
                  <w:noWrap w:val="0"/>
                  <w:vAlign w:val="center"/>
                </w:tcPr>
                <w:p w14:paraId="4FCD1A0E">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color w:val="auto"/>
                      <w:spacing w:val="-20"/>
                      <w:sz w:val="21"/>
                      <w:szCs w:val="21"/>
                      <w:highlight w:val="none"/>
                    </w:rPr>
                  </w:pPr>
                  <w:r>
                    <w:rPr>
                      <w:rFonts w:hint="default" w:ascii="Times New Roman" w:hAnsi="Times New Roman" w:eastAsia="宋体" w:cs="Times New Roman"/>
                      <w:color w:val="auto"/>
                      <w:spacing w:val="-20"/>
                      <w:sz w:val="21"/>
                      <w:szCs w:val="21"/>
                      <w:highlight w:val="none"/>
                    </w:rPr>
                    <w:t>正常排放</w:t>
                  </w:r>
                </w:p>
              </w:tc>
              <w:tc>
                <w:tcPr>
                  <w:tcW w:w="711" w:type="pct"/>
                  <w:noWrap w:val="0"/>
                  <w:vAlign w:val="center"/>
                </w:tcPr>
                <w:p w14:paraId="692491E4">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ascii="Times New Roman" w:hAnsi="Times New Roman" w:eastAsia="宋体" w:cs="Times New Roman"/>
                      <w:color w:val="auto"/>
                      <w:spacing w:val="-20"/>
                      <w:sz w:val="21"/>
                      <w:szCs w:val="21"/>
                      <w:highlight w:val="none"/>
                      <w:lang w:val="en-US" w:eastAsia="zh-CN"/>
                    </w:rPr>
                  </w:pPr>
                  <w:r>
                    <w:rPr>
                      <w:rFonts w:hint="eastAsia" w:cs="Times New Roman"/>
                      <w:color w:val="auto"/>
                      <w:spacing w:val="-20"/>
                      <w:sz w:val="21"/>
                      <w:szCs w:val="21"/>
                      <w:highlight w:val="none"/>
                      <w:lang w:val="en-US" w:eastAsia="zh-CN"/>
                    </w:rPr>
                    <w:t>1.148</w:t>
                  </w:r>
                </w:p>
              </w:tc>
              <w:tc>
                <w:tcPr>
                  <w:tcW w:w="711" w:type="pct"/>
                  <w:noWrap w:val="0"/>
                  <w:vAlign w:val="center"/>
                </w:tcPr>
                <w:p w14:paraId="63326414">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textAlignment w:val="auto"/>
                    <w:rPr>
                      <w:rFonts w:hint="default" w:cs="Times New Roman"/>
                      <w:color w:val="auto"/>
                      <w:spacing w:val="-20"/>
                      <w:sz w:val="21"/>
                      <w:szCs w:val="21"/>
                      <w:highlight w:val="none"/>
                      <w:lang w:val="en-US" w:eastAsia="zh-CN"/>
                    </w:rPr>
                  </w:pPr>
                  <w:r>
                    <w:rPr>
                      <w:rFonts w:hint="eastAsia" w:cs="Times New Roman"/>
                      <w:color w:val="auto"/>
                      <w:spacing w:val="-20"/>
                      <w:sz w:val="21"/>
                      <w:szCs w:val="21"/>
                      <w:highlight w:val="none"/>
                      <w:lang w:val="en-US" w:eastAsia="zh-CN"/>
                    </w:rPr>
                    <w:t>0.020</w:t>
                  </w:r>
                </w:p>
              </w:tc>
            </w:tr>
          </w:tbl>
          <w:p w14:paraId="3108311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eastAsia"/>
                <w:b/>
                <w:bCs/>
                <w:color w:val="auto"/>
                <w:highlight w:val="none"/>
                <w:lang w:val="en-US" w:eastAsia="zh-CN"/>
              </w:rPr>
            </w:pPr>
            <w:r>
              <w:rPr>
                <w:rFonts w:hint="default" w:ascii="Times New Roman" w:hAnsi="Times New Roman" w:eastAsia="宋体" w:cs="Times New Roman"/>
                <w:color w:val="auto"/>
                <w:sz w:val="24"/>
                <w:szCs w:val="24"/>
                <w:highlight w:val="none"/>
              </w:rPr>
              <w:t>根据估算可知，无组织排放非甲烷总烃最大落地浓度为</w:t>
            </w:r>
            <w:r>
              <w:rPr>
                <w:rFonts w:hint="eastAsia" w:cs="Times New Roman"/>
                <w:color w:val="auto"/>
                <w:sz w:val="24"/>
                <w:szCs w:val="24"/>
                <w:highlight w:val="none"/>
                <w:lang w:val="en-US" w:eastAsia="zh-CN"/>
              </w:rPr>
              <w:t>0.774</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rPr>
              <w:t>g/m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lang w:val="en-US" w:eastAsia="zh-CN"/>
              </w:rPr>
              <w:t>、苯乙烯</w:t>
            </w:r>
            <w:r>
              <w:rPr>
                <w:rFonts w:hint="default" w:ascii="Times New Roman" w:hAnsi="Times New Roman" w:eastAsia="宋体" w:cs="Times New Roman"/>
                <w:color w:val="auto"/>
                <w:sz w:val="24"/>
                <w:szCs w:val="24"/>
                <w:highlight w:val="none"/>
              </w:rPr>
              <w:t>最大落地浓度为</w:t>
            </w:r>
            <w:r>
              <w:rPr>
                <w:rFonts w:hint="eastAsia" w:ascii="Times New Roman" w:hAnsi="Times New Roman" w:eastAsia="宋体" w:cs="Times New Roman"/>
                <w:color w:val="auto"/>
                <w:sz w:val="24"/>
                <w:szCs w:val="24"/>
                <w:highlight w:val="none"/>
                <w:lang w:val="en-US" w:eastAsia="zh-CN"/>
              </w:rPr>
              <w:t>0.013</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rPr>
              <w:t>g/m</w:t>
            </w:r>
            <w:r>
              <w:rPr>
                <w:rFonts w:hint="default" w:ascii="Times New Roman" w:hAnsi="Times New Roman" w:eastAsia="宋体" w:cs="Times New Roman"/>
                <w:color w:val="auto"/>
                <w:sz w:val="24"/>
                <w:szCs w:val="24"/>
                <w:highlight w:val="none"/>
                <w:vertAlign w:val="superscript"/>
              </w:rPr>
              <w:t>3</w:t>
            </w:r>
            <w:r>
              <w:rPr>
                <w:rFonts w:hint="eastAsia"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非甲烷总烃排放满足</w:t>
            </w:r>
            <w:r>
              <w:rPr>
                <w:rFonts w:hint="default" w:ascii="Times New Roman" w:hAnsi="Times New Roman" w:eastAsia="宋体" w:cs="Times New Roman"/>
                <w:color w:val="auto"/>
                <w:sz w:val="24"/>
                <w:szCs w:val="24"/>
                <w:highlight w:val="none"/>
              </w:rPr>
              <w:t>《合成树脂工业污染物排放标准》（GB31572-2015</w:t>
            </w:r>
            <w:r>
              <w:rPr>
                <w:rFonts w:hint="eastAsia" w:cs="Times New Roman"/>
                <w:color w:val="auto"/>
                <w:sz w:val="24"/>
                <w:szCs w:val="24"/>
                <w:highlight w:val="none"/>
                <w:lang w:eastAsia="zh-CN"/>
              </w:rPr>
              <w:t>，</w:t>
            </w:r>
            <w:r>
              <w:rPr>
                <w:rFonts w:hint="eastAsia"/>
                <w:color w:val="auto"/>
                <w:sz w:val="24"/>
                <w:highlight w:val="none"/>
                <w:lang w:val="en-US" w:eastAsia="zh-CN"/>
              </w:rPr>
              <w:t>含2024年修改单</w:t>
            </w:r>
            <w:r>
              <w:rPr>
                <w:rFonts w:hint="eastAsia"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表</w:t>
            </w:r>
            <w:r>
              <w:rPr>
                <w:rFonts w:hint="default" w:ascii="Times New Roman" w:hAnsi="Times New Roman" w:eastAsia="宋体" w:cs="Times New Roman"/>
                <w:color w:val="auto"/>
                <w:sz w:val="24"/>
                <w:szCs w:val="24"/>
                <w:highlight w:val="none"/>
                <w:lang w:val="en-US" w:eastAsia="zh-CN"/>
              </w:rPr>
              <w:t>9及</w:t>
            </w:r>
            <w:r>
              <w:rPr>
                <w:rFonts w:hint="default" w:ascii="Times New Roman" w:hAnsi="Times New Roman" w:eastAsia="宋体" w:cs="Times New Roman"/>
                <w:color w:val="auto"/>
                <w:sz w:val="24"/>
                <w:szCs w:val="24"/>
                <w:highlight w:val="none"/>
              </w:rPr>
              <w:t>《工业企业挥发性有机物排放控制标准》河北省地方标准（DB13/2322-20</w:t>
            </w:r>
            <w:r>
              <w:rPr>
                <w:rFonts w:hint="default" w:ascii="Times New Roman" w:hAnsi="Times New Roman" w:eastAsia="宋体" w:cs="Times New Roman"/>
                <w:color w:val="auto"/>
                <w:sz w:val="24"/>
                <w:szCs w:val="24"/>
                <w:highlight w:val="none"/>
                <w:lang w:val="en-US" w:eastAsia="zh-CN"/>
              </w:rPr>
              <w:t>25</w:t>
            </w:r>
            <w:r>
              <w:rPr>
                <w:rFonts w:hint="default" w:ascii="Times New Roman" w:hAnsi="Times New Roman" w:eastAsia="宋体" w:cs="Times New Roman"/>
                <w:color w:val="auto"/>
                <w:sz w:val="24"/>
                <w:szCs w:val="24"/>
                <w:highlight w:val="none"/>
              </w:rPr>
              <w:t>）表</w: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rPr>
              <w:t>排放标准</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苯乙烯满足</w:t>
            </w:r>
            <w:r>
              <w:rPr>
                <w:rFonts w:hint="default" w:ascii="Times New Roman" w:hAnsi="Times New Roman" w:eastAsia="宋体" w:cs="Times New Roman"/>
                <w:color w:val="auto"/>
                <w:sz w:val="24"/>
                <w:szCs w:val="24"/>
                <w:highlight w:val="none"/>
              </w:rPr>
              <w:t>《恶臭污染物排放标准》（GB14554-93）表1</w:t>
            </w:r>
            <w:r>
              <w:rPr>
                <w:rFonts w:hint="default" w:ascii="Times New Roman" w:hAnsi="Times New Roman" w:eastAsia="宋体" w:cs="Times New Roman"/>
                <w:color w:val="auto"/>
                <w:sz w:val="24"/>
                <w:szCs w:val="24"/>
                <w:highlight w:val="none"/>
                <w:lang w:val="en-US" w:eastAsia="zh-CN"/>
              </w:rPr>
              <w:t>；</w:t>
            </w:r>
            <w:r>
              <w:rPr>
                <w:rFonts w:hint="eastAsia" w:cs="Times New Roman"/>
                <w:b w:val="0"/>
                <w:bCs w:val="0"/>
                <w:color w:val="auto"/>
                <w:kern w:val="2"/>
                <w:sz w:val="24"/>
                <w:szCs w:val="24"/>
                <w:highlight w:val="none"/>
                <w:lang w:val="en-US" w:eastAsia="zh-CN" w:bidi="ar-SA"/>
              </w:rPr>
              <w:t>类比《</w:t>
            </w:r>
            <w:r>
              <w:rPr>
                <w:rFonts w:ascii="宋体" w:hAnsi="宋体" w:eastAsia="宋体" w:cs="宋体"/>
                <w:color w:val="auto"/>
                <w:sz w:val="24"/>
                <w:szCs w:val="24"/>
              </w:rPr>
              <w:t>南宁程鸿泡沫板生产项目竣工环境保护验收监测报告</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中</w:t>
            </w:r>
            <w:r>
              <w:rPr>
                <w:rFonts w:hint="eastAsia" w:ascii="宋体" w:hAnsi="宋体" w:cs="宋体"/>
                <w:color w:val="auto"/>
                <w:sz w:val="24"/>
                <w:szCs w:val="24"/>
                <w:lang w:val="en-US" w:eastAsia="zh-CN"/>
              </w:rPr>
              <w:t>无组织臭气浓度为15</w:t>
            </w:r>
            <w:r>
              <w:rPr>
                <w:rFonts w:hint="eastAsia" w:ascii="Times New Roman" w:hAnsi="Times New Roman" w:eastAsia="宋体" w:cs="Times New Roman"/>
                <w:b w:val="0"/>
                <w:bCs w:val="0"/>
                <w:color w:val="auto"/>
                <w:kern w:val="2"/>
                <w:sz w:val="24"/>
                <w:szCs w:val="24"/>
                <w:highlight w:val="none"/>
                <w:lang w:val="en-US" w:eastAsia="zh-CN" w:bidi="ar-SA"/>
              </w:rPr>
              <w:t>（无量纲）</w:t>
            </w:r>
            <w:r>
              <w:rPr>
                <w:rFonts w:hint="default" w:ascii="Times New Roman" w:hAnsi="Times New Roman" w:eastAsia="宋体" w:cs="Times New Roman"/>
                <w:color w:val="auto"/>
                <w:sz w:val="24"/>
                <w:szCs w:val="24"/>
                <w:highlight w:val="none"/>
                <w:lang w:eastAsia="zh-CN"/>
              </w:rPr>
              <w:t>，</w:t>
            </w:r>
            <w:r>
              <w:rPr>
                <w:rFonts w:hint="eastAsia" w:cs="Times New Roman"/>
                <w:color w:val="auto"/>
                <w:sz w:val="24"/>
                <w:szCs w:val="24"/>
                <w:highlight w:val="none"/>
                <w:lang w:val="en-US" w:eastAsia="zh-CN"/>
              </w:rPr>
              <w:t>类比项目与本项目均为集气罩收集，因此本项目无组织臭气浓度也</w:t>
            </w:r>
            <w:r>
              <w:rPr>
                <w:rFonts w:hint="default" w:ascii="Times New Roman" w:hAnsi="Times New Roman" w:eastAsia="宋体" w:cs="Times New Roman"/>
                <w:color w:val="auto"/>
                <w:sz w:val="24"/>
                <w:szCs w:val="24"/>
                <w:highlight w:val="none"/>
                <w:lang w:val="en-US" w:eastAsia="zh-CN"/>
              </w:rPr>
              <w:t>满足</w:t>
            </w:r>
            <w:r>
              <w:rPr>
                <w:rFonts w:hint="default" w:ascii="Times New Roman" w:hAnsi="Times New Roman" w:eastAsia="宋体" w:cs="Times New Roman"/>
                <w:color w:val="auto"/>
                <w:sz w:val="24"/>
                <w:szCs w:val="24"/>
                <w:highlight w:val="none"/>
              </w:rPr>
              <w:t>《恶臭污染物排放标准》（GB14554-93）表1</w:t>
            </w:r>
            <w:r>
              <w:rPr>
                <w:rFonts w:hint="eastAsia" w:ascii="Times New Roman" w:hAnsi="Times New Roman" w:eastAsia="宋体" w:cs="Times New Roman"/>
                <w:color w:val="auto"/>
                <w:sz w:val="24"/>
                <w:szCs w:val="24"/>
                <w:highlight w:val="none"/>
                <w:lang w:eastAsia="zh-CN"/>
              </w:rPr>
              <w:t>。</w:t>
            </w:r>
          </w:p>
          <w:p w14:paraId="34FB7204">
            <w:pPr>
              <w:keepNext w:val="0"/>
              <w:keepLines w:val="0"/>
              <w:pageBreakBefore w:val="0"/>
              <w:widowControl w:val="0"/>
              <w:kinsoku/>
              <w:wordWrap/>
              <w:overflowPunct/>
              <w:topLinePunct w:val="0"/>
              <w:autoSpaceDE/>
              <w:autoSpaceDN/>
              <w:bidi w:val="0"/>
              <w:adjustRightInd/>
              <w:snapToGrid/>
              <w:jc w:val="center"/>
              <w:textAlignment w:val="auto"/>
              <w:rPr>
                <w:rFonts w:hint="eastAsia"/>
                <w:b/>
                <w:bCs/>
                <w:color w:val="auto"/>
                <w:highlight w:val="none"/>
                <w:lang w:val="en-US" w:eastAsia="zh-CN"/>
              </w:rPr>
            </w:pPr>
            <w:r>
              <w:rPr>
                <w:rFonts w:hint="eastAsia"/>
                <w:b/>
                <w:bCs/>
                <w:color w:val="auto"/>
                <w:highlight w:val="none"/>
                <w:lang w:val="en-US" w:eastAsia="zh-CN"/>
              </w:rPr>
              <w:t>表4-3 项目废气产排情况表</w:t>
            </w:r>
          </w:p>
          <w:tbl>
            <w:tblPr>
              <w:tblStyle w:val="34"/>
              <w:tblW w:w="8294" w:type="dxa"/>
              <w:jc w:val="center"/>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autofit"/>
              <w:tblCellMar>
                <w:top w:w="0" w:type="dxa"/>
                <w:left w:w="108" w:type="dxa"/>
                <w:bottom w:w="0" w:type="dxa"/>
                <w:right w:w="108" w:type="dxa"/>
              </w:tblCellMar>
            </w:tblPr>
            <w:tblGrid>
              <w:gridCol w:w="418"/>
              <w:gridCol w:w="372"/>
              <w:gridCol w:w="102"/>
              <w:gridCol w:w="452"/>
              <w:gridCol w:w="115"/>
              <w:gridCol w:w="304"/>
              <w:gridCol w:w="453"/>
              <w:gridCol w:w="164"/>
              <w:gridCol w:w="372"/>
              <w:gridCol w:w="172"/>
              <w:gridCol w:w="490"/>
              <w:gridCol w:w="182"/>
              <w:gridCol w:w="249"/>
              <w:gridCol w:w="121"/>
              <w:gridCol w:w="6"/>
              <w:gridCol w:w="445"/>
              <w:gridCol w:w="126"/>
              <w:gridCol w:w="428"/>
              <w:gridCol w:w="339"/>
              <w:gridCol w:w="167"/>
              <w:gridCol w:w="223"/>
              <w:gridCol w:w="389"/>
              <w:gridCol w:w="722"/>
              <w:gridCol w:w="439"/>
              <w:gridCol w:w="120"/>
              <w:gridCol w:w="620"/>
              <w:gridCol w:w="492"/>
            </w:tblGrid>
            <w:tr w14:paraId="59F98D5F">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tcBorders>
                    <w:tl2br w:val="nil"/>
                    <w:tr2bl w:val="nil"/>
                  </w:tcBorders>
                  <w:noWrap w:val="0"/>
                  <w:vAlign w:val="center"/>
                </w:tcPr>
                <w:p w14:paraId="096C19A5">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排放源名称</w:t>
                  </w:r>
                </w:p>
              </w:tc>
              <w:tc>
                <w:tcPr>
                  <w:tcW w:w="375" w:type="dxa"/>
                  <w:tcBorders>
                    <w:tl2br w:val="nil"/>
                    <w:tr2bl w:val="nil"/>
                  </w:tcBorders>
                  <w:noWrap w:val="0"/>
                  <w:vAlign w:val="center"/>
                </w:tcPr>
                <w:p w14:paraId="5E977140">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产污节点</w:t>
                  </w:r>
                </w:p>
              </w:tc>
              <w:tc>
                <w:tcPr>
                  <w:tcW w:w="589" w:type="dxa"/>
                  <w:gridSpan w:val="2"/>
                  <w:tcBorders>
                    <w:tl2br w:val="nil"/>
                    <w:tr2bl w:val="nil"/>
                  </w:tcBorders>
                  <w:noWrap w:val="0"/>
                  <w:vAlign w:val="center"/>
                </w:tcPr>
                <w:p w14:paraId="315B860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污染物</w:t>
                  </w:r>
                </w:p>
              </w:tc>
              <w:tc>
                <w:tcPr>
                  <w:tcW w:w="439" w:type="dxa"/>
                  <w:gridSpan w:val="2"/>
                  <w:tcBorders>
                    <w:tl2br w:val="nil"/>
                    <w:tr2bl w:val="nil"/>
                  </w:tcBorders>
                  <w:noWrap w:val="0"/>
                  <w:vAlign w:val="center"/>
                </w:tcPr>
                <w:p w14:paraId="6375A8A5">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工作时间h/a</w:t>
                  </w:r>
                </w:p>
              </w:tc>
              <w:tc>
                <w:tcPr>
                  <w:tcW w:w="497" w:type="dxa"/>
                  <w:gridSpan w:val="2"/>
                  <w:tcBorders>
                    <w:tl2br w:val="nil"/>
                    <w:tr2bl w:val="nil"/>
                  </w:tcBorders>
                  <w:noWrap w:val="0"/>
                  <w:vAlign w:val="center"/>
                </w:tcPr>
                <w:p w14:paraId="262967E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产生量t/a①</w:t>
                  </w:r>
                </w:p>
              </w:tc>
              <w:tc>
                <w:tcPr>
                  <w:tcW w:w="578" w:type="dxa"/>
                  <w:gridSpan w:val="2"/>
                  <w:tcBorders>
                    <w:tl2br w:val="nil"/>
                    <w:tr2bl w:val="nil"/>
                  </w:tcBorders>
                  <w:noWrap w:val="0"/>
                  <w:vAlign w:val="center"/>
                </w:tcPr>
                <w:p w14:paraId="591BEB8E">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产生速率kg/h②</w:t>
                  </w:r>
                </w:p>
              </w:tc>
              <w:tc>
                <w:tcPr>
                  <w:tcW w:w="715" w:type="dxa"/>
                  <w:gridSpan w:val="2"/>
                  <w:tcBorders>
                    <w:tl2br w:val="nil"/>
                    <w:tr2bl w:val="nil"/>
                  </w:tcBorders>
                  <w:noWrap w:val="0"/>
                  <w:vAlign w:val="center"/>
                </w:tcPr>
                <w:p w14:paraId="0C44D0D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产生浓度mg/m</w:t>
                  </w:r>
                  <w:r>
                    <w:rPr>
                      <w:rStyle w:val="73"/>
                      <w:rFonts w:hint="default" w:ascii="Times New Roman" w:hAnsi="Times New Roman" w:eastAsia="宋体" w:cs="Times New Roman"/>
                      <w:color w:val="auto"/>
                      <w:spacing w:val="-28"/>
                      <w:w w:val="95"/>
                      <w:sz w:val="21"/>
                      <w:szCs w:val="21"/>
                      <w:highlight w:val="none"/>
                      <w:vertAlign w:val="superscript"/>
                      <w:lang w:val="en-US" w:eastAsia="zh-CN" w:bidi="ar"/>
                    </w:rPr>
                    <w:t>3</w:t>
                  </w: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③</w:t>
                  </w:r>
                </w:p>
              </w:tc>
              <w:tc>
                <w:tcPr>
                  <w:tcW w:w="389" w:type="dxa"/>
                  <w:gridSpan w:val="3"/>
                  <w:tcBorders>
                    <w:tl2br w:val="nil"/>
                    <w:tr2bl w:val="nil"/>
                  </w:tcBorders>
                  <w:noWrap w:val="0"/>
                  <w:vAlign w:val="center"/>
                </w:tcPr>
                <w:p w14:paraId="11683497">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收集率%</w:t>
                  </w:r>
                </w:p>
              </w:tc>
              <w:tc>
                <w:tcPr>
                  <w:tcW w:w="350" w:type="dxa"/>
                  <w:tcBorders>
                    <w:tl2br w:val="nil"/>
                    <w:tr2bl w:val="nil"/>
                  </w:tcBorders>
                  <w:noWrap w:val="0"/>
                  <w:vAlign w:val="center"/>
                </w:tcPr>
                <w:p w14:paraId="6A2B305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风量m</w:t>
                  </w:r>
                  <w:r>
                    <w:rPr>
                      <w:rStyle w:val="73"/>
                      <w:rFonts w:hint="default" w:ascii="Times New Roman" w:hAnsi="Times New Roman" w:eastAsia="宋体" w:cs="Times New Roman"/>
                      <w:color w:val="auto"/>
                      <w:spacing w:val="-28"/>
                      <w:w w:val="95"/>
                      <w:sz w:val="21"/>
                      <w:szCs w:val="21"/>
                      <w:highlight w:val="none"/>
                      <w:vertAlign w:val="superscript"/>
                      <w:lang w:val="en-US" w:eastAsia="zh-CN" w:bidi="ar"/>
                    </w:rPr>
                    <w:t>3</w:t>
                  </w:r>
                  <w:r>
                    <w:rPr>
                      <w:rStyle w:val="114"/>
                      <w:rFonts w:hint="default" w:ascii="Times New Roman" w:hAnsi="Times New Roman" w:eastAsia="宋体" w:cs="Times New Roman"/>
                      <w:color w:val="auto"/>
                      <w:spacing w:val="-28"/>
                      <w:w w:val="95"/>
                      <w:sz w:val="21"/>
                      <w:szCs w:val="21"/>
                      <w:highlight w:val="none"/>
                      <w:lang w:val="en-US" w:eastAsia="zh-CN" w:bidi="ar"/>
                    </w:rPr>
                    <w:t>/h</w:t>
                  </w:r>
                </w:p>
              </w:tc>
              <w:tc>
                <w:tcPr>
                  <w:tcW w:w="954" w:type="dxa"/>
                  <w:gridSpan w:val="3"/>
                  <w:tcBorders>
                    <w:tl2br w:val="nil"/>
                    <w:tr2bl w:val="nil"/>
                  </w:tcBorders>
                  <w:noWrap w:val="0"/>
                  <w:vAlign w:val="center"/>
                </w:tcPr>
                <w:p w14:paraId="5102F49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治理措施</w:t>
                  </w:r>
                </w:p>
              </w:tc>
              <w:tc>
                <w:tcPr>
                  <w:tcW w:w="407" w:type="dxa"/>
                  <w:gridSpan w:val="2"/>
                  <w:tcBorders>
                    <w:tl2br w:val="nil"/>
                    <w:tr2bl w:val="nil"/>
                  </w:tcBorders>
                  <w:noWrap w:val="0"/>
                  <w:vAlign w:val="center"/>
                </w:tcPr>
                <w:p w14:paraId="784C18D9">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是否是可行技术</w:t>
                  </w:r>
                </w:p>
              </w:tc>
              <w:tc>
                <w:tcPr>
                  <w:tcW w:w="407" w:type="dxa"/>
                  <w:tcBorders>
                    <w:tl2br w:val="nil"/>
                    <w:tr2bl w:val="nil"/>
                  </w:tcBorders>
                  <w:noWrap w:val="0"/>
                  <w:vAlign w:val="center"/>
                </w:tcPr>
                <w:p w14:paraId="537F45C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治理效率%</w:t>
                  </w:r>
                </w:p>
              </w:tc>
              <w:tc>
                <w:tcPr>
                  <w:tcW w:w="418" w:type="dxa"/>
                  <w:tcBorders>
                    <w:tl2br w:val="nil"/>
                    <w:tr2bl w:val="nil"/>
                  </w:tcBorders>
                  <w:noWrap w:val="0"/>
                  <w:vAlign w:val="center"/>
                </w:tcPr>
                <w:p w14:paraId="54A7446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排放量t/a①</w:t>
                  </w:r>
                </w:p>
              </w:tc>
              <w:tc>
                <w:tcPr>
                  <w:tcW w:w="557" w:type="dxa"/>
                  <w:gridSpan w:val="2"/>
                  <w:tcBorders>
                    <w:tl2br w:val="nil"/>
                    <w:tr2bl w:val="nil"/>
                  </w:tcBorders>
                  <w:noWrap w:val="0"/>
                  <w:vAlign w:val="center"/>
                </w:tcPr>
                <w:p w14:paraId="2EB50C00">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排放速率kg/h②</w:t>
                  </w:r>
                </w:p>
              </w:tc>
              <w:tc>
                <w:tcPr>
                  <w:tcW w:w="661" w:type="dxa"/>
                  <w:tcBorders>
                    <w:tl2br w:val="nil"/>
                    <w:tr2bl w:val="nil"/>
                  </w:tcBorders>
                  <w:noWrap w:val="0"/>
                  <w:vAlign w:val="center"/>
                </w:tcPr>
                <w:p w14:paraId="2023A8BE">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sz w:val="21"/>
                      <w:szCs w:val="21"/>
                      <w:highlight w:val="none"/>
                      <w:u w:val="none"/>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排放浓度mg/m</w:t>
                  </w:r>
                  <w:r>
                    <w:rPr>
                      <w:rStyle w:val="73"/>
                      <w:rFonts w:hint="default" w:ascii="Times New Roman" w:hAnsi="Times New Roman" w:eastAsia="宋体" w:cs="Times New Roman"/>
                      <w:color w:val="auto"/>
                      <w:spacing w:val="-28"/>
                      <w:w w:val="95"/>
                      <w:sz w:val="21"/>
                      <w:szCs w:val="21"/>
                      <w:highlight w:val="none"/>
                      <w:vertAlign w:val="superscript"/>
                      <w:lang w:val="en-US" w:eastAsia="zh-CN" w:bidi="ar"/>
                    </w:rPr>
                    <w:t>3</w:t>
                  </w:r>
                  <w:r>
                    <w:rPr>
                      <w:rStyle w:val="73"/>
                      <w:rFonts w:hint="default" w:ascii="Times New Roman" w:hAnsi="Times New Roman" w:eastAsia="宋体" w:cs="Times New Roman"/>
                      <w:color w:val="auto"/>
                      <w:spacing w:val="-28"/>
                      <w:w w:val="95"/>
                      <w:sz w:val="21"/>
                      <w:szCs w:val="21"/>
                      <w:highlight w:val="none"/>
                      <w:vertAlign w:val="baseline"/>
                      <w:lang w:val="en-US" w:eastAsia="zh-CN" w:bidi="ar"/>
                    </w:rPr>
                    <w:t>③</w:t>
                  </w:r>
                </w:p>
              </w:tc>
              <w:tc>
                <w:tcPr>
                  <w:tcW w:w="519" w:type="dxa"/>
                  <w:tcBorders>
                    <w:tl2br w:val="nil"/>
                    <w:tr2bl w:val="nil"/>
                  </w:tcBorders>
                  <w:noWrap w:val="0"/>
                  <w:vAlign w:val="center"/>
                </w:tcPr>
                <w:p w14:paraId="479FAF9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标准限值mg/m</w:t>
                  </w:r>
                  <w:r>
                    <w:rPr>
                      <w:rStyle w:val="73"/>
                      <w:rFonts w:hint="default" w:ascii="Times New Roman" w:hAnsi="Times New Roman" w:eastAsia="宋体" w:cs="Times New Roman"/>
                      <w:color w:val="auto"/>
                      <w:spacing w:val="-28"/>
                      <w:w w:val="95"/>
                      <w:sz w:val="21"/>
                      <w:szCs w:val="21"/>
                      <w:highlight w:val="none"/>
                      <w:vertAlign w:val="superscript"/>
                      <w:lang w:val="en-US" w:eastAsia="zh-CN" w:bidi="ar"/>
                    </w:rPr>
                    <w:t>3</w:t>
                  </w:r>
                </w:p>
              </w:tc>
            </w:tr>
            <w:tr w14:paraId="6830FC3E">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vMerge w:val="restart"/>
                  <w:tcBorders>
                    <w:tl2br w:val="nil"/>
                    <w:tr2bl w:val="nil"/>
                  </w:tcBorders>
                  <w:noWrap/>
                  <w:vAlign w:val="center"/>
                </w:tcPr>
                <w:p w14:paraId="653A7F8C">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DA</w:t>
                  </w:r>
                </w:p>
                <w:p w14:paraId="29B7A81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sz w:val="21"/>
                      <w:szCs w:val="21"/>
                      <w:highlight w:val="none"/>
                      <w:u w:val="none"/>
                      <w:lang w:val="en-US"/>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001</w:t>
                  </w:r>
                  <w:r>
                    <w:rPr>
                      <w:rFonts w:hint="eastAsia" w:cs="Times New Roman"/>
                      <w:i w:val="0"/>
                      <w:iCs w:val="0"/>
                      <w:color w:val="auto"/>
                      <w:spacing w:val="-20"/>
                      <w:w w:val="95"/>
                      <w:kern w:val="0"/>
                      <w:sz w:val="21"/>
                      <w:szCs w:val="21"/>
                      <w:highlight w:val="none"/>
                      <w:u w:val="none"/>
                      <w:lang w:val="en-US" w:eastAsia="zh-CN" w:bidi="ar"/>
                    </w:rPr>
                    <w:t>（仅吸附时）</w:t>
                  </w:r>
                </w:p>
              </w:tc>
              <w:tc>
                <w:tcPr>
                  <w:tcW w:w="375" w:type="dxa"/>
                  <w:vMerge w:val="restart"/>
                  <w:tcBorders>
                    <w:tl2br w:val="nil"/>
                    <w:tr2bl w:val="nil"/>
                  </w:tcBorders>
                  <w:noWrap w:val="0"/>
                  <w:vAlign w:val="center"/>
                </w:tcPr>
                <w:p w14:paraId="44C9792B">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sz w:val="21"/>
                      <w:szCs w:val="21"/>
                      <w:highlight w:val="none"/>
                      <w:u w:val="none"/>
                      <w:lang w:val="en-US" w:eastAsia="zh-CN"/>
                    </w:rPr>
                  </w:pPr>
                  <w:r>
                    <w:rPr>
                      <w:rFonts w:hint="default" w:ascii="Times New Roman" w:hAnsi="Times New Roman" w:eastAsia="宋体" w:cs="Times New Roman"/>
                      <w:i w:val="0"/>
                      <w:iCs w:val="0"/>
                      <w:color w:val="auto"/>
                      <w:spacing w:val="-20"/>
                      <w:w w:val="95"/>
                      <w:sz w:val="21"/>
                      <w:szCs w:val="21"/>
                      <w:highlight w:val="none"/>
                      <w:u w:val="none"/>
                      <w:lang w:val="en-US" w:eastAsia="zh-CN"/>
                    </w:rPr>
                    <w:t>发泡、成型</w:t>
                  </w:r>
                </w:p>
              </w:tc>
              <w:tc>
                <w:tcPr>
                  <w:tcW w:w="589" w:type="dxa"/>
                  <w:gridSpan w:val="2"/>
                  <w:tcBorders>
                    <w:tl2br w:val="nil"/>
                    <w:tr2bl w:val="nil"/>
                  </w:tcBorders>
                  <w:noWrap/>
                  <w:vAlign w:val="center"/>
                </w:tcPr>
                <w:p w14:paraId="45062F9C">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sz w:val="21"/>
                      <w:szCs w:val="21"/>
                      <w:highlight w:val="none"/>
                      <w:u w:val="none"/>
                      <w:lang w:val="en-US" w:eastAsia="zh-CN"/>
                    </w:rPr>
                  </w:pPr>
                  <w:r>
                    <w:rPr>
                      <w:rFonts w:hint="default" w:ascii="Times New Roman" w:hAnsi="Times New Roman" w:eastAsia="宋体" w:cs="Times New Roman"/>
                      <w:i w:val="0"/>
                      <w:iCs w:val="0"/>
                      <w:color w:val="auto"/>
                      <w:spacing w:val="-20"/>
                      <w:w w:val="95"/>
                      <w:sz w:val="21"/>
                      <w:szCs w:val="21"/>
                      <w:highlight w:val="none"/>
                      <w:u w:val="none"/>
                      <w:lang w:val="en-US" w:eastAsia="zh-CN"/>
                    </w:rPr>
                    <w:t>非甲烷总烃</w:t>
                  </w:r>
                </w:p>
              </w:tc>
              <w:tc>
                <w:tcPr>
                  <w:tcW w:w="439" w:type="dxa"/>
                  <w:gridSpan w:val="2"/>
                  <w:vMerge w:val="restart"/>
                  <w:tcBorders>
                    <w:tl2br w:val="nil"/>
                    <w:tr2bl w:val="nil"/>
                  </w:tcBorders>
                  <w:noWrap/>
                  <w:vAlign w:val="center"/>
                </w:tcPr>
                <w:p w14:paraId="558D177D">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2400</w:t>
                  </w:r>
                </w:p>
              </w:tc>
              <w:tc>
                <w:tcPr>
                  <w:tcW w:w="497" w:type="dxa"/>
                  <w:gridSpan w:val="2"/>
                  <w:vMerge w:val="restart"/>
                  <w:tcBorders>
                    <w:tl2br w:val="nil"/>
                    <w:tr2bl w:val="nil"/>
                  </w:tcBorders>
                  <w:noWrap/>
                  <w:vAlign w:val="center"/>
                </w:tcPr>
                <w:p w14:paraId="235B88A3">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color w:val="auto"/>
                      <w:spacing w:val="-20"/>
                      <w:w w:val="95"/>
                      <w:sz w:val="21"/>
                      <w:szCs w:val="21"/>
                      <w:highlight w:val="none"/>
                      <w:lang w:val="en-US" w:eastAsia="zh-CN"/>
                    </w:rPr>
                    <w:t>非甲烷总烃：</w:t>
                  </w:r>
                  <w:r>
                    <w:rPr>
                      <w:rFonts w:hint="eastAsia" w:cs="Times New Roman"/>
                      <w:color w:val="auto"/>
                      <w:spacing w:val="-20"/>
                      <w:w w:val="95"/>
                      <w:sz w:val="21"/>
                      <w:szCs w:val="21"/>
                      <w:highlight w:val="none"/>
                      <w:lang w:val="en-US" w:eastAsia="zh-CN"/>
                    </w:rPr>
                    <w:t>15.377</w:t>
                  </w:r>
                  <w:r>
                    <w:rPr>
                      <w:rFonts w:hint="default" w:ascii="Times New Roman" w:hAnsi="Times New Roman" w:eastAsia="宋体" w:cs="Times New Roman"/>
                      <w:color w:val="auto"/>
                      <w:spacing w:val="-20"/>
                      <w:w w:val="95"/>
                      <w:sz w:val="21"/>
                      <w:szCs w:val="21"/>
                      <w:highlight w:val="none"/>
                      <w:lang w:val="en-US" w:eastAsia="zh-CN"/>
                    </w:rPr>
                    <w:t>、苯乙烯：</w:t>
                  </w:r>
                  <w:r>
                    <w:rPr>
                      <w:rFonts w:hint="eastAsia" w:cs="Times New Roman"/>
                      <w:color w:val="auto"/>
                      <w:spacing w:val="-20"/>
                      <w:w w:val="95"/>
                      <w:sz w:val="21"/>
                      <w:szCs w:val="21"/>
                      <w:highlight w:val="none"/>
                      <w:lang w:val="en-US" w:eastAsia="zh-CN"/>
                    </w:rPr>
                    <w:t>0.258</w:t>
                  </w:r>
                </w:p>
              </w:tc>
              <w:tc>
                <w:tcPr>
                  <w:tcW w:w="578" w:type="dxa"/>
                  <w:gridSpan w:val="2"/>
                  <w:vMerge w:val="restart"/>
                  <w:tcBorders>
                    <w:tl2br w:val="nil"/>
                    <w:tr2bl w:val="nil"/>
                  </w:tcBorders>
                  <w:noWrap/>
                  <w:vAlign w:val="center"/>
                </w:tcPr>
                <w:p w14:paraId="4B708D07">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color w:val="auto"/>
                      <w:spacing w:val="-20"/>
                      <w:w w:val="95"/>
                      <w:sz w:val="21"/>
                      <w:szCs w:val="21"/>
                      <w:highlight w:val="none"/>
                      <w:lang w:val="en-US" w:eastAsia="zh-CN"/>
                    </w:rPr>
                    <w:t>非甲烷总烃：</w:t>
                  </w:r>
                  <w:r>
                    <w:rPr>
                      <w:rFonts w:hint="eastAsia" w:cs="Times New Roman"/>
                      <w:color w:val="auto"/>
                      <w:spacing w:val="-20"/>
                      <w:w w:val="95"/>
                      <w:sz w:val="21"/>
                      <w:szCs w:val="21"/>
                      <w:highlight w:val="none"/>
                      <w:lang w:val="en-US" w:eastAsia="zh-CN"/>
                    </w:rPr>
                    <w:t>6.503</w:t>
                  </w:r>
                  <w:r>
                    <w:rPr>
                      <w:rFonts w:hint="default" w:ascii="Times New Roman" w:hAnsi="Times New Roman" w:eastAsia="宋体" w:cs="Times New Roman"/>
                      <w:color w:val="auto"/>
                      <w:spacing w:val="-20"/>
                      <w:w w:val="95"/>
                      <w:sz w:val="21"/>
                      <w:szCs w:val="21"/>
                      <w:highlight w:val="none"/>
                      <w:lang w:val="en-US" w:eastAsia="zh-CN"/>
                    </w:rPr>
                    <w:t>、苯乙烯：</w:t>
                  </w:r>
                  <w:r>
                    <w:rPr>
                      <w:rFonts w:hint="eastAsia" w:cs="Times New Roman"/>
                      <w:color w:val="auto"/>
                      <w:spacing w:val="-20"/>
                      <w:w w:val="95"/>
                      <w:sz w:val="21"/>
                      <w:szCs w:val="21"/>
                      <w:highlight w:val="none"/>
                      <w:lang w:val="en-US" w:eastAsia="zh-CN"/>
                    </w:rPr>
                    <w:t>0.111</w:t>
                  </w:r>
                </w:p>
              </w:tc>
              <w:tc>
                <w:tcPr>
                  <w:tcW w:w="715" w:type="dxa"/>
                  <w:gridSpan w:val="2"/>
                  <w:vMerge w:val="restart"/>
                  <w:tcBorders>
                    <w:tl2br w:val="nil"/>
                    <w:tr2bl w:val="nil"/>
                  </w:tcBorders>
                  <w:noWrap/>
                  <w:vAlign w:val="center"/>
                </w:tcPr>
                <w:p w14:paraId="71D2131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color w:val="auto"/>
                      <w:spacing w:val="-20"/>
                      <w:w w:val="95"/>
                      <w:sz w:val="21"/>
                      <w:szCs w:val="21"/>
                      <w:highlight w:val="none"/>
                      <w:lang w:val="en-US" w:eastAsia="zh-CN"/>
                    </w:rPr>
                    <w:t>非甲烷总烃：</w:t>
                  </w:r>
                  <w:r>
                    <w:rPr>
                      <w:rFonts w:hint="eastAsia" w:cs="Times New Roman"/>
                      <w:color w:val="auto"/>
                      <w:spacing w:val="-20"/>
                      <w:w w:val="95"/>
                      <w:sz w:val="21"/>
                      <w:szCs w:val="21"/>
                      <w:highlight w:val="none"/>
                      <w:lang w:val="en-US" w:eastAsia="zh-CN"/>
                    </w:rPr>
                    <w:t>216.75</w:t>
                  </w:r>
                  <w:r>
                    <w:rPr>
                      <w:rFonts w:hint="default" w:ascii="Times New Roman" w:hAnsi="Times New Roman" w:eastAsia="宋体" w:cs="Times New Roman"/>
                      <w:color w:val="auto"/>
                      <w:spacing w:val="-20"/>
                      <w:w w:val="95"/>
                      <w:sz w:val="21"/>
                      <w:szCs w:val="21"/>
                      <w:highlight w:val="none"/>
                      <w:lang w:val="en-US" w:eastAsia="zh-CN"/>
                    </w:rPr>
                    <w:t>、苯乙烯：</w:t>
                  </w:r>
                  <w:r>
                    <w:rPr>
                      <w:rFonts w:hint="eastAsia" w:cs="Times New Roman"/>
                      <w:color w:val="auto"/>
                      <w:spacing w:val="-20"/>
                      <w:w w:val="95"/>
                      <w:sz w:val="21"/>
                      <w:szCs w:val="21"/>
                      <w:highlight w:val="none"/>
                      <w:lang w:val="en-US" w:eastAsia="zh-CN"/>
                    </w:rPr>
                    <w:t>3.712</w:t>
                  </w:r>
                </w:p>
              </w:tc>
              <w:tc>
                <w:tcPr>
                  <w:tcW w:w="389" w:type="dxa"/>
                  <w:gridSpan w:val="3"/>
                  <w:vMerge w:val="restart"/>
                  <w:tcBorders>
                    <w:tl2br w:val="nil"/>
                    <w:tr2bl w:val="nil"/>
                  </w:tcBorders>
                  <w:noWrap/>
                  <w:vAlign w:val="center"/>
                </w:tcPr>
                <w:p w14:paraId="18E9467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85</w:t>
                  </w:r>
                </w:p>
              </w:tc>
              <w:tc>
                <w:tcPr>
                  <w:tcW w:w="350" w:type="dxa"/>
                  <w:vMerge w:val="restart"/>
                  <w:tcBorders>
                    <w:tl2br w:val="nil"/>
                    <w:tr2bl w:val="nil"/>
                  </w:tcBorders>
                  <w:noWrap/>
                  <w:vAlign w:val="center"/>
                </w:tcPr>
                <w:p w14:paraId="5606CE9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30000</w:t>
                  </w:r>
                </w:p>
              </w:tc>
              <w:tc>
                <w:tcPr>
                  <w:tcW w:w="954" w:type="dxa"/>
                  <w:gridSpan w:val="3"/>
                  <w:vMerge w:val="restart"/>
                  <w:tcBorders>
                    <w:tl2br w:val="nil"/>
                    <w:tr2bl w:val="nil"/>
                  </w:tcBorders>
                  <w:noWrap w:val="0"/>
                  <w:vAlign w:val="center"/>
                </w:tcPr>
                <w:p w14:paraId="65CC7E6B">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发泡及成型出料口集气罩，切割操作工序上方集气罩，四周均设置软帘，</w:t>
                  </w:r>
                  <w:r>
                    <w:rPr>
                      <w:rFonts w:hint="eastAsia" w:ascii="Times New Roman" w:hAnsi="Times New Roman" w:eastAsia="宋体" w:cs="Times New Roman"/>
                      <w:i w:val="0"/>
                      <w:iCs w:val="0"/>
                      <w:color w:val="auto"/>
                      <w:spacing w:val="-20"/>
                      <w:w w:val="95"/>
                      <w:kern w:val="0"/>
                      <w:sz w:val="21"/>
                      <w:szCs w:val="21"/>
                      <w:highlight w:val="none"/>
                      <w:u w:val="none"/>
                      <w:lang w:val="en-US" w:eastAsia="zh-CN" w:bidi="ar"/>
                    </w:rPr>
                    <w:t>真空泵废气管道收集；</w:t>
                  </w:r>
                </w:p>
                <w:p w14:paraId="6ED1E2A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发泡废气经气液分离预处理后与其他工序废气一起引入1套活性炭吸附</w:t>
                  </w:r>
                  <w:r>
                    <w:rPr>
                      <w:rFonts w:hint="eastAsia" w:ascii="Times New Roman" w:hAnsi="Times New Roman" w:eastAsia="宋体" w:cs="Times New Roman"/>
                      <w:color w:val="auto"/>
                      <w:sz w:val="21"/>
                      <w:szCs w:val="21"/>
                      <w:highlight w:val="none"/>
                      <w:lang w:val="en-US" w:eastAsia="zh-CN"/>
                    </w:rPr>
                    <w:t>（TA001</w:t>
                  </w:r>
                </w:p>
                <w:p w14:paraId="3142DA3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w:t>
                  </w:r>
                </w:p>
                <w:p w14:paraId="185DDBB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15m高排气筒DA001排放</w:t>
                  </w:r>
                </w:p>
              </w:tc>
              <w:tc>
                <w:tcPr>
                  <w:tcW w:w="407" w:type="dxa"/>
                  <w:gridSpan w:val="2"/>
                  <w:vMerge w:val="restart"/>
                  <w:tcBorders>
                    <w:tl2br w:val="nil"/>
                    <w:tr2bl w:val="nil"/>
                  </w:tcBorders>
                  <w:noWrap/>
                  <w:vAlign w:val="center"/>
                </w:tcPr>
                <w:p w14:paraId="74A7759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是</w:t>
                  </w:r>
                </w:p>
              </w:tc>
              <w:tc>
                <w:tcPr>
                  <w:tcW w:w="407" w:type="dxa"/>
                  <w:vMerge w:val="restart"/>
                  <w:tcBorders>
                    <w:tl2br w:val="nil"/>
                    <w:tr2bl w:val="nil"/>
                  </w:tcBorders>
                  <w:noWrap/>
                  <w:vAlign w:val="center"/>
                </w:tcPr>
                <w:p w14:paraId="4E719C9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90</w:t>
                  </w:r>
                </w:p>
              </w:tc>
              <w:tc>
                <w:tcPr>
                  <w:tcW w:w="418" w:type="dxa"/>
                  <w:vMerge w:val="restart"/>
                  <w:tcBorders>
                    <w:tl2br w:val="nil"/>
                    <w:tr2bl w:val="nil"/>
                  </w:tcBorders>
                  <w:noWrap/>
                  <w:vAlign w:val="center"/>
                </w:tcPr>
                <w:p w14:paraId="3E77108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color w:val="auto"/>
                      <w:spacing w:val="-20"/>
                      <w:w w:val="95"/>
                      <w:sz w:val="21"/>
                      <w:szCs w:val="21"/>
                      <w:highlight w:val="none"/>
                      <w:lang w:val="en-US" w:eastAsia="zh-CN"/>
                    </w:rPr>
                    <w:t>非甲烷总烃：</w:t>
                  </w:r>
                  <w:r>
                    <w:rPr>
                      <w:rFonts w:hint="eastAsia" w:cs="Times New Roman"/>
                      <w:color w:val="auto"/>
                      <w:spacing w:val="-20"/>
                      <w:w w:val="95"/>
                      <w:sz w:val="21"/>
                      <w:szCs w:val="21"/>
                      <w:highlight w:val="none"/>
                      <w:lang w:val="en-US" w:eastAsia="zh-CN"/>
                    </w:rPr>
                    <w:t>1.538</w:t>
                  </w:r>
                  <w:r>
                    <w:rPr>
                      <w:rFonts w:hint="default" w:ascii="Times New Roman" w:hAnsi="Times New Roman" w:eastAsia="宋体" w:cs="Times New Roman"/>
                      <w:color w:val="auto"/>
                      <w:spacing w:val="-20"/>
                      <w:w w:val="95"/>
                      <w:sz w:val="21"/>
                      <w:szCs w:val="21"/>
                      <w:highlight w:val="none"/>
                      <w:lang w:val="en-US" w:eastAsia="zh-CN"/>
                    </w:rPr>
                    <w:t>、苯乙烯：</w:t>
                  </w:r>
                  <w:r>
                    <w:rPr>
                      <w:rFonts w:hint="eastAsia" w:cs="Times New Roman"/>
                      <w:color w:val="auto"/>
                      <w:spacing w:val="-20"/>
                      <w:w w:val="95"/>
                      <w:sz w:val="21"/>
                      <w:szCs w:val="21"/>
                      <w:highlight w:val="none"/>
                      <w:lang w:val="en-US" w:eastAsia="zh-CN"/>
                    </w:rPr>
                    <w:t>0.026</w:t>
                  </w:r>
                </w:p>
              </w:tc>
              <w:tc>
                <w:tcPr>
                  <w:tcW w:w="557" w:type="dxa"/>
                  <w:gridSpan w:val="2"/>
                  <w:vMerge w:val="restart"/>
                  <w:tcBorders>
                    <w:tl2br w:val="nil"/>
                    <w:tr2bl w:val="nil"/>
                  </w:tcBorders>
                  <w:noWrap/>
                  <w:vAlign w:val="center"/>
                </w:tcPr>
                <w:p w14:paraId="19B0D23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color w:val="auto"/>
                      <w:spacing w:val="-20"/>
                      <w:w w:val="95"/>
                      <w:sz w:val="21"/>
                      <w:szCs w:val="21"/>
                      <w:highlight w:val="none"/>
                      <w:lang w:val="en-US" w:eastAsia="zh-CN"/>
                    </w:rPr>
                    <w:t>非甲烷总烃：</w:t>
                  </w:r>
                  <w:r>
                    <w:rPr>
                      <w:rFonts w:hint="eastAsia" w:cs="Times New Roman"/>
                      <w:color w:val="auto"/>
                      <w:spacing w:val="-20"/>
                      <w:w w:val="95"/>
                      <w:sz w:val="21"/>
                      <w:szCs w:val="21"/>
                      <w:highlight w:val="none"/>
                      <w:lang w:val="en-US" w:eastAsia="zh-CN"/>
                    </w:rPr>
                    <w:t>0.650</w:t>
                  </w:r>
                  <w:r>
                    <w:rPr>
                      <w:rFonts w:hint="default" w:ascii="Times New Roman" w:hAnsi="Times New Roman" w:eastAsia="宋体" w:cs="Times New Roman"/>
                      <w:color w:val="auto"/>
                      <w:spacing w:val="-20"/>
                      <w:w w:val="95"/>
                      <w:sz w:val="21"/>
                      <w:szCs w:val="21"/>
                      <w:highlight w:val="none"/>
                      <w:lang w:val="en-US" w:eastAsia="zh-CN"/>
                    </w:rPr>
                    <w:t>、苯乙烯：</w:t>
                  </w:r>
                  <w:r>
                    <w:rPr>
                      <w:rFonts w:hint="eastAsia" w:cs="Times New Roman"/>
                      <w:color w:val="auto"/>
                      <w:spacing w:val="-20"/>
                      <w:w w:val="95"/>
                      <w:sz w:val="21"/>
                      <w:szCs w:val="21"/>
                      <w:highlight w:val="none"/>
                      <w:lang w:val="en-US" w:eastAsia="zh-CN"/>
                    </w:rPr>
                    <w:t>0.011</w:t>
                  </w:r>
                </w:p>
              </w:tc>
              <w:tc>
                <w:tcPr>
                  <w:tcW w:w="661" w:type="dxa"/>
                  <w:vMerge w:val="restart"/>
                  <w:tcBorders>
                    <w:tl2br w:val="nil"/>
                    <w:tr2bl w:val="nil"/>
                  </w:tcBorders>
                  <w:noWrap/>
                  <w:vAlign w:val="center"/>
                </w:tcPr>
                <w:p w14:paraId="4244A67C">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color w:val="auto"/>
                      <w:spacing w:val="-20"/>
                      <w:w w:val="95"/>
                      <w:sz w:val="21"/>
                      <w:szCs w:val="21"/>
                      <w:highlight w:val="none"/>
                      <w:lang w:val="en-US" w:eastAsia="zh-CN"/>
                    </w:rPr>
                    <w:t>非甲烷总烃：</w:t>
                  </w:r>
                  <w:r>
                    <w:rPr>
                      <w:rFonts w:hint="eastAsia" w:cs="Times New Roman"/>
                      <w:color w:val="auto"/>
                      <w:spacing w:val="-20"/>
                      <w:w w:val="95"/>
                      <w:sz w:val="21"/>
                      <w:szCs w:val="21"/>
                      <w:highlight w:val="none"/>
                      <w:lang w:val="en-US" w:eastAsia="zh-CN"/>
                    </w:rPr>
                    <w:t>21.675</w:t>
                  </w:r>
                  <w:r>
                    <w:rPr>
                      <w:rFonts w:hint="default" w:ascii="Times New Roman" w:hAnsi="Times New Roman" w:eastAsia="宋体" w:cs="Times New Roman"/>
                      <w:color w:val="auto"/>
                      <w:spacing w:val="-20"/>
                      <w:w w:val="95"/>
                      <w:sz w:val="21"/>
                      <w:szCs w:val="21"/>
                      <w:highlight w:val="none"/>
                      <w:lang w:val="en-US" w:eastAsia="zh-CN"/>
                    </w:rPr>
                    <w:t>、苯乙烯：</w:t>
                  </w:r>
                  <w:r>
                    <w:rPr>
                      <w:rFonts w:hint="eastAsia" w:cs="Times New Roman"/>
                      <w:color w:val="auto"/>
                      <w:spacing w:val="-20"/>
                      <w:w w:val="95"/>
                      <w:sz w:val="21"/>
                      <w:szCs w:val="21"/>
                      <w:highlight w:val="none"/>
                      <w:lang w:val="en-US" w:eastAsia="zh-CN"/>
                    </w:rPr>
                    <w:t>0.371</w:t>
                  </w:r>
                  <w:r>
                    <w:rPr>
                      <w:rFonts w:hint="default" w:ascii="Times New Roman" w:hAnsi="Times New Roman" w:eastAsia="宋体" w:cs="Times New Roman"/>
                      <w:color w:val="auto"/>
                      <w:spacing w:val="-20"/>
                      <w:w w:val="95"/>
                      <w:sz w:val="21"/>
                      <w:szCs w:val="21"/>
                      <w:highlight w:val="none"/>
                      <w:lang w:val="en-US" w:eastAsia="zh-CN"/>
                    </w:rPr>
                    <w:t>、臭气浓度</w:t>
                  </w:r>
                  <w:r>
                    <w:rPr>
                      <w:rFonts w:hint="eastAsia" w:cs="Times New Roman"/>
                      <w:color w:val="auto"/>
                      <w:spacing w:val="-20"/>
                      <w:w w:val="95"/>
                      <w:sz w:val="21"/>
                      <w:szCs w:val="21"/>
                      <w:highlight w:val="none"/>
                      <w:lang w:val="en-US" w:eastAsia="zh-CN"/>
                    </w:rPr>
                    <w:t>0.881（</w:t>
                  </w:r>
                  <w:r>
                    <w:rPr>
                      <w:rFonts w:hint="default" w:ascii="Times New Roman" w:hAnsi="Times New Roman" w:eastAsia="宋体" w:cs="Times New Roman"/>
                      <w:color w:val="auto"/>
                      <w:spacing w:val="-20"/>
                      <w:w w:val="95"/>
                      <w:sz w:val="21"/>
                      <w:szCs w:val="21"/>
                      <w:highlight w:val="none"/>
                      <w:lang w:val="en-US" w:eastAsia="zh-CN"/>
                    </w:rPr>
                    <w:t>无量纲）</w:t>
                  </w:r>
                </w:p>
              </w:tc>
              <w:tc>
                <w:tcPr>
                  <w:tcW w:w="519" w:type="dxa"/>
                  <w:vMerge w:val="restart"/>
                  <w:tcBorders>
                    <w:tl2br w:val="nil"/>
                    <w:tr2bl w:val="nil"/>
                  </w:tcBorders>
                  <w:noWrap/>
                  <w:vAlign w:val="center"/>
                </w:tcPr>
                <w:p w14:paraId="41471044">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非甲烷总烃30、苯乙烯20、臭气浓度2000（无量纲）</w:t>
                  </w:r>
                </w:p>
              </w:tc>
            </w:tr>
            <w:tr w14:paraId="50B60150">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vMerge w:val="continue"/>
                  <w:tcBorders>
                    <w:tl2br w:val="nil"/>
                    <w:tr2bl w:val="nil"/>
                  </w:tcBorders>
                  <w:noWrap/>
                  <w:vAlign w:val="center"/>
                </w:tcPr>
                <w:p w14:paraId="07DEEBC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sz w:val="21"/>
                      <w:szCs w:val="21"/>
                      <w:highlight w:val="none"/>
                      <w:u w:val="none"/>
                    </w:rPr>
                  </w:pPr>
                </w:p>
              </w:tc>
              <w:tc>
                <w:tcPr>
                  <w:tcW w:w="375" w:type="dxa"/>
                  <w:vMerge w:val="continue"/>
                  <w:tcBorders>
                    <w:tl2br w:val="nil"/>
                    <w:tr2bl w:val="nil"/>
                  </w:tcBorders>
                  <w:noWrap w:val="0"/>
                  <w:vAlign w:val="center"/>
                </w:tcPr>
                <w:p w14:paraId="47A0475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sz w:val="21"/>
                      <w:szCs w:val="21"/>
                      <w:highlight w:val="none"/>
                      <w:u w:val="none"/>
                      <w:lang w:val="en-US" w:eastAsia="zh-CN"/>
                    </w:rPr>
                  </w:pPr>
                </w:p>
              </w:tc>
              <w:tc>
                <w:tcPr>
                  <w:tcW w:w="589" w:type="dxa"/>
                  <w:gridSpan w:val="2"/>
                  <w:tcBorders>
                    <w:bottom w:val="single" w:color="auto" w:sz="4" w:space="0"/>
                    <w:tl2br w:val="nil"/>
                    <w:tr2bl w:val="nil"/>
                  </w:tcBorders>
                  <w:noWrap/>
                  <w:vAlign w:val="center"/>
                </w:tcPr>
                <w:p w14:paraId="1B61EF8E">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sz w:val="21"/>
                      <w:szCs w:val="21"/>
                      <w:highlight w:val="none"/>
                      <w:u w:val="none"/>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苯乙烯</w:t>
                  </w:r>
                </w:p>
              </w:tc>
              <w:tc>
                <w:tcPr>
                  <w:tcW w:w="439" w:type="dxa"/>
                  <w:gridSpan w:val="2"/>
                  <w:vMerge w:val="continue"/>
                  <w:tcBorders>
                    <w:tl2br w:val="nil"/>
                    <w:tr2bl w:val="nil"/>
                  </w:tcBorders>
                  <w:noWrap/>
                  <w:vAlign w:val="center"/>
                </w:tcPr>
                <w:p w14:paraId="21356BC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sz w:val="21"/>
                      <w:szCs w:val="21"/>
                      <w:highlight w:val="none"/>
                      <w:u w:val="none"/>
                      <w:lang w:val="en-US"/>
                    </w:rPr>
                  </w:pPr>
                </w:p>
              </w:tc>
              <w:tc>
                <w:tcPr>
                  <w:tcW w:w="497" w:type="dxa"/>
                  <w:gridSpan w:val="2"/>
                  <w:vMerge w:val="continue"/>
                  <w:tcBorders>
                    <w:tl2br w:val="nil"/>
                    <w:tr2bl w:val="nil"/>
                  </w:tcBorders>
                  <w:noWrap/>
                  <w:vAlign w:val="center"/>
                </w:tcPr>
                <w:p w14:paraId="54A610E9">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78" w:type="dxa"/>
                  <w:gridSpan w:val="2"/>
                  <w:vMerge w:val="continue"/>
                  <w:tcBorders>
                    <w:tl2br w:val="nil"/>
                    <w:tr2bl w:val="nil"/>
                  </w:tcBorders>
                  <w:noWrap/>
                  <w:vAlign w:val="center"/>
                </w:tcPr>
                <w:p w14:paraId="57861BA4">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715" w:type="dxa"/>
                  <w:gridSpan w:val="2"/>
                  <w:vMerge w:val="continue"/>
                  <w:tcBorders>
                    <w:tl2br w:val="nil"/>
                    <w:tr2bl w:val="nil"/>
                  </w:tcBorders>
                  <w:noWrap/>
                  <w:vAlign w:val="center"/>
                </w:tcPr>
                <w:p w14:paraId="309A0EA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389" w:type="dxa"/>
                  <w:gridSpan w:val="3"/>
                  <w:vMerge w:val="continue"/>
                  <w:tcBorders>
                    <w:tl2br w:val="nil"/>
                    <w:tr2bl w:val="nil"/>
                  </w:tcBorders>
                  <w:noWrap/>
                  <w:vAlign w:val="center"/>
                </w:tcPr>
                <w:p w14:paraId="4157038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350" w:type="dxa"/>
                  <w:vMerge w:val="continue"/>
                  <w:tcBorders>
                    <w:tl2br w:val="nil"/>
                    <w:tr2bl w:val="nil"/>
                  </w:tcBorders>
                  <w:noWrap/>
                  <w:vAlign w:val="center"/>
                </w:tcPr>
                <w:p w14:paraId="587E26D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954" w:type="dxa"/>
                  <w:gridSpan w:val="3"/>
                  <w:vMerge w:val="continue"/>
                  <w:tcBorders>
                    <w:tl2br w:val="nil"/>
                    <w:tr2bl w:val="nil"/>
                  </w:tcBorders>
                  <w:noWrap w:val="0"/>
                  <w:vAlign w:val="center"/>
                </w:tcPr>
                <w:p w14:paraId="3EDA61CB">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gridSpan w:val="2"/>
                  <w:vMerge w:val="continue"/>
                  <w:tcBorders>
                    <w:tl2br w:val="nil"/>
                    <w:tr2bl w:val="nil"/>
                  </w:tcBorders>
                  <w:noWrap/>
                  <w:vAlign w:val="center"/>
                </w:tcPr>
                <w:p w14:paraId="4BA8F7F3">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vMerge w:val="continue"/>
                  <w:tcBorders>
                    <w:tl2br w:val="nil"/>
                    <w:tr2bl w:val="nil"/>
                  </w:tcBorders>
                  <w:noWrap/>
                  <w:vAlign w:val="center"/>
                </w:tcPr>
                <w:p w14:paraId="0FD1775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18" w:type="dxa"/>
                  <w:vMerge w:val="continue"/>
                  <w:tcBorders>
                    <w:tl2br w:val="nil"/>
                    <w:tr2bl w:val="nil"/>
                  </w:tcBorders>
                  <w:noWrap/>
                  <w:vAlign w:val="center"/>
                </w:tcPr>
                <w:p w14:paraId="494C8E9B">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57" w:type="dxa"/>
                  <w:gridSpan w:val="2"/>
                  <w:vMerge w:val="continue"/>
                  <w:tcBorders>
                    <w:tl2br w:val="nil"/>
                    <w:tr2bl w:val="nil"/>
                  </w:tcBorders>
                  <w:noWrap/>
                  <w:vAlign w:val="center"/>
                </w:tcPr>
                <w:p w14:paraId="0862F0A3">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661" w:type="dxa"/>
                  <w:vMerge w:val="continue"/>
                  <w:tcBorders>
                    <w:tl2br w:val="nil"/>
                    <w:tr2bl w:val="nil"/>
                  </w:tcBorders>
                  <w:noWrap/>
                  <w:vAlign w:val="center"/>
                </w:tcPr>
                <w:p w14:paraId="302ABB2D">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19" w:type="dxa"/>
                  <w:vMerge w:val="continue"/>
                  <w:tcBorders>
                    <w:tl2br w:val="nil"/>
                    <w:tr2bl w:val="nil"/>
                  </w:tcBorders>
                  <w:noWrap/>
                  <w:vAlign w:val="center"/>
                </w:tcPr>
                <w:p w14:paraId="6A3250A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r>
            <w:tr w14:paraId="4DFFC676">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vMerge w:val="continue"/>
                  <w:tcBorders>
                    <w:tl2br w:val="nil"/>
                    <w:tr2bl w:val="nil"/>
                  </w:tcBorders>
                  <w:noWrap/>
                  <w:vAlign w:val="center"/>
                </w:tcPr>
                <w:p w14:paraId="38714DF0">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sz w:val="21"/>
                      <w:szCs w:val="21"/>
                      <w:highlight w:val="none"/>
                      <w:u w:val="none"/>
                    </w:rPr>
                  </w:pPr>
                </w:p>
              </w:tc>
              <w:tc>
                <w:tcPr>
                  <w:tcW w:w="375" w:type="dxa"/>
                  <w:vMerge w:val="continue"/>
                  <w:tcBorders>
                    <w:tl2br w:val="nil"/>
                    <w:tr2bl w:val="nil"/>
                  </w:tcBorders>
                  <w:noWrap w:val="0"/>
                  <w:vAlign w:val="center"/>
                </w:tcPr>
                <w:p w14:paraId="647D285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sz w:val="21"/>
                      <w:szCs w:val="21"/>
                      <w:highlight w:val="none"/>
                      <w:u w:val="none"/>
                      <w:lang w:val="en-US" w:eastAsia="zh-CN"/>
                    </w:rPr>
                  </w:pPr>
                </w:p>
              </w:tc>
              <w:tc>
                <w:tcPr>
                  <w:tcW w:w="589" w:type="dxa"/>
                  <w:gridSpan w:val="2"/>
                  <w:tcBorders>
                    <w:bottom w:val="single" w:color="auto" w:sz="4" w:space="0"/>
                    <w:tl2br w:val="nil"/>
                    <w:tr2bl w:val="nil"/>
                  </w:tcBorders>
                  <w:noWrap/>
                  <w:vAlign w:val="center"/>
                </w:tcPr>
                <w:p w14:paraId="4D9CBEF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臭气浓度</w:t>
                  </w:r>
                </w:p>
              </w:tc>
              <w:tc>
                <w:tcPr>
                  <w:tcW w:w="439" w:type="dxa"/>
                  <w:gridSpan w:val="2"/>
                  <w:vMerge w:val="continue"/>
                  <w:tcBorders>
                    <w:tl2br w:val="nil"/>
                    <w:tr2bl w:val="nil"/>
                  </w:tcBorders>
                  <w:noWrap/>
                  <w:vAlign w:val="center"/>
                </w:tcPr>
                <w:p w14:paraId="2A610DC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97" w:type="dxa"/>
                  <w:gridSpan w:val="2"/>
                  <w:vMerge w:val="continue"/>
                  <w:tcBorders>
                    <w:tl2br w:val="nil"/>
                    <w:tr2bl w:val="nil"/>
                  </w:tcBorders>
                  <w:noWrap/>
                  <w:vAlign w:val="center"/>
                </w:tcPr>
                <w:p w14:paraId="1A4A4D8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78" w:type="dxa"/>
                  <w:gridSpan w:val="2"/>
                  <w:vMerge w:val="continue"/>
                  <w:tcBorders>
                    <w:tl2br w:val="nil"/>
                    <w:tr2bl w:val="nil"/>
                  </w:tcBorders>
                  <w:noWrap/>
                  <w:vAlign w:val="center"/>
                </w:tcPr>
                <w:p w14:paraId="5EB1ABD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715" w:type="dxa"/>
                  <w:gridSpan w:val="2"/>
                  <w:vMerge w:val="continue"/>
                  <w:tcBorders>
                    <w:tl2br w:val="nil"/>
                    <w:tr2bl w:val="nil"/>
                  </w:tcBorders>
                  <w:noWrap/>
                  <w:vAlign w:val="center"/>
                </w:tcPr>
                <w:p w14:paraId="61A9E70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389" w:type="dxa"/>
                  <w:gridSpan w:val="3"/>
                  <w:vMerge w:val="continue"/>
                  <w:tcBorders>
                    <w:tl2br w:val="nil"/>
                    <w:tr2bl w:val="nil"/>
                  </w:tcBorders>
                  <w:noWrap/>
                  <w:vAlign w:val="center"/>
                </w:tcPr>
                <w:p w14:paraId="234A199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350" w:type="dxa"/>
                  <w:vMerge w:val="continue"/>
                  <w:tcBorders>
                    <w:tl2br w:val="nil"/>
                    <w:tr2bl w:val="nil"/>
                  </w:tcBorders>
                  <w:noWrap/>
                  <w:vAlign w:val="center"/>
                </w:tcPr>
                <w:p w14:paraId="4C516C4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954" w:type="dxa"/>
                  <w:gridSpan w:val="3"/>
                  <w:vMerge w:val="continue"/>
                  <w:tcBorders>
                    <w:tl2br w:val="nil"/>
                    <w:tr2bl w:val="nil"/>
                  </w:tcBorders>
                  <w:noWrap w:val="0"/>
                  <w:vAlign w:val="center"/>
                </w:tcPr>
                <w:p w14:paraId="3A7424C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gridSpan w:val="2"/>
                  <w:vMerge w:val="continue"/>
                  <w:tcBorders>
                    <w:tl2br w:val="nil"/>
                    <w:tr2bl w:val="nil"/>
                  </w:tcBorders>
                  <w:noWrap/>
                  <w:vAlign w:val="center"/>
                </w:tcPr>
                <w:p w14:paraId="0A64D6AC">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vMerge w:val="continue"/>
                  <w:tcBorders>
                    <w:tl2br w:val="nil"/>
                    <w:tr2bl w:val="nil"/>
                  </w:tcBorders>
                  <w:noWrap/>
                  <w:vAlign w:val="center"/>
                </w:tcPr>
                <w:p w14:paraId="6F9EF209">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18" w:type="dxa"/>
                  <w:vMerge w:val="continue"/>
                  <w:tcBorders>
                    <w:tl2br w:val="nil"/>
                    <w:tr2bl w:val="nil"/>
                  </w:tcBorders>
                  <w:noWrap/>
                  <w:vAlign w:val="center"/>
                </w:tcPr>
                <w:p w14:paraId="533253C3">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57" w:type="dxa"/>
                  <w:gridSpan w:val="2"/>
                  <w:vMerge w:val="continue"/>
                  <w:tcBorders>
                    <w:tl2br w:val="nil"/>
                    <w:tr2bl w:val="nil"/>
                  </w:tcBorders>
                  <w:noWrap/>
                  <w:vAlign w:val="center"/>
                </w:tcPr>
                <w:p w14:paraId="44899C70">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661" w:type="dxa"/>
                  <w:vMerge w:val="continue"/>
                  <w:tcBorders>
                    <w:tl2br w:val="nil"/>
                    <w:tr2bl w:val="nil"/>
                  </w:tcBorders>
                  <w:noWrap/>
                  <w:vAlign w:val="center"/>
                </w:tcPr>
                <w:p w14:paraId="0C690E5C">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19" w:type="dxa"/>
                  <w:vMerge w:val="continue"/>
                  <w:tcBorders>
                    <w:tl2br w:val="nil"/>
                    <w:tr2bl w:val="nil"/>
                  </w:tcBorders>
                  <w:noWrap/>
                  <w:vAlign w:val="center"/>
                </w:tcPr>
                <w:p w14:paraId="040EFA4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r>
            <w:tr w14:paraId="5E4615BA">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vMerge w:val="continue"/>
                  <w:tcBorders>
                    <w:tl2br w:val="nil"/>
                    <w:tr2bl w:val="nil"/>
                  </w:tcBorders>
                  <w:noWrap/>
                  <w:vAlign w:val="center"/>
                </w:tcPr>
                <w:p w14:paraId="7D27149E">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rPr>
                  </w:pPr>
                </w:p>
              </w:tc>
              <w:tc>
                <w:tcPr>
                  <w:tcW w:w="375" w:type="dxa"/>
                  <w:vMerge w:val="restart"/>
                  <w:tcBorders>
                    <w:top w:val="single" w:color="auto" w:sz="4" w:space="0"/>
                    <w:tl2br w:val="nil"/>
                    <w:tr2bl w:val="nil"/>
                  </w:tcBorders>
                  <w:noWrap w:val="0"/>
                  <w:vAlign w:val="center"/>
                </w:tcPr>
                <w:p w14:paraId="51F42209">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rPr>
                  </w:pPr>
                  <w:r>
                    <w:rPr>
                      <w:rFonts w:hint="default" w:ascii="Times New Roman" w:hAnsi="Times New Roman" w:eastAsia="宋体" w:cs="Times New Roman"/>
                      <w:i w:val="0"/>
                      <w:iCs w:val="0"/>
                      <w:color w:val="auto"/>
                      <w:spacing w:val="-20"/>
                      <w:w w:val="95"/>
                      <w:sz w:val="21"/>
                      <w:szCs w:val="21"/>
                      <w:highlight w:val="none"/>
                      <w:u w:val="none"/>
                      <w:lang w:val="en-US" w:eastAsia="zh-CN"/>
                    </w:rPr>
                    <w:t>切割</w:t>
                  </w:r>
                </w:p>
              </w:tc>
              <w:tc>
                <w:tcPr>
                  <w:tcW w:w="589" w:type="dxa"/>
                  <w:gridSpan w:val="2"/>
                  <w:tcBorders>
                    <w:top w:val="single" w:color="auto" w:sz="4" w:space="0"/>
                    <w:tl2br w:val="nil"/>
                    <w:tr2bl w:val="nil"/>
                  </w:tcBorders>
                  <w:noWrap w:val="0"/>
                  <w:vAlign w:val="center"/>
                </w:tcPr>
                <w:p w14:paraId="7E74A17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sz w:val="21"/>
                      <w:szCs w:val="21"/>
                      <w:highlight w:val="none"/>
                      <w:u w:val="none"/>
                    </w:rPr>
                  </w:pPr>
                  <w:r>
                    <w:rPr>
                      <w:rFonts w:hint="default" w:ascii="Times New Roman" w:hAnsi="Times New Roman" w:eastAsia="宋体" w:cs="Times New Roman"/>
                      <w:i w:val="0"/>
                      <w:iCs w:val="0"/>
                      <w:color w:val="auto"/>
                      <w:spacing w:val="-20"/>
                      <w:w w:val="95"/>
                      <w:sz w:val="21"/>
                      <w:szCs w:val="21"/>
                      <w:highlight w:val="none"/>
                      <w:u w:val="none"/>
                      <w:lang w:val="en-US" w:eastAsia="zh-CN"/>
                    </w:rPr>
                    <w:t>非甲烷总烃</w:t>
                  </w:r>
                </w:p>
              </w:tc>
              <w:tc>
                <w:tcPr>
                  <w:tcW w:w="439" w:type="dxa"/>
                  <w:gridSpan w:val="2"/>
                  <w:vMerge w:val="restart"/>
                  <w:tcBorders>
                    <w:tl2br w:val="nil"/>
                    <w:tr2bl w:val="nil"/>
                  </w:tcBorders>
                  <w:noWrap/>
                  <w:vAlign w:val="center"/>
                </w:tcPr>
                <w:p w14:paraId="39BABCA4">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sz w:val="21"/>
                      <w:szCs w:val="21"/>
                      <w:highlight w:val="none"/>
                      <w:u w:val="none"/>
                      <w:lang w:val="en-US"/>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600</w:t>
                  </w:r>
                </w:p>
              </w:tc>
              <w:tc>
                <w:tcPr>
                  <w:tcW w:w="497" w:type="dxa"/>
                  <w:gridSpan w:val="2"/>
                  <w:vMerge w:val="continue"/>
                  <w:tcBorders>
                    <w:tl2br w:val="nil"/>
                    <w:tr2bl w:val="nil"/>
                  </w:tcBorders>
                  <w:noWrap/>
                  <w:vAlign w:val="center"/>
                </w:tcPr>
                <w:p w14:paraId="60C7891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78" w:type="dxa"/>
                  <w:gridSpan w:val="2"/>
                  <w:vMerge w:val="continue"/>
                  <w:tcBorders>
                    <w:tl2br w:val="nil"/>
                    <w:tr2bl w:val="nil"/>
                  </w:tcBorders>
                  <w:noWrap/>
                  <w:vAlign w:val="center"/>
                </w:tcPr>
                <w:p w14:paraId="7582A020">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715" w:type="dxa"/>
                  <w:gridSpan w:val="2"/>
                  <w:vMerge w:val="continue"/>
                  <w:tcBorders>
                    <w:tl2br w:val="nil"/>
                    <w:tr2bl w:val="nil"/>
                  </w:tcBorders>
                  <w:noWrap/>
                  <w:vAlign w:val="center"/>
                </w:tcPr>
                <w:p w14:paraId="666E6C5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389" w:type="dxa"/>
                  <w:gridSpan w:val="3"/>
                  <w:vMerge w:val="continue"/>
                  <w:tcBorders>
                    <w:tl2br w:val="nil"/>
                    <w:tr2bl w:val="nil"/>
                  </w:tcBorders>
                  <w:noWrap/>
                  <w:vAlign w:val="center"/>
                </w:tcPr>
                <w:p w14:paraId="5AC45A3C">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350" w:type="dxa"/>
                  <w:vMerge w:val="continue"/>
                  <w:tcBorders>
                    <w:tl2br w:val="nil"/>
                    <w:tr2bl w:val="nil"/>
                  </w:tcBorders>
                  <w:noWrap/>
                  <w:vAlign w:val="center"/>
                </w:tcPr>
                <w:p w14:paraId="57FEEA10">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954" w:type="dxa"/>
                  <w:gridSpan w:val="3"/>
                  <w:vMerge w:val="continue"/>
                  <w:tcBorders>
                    <w:tl2br w:val="nil"/>
                    <w:tr2bl w:val="nil"/>
                  </w:tcBorders>
                  <w:noWrap w:val="0"/>
                  <w:vAlign w:val="center"/>
                </w:tcPr>
                <w:p w14:paraId="27F9CCC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gridSpan w:val="2"/>
                  <w:vMerge w:val="continue"/>
                  <w:tcBorders>
                    <w:tl2br w:val="nil"/>
                    <w:tr2bl w:val="nil"/>
                  </w:tcBorders>
                  <w:noWrap/>
                  <w:vAlign w:val="center"/>
                </w:tcPr>
                <w:p w14:paraId="26C1900C">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vMerge w:val="continue"/>
                  <w:tcBorders>
                    <w:tl2br w:val="nil"/>
                    <w:tr2bl w:val="nil"/>
                  </w:tcBorders>
                  <w:noWrap/>
                  <w:vAlign w:val="center"/>
                </w:tcPr>
                <w:p w14:paraId="22803C23">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18" w:type="dxa"/>
                  <w:vMerge w:val="continue"/>
                  <w:tcBorders>
                    <w:tl2br w:val="nil"/>
                    <w:tr2bl w:val="nil"/>
                  </w:tcBorders>
                  <w:noWrap/>
                  <w:vAlign w:val="center"/>
                </w:tcPr>
                <w:p w14:paraId="07E0C94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57" w:type="dxa"/>
                  <w:gridSpan w:val="2"/>
                  <w:vMerge w:val="continue"/>
                  <w:tcBorders>
                    <w:tl2br w:val="nil"/>
                    <w:tr2bl w:val="nil"/>
                  </w:tcBorders>
                  <w:noWrap/>
                  <w:vAlign w:val="center"/>
                </w:tcPr>
                <w:p w14:paraId="583C9867">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661" w:type="dxa"/>
                  <w:vMerge w:val="continue"/>
                  <w:tcBorders>
                    <w:tl2br w:val="nil"/>
                    <w:tr2bl w:val="nil"/>
                  </w:tcBorders>
                  <w:noWrap/>
                  <w:vAlign w:val="center"/>
                </w:tcPr>
                <w:p w14:paraId="102AC61D">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19" w:type="dxa"/>
                  <w:vMerge w:val="continue"/>
                  <w:tcBorders>
                    <w:tl2br w:val="nil"/>
                    <w:tr2bl w:val="nil"/>
                  </w:tcBorders>
                  <w:noWrap/>
                  <w:vAlign w:val="center"/>
                </w:tcPr>
                <w:p w14:paraId="65406D2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r>
            <w:tr w14:paraId="4E095DB0">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vMerge w:val="continue"/>
                  <w:tcBorders>
                    <w:tl2br w:val="nil"/>
                    <w:tr2bl w:val="nil"/>
                  </w:tcBorders>
                  <w:noWrap/>
                  <w:vAlign w:val="center"/>
                </w:tcPr>
                <w:p w14:paraId="25911F14">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rPr>
                  </w:pPr>
                </w:p>
              </w:tc>
              <w:tc>
                <w:tcPr>
                  <w:tcW w:w="375" w:type="dxa"/>
                  <w:vMerge w:val="continue"/>
                  <w:tcBorders>
                    <w:tl2br w:val="nil"/>
                    <w:tr2bl w:val="nil"/>
                  </w:tcBorders>
                  <w:noWrap w:val="0"/>
                  <w:vAlign w:val="center"/>
                </w:tcPr>
                <w:p w14:paraId="45149B71">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lang w:val="en-US" w:eastAsia="zh-CN"/>
                    </w:rPr>
                  </w:pPr>
                </w:p>
              </w:tc>
              <w:tc>
                <w:tcPr>
                  <w:tcW w:w="589" w:type="dxa"/>
                  <w:gridSpan w:val="2"/>
                  <w:tcBorders>
                    <w:top w:val="single" w:color="auto" w:sz="4" w:space="0"/>
                    <w:tl2br w:val="nil"/>
                    <w:tr2bl w:val="nil"/>
                  </w:tcBorders>
                  <w:noWrap w:val="0"/>
                  <w:vAlign w:val="center"/>
                </w:tcPr>
                <w:p w14:paraId="1C57EB94">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苯乙烯</w:t>
                  </w:r>
                </w:p>
              </w:tc>
              <w:tc>
                <w:tcPr>
                  <w:tcW w:w="439" w:type="dxa"/>
                  <w:gridSpan w:val="2"/>
                  <w:vMerge w:val="continue"/>
                  <w:tcBorders>
                    <w:tl2br w:val="nil"/>
                    <w:tr2bl w:val="nil"/>
                  </w:tcBorders>
                  <w:noWrap/>
                  <w:vAlign w:val="center"/>
                </w:tcPr>
                <w:p w14:paraId="4EF0F72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97" w:type="dxa"/>
                  <w:gridSpan w:val="2"/>
                  <w:vMerge w:val="continue"/>
                  <w:tcBorders>
                    <w:tl2br w:val="nil"/>
                    <w:tr2bl w:val="nil"/>
                  </w:tcBorders>
                  <w:noWrap/>
                  <w:vAlign w:val="center"/>
                </w:tcPr>
                <w:p w14:paraId="0486486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78" w:type="dxa"/>
                  <w:gridSpan w:val="2"/>
                  <w:vMerge w:val="continue"/>
                  <w:tcBorders>
                    <w:tl2br w:val="nil"/>
                    <w:tr2bl w:val="nil"/>
                  </w:tcBorders>
                  <w:noWrap/>
                  <w:vAlign w:val="center"/>
                </w:tcPr>
                <w:p w14:paraId="59F81487">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715" w:type="dxa"/>
                  <w:gridSpan w:val="2"/>
                  <w:vMerge w:val="continue"/>
                  <w:tcBorders>
                    <w:tl2br w:val="nil"/>
                    <w:tr2bl w:val="nil"/>
                  </w:tcBorders>
                  <w:noWrap/>
                  <w:vAlign w:val="center"/>
                </w:tcPr>
                <w:p w14:paraId="1D6E2E3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389" w:type="dxa"/>
                  <w:gridSpan w:val="3"/>
                  <w:vMerge w:val="continue"/>
                  <w:tcBorders>
                    <w:tl2br w:val="nil"/>
                    <w:tr2bl w:val="nil"/>
                  </w:tcBorders>
                  <w:noWrap/>
                  <w:vAlign w:val="center"/>
                </w:tcPr>
                <w:p w14:paraId="17E802B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350" w:type="dxa"/>
                  <w:vMerge w:val="continue"/>
                  <w:tcBorders>
                    <w:tl2br w:val="nil"/>
                    <w:tr2bl w:val="nil"/>
                  </w:tcBorders>
                  <w:noWrap/>
                  <w:vAlign w:val="center"/>
                </w:tcPr>
                <w:p w14:paraId="4E3971E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954" w:type="dxa"/>
                  <w:gridSpan w:val="3"/>
                  <w:vMerge w:val="continue"/>
                  <w:tcBorders>
                    <w:tl2br w:val="nil"/>
                    <w:tr2bl w:val="nil"/>
                  </w:tcBorders>
                  <w:noWrap w:val="0"/>
                  <w:vAlign w:val="center"/>
                </w:tcPr>
                <w:p w14:paraId="02051E47">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gridSpan w:val="2"/>
                  <w:vMerge w:val="continue"/>
                  <w:tcBorders>
                    <w:tl2br w:val="nil"/>
                    <w:tr2bl w:val="nil"/>
                  </w:tcBorders>
                  <w:noWrap/>
                  <w:vAlign w:val="center"/>
                </w:tcPr>
                <w:p w14:paraId="6CDCF797">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vMerge w:val="continue"/>
                  <w:tcBorders>
                    <w:tl2br w:val="nil"/>
                    <w:tr2bl w:val="nil"/>
                  </w:tcBorders>
                  <w:noWrap/>
                  <w:vAlign w:val="center"/>
                </w:tcPr>
                <w:p w14:paraId="40DB913B">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18" w:type="dxa"/>
                  <w:vMerge w:val="continue"/>
                  <w:tcBorders>
                    <w:tl2br w:val="nil"/>
                    <w:tr2bl w:val="nil"/>
                  </w:tcBorders>
                  <w:noWrap/>
                  <w:vAlign w:val="center"/>
                </w:tcPr>
                <w:p w14:paraId="2422D86D">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57" w:type="dxa"/>
                  <w:gridSpan w:val="2"/>
                  <w:vMerge w:val="continue"/>
                  <w:tcBorders>
                    <w:tl2br w:val="nil"/>
                    <w:tr2bl w:val="nil"/>
                  </w:tcBorders>
                  <w:noWrap/>
                  <w:vAlign w:val="center"/>
                </w:tcPr>
                <w:p w14:paraId="650EAE1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661" w:type="dxa"/>
                  <w:vMerge w:val="continue"/>
                  <w:tcBorders>
                    <w:tl2br w:val="nil"/>
                    <w:tr2bl w:val="nil"/>
                  </w:tcBorders>
                  <w:noWrap/>
                  <w:vAlign w:val="center"/>
                </w:tcPr>
                <w:p w14:paraId="21D21C3B">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19" w:type="dxa"/>
                  <w:vMerge w:val="continue"/>
                  <w:tcBorders>
                    <w:tl2br w:val="nil"/>
                    <w:tr2bl w:val="nil"/>
                  </w:tcBorders>
                  <w:noWrap/>
                  <w:vAlign w:val="center"/>
                </w:tcPr>
                <w:p w14:paraId="1CA9665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r>
            <w:tr w14:paraId="14D3CE62">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00" w:hRule="atLeast"/>
                <w:jc w:val="center"/>
              </w:trPr>
              <w:tc>
                <w:tcPr>
                  <w:tcW w:w="439" w:type="dxa"/>
                  <w:vMerge w:val="continue"/>
                  <w:tcBorders>
                    <w:tl2br w:val="nil"/>
                    <w:tr2bl w:val="nil"/>
                  </w:tcBorders>
                  <w:noWrap/>
                  <w:vAlign w:val="center"/>
                </w:tcPr>
                <w:p w14:paraId="192303D1">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rPr>
                  </w:pPr>
                </w:p>
              </w:tc>
              <w:tc>
                <w:tcPr>
                  <w:tcW w:w="375" w:type="dxa"/>
                  <w:vMerge w:val="continue"/>
                  <w:tcBorders>
                    <w:tl2br w:val="nil"/>
                    <w:tr2bl w:val="nil"/>
                  </w:tcBorders>
                  <w:noWrap w:val="0"/>
                  <w:vAlign w:val="center"/>
                </w:tcPr>
                <w:p w14:paraId="44827448">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lang w:val="en-US" w:eastAsia="zh-CN"/>
                    </w:rPr>
                  </w:pPr>
                </w:p>
              </w:tc>
              <w:tc>
                <w:tcPr>
                  <w:tcW w:w="589" w:type="dxa"/>
                  <w:gridSpan w:val="2"/>
                  <w:tcBorders>
                    <w:top w:val="single" w:color="auto" w:sz="4" w:space="0"/>
                    <w:tl2br w:val="nil"/>
                    <w:tr2bl w:val="nil"/>
                  </w:tcBorders>
                  <w:noWrap w:val="0"/>
                  <w:vAlign w:val="center"/>
                </w:tcPr>
                <w:p w14:paraId="47FAE490">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臭气浓度</w:t>
                  </w:r>
                </w:p>
              </w:tc>
              <w:tc>
                <w:tcPr>
                  <w:tcW w:w="439" w:type="dxa"/>
                  <w:gridSpan w:val="2"/>
                  <w:vMerge w:val="continue"/>
                  <w:tcBorders>
                    <w:tl2br w:val="nil"/>
                    <w:tr2bl w:val="nil"/>
                  </w:tcBorders>
                  <w:noWrap/>
                  <w:vAlign w:val="center"/>
                </w:tcPr>
                <w:p w14:paraId="00F0A1AE">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97" w:type="dxa"/>
                  <w:gridSpan w:val="2"/>
                  <w:vMerge w:val="continue"/>
                  <w:tcBorders>
                    <w:tl2br w:val="nil"/>
                    <w:tr2bl w:val="nil"/>
                  </w:tcBorders>
                  <w:noWrap/>
                  <w:vAlign w:val="center"/>
                </w:tcPr>
                <w:p w14:paraId="7239EE00">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78" w:type="dxa"/>
                  <w:gridSpan w:val="2"/>
                  <w:vMerge w:val="continue"/>
                  <w:tcBorders>
                    <w:tl2br w:val="nil"/>
                    <w:tr2bl w:val="nil"/>
                  </w:tcBorders>
                  <w:noWrap/>
                  <w:vAlign w:val="center"/>
                </w:tcPr>
                <w:p w14:paraId="41D0FD1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715" w:type="dxa"/>
                  <w:gridSpan w:val="2"/>
                  <w:vMerge w:val="continue"/>
                  <w:tcBorders>
                    <w:tl2br w:val="nil"/>
                    <w:tr2bl w:val="nil"/>
                  </w:tcBorders>
                  <w:noWrap/>
                  <w:vAlign w:val="center"/>
                </w:tcPr>
                <w:p w14:paraId="5622CADE">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389" w:type="dxa"/>
                  <w:gridSpan w:val="3"/>
                  <w:vMerge w:val="continue"/>
                  <w:tcBorders>
                    <w:tl2br w:val="nil"/>
                    <w:tr2bl w:val="nil"/>
                  </w:tcBorders>
                  <w:noWrap/>
                  <w:vAlign w:val="center"/>
                </w:tcPr>
                <w:p w14:paraId="49D67A4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350" w:type="dxa"/>
                  <w:vMerge w:val="continue"/>
                  <w:tcBorders>
                    <w:tl2br w:val="nil"/>
                    <w:tr2bl w:val="nil"/>
                  </w:tcBorders>
                  <w:noWrap/>
                  <w:vAlign w:val="center"/>
                </w:tcPr>
                <w:p w14:paraId="10165333">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954" w:type="dxa"/>
                  <w:gridSpan w:val="3"/>
                  <w:vMerge w:val="continue"/>
                  <w:tcBorders>
                    <w:tl2br w:val="nil"/>
                    <w:tr2bl w:val="nil"/>
                  </w:tcBorders>
                  <w:noWrap w:val="0"/>
                  <w:vAlign w:val="center"/>
                </w:tcPr>
                <w:p w14:paraId="06B4538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gridSpan w:val="2"/>
                  <w:vMerge w:val="continue"/>
                  <w:tcBorders>
                    <w:tl2br w:val="nil"/>
                    <w:tr2bl w:val="nil"/>
                  </w:tcBorders>
                  <w:noWrap/>
                  <w:vAlign w:val="center"/>
                </w:tcPr>
                <w:p w14:paraId="3489E85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vMerge w:val="continue"/>
                  <w:tcBorders>
                    <w:tl2br w:val="nil"/>
                    <w:tr2bl w:val="nil"/>
                  </w:tcBorders>
                  <w:noWrap/>
                  <w:vAlign w:val="center"/>
                </w:tcPr>
                <w:p w14:paraId="30D4E91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18" w:type="dxa"/>
                  <w:vMerge w:val="continue"/>
                  <w:tcBorders>
                    <w:tl2br w:val="nil"/>
                    <w:tr2bl w:val="nil"/>
                  </w:tcBorders>
                  <w:noWrap/>
                  <w:vAlign w:val="center"/>
                </w:tcPr>
                <w:p w14:paraId="23E420F3">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57" w:type="dxa"/>
                  <w:gridSpan w:val="2"/>
                  <w:vMerge w:val="continue"/>
                  <w:tcBorders>
                    <w:tl2br w:val="nil"/>
                    <w:tr2bl w:val="nil"/>
                  </w:tcBorders>
                  <w:noWrap/>
                  <w:vAlign w:val="center"/>
                </w:tcPr>
                <w:p w14:paraId="26CB205D">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661" w:type="dxa"/>
                  <w:vMerge w:val="continue"/>
                  <w:tcBorders>
                    <w:tl2br w:val="nil"/>
                    <w:tr2bl w:val="nil"/>
                  </w:tcBorders>
                  <w:noWrap/>
                  <w:vAlign w:val="center"/>
                </w:tcPr>
                <w:p w14:paraId="1BF31C45">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19" w:type="dxa"/>
                  <w:vMerge w:val="continue"/>
                  <w:tcBorders>
                    <w:tl2br w:val="nil"/>
                    <w:tr2bl w:val="nil"/>
                  </w:tcBorders>
                  <w:noWrap/>
                  <w:vAlign w:val="center"/>
                </w:tcPr>
                <w:p w14:paraId="3B3D473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r>
            <w:tr w14:paraId="5FC32491">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vMerge w:val="restart"/>
                  <w:tcBorders>
                    <w:tl2br w:val="nil"/>
                    <w:tr2bl w:val="nil"/>
                  </w:tcBorders>
                  <w:noWrap/>
                  <w:vAlign w:val="center"/>
                </w:tcPr>
                <w:p w14:paraId="13272E0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DA</w:t>
                  </w:r>
                </w:p>
                <w:p w14:paraId="59D3A950">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001</w:t>
                  </w:r>
                  <w:r>
                    <w:rPr>
                      <w:rFonts w:hint="eastAsia" w:cs="Times New Roman"/>
                      <w:i w:val="0"/>
                      <w:iCs w:val="0"/>
                      <w:color w:val="auto"/>
                      <w:spacing w:val="-20"/>
                      <w:w w:val="95"/>
                      <w:kern w:val="0"/>
                      <w:sz w:val="21"/>
                      <w:szCs w:val="21"/>
                      <w:highlight w:val="none"/>
                      <w:u w:val="none"/>
                      <w:lang w:val="en-US" w:eastAsia="zh-CN" w:bidi="ar"/>
                    </w:rPr>
                    <w:t>（仅脱附-催化燃烧时）</w:t>
                  </w:r>
                </w:p>
              </w:tc>
              <w:tc>
                <w:tcPr>
                  <w:tcW w:w="375" w:type="dxa"/>
                  <w:vMerge w:val="restart"/>
                  <w:tcBorders>
                    <w:tl2br w:val="nil"/>
                    <w:tr2bl w:val="nil"/>
                  </w:tcBorders>
                  <w:noWrap w:val="0"/>
                  <w:vAlign w:val="center"/>
                </w:tcPr>
                <w:p w14:paraId="5E54B70E">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lang w:val="en-US" w:eastAsia="zh-CN"/>
                    </w:rPr>
                  </w:pPr>
                  <w:r>
                    <w:rPr>
                      <w:rFonts w:hint="eastAsia" w:cs="Times New Roman"/>
                      <w:i w:val="0"/>
                      <w:iCs w:val="0"/>
                      <w:color w:val="auto"/>
                      <w:spacing w:val="-20"/>
                      <w:w w:val="95"/>
                      <w:sz w:val="21"/>
                      <w:szCs w:val="21"/>
                      <w:highlight w:val="none"/>
                      <w:u w:val="none"/>
                      <w:lang w:val="en-US" w:eastAsia="zh-CN"/>
                    </w:rPr>
                    <w:t>脱附</w:t>
                  </w:r>
                </w:p>
              </w:tc>
              <w:tc>
                <w:tcPr>
                  <w:tcW w:w="589" w:type="dxa"/>
                  <w:gridSpan w:val="2"/>
                  <w:tcBorders>
                    <w:top w:val="single" w:color="auto" w:sz="4" w:space="0"/>
                    <w:tl2br w:val="nil"/>
                    <w:tr2bl w:val="nil"/>
                  </w:tcBorders>
                  <w:noWrap w:val="0"/>
                  <w:vAlign w:val="center"/>
                </w:tcPr>
                <w:p w14:paraId="3A11D1B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eastAsia"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sz w:val="21"/>
                      <w:szCs w:val="21"/>
                      <w:highlight w:val="none"/>
                      <w:u w:val="none"/>
                      <w:lang w:val="en-US" w:eastAsia="zh-CN"/>
                    </w:rPr>
                    <w:t>非甲烷总烃</w:t>
                  </w:r>
                </w:p>
              </w:tc>
              <w:tc>
                <w:tcPr>
                  <w:tcW w:w="439" w:type="dxa"/>
                  <w:gridSpan w:val="2"/>
                  <w:vMerge w:val="restart"/>
                  <w:tcBorders>
                    <w:tl2br w:val="nil"/>
                    <w:tr2bl w:val="nil"/>
                  </w:tcBorders>
                  <w:noWrap/>
                  <w:vAlign w:val="center"/>
                </w:tcPr>
                <w:p w14:paraId="48D4CE8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144</w:t>
                  </w:r>
                </w:p>
              </w:tc>
              <w:tc>
                <w:tcPr>
                  <w:tcW w:w="497" w:type="dxa"/>
                  <w:gridSpan w:val="2"/>
                  <w:tcBorders>
                    <w:tl2br w:val="nil"/>
                    <w:tr2bl w:val="nil"/>
                  </w:tcBorders>
                  <w:noWrap/>
                  <w:vAlign w:val="center"/>
                </w:tcPr>
                <w:p w14:paraId="30898CC5">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0.843</w:t>
                  </w:r>
                </w:p>
              </w:tc>
              <w:tc>
                <w:tcPr>
                  <w:tcW w:w="578" w:type="dxa"/>
                  <w:gridSpan w:val="2"/>
                  <w:tcBorders>
                    <w:tl2br w:val="nil"/>
                    <w:tr2bl w:val="nil"/>
                  </w:tcBorders>
                  <w:noWrap/>
                  <w:vAlign w:val="center"/>
                </w:tcPr>
                <w:p w14:paraId="7410BF3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5.852</w:t>
                  </w:r>
                </w:p>
              </w:tc>
              <w:tc>
                <w:tcPr>
                  <w:tcW w:w="715" w:type="dxa"/>
                  <w:gridSpan w:val="2"/>
                  <w:tcBorders>
                    <w:tl2br w:val="nil"/>
                    <w:tr2bl w:val="nil"/>
                  </w:tcBorders>
                  <w:noWrap/>
                  <w:vAlign w:val="center"/>
                </w:tcPr>
                <w:p w14:paraId="615AF1A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3901.5</w:t>
                  </w:r>
                </w:p>
              </w:tc>
              <w:tc>
                <w:tcPr>
                  <w:tcW w:w="389" w:type="dxa"/>
                  <w:gridSpan w:val="3"/>
                  <w:vMerge w:val="restart"/>
                  <w:tcBorders>
                    <w:tl2br w:val="nil"/>
                    <w:tr2bl w:val="nil"/>
                  </w:tcBorders>
                  <w:noWrap/>
                  <w:vAlign w:val="center"/>
                </w:tcPr>
                <w:p w14:paraId="2202588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100</w:t>
                  </w:r>
                </w:p>
              </w:tc>
              <w:tc>
                <w:tcPr>
                  <w:tcW w:w="350" w:type="dxa"/>
                  <w:vMerge w:val="restart"/>
                  <w:tcBorders>
                    <w:tl2br w:val="nil"/>
                    <w:tr2bl w:val="nil"/>
                  </w:tcBorders>
                  <w:noWrap/>
                  <w:vAlign w:val="center"/>
                </w:tcPr>
                <w:p w14:paraId="6D8D9CFC">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1500</w:t>
                  </w:r>
                </w:p>
              </w:tc>
              <w:tc>
                <w:tcPr>
                  <w:tcW w:w="954" w:type="dxa"/>
                  <w:gridSpan w:val="3"/>
                  <w:vMerge w:val="restart"/>
                  <w:tcBorders>
                    <w:tl2br w:val="nil"/>
                    <w:tr2bl w:val="nil"/>
                  </w:tcBorders>
                  <w:noWrap w:val="0"/>
                  <w:vAlign w:val="center"/>
                </w:tcPr>
                <w:p w14:paraId="303E892C">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eastAsia" w:ascii="Times New Roman" w:hAnsi="Times New Roman" w:cs="Times New Roman"/>
                      <w:color w:val="auto"/>
                      <w:sz w:val="21"/>
                      <w:szCs w:val="21"/>
                      <w:highlight w:val="none"/>
                      <w:lang w:val="en-US" w:eastAsia="zh-CN"/>
                    </w:rPr>
                  </w:pPr>
                  <w:r>
                    <w:rPr>
                      <w:rFonts w:hint="eastAsia" w:cs="Times New Roman"/>
                      <w:i w:val="0"/>
                      <w:iCs w:val="0"/>
                      <w:color w:val="auto"/>
                      <w:spacing w:val="-20"/>
                      <w:w w:val="95"/>
                      <w:kern w:val="0"/>
                      <w:sz w:val="21"/>
                      <w:szCs w:val="21"/>
                      <w:highlight w:val="none"/>
                      <w:u w:val="none"/>
                      <w:lang w:val="en-US" w:eastAsia="zh-CN" w:bidi="ar"/>
                    </w:rPr>
                    <w:t>脱附+催化燃烧</w:t>
                  </w:r>
                  <w:r>
                    <w:rPr>
                      <w:rFonts w:hint="eastAsia" w:ascii="Times New Roman" w:hAnsi="Times New Roman" w:eastAsia="宋体" w:cs="Times New Roman"/>
                      <w:color w:val="auto"/>
                      <w:sz w:val="21"/>
                      <w:szCs w:val="21"/>
                      <w:highlight w:val="none"/>
                      <w:lang w:val="en-US" w:eastAsia="zh-CN"/>
                    </w:rPr>
                    <w:t>（TA00</w:t>
                  </w:r>
                  <w:r>
                    <w:rPr>
                      <w:rFonts w:hint="eastAsia" w:ascii="Times New Roman" w:hAnsi="Times New Roman" w:cs="Times New Roman"/>
                      <w:color w:val="auto"/>
                      <w:sz w:val="21"/>
                      <w:szCs w:val="21"/>
                      <w:highlight w:val="none"/>
                      <w:lang w:val="en-US" w:eastAsia="zh-CN"/>
                    </w:rPr>
                    <w:t>2</w:t>
                  </w:r>
                </w:p>
                <w:p w14:paraId="572964B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ascii="Times New Roman" w:hAnsi="Times New Roman" w:cs="Times New Roman"/>
                      <w:color w:val="auto"/>
                      <w:sz w:val="21"/>
                      <w:szCs w:val="21"/>
                      <w:highlight w:val="none"/>
                      <w:lang w:val="en-US" w:eastAsia="zh-CN"/>
                    </w:rPr>
                    <w:t>）</w:t>
                  </w:r>
                  <w:r>
                    <w:rPr>
                      <w:rFonts w:hint="eastAsia" w:cs="Times New Roman"/>
                      <w:i w:val="0"/>
                      <w:iCs w:val="0"/>
                      <w:color w:val="auto"/>
                      <w:spacing w:val="-20"/>
                      <w:w w:val="95"/>
                      <w:kern w:val="0"/>
                      <w:sz w:val="21"/>
                      <w:szCs w:val="21"/>
                      <w:highlight w:val="none"/>
                      <w:u w:val="none"/>
                      <w:lang w:val="en-US" w:eastAsia="zh-CN" w:bidi="ar"/>
                    </w:rPr>
                    <w:t>+</w:t>
                  </w: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15m高排气筒DA001排放</w:t>
                  </w:r>
                </w:p>
              </w:tc>
              <w:tc>
                <w:tcPr>
                  <w:tcW w:w="407" w:type="dxa"/>
                  <w:gridSpan w:val="2"/>
                  <w:vMerge w:val="restart"/>
                  <w:tcBorders>
                    <w:tl2br w:val="nil"/>
                    <w:tr2bl w:val="nil"/>
                  </w:tcBorders>
                  <w:noWrap/>
                  <w:vAlign w:val="center"/>
                </w:tcPr>
                <w:p w14:paraId="378E981E">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是</w:t>
                  </w:r>
                </w:p>
              </w:tc>
              <w:tc>
                <w:tcPr>
                  <w:tcW w:w="407" w:type="dxa"/>
                  <w:vMerge w:val="restart"/>
                  <w:tcBorders>
                    <w:tl2br w:val="nil"/>
                    <w:tr2bl w:val="nil"/>
                  </w:tcBorders>
                  <w:noWrap/>
                  <w:vAlign w:val="center"/>
                </w:tcPr>
                <w:p w14:paraId="32C17DF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99.5</w:t>
                  </w:r>
                </w:p>
              </w:tc>
              <w:tc>
                <w:tcPr>
                  <w:tcW w:w="418" w:type="dxa"/>
                  <w:tcBorders>
                    <w:tl2br w:val="nil"/>
                    <w:tr2bl w:val="nil"/>
                  </w:tcBorders>
                  <w:noWrap/>
                  <w:vAlign w:val="center"/>
                </w:tcPr>
                <w:p w14:paraId="77B3C59D">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0.04</w:t>
                  </w:r>
                </w:p>
              </w:tc>
              <w:tc>
                <w:tcPr>
                  <w:tcW w:w="557" w:type="dxa"/>
                  <w:gridSpan w:val="2"/>
                  <w:tcBorders>
                    <w:tl2br w:val="nil"/>
                    <w:tr2bl w:val="nil"/>
                  </w:tcBorders>
                  <w:noWrap/>
                  <w:vAlign w:val="center"/>
                </w:tcPr>
                <w:p w14:paraId="6FBB65D9">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0.029</w:t>
                  </w:r>
                </w:p>
              </w:tc>
              <w:tc>
                <w:tcPr>
                  <w:tcW w:w="661" w:type="dxa"/>
                  <w:tcBorders>
                    <w:tl2br w:val="nil"/>
                    <w:tr2bl w:val="nil"/>
                  </w:tcBorders>
                  <w:noWrap/>
                  <w:vAlign w:val="center"/>
                </w:tcPr>
                <w:p w14:paraId="0A7FF64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19.508</w:t>
                  </w:r>
                </w:p>
              </w:tc>
              <w:tc>
                <w:tcPr>
                  <w:tcW w:w="519" w:type="dxa"/>
                  <w:vMerge w:val="continue"/>
                  <w:tcBorders>
                    <w:tl2br w:val="nil"/>
                    <w:tr2bl w:val="nil"/>
                  </w:tcBorders>
                  <w:noWrap/>
                  <w:vAlign w:val="center"/>
                </w:tcPr>
                <w:p w14:paraId="4410914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r>
            <w:tr w14:paraId="68C34E46">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vMerge w:val="continue"/>
                  <w:tcBorders>
                    <w:tl2br w:val="nil"/>
                    <w:tr2bl w:val="nil"/>
                  </w:tcBorders>
                  <w:noWrap/>
                  <w:vAlign w:val="center"/>
                </w:tcPr>
                <w:p w14:paraId="6034F4B6">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rPr>
                  </w:pPr>
                </w:p>
              </w:tc>
              <w:tc>
                <w:tcPr>
                  <w:tcW w:w="375" w:type="dxa"/>
                  <w:vMerge w:val="continue"/>
                  <w:tcBorders>
                    <w:tl2br w:val="nil"/>
                    <w:tr2bl w:val="nil"/>
                  </w:tcBorders>
                  <w:noWrap w:val="0"/>
                  <w:vAlign w:val="center"/>
                </w:tcPr>
                <w:p w14:paraId="5F7F9D8B">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lang w:val="en-US" w:eastAsia="zh-CN"/>
                    </w:rPr>
                  </w:pPr>
                </w:p>
              </w:tc>
              <w:tc>
                <w:tcPr>
                  <w:tcW w:w="589" w:type="dxa"/>
                  <w:gridSpan w:val="2"/>
                  <w:tcBorders>
                    <w:top w:val="single" w:color="auto" w:sz="4" w:space="0"/>
                    <w:tl2br w:val="nil"/>
                    <w:tr2bl w:val="nil"/>
                  </w:tcBorders>
                  <w:noWrap w:val="0"/>
                  <w:vAlign w:val="center"/>
                </w:tcPr>
                <w:p w14:paraId="0C1E682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eastAsia"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苯乙烯</w:t>
                  </w:r>
                </w:p>
              </w:tc>
              <w:tc>
                <w:tcPr>
                  <w:tcW w:w="439" w:type="dxa"/>
                  <w:gridSpan w:val="2"/>
                  <w:vMerge w:val="continue"/>
                  <w:tcBorders>
                    <w:tl2br w:val="nil"/>
                    <w:tr2bl w:val="nil"/>
                  </w:tcBorders>
                  <w:noWrap/>
                  <w:vAlign w:val="center"/>
                </w:tcPr>
                <w:p w14:paraId="42AE968D">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97" w:type="dxa"/>
                  <w:gridSpan w:val="2"/>
                  <w:tcBorders>
                    <w:tl2br w:val="nil"/>
                    <w:tr2bl w:val="nil"/>
                  </w:tcBorders>
                  <w:noWrap/>
                  <w:vAlign w:val="center"/>
                </w:tcPr>
                <w:p w14:paraId="1A07F00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0.014</w:t>
                  </w:r>
                </w:p>
              </w:tc>
              <w:tc>
                <w:tcPr>
                  <w:tcW w:w="578" w:type="dxa"/>
                  <w:gridSpan w:val="2"/>
                  <w:tcBorders>
                    <w:tl2br w:val="nil"/>
                    <w:tr2bl w:val="nil"/>
                  </w:tcBorders>
                  <w:noWrap/>
                  <w:vAlign w:val="center"/>
                </w:tcPr>
                <w:p w14:paraId="70DAB1F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0.100</w:t>
                  </w:r>
                </w:p>
              </w:tc>
              <w:tc>
                <w:tcPr>
                  <w:tcW w:w="715" w:type="dxa"/>
                  <w:gridSpan w:val="2"/>
                  <w:tcBorders>
                    <w:tl2br w:val="nil"/>
                    <w:tr2bl w:val="nil"/>
                  </w:tcBorders>
                  <w:noWrap/>
                  <w:vAlign w:val="center"/>
                </w:tcPr>
                <w:p w14:paraId="6C2C91C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66.81</w:t>
                  </w:r>
                </w:p>
              </w:tc>
              <w:tc>
                <w:tcPr>
                  <w:tcW w:w="389" w:type="dxa"/>
                  <w:gridSpan w:val="3"/>
                  <w:vMerge w:val="continue"/>
                  <w:tcBorders>
                    <w:tl2br w:val="nil"/>
                    <w:tr2bl w:val="nil"/>
                  </w:tcBorders>
                  <w:noWrap/>
                  <w:vAlign w:val="center"/>
                </w:tcPr>
                <w:p w14:paraId="181E9147">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350" w:type="dxa"/>
                  <w:vMerge w:val="continue"/>
                  <w:tcBorders>
                    <w:tl2br w:val="nil"/>
                    <w:tr2bl w:val="nil"/>
                  </w:tcBorders>
                  <w:noWrap/>
                  <w:vAlign w:val="center"/>
                </w:tcPr>
                <w:p w14:paraId="7643994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954" w:type="dxa"/>
                  <w:gridSpan w:val="3"/>
                  <w:vMerge w:val="continue"/>
                  <w:tcBorders>
                    <w:tl2br w:val="nil"/>
                    <w:tr2bl w:val="nil"/>
                  </w:tcBorders>
                  <w:noWrap w:val="0"/>
                  <w:vAlign w:val="center"/>
                </w:tcPr>
                <w:p w14:paraId="62067BA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gridSpan w:val="2"/>
                  <w:vMerge w:val="continue"/>
                  <w:tcBorders>
                    <w:tl2br w:val="nil"/>
                    <w:tr2bl w:val="nil"/>
                  </w:tcBorders>
                  <w:noWrap/>
                  <w:vAlign w:val="center"/>
                </w:tcPr>
                <w:p w14:paraId="137EE84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vMerge w:val="continue"/>
                  <w:tcBorders>
                    <w:tl2br w:val="nil"/>
                    <w:tr2bl w:val="nil"/>
                  </w:tcBorders>
                  <w:noWrap/>
                  <w:vAlign w:val="center"/>
                </w:tcPr>
                <w:p w14:paraId="095E84F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18" w:type="dxa"/>
                  <w:tcBorders>
                    <w:tl2br w:val="nil"/>
                    <w:tr2bl w:val="nil"/>
                  </w:tcBorders>
                  <w:noWrap/>
                  <w:vAlign w:val="center"/>
                </w:tcPr>
                <w:p w14:paraId="2EDCE50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ascii="Times New Roman" w:hAnsi="Times New Roman" w:cs="Times New Roman"/>
                      <w:color w:val="auto"/>
                      <w:sz w:val="21"/>
                      <w:szCs w:val="21"/>
                      <w:highlight w:val="none"/>
                      <w:lang w:val="en-US" w:eastAsia="zh-CN"/>
                    </w:rPr>
                    <w:t>7.2</w:t>
                  </w:r>
                  <w:r>
                    <w:rPr>
                      <w:rFonts w:hint="default" w:ascii="Times New Roman" w:hAnsi="Times New Roman" w:eastAsia="宋体" w:cs="Times New Roman"/>
                      <w:color w:val="auto"/>
                      <w:sz w:val="21"/>
                      <w:szCs w:val="21"/>
                      <w:highlight w:val="none"/>
                      <w:lang w:val="en-US" w:eastAsia="zh-CN"/>
                    </w:rPr>
                    <w:t>×10</w:t>
                  </w:r>
                  <w:r>
                    <w:rPr>
                      <w:rFonts w:hint="default" w:ascii="Times New Roman" w:hAnsi="Times New Roman" w:eastAsia="宋体" w:cs="Times New Roman"/>
                      <w:color w:val="auto"/>
                      <w:sz w:val="21"/>
                      <w:szCs w:val="21"/>
                      <w:highlight w:val="none"/>
                      <w:vertAlign w:val="superscript"/>
                      <w:lang w:val="en-US" w:eastAsia="zh-CN"/>
                    </w:rPr>
                    <w:t>-</w:t>
                  </w:r>
                  <w:r>
                    <w:rPr>
                      <w:rFonts w:hint="eastAsia" w:ascii="Times New Roman" w:hAnsi="Times New Roman" w:cs="Times New Roman"/>
                      <w:color w:val="auto"/>
                      <w:sz w:val="21"/>
                      <w:szCs w:val="21"/>
                      <w:highlight w:val="none"/>
                      <w:vertAlign w:val="superscript"/>
                      <w:lang w:val="en-US" w:eastAsia="zh-CN"/>
                    </w:rPr>
                    <w:t>5</w:t>
                  </w:r>
                </w:p>
              </w:tc>
              <w:tc>
                <w:tcPr>
                  <w:tcW w:w="557" w:type="dxa"/>
                  <w:gridSpan w:val="2"/>
                  <w:tcBorders>
                    <w:tl2br w:val="nil"/>
                    <w:tr2bl w:val="nil"/>
                  </w:tcBorders>
                  <w:noWrap/>
                  <w:vAlign w:val="center"/>
                </w:tcPr>
                <w:p w14:paraId="17351F9E">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0.0005</w:t>
                  </w:r>
                </w:p>
              </w:tc>
              <w:tc>
                <w:tcPr>
                  <w:tcW w:w="661" w:type="dxa"/>
                  <w:tcBorders>
                    <w:tl2br w:val="nil"/>
                    <w:tr2bl w:val="nil"/>
                  </w:tcBorders>
                  <w:noWrap/>
                  <w:vAlign w:val="center"/>
                </w:tcPr>
                <w:p w14:paraId="1C8A995C">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0.334</w:t>
                  </w:r>
                </w:p>
              </w:tc>
              <w:tc>
                <w:tcPr>
                  <w:tcW w:w="519" w:type="dxa"/>
                  <w:vMerge w:val="continue"/>
                  <w:tcBorders>
                    <w:tl2br w:val="nil"/>
                    <w:tr2bl w:val="nil"/>
                  </w:tcBorders>
                  <w:noWrap/>
                  <w:vAlign w:val="center"/>
                </w:tcPr>
                <w:p w14:paraId="6611FD8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r>
            <w:tr w14:paraId="4C3AC262">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vMerge w:val="continue"/>
                  <w:tcBorders>
                    <w:tl2br w:val="nil"/>
                    <w:tr2bl w:val="nil"/>
                  </w:tcBorders>
                  <w:noWrap/>
                  <w:vAlign w:val="center"/>
                </w:tcPr>
                <w:p w14:paraId="059430F4">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rPr>
                  </w:pPr>
                </w:p>
              </w:tc>
              <w:tc>
                <w:tcPr>
                  <w:tcW w:w="375" w:type="dxa"/>
                  <w:vMerge w:val="continue"/>
                  <w:tcBorders>
                    <w:tl2br w:val="nil"/>
                    <w:tr2bl w:val="nil"/>
                  </w:tcBorders>
                  <w:noWrap w:val="0"/>
                  <w:vAlign w:val="center"/>
                </w:tcPr>
                <w:p w14:paraId="69CF726B">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lang w:val="en-US" w:eastAsia="zh-CN"/>
                    </w:rPr>
                  </w:pPr>
                </w:p>
              </w:tc>
              <w:tc>
                <w:tcPr>
                  <w:tcW w:w="589" w:type="dxa"/>
                  <w:gridSpan w:val="2"/>
                  <w:tcBorders>
                    <w:top w:val="single" w:color="auto" w:sz="4" w:space="0"/>
                    <w:tl2br w:val="nil"/>
                    <w:tr2bl w:val="nil"/>
                  </w:tcBorders>
                  <w:noWrap w:val="0"/>
                  <w:vAlign w:val="center"/>
                </w:tcPr>
                <w:p w14:paraId="262609A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eastAsia"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臭气浓度</w:t>
                  </w:r>
                </w:p>
              </w:tc>
              <w:tc>
                <w:tcPr>
                  <w:tcW w:w="439" w:type="dxa"/>
                  <w:gridSpan w:val="2"/>
                  <w:vMerge w:val="continue"/>
                  <w:tcBorders>
                    <w:tl2br w:val="nil"/>
                    <w:tr2bl w:val="nil"/>
                  </w:tcBorders>
                  <w:noWrap/>
                  <w:vAlign w:val="center"/>
                </w:tcPr>
                <w:p w14:paraId="5120CAD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97" w:type="dxa"/>
                  <w:gridSpan w:val="2"/>
                  <w:tcBorders>
                    <w:tl2br w:val="nil"/>
                    <w:tr2bl w:val="nil"/>
                  </w:tcBorders>
                  <w:noWrap/>
                  <w:vAlign w:val="center"/>
                </w:tcPr>
                <w:p w14:paraId="03E1CCC7">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w:t>
                  </w:r>
                </w:p>
              </w:tc>
              <w:tc>
                <w:tcPr>
                  <w:tcW w:w="578" w:type="dxa"/>
                  <w:gridSpan w:val="2"/>
                  <w:tcBorders>
                    <w:tl2br w:val="nil"/>
                    <w:tr2bl w:val="nil"/>
                  </w:tcBorders>
                  <w:noWrap/>
                  <w:vAlign w:val="center"/>
                </w:tcPr>
                <w:p w14:paraId="1EE6C89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w:t>
                  </w:r>
                </w:p>
              </w:tc>
              <w:tc>
                <w:tcPr>
                  <w:tcW w:w="715" w:type="dxa"/>
                  <w:gridSpan w:val="2"/>
                  <w:tcBorders>
                    <w:tl2br w:val="nil"/>
                    <w:tr2bl w:val="nil"/>
                  </w:tcBorders>
                  <w:noWrap/>
                  <w:vAlign w:val="center"/>
                </w:tcPr>
                <w:p w14:paraId="1D0AFCE4">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w:t>
                  </w:r>
                </w:p>
              </w:tc>
              <w:tc>
                <w:tcPr>
                  <w:tcW w:w="389" w:type="dxa"/>
                  <w:gridSpan w:val="3"/>
                  <w:vMerge w:val="continue"/>
                  <w:tcBorders>
                    <w:tl2br w:val="nil"/>
                    <w:tr2bl w:val="nil"/>
                  </w:tcBorders>
                  <w:noWrap/>
                  <w:vAlign w:val="center"/>
                </w:tcPr>
                <w:p w14:paraId="610DDEA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350" w:type="dxa"/>
                  <w:vMerge w:val="continue"/>
                  <w:tcBorders>
                    <w:tl2br w:val="nil"/>
                    <w:tr2bl w:val="nil"/>
                  </w:tcBorders>
                  <w:noWrap/>
                  <w:vAlign w:val="center"/>
                </w:tcPr>
                <w:p w14:paraId="52081337">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954" w:type="dxa"/>
                  <w:gridSpan w:val="3"/>
                  <w:vMerge w:val="continue"/>
                  <w:tcBorders>
                    <w:tl2br w:val="nil"/>
                    <w:tr2bl w:val="nil"/>
                  </w:tcBorders>
                  <w:noWrap w:val="0"/>
                  <w:vAlign w:val="center"/>
                </w:tcPr>
                <w:p w14:paraId="32C67AB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gridSpan w:val="2"/>
                  <w:vMerge w:val="continue"/>
                  <w:tcBorders>
                    <w:tl2br w:val="nil"/>
                    <w:tr2bl w:val="nil"/>
                  </w:tcBorders>
                  <w:noWrap/>
                  <w:vAlign w:val="center"/>
                </w:tcPr>
                <w:p w14:paraId="241323C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07" w:type="dxa"/>
                  <w:vMerge w:val="continue"/>
                  <w:tcBorders>
                    <w:tl2br w:val="nil"/>
                    <w:tr2bl w:val="nil"/>
                  </w:tcBorders>
                  <w:noWrap/>
                  <w:vAlign w:val="center"/>
                </w:tcPr>
                <w:p w14:paraId="32DF6E8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18" w:type="dxa"/>
                  <w:tcBorders>
                    <w:tl2br w:val="nil"/>
                    <w:tr2bl w:val="nil"/>
                  </w:tcBorders>
                  <w:noWrap/>
                  <w:vAlign w:val="center"/>
                </w:tcPr>
                <w:p w14:paraId="7FF74CE0">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w:t>
                  </w:r>
                </w:p>
              </w:tc>
              <w:tc>
                <w:tcPr>
                  <w:tcW w:w="557" w:type="dxa"/>
                  <w:gridSpan w:val="2"/>
                  <w:tcBorders>
                    <w:tl2br w:val="nil"/>
                    <w:tr2bl w:val="nil"/>
                  </w:tcBorders>
                  <w:noWrap/>
                  <w:vAlign w:val="center"/>
                </w:tcPr>
                <w:p w14:paraId="30CAF51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w:t>
                  </w:r>
                </w:p>
              </w:tc>
              <w:tc>
                <w:tcPr>
                  <w:tcW w:w="661" w:type="dxa"/>
                  <w:tcBorders>
                    <w:tl2br w:val="nil"/>
                    <w:tr2bl w:val="nil"/>
                  </w:tcBorders>
                  <w:noWrap/>
                  <w:vAlign w:val="center"/>
                </w:tcPr>
                <w:p w14:paraId="2ADBE50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0.793</w:t>
                  </w: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（无量纲）</w:t>
                  </w:r>
                </w:p>
              </w:tc>
              <w:tc>
                <w:tcPr>
                  <w:tcW w:w="519" w:type="dxa"/>
                  <w:vMerge w:val="continue"/>
                  <w:tcBorders>
                    <w:tl2br w:val="nil"/>
                    <w:tr2bl w:val="nil"/>
                  </w:tcBorders>
                  <w:noWrap/>
                  <w:vAlign w:val="center"/>
                </w:tcPr>
                <w:p w14:paraId="459D5B44">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r>
            <w:tr w14:paraId="31463A94">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tcBorders>
                    <w:tl2br w:val="nil"/>
                    <w:tr2bl w:val="nil"/>
                  </w:tcBorders>
                  <w:noWrap/>
                  <w:vAlign w:val="center"/>
                </w:tcPr>
                <w:p w14:paraId="141454E5">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0"/>
                      <w:w w:val="95"/>
                      <w:sz w:val="21"/>
                      <w:szCs w:val="21"/>
                      <w:highlight w:val="none"/>
                      <w:u w:val="none"/>
                    </w:rPr>
                  </w:pPr>
                  <w:r>
                    <w:rPr>
                      <w:rFonts w:hint="default" w:ascii="Times New Roman" w:hAnsi="Times New Roman" w:eastAsia="宋体" w:cs="Times New Roman"/>
                      <w:b/>
                      <w:bCs/>
                      <w:i w:val="0"/>
                      <w:iCs w:val="0"/>
                      <w:color w:val="auto"/>
                      <w:spacing w:val="-20"/>
                      <w:w w:val="95"/>
                      <w:kern w:val="0"/>
                      <w:sz w:val="21"/>
                      <w:szCs w:val="21"/>
                      <w:highlight w:val="none"/>
                      <w:u w:val="none"/>
                      <w:lang w:val="en-US" w:eastAsia="zh-CN" w:bidi="ar"/>
                    </w:rPr>
                    <w:t>排放源名称</w:t>
                  </w:r>
                </w:p>
              </w:tc>
              <w:tc>
                <w:tcPr>
                  <w:tcW w:w="482" w:type="dxa"/>
                  <w:gridSpan w:val="2"/>
                  <w:tcBorders>
                    <w:tl2br w:val="nil"/>
                    <w:tr2bl w:val="nil"/>
                  </w:tcBorders>
                  <w:noWrap/>
                  <w:vAlign w:val="center"/>
                </w:tcPr>
                <w:p w14:paraId="66DBA9A5">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0"/>
                      <w:w w:val="95"/>
                      <w:sz w:val="21"/>
                      <w:szCs w:val="21"/>
                      <w:highlight w:val="none"/>
                      <w:u w:val="none"/>
                    </w:rPr>
                  </w:pPr>
                  <w:r>
                    <w:rPr>
                      <w:rFonts w:hint="default" w:ascii="Times New Roman" w:hAnsi="Times New Roman" w:eastAsia="宋体" w:cs="Times New Roman"/>
                      <w:b/>
                      <w:bCs/>
                      <w:i w:val="0"/>
                      <w:iCs w:val="0"/>
                      <w:color w:val="auto"/>
                      <w:spacing w:val="-20"/>
                      <w:w w:val="95"/>
                      <w:kern w:val="0"/>
                      <w:sz w:val="21"/>
                      <w:szCs w:val="21"/>
                      <w:highlight w:val="none"/>
                      <w:u w:val="none"/>
                      <w:lang w:val="en-US" w:eastAsia="zh-CN" w:bidi="ar"/>
                    </w:rPr>
                    <w:t>产污节点</w:t>
                  </w:r>
                </w:p>
              </w:tc>
              <w:tc>
                <w:tcPr>
                  <w:tcW w:w="600" w:type="dxa"/>
                  <w:gridSpan w:val="2"/>
                  <w:tcBorders>
                    <w:tl2br w:val="nil"/>
                    <w:tr2bl w:val="nil"/>
                  </w:tcBorders>
                  <w:noWrap/>
                  <w:vAlign w:val="center"/>
                </w:tcPr>
                <w:p w14:paraId="51D2B0E3">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0"/>
                      <w:w w:val="95"/>
                      <w:sz w:val="21"/>
                      <w:szCs w:val="21"/>
                      <w:highlight w:val="none"/>
                      <w:u w:val="none"/>
                    </w:rPr>
                  </w:pPr>
                  <w:r>
                    <w:rPr>
                      <w:rFonts w:hint="default" w:ascii="Times New Roman" w:hAnsi="Times New Roman" w:eastAsia="宋体" w:cs="Times New Roman"/>
                      <w:b/>
                      <w:bCs/>
                      <w:i w:val="0"/>
                      <w:iCs w:val="0"/>
                      <w:color w:val="auto"/>
                      <w:spacing w:val="-20"/>
                      <w:w w:val="95"/>
                      <w:kern w:val="0"/>
                      <w:sz w:val="21"/>
                      <w:szCs w:val="21"/>
                      <w:highlight w:val="none"/>
                      <w:u w:val="none"/>
                      <w:lang w:val="en-US" w:eastAsia="zh-CN" w:bidi="ar"/>
                    </w:rPr>
                    <w:t>污染物</w:t>
                  </w:r>
                </w:p>
              </w:tc>
              <w:tc>
                <w:tcPr>
                  <w:tcW w:w="664" w:type="dxa"/>
                  <w:gridSpan w:val="2"/>
                  <w:tcBorders>
                    <w:tl2br w:val="nil"/>
                    <w:tr2bl w:val="nil"/>
                  </w:tcBorders>
                  <w:noWrap/>
                  <w:vAlign w:val="center"/>
                </w:tcPr>
                <w:p w14:paraId="53DA92C3">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0"/>
                      <w:w w:val="95"/>
                      <w:sz w:val="21"/>
                      <w:szCs w:val="21"/>
                      <w:highlight w:val="none"/>
                      <w:u w:val="none"/>
                    </w:rPr>
                  </w:pPr>
                  <w:r>
                    <w:rPr>
                      <w:rFonts w:hint="default" w:ascii="Times New Roman" w:hAnsi="Times New Roman" w:eastAsia="宋体" w:cs="Times New Roman"/>
                      <w:b/>
                      <w:bCs/>
                      <w:i w:val="0"/>
                      <w:iCs w:val="0"/>
                      <w:color w:val="auto"/>
                      <w:spacing w:val="-20"/>
                      <w:w w:val="95"/>
                      <w:kern w:val="0"/>
                      <w:sz w:val="21"/>
                      <w:szCs w:val="21"/>
                      <w:highlight w:val="none"/>
                      <w:u w:val="none"/>
                      <w:lang w:val="en-US" w:eastAsia="zh-CN" w:bidi="ar"/>
                    </w:rPr>
                    <w:t>工作时间h/a</w:t>
                  </w:r>
                </w:p>
              </w:tc>
              <w:tc>
                <w:tcPr>
                  <w:tcW w:w="547" w:type="dxa"/>
                  <w:gridSpan w:val="2"/>
                  <w:tcBorders>
                    <w:tl2br w:val="nil"/>
                    <w:tr2bl w:val="nil"/>
                  </w:tcBorders>
                  <w:noWrap/>
                  <w:vAlign w:val="center"/>
                </w:tcPr>
                <w:p w14:paraId="180DBDE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0"/>
                      <w:w w:val="95"/>
                      <w:sz w:val="21"/>
                      <w:szCs w:val="21"/>
                      <w:highlight w:val="none"/>
                      <w:u w:val="none"/>
                    </w:rPr>
                  </w:pPr>
                  <w:r>
                    <w:rPr>
                      <w:rFonts w:hint="default" w:ascii="Times New Roman" w:hAnsi="Times New Roman" w:eastAsia="宋体" w:cs="Times New Roman"/>
                      <w:b/>
                      <w:bCs/>
                      <w:i w:val="0"/>
                      <w:iCs w:val="0"/>
                      <w:color w:val="auto"/>
                      <w:spacing w:val="-20"/>
                      <w:w w:val="95"/>
                      <w:kern w:val="0"/>
                      <w:sz w:val="21"/>
                      <w:szCs w:val="21"/>
                      <w:highlight w:val="none"/>
                      <w:u w:val="none"/>
                      <w:lang w:val="en-US" w:eastAsia="zh-CN" w:bidi="ar"/>
                    </w:rPr>
                    <w:t>产生量t/a①</w:t>
                  </w:r>
                </w:p>
              </w:tc>
              <w:tc>
                <w:tcPr>
                  <w:tcW w:w="707" w:type="dxa"/>
                  <w:gridSpan w:val="2"/>
                  <w:tcBorders>
                    <w:tl2br w:val="nil"/>
                    <w:tr2bl w:val="nil"/>
                  </w:tcBorders>
                  <w:noWrap/>
                  <w:vAlign w:val="center"/>
                </w:tcPr>
                <w:p w14:paraId="05918C30">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0"/>
                      <w:w w:val="95"/>
                      <w:sz w:val="21"/>
                      <w:szCs w:val="21"/>
                      <w:highlight w:val="none"/>
                      <w:u w:val="none"/>
                    </w:rPr>
                  </w:pPr>
                  <w:r>
                    <w:rPr>
                      <w:rFonts w:hint="default" w:ascii="Times New Roman" w:hAnsi="Times New Roman" w:eastAsia="宋体" w:cs="Times New Roman"/>
                      <w:b/>
                      <w:bCs/>
                      <w:i w:val="0"/>
                      <w:iCs w:val="0"/>
                      <w:color w:val="auto"/>
                      <w:spacing w:val="-20"/>
                      <w:w w:val="95"/>
                      <w:kern w:val="0"/>
                      <w:sz w:val="21"/>
                      <w:szCs w:val="21"/>
                      <w:highlight w:val="none"/>
                      <w:u w:val="none"/>
                      <w:lang w:val="en-US" w:eastAsia="zh-CN" w:bidi="ar"/>
                    </w:rPr>
                    <w:t>产生速率kg/h②</w:t>
                  </w:r>
                </w:p>
              </w:tc>
              <w:tc>
                <w:tcPr>
                  <w:tcW w:w="450" w:type="dxa"/>
                  <w:gridSpan w:val="2"/>
                  <w:tcBorders>
                    <w:tl2br w:val="nil"/>
                    <w:tr2bl w:val="nil"/>
                  </w:tcBorders>
                  <w:noWrap/>
                  <w:vAlign w:val="center"/>
                </w:tcPr>
                <w:p w14:paraId="3E6E1DF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0"/>
                      <w:w w:val="95"/>
                      <w:sz w:val="21"/>
                      <w:szCs w:val="21"/>
                      <w:highlight w:val="none"/>
                      <w:u w:val="none"/>
                    </w:rPr>
                  </w:pPr>
                  <w:r>
                    <w:rPr>
                      <w:rFonts w:hint="default" w:ascii="Times New Roman" w:hAnsi="Times New Roman" w:eastAsia="宋体" w:cs="Times New Roman"/>
                      <w:b/>
                      <w:bCs/>
                      <w:i w:val="0"/>
                      <w:iCs w:val="0"/>
                      <w:color w:val="auto"/>
                      <w:spacing w:val="-20"/>
                      <w:w w:val="95"/>
                      <w:kern w:val="0"/>
                      <w:sz w:val="21"/>
                      <w:szCs w:val="21"/>
                      <w:highlight w:val="none"/>
                      <w:u w:val="none"/>
                      <w:lang w:val="en-US" w:eastAsia="zh-CN" w:bidi="ar"/>
                    </w:rPr>
                    <w:t>处理措施</w:t>
                  </w:r>
                </w:p>
              </w:tc>
              <w:tc>
                <w:tcPr>
                  <w:tcW w:w="621" w:type="dxa"/>
                  <w:gridSpan w:val="4"/>
                  <w:tcBorders>
                    <w:tl2br w:val="nil"/>
                    <w:tr2bl w:val="nil"/>
                  </w:tcBorders>
                  <w:noWrap/>
                  <w:vAlign w:val="center"/>
                </w:tcPr>
                <w:p w14:paraId="75EC8BB7">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0"/>
                      <w:w w:val="95"/>
                      <w:sz w:val="21"/>
                      <w:szCs w:val="21"/>
                      <w:highlight w:val="none"/>
                      <w:u w:val="none"/>
                    </w:rPr>
                  </w:pPr>
                  <w:r>
                    <w:rPr>
                      <w:rFonts w:hint="default" w:ascii="Times New Roman" w:hAnsi="Times New Roman" w:eastAsia="宋体" w:cs="Times New Roman"/>
                      <w:b/>
                      <w:bCs/>
                      <w:i w:val="0"/>
                      <w:iCs w:val="0"/>
                      <w:color w:val="auto"/>
                      <w:spacing w:val="-20"/>
                      <w:w w:val="95"/>
                      <w:kern w:val="0"/>
                      <w:sz w:val="21"/>
                      <w:szCs w:val="21"/>
                      <w:highlight w:val="none"/>
                      <w:u w:val="none"/>
                      <w:lang w:val="en-US" w:eastAsia="zh-CN" w:bidi="ar"/>
                    </w:rPr>
                    <w:t>是否可行技术</w:t>
                  </w:r>
                </w:p>
              </w:tc>
              <w:tc>
                <w:tcPr>
                  <w:tcW w:w="450" w:type="dxa"/>
                  <w:tcBorders>
                    <w:tl2br w:val="nil"/>
                    <w:tr2bl w:val="nil"/>
                  </w:tcBorders>
                  <w:noWrap/>
                  <w:vAlign w:val="center"/>
                </w:tcPr>
                <w:p w14:paraId="26A7A5CB">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b/>
                      <w:bCs/>
                      <w:i w:val="0"/>
                      <w:iCs w:val="0"/>
                      <w:color w:val="auto"/>
                      <w:spacing w:val="-20"/>
                      <w:w w:val="95"/>
                      <w:sz w:val="21"/>
                      <w:szCs w:val="21"/>
                      <w:highlight w:val="none"/>
                      <w:u w:val="none"/>
                      <w:lang w:val="en-US"/>
                    </w:rPr>
                  </w:pPr>
                  <w:r>
                    <w:rPr>
                      <w:rFonts w:hint="default" w:ascii="Times New Roman" w:hAnsi="Times New Roman" w:eastAsia="宋体" w:cs="Times New Roman"/>
                      <w:b/>
                      <w:bCs/>
                      <w:i w:val="0"/>
                      <w:iCs w:val="0"/>
                      <w:color w:val="auto"/>
                      <w:spacing w:val="-20"/>
                      <w:w w:val="95"/>
                      <w:kern w:val="0"/>
                      <w:sz w:val="21"/>
                      <w:szCs w:val="21"/>
                      <w:highlight w:val="none"/>
                      <w:u w:val="none"/>
                      <w:lang w:val="en-US" w:eastAsia="zh-CN" w:bidi="ar"/>
                    </w:rPr>
                    <w:t>效率%</w:t>
                  </w:r>
                </w:p>
              </w:tc>
              <w:tc>
                <w:tcPr>
                  <w:tcW w:w="536" w:type="dxa"/>
                  <w:gridSpan w:val="2"/>
                  <w:tcBorders>
                    <w:tl2br w:val="nil"/>
                    <w:tr2bl w:val="nil"/>
                  </w:tcBorders>
                  <w:noWrap/>
                  <w:vAlign w:val="center"/>
                </w:tcPr>
                <w:p w14:paraId="1F440F0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0"/>
                      <w:w w:val="95"/>
                      <w:sz w:val="21"/>
                      <w:szCs w:val="21"/>
                      <w:highlight w:val="none"/>
                      <w:u w:val="none"/>
                    </w:rPr>
                  </w:pPr>
                  <w:r>
                    <w:rPr>
                      <w:rFonts w:hint="default" w:ascii="Times New Roman" w:hAnsi="Times New Roman" w:eastAsia="宋体" w:cs="Times New Roman"/>
                      <w:b/>
                      <w:bCs/>
                      <w:i w:val="0"/>
                      <w:iCs w:val="0"/>
                      <w:color w:val="auto"/>
                      <w:spacing w:val="-20"/>
                      <w:w w:val="95"/>
                      <w:kern w:val="0"/>
                      <w:sz w:val="21"/>
                      <w:szCs w:val="21"/>
                      <w:highlight w:val="none"/>
                      <w:u w:val="none"/>
                      <w:lang w:val="en-US" w:eastAsia="zh-CN" w:bidi="ar"/>
                    </w:rPr>
                    <w:t>排放量t/a</w:t>
                  </w:r>
                </w:p>
              </w:tc>
              <w:tc>
                <w:tcPr>
                  <w:tcW w:w="643" w:type="dxa"/>
                  <w:gridSpan w:val="2"/>
                  <w:tcBorders>
                    <w:tl2br w:val="nil"/>
                    <w:tr2bl w:val="nil"/>
                  </w:tcBorders>
                  <w:noWrap/>
                  <w:vAlign w:val="center"/>
                </w:tcPr>
                <w:p w14:paraId="2911A38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b/>
                      <w:bCs/>
                      <w:i w:val="0"/>
                      <w:iCs w:val="0"/>
                      <w:color w:val="auto"/>
                      <w:spacing w:val="-20"/>
                      <w:w w:val="95"/>
                      <w:sz w:val="21"/>
                      <w:szCs w:val="21"/>
                      <w:highlight w:val="none"/>
                      <w:u w:val="none"/>
                    </w:rPr>
                  </w:pPr>
                  <w:r>
                    <w:rPr>
                      <w:rFonts w:hint="default" w:ascii="Times New Roman" w:hAnsi="Times New Roman" w:eastAsia="宋体" w:cs="Times New Roman"/>
                      <w:b/>
                      <w:bCs/>
                      <w:i w:val="0"/>
                      <w:iCs w:val="0"/>
                      <w:color w:val="auto"/>
                      <w:spacing w:val="-20"/>
                      <w:w w:val="95"/>
                      <w:kern w:val="0"/>
                      <w:sz w:val="21"/>
                      <w:szCs w:val="21"/>
                      <w:highlight w:val="none"/>
                      <w:u w:val="none"/>
                      <w:lang w:val="en-US" w:eastAsia="zh-CN" w:bidi="ar"/>
                    </w:rPr>
                    <w:t>排放速率kg/h</w:t>
                  </w:r>
                </w:p>
              </w:tc>
              <w:tc>
                <w:tcPr>
                  <w:tcW w:w="846" w:type="dxa"/>
                  <w:gridSpan w:val="2"/>
                  <w:tcBorders>
                    <w:tl2br w:val="nil"/>
                    <w:tr2bl w:val="nil"/>
                  </w:tcBorders>
                  <w:noWrap/>
                  <w:vAlign w:val="center"/>
                </w:tcPr>
                <w:p w14:paraId="1970BADF">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lang w:val="en-US" w:eastAsia="zh-CN"/>
                    </w:rPr>
                  </w:pPr>
                  <w:r>
                    <w:rPr>
                      <w:rFonts w:hint="default" w:ascii="Times New Roman" w:hAnsi="Times New Roman" w:eastAsia="宋体" w:cs="Times New Roman"/>
                      <w:b/>
                      <w:bCs/>
                      <w:i w:val="0"/>
                      <w:iCs w:val="0"/>
                      <w:color w:val="auto"/>
                      <w:spacing w:val="-28"/>
                      <w:w w:val="95"/>
                      <w:kern w:val="0"/>
                      <w:sz w:val="21"/>
                      <w:szCs w:val="21"/>
                      <w:highlight w:val="none"/>
                      <w:u w:val="none"/>
                      <w:lang w:val="en-US" w:eastAsia="zh-CN" w:bidi="ar"/>
                    </w:rPr>
                    <w:t>排放浓度mg/m</w:t>
                  </w:r>
                  <w:r>
                    <w:rPr>
                      <w:rStyle w:val="73"/>
                      <w:rFonts w:hint="default" w:ascii="Times New Roman" w:hAnsi="Times New Roman" w:eastAsia="宋体" w:cs="Times New Roman"/>
                      <w:color w:val="auto"/>
                      <w:spacing w:val="-28"/>
                      <w:w w:val="95"/>
                      <w:sz w:val="21"/>
                      <w:szCs w:val="21"/>
                      <w:highlight w:val="none"/>
                      <w:vertAlign w:val="superscript"/>
                      <w:lang w:val="en-US" w:eastAsia="zh-CN" w:bidi="ar"/>
                    </w:rPr>
                    <w:t>3</w:t>
                  </w:r>
                  <w:r>
                    <w:rPr>
                      <w:rStyle w:val="73"/>
                      <w:rFonts w:hint="default" w:ascii="Times New Roman" w:hAnsi="Times New Roman" w:eastAsia="宋体" w:cs="Times New Roman"/>
                      <w:color w:val="auto"/>
                      <w:spacing w:val="-28"/>
                      <w:w w:val="95"/>
                      <w:sz w:val="21"/>
                      <w:szCs w:val="21"/>
                      <w:highlight w:val="none"/>
                      <w:vertAlign w:val="baseline"/>
                      <w:lang w:val="en-US" w:eastAsia="zh-CN" w:bidi="ar"/>
                    </w:rPr>
                    <w:t>③</w:t>
                  </w:r>
                </w:p>
              </w:tc>
              <w:tc>
                <w:tcPr>
                  <w:tcW w:w="1309" w:type="dxa"/>
                  <w:gridSpan w:val="3"/>
                  <w:tcBorders>
                    <w:tl2br w:val="nil"/>
                    <w:tr2bl w:val="nil"/>
                  </w:tcBorders>
                  <w:noWrap/>
                  <w:vAlign w:val="center"/>
                </w:tcPr>
                <w:p w14:paraId="0B71268B">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lang w:val="en-US" w:eastAsia="zh-CN"/>
                    </w:rPr>
                  </w:pPr>
                  <w:r>
                    <w:rPr>
                      <w:rFonts w:hint="default" w:ascii="Times New Roman" w:hAnsi="Times New Roman" w:eastAsia="宋体" w:cs="Times New Roman"/>
                      <w:b/>
                      <w:bCs/>
                      <w:i w:val="0"/>
                      <w:iCs w:val="0"/>
                      <w:color w:val="auto"/>
                      <w:spacing w:val="-20"/>
                      <w:w w:val="95"/>
                      <w:kern w:val="0"/>
                      <w:sz w:val="21"/>
                      <w:szCs w:val="21"/>
                      <w:highlight w:val="none"/>
                      <w:u w:val="none"/>
                      <w:lang w:val="en-US" w:eastAsia="zh-CN" w:bidi="ar"/>
                    </w:rPr>
                    <w:t>标准限值mg/m</w:t>
                  </w:r>
                  <w:r>
                    <w:rPr>
                      <w:rStyle w:val="73"/>
                      <w:rFonts w:hint="default" w:ascii="Times New Roman" w:hAnsi="Times New Roman" w:eastAsia="宋体" w:cs="Times New Roman"/>
                      <w:color w:val="auto"/>
                      <w:spacing w:val="-20"/>
                      <w:w w:val="95"/>
                      <w:sz w:val="21"/>
                      <w:szCs w:val="21"/>
                      <w:highlight w:val="none"/>
                      <w:vertAlign w:val="superscript"/>
                      <w:lang w:val="en-US" w:eastAsia="zh-CN" w:bidi="ar"/>
                    </w:rPr>
                    <w:t>3</w:t>
                  </w:r>
                </w:p>
              </w:tc>
            </w:tr>
            <w:tr w14:paraId="65742B1A">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vMerge w:val="restart"/>
                  <w:tcBorders>
                    <w:top w:val="single" w:color="auto" w:sz="4" w:space="0"/>
                    <w:tl2br w:val="nil"/>
                    <w:tr2bl w:val="nil"/>
                  </w:tcBorders>
                  <w:noWrap/>
                  <w:vAlign w:val="center"/>
                </w:tcPr>
                <w:p w14:paraId="1DF28918">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无组织废气</w:t>
                  </w:r>
                </w:p>
              </w:tc>
              <w:tc>
                <w:tcPr>
                  <w:tcW w:w="482" w:type="dxa"/>
                  <w:gridSpan w:val="2"/>
                  <w:vMerge w:val="restart"/>
                  <w:tcBorders>
                    <w:top w:val="single" w:color="auto" w:sz="4" w:space="0"/>
                    <w:tl2br w:val="nil"/>
                    <w:tr2bl w:val="nil"/>
                  </w:tcBorders>
                  <w:noWrap/>
                  <w:vAlign w:val="center"/>
                </w:tcPr>
                <w:p w14:paraId="555B81C8">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生产车间</w:t>
                  </w:r>
                </w:p>
              </w:tc>
              <w:tc>
                <w:tcPr>
                  <w:tcW w:w="600" w:type="dxa"/>
                  <w:gridSpan w:val="2"/>
                  <w:tcBorders>
                    <w:top w:val="single" w:color="auto" w:sz="4" w:space="0"/>
                    <w:tl2br w:val="nil"/>
                    <w:tr2bl w:val="nil"/>
                  </w:tcBorders>
                  <w:noWrap/>
                  <w:vAlign w:val="center"/>
                </w:tcPr>
                <w:p w14:paraId="45F7A38D">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非甲烷总烃</w:t>
                  </w:r>
                </w:p>
              </w:tc>
              <w:tc>
                <w:tcPr>
                  <w:tcW w:w="664" w:type="dxa"/>
                  <w:gridSpan w:val="2"/>
                  <w:tcBorders>
                    <w:tl2br w:val="nil"/>
                    <w:tr2bl w:val="nil"/>
                  </w:tcBorders>
                  <w:noWrap/>
                  <w:vAlign w:val="center"/>
                </w:tcPr>
                <w:p w14:paraId="56793F8D">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2400/600</w:t>
                  </w:r>
                </w:p>
              </w:tc>
              <w:tc>
                <w:tcPr>
                  <w:tcW w:w="547" w:type="dxa"/>
                  <w:gridSpan w:val="2"/>
                  <w:tcBorders>
                    <w:tl2br w:val="nil"/>
                    <w:tr2bl w:val="nil"/>
                  </w:tcBorders>
                  <w:noWrap/>
                  <w:vAlign w:val="center"/>
                </w:tcPr>
                <w:p w14:paraId="3F939139">
                  <w:pPr>
                    <w:keepNext w:val="0"/>
                    <w:keepLines w:val="0"/>
                    <w:pageBreakBefore w:val="0"/>
                    <w:widowControl/>
                    <w:suppressLineNumbers w:val="0"/>
                    <w:kinsoku/>
                    <w:wordWrap/>
                    <w:overflowPunct/>
                    <w:topLinePunct w:val="0"/>
                    <w:autoSpaceDE/>
                    <w:autoSpaceDN/>
                    <w:bidi w:val="0"/>
                    <w:adjustRightInd/>
                    <w:snapToGrid/>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2.714</w:t>
                  </w:r>
                </w:p>
              </w:tc>
              <w:tc>
                <w:tcPr>
                  <w:tcW w:w="707" w:type="dxa"/>
                  <w:gridSpan w:val="2"/>
                  <w:tcBorders>
                    <w:tl2br w:val="nil"/>
                    <w:tr2bl w:val="nil"/>
                  </w:tcBorders>
                  <w:noWrap/>
                  <w:vAlign w:val="center"/>
                </w:tcPr>
                <w:p w14:paraId="3177CC6B">
                  <w:pPr>
                    <w:keepNext w:val="0"/>
                    <w:keepLines w:val="0"/>
                    <w:pageBreakBefore w:val="0"/>
                    <w:widowControl/>
                    <w:suppressLineNumbers w:val="0"/>
                    <w:kinsoku/>
                    <w:wordWrap/>
                    <w:overflowPunct/>
                    <w:topLinePunct w:val="0"/>
                    <w:autoSpaceDE/>
                    <w:autoSpaceDN/>
                    <w:bidi w:val="0"/>
                    <w:adjustRightInd/>
                    <w:snapToGrid/>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1.148</w:t>
                  </w:r>
                </w:p>
              </w:tc>
              <w:tc>
                <w:tcPr>
                  <w:tcW w:w="450" w:type="dxa"/>
                  <w:gridSpan w:val="2"/>
                  <w:vMerge w:val="restart"/>
                  <w:tcBorders>
                    <w:tl2br w:val="nil"/>
                    <w:tr2bl w:val="nil"/>
                  </w:tcBorders>
                  <w:noWrap/>
                  <w:vAlign w:val="center"/>
                </w:tcPr>
                <w:p w14:paraId="3F450DE9">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密闭车间生产阻隔</w:t>
                  </w:r>
                </w:p>
              </w:tc>
              <w:tc>
                <w:tcPr>
                  <w:tcW w:w="621" w:type="dxa"/>
                  <w:gridSpan w:val="4"/>
                  <w:vMerge w:val="restart"/>
                  <w:tcBorders>
                    <w:tl2br w:val="nil"/>
                    <w:tr2bl w:val="nil"/>
                  </w:tcBorders>
                  <w:noWrap/>
                  <w:vAlign w:val="center"/>
                </w:tcPr>
                <w:p w14:paraId="1726D850">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是</w:t>
                  </w:r>
                </w:p>
                <w:p w14:paraId="5279E6F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50" w:type="dxa"/>
                  <w:vMerge w:val="restart"/>
                  <w:tcBorders>
                    <w:tl2br w:val="nil"/>
                    <w:tr2bl w:val="nil"/>
                  </w:tcBorders>
                  <w:noWrap/>
                  <w:vAlign w:val="center"/>
                </w:tcPr>
                <w:p w14:paraId="3586D40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70</w:t>
                  </w:r>
                </w:p>
              </w:tc>
              <w:tc>
                <w:tcPr>
                  <w:tcW w:w="536" w:type="dxa"/>
                  <w:gridSpan w:val="2"/>
                  <w:tcBorders>
                    <w:tl2br w:val="nil"/>
                    <w:tr2bl w:val="nil"/>
                  </w:tcBorders>
                  <w:noWrap/>
                  <w:vAlign w:val="center"/>
                </w:tcPr>
                <w:p w14:paraId="2156D53A">
                  <w:pPr>
                    <w:keepNext w:val="0"/>
                    <w:keepLines w:val="0"/>
                    <w:pageBreakBefore w:val="0"/>
                    <w:widowControl/>
                    <w:suppressLineNumbers w:val="0"/>
                    <w:kinsoku/>
                    <w:wordWrap/>
                    <w:overflowPunct/>
                    <w:topLinePunct w:val="0"/>
                    <w:autoSpaceDE/>
                    <w:autoSpaceDN/>
                    <w:bidi w:val="0"/>
                    <w:adjustRightInd/>
                    <w:snapToGrid/>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2.714</w:t>
                  </w:r>
                </w:p>
              </w:tc>
              <w:tc>
                <w:tcPr>
                  <w:tcW w:w="643" w:type="dxa"/>
                  <w:gridSpan w:val="2"/>
                  <w:tcBorders>
                    <w:tl2br w:val="nil"/>
                    <w:tr2bl w:val="nil"/>
                  </w:tcBorders>
                  <w:noWrap/>
                  <w:vAlign w:val="center"/>
                </w:tcPr>
                <w:p w14:paraId="6362A96F">
                  <w:pPr>
                    <w:keepNext w:val="0"/>
                    <w:keepLines w:val="0"/>
                    <w:pageBreakBefore w:val="0"/>
                    <w:widowControl/>
                    <w:suppressLineNumbers w:val="0"/>
                    <w:kinsoku/>
                    <w:wordWrap/>
                    <w:overflowPunct/>
                    <w:topLinePunct w:val="0"/>
                    <w:autoSpaceDE/>
                    <w:autoSpaceDN/>
                    <w:bidi w:val="0"/>
                    <w:adjustRightInd/>
                    <w:snapToGrid/>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1.148</w:t>
                  </w:r>
                </w:p>
              </w:tc>
              <w:tc>
                <w:tcPr>
                  <w:tcW w:w="846" w:type="dxa"/>
                  <w:gridSpan w:val="2"/>
                  <w:tcBorders>
                    <w:tl2br w:val="nil"/>
                    <w:tr2bl w:val="nil"/>
                  </w:tcBorders>
                  <w:noWrap/>
                  <w:vAlign w:val="center"/>
                </w:tcPr>
                <w:p w14:paraId="4C716DEE">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w:t>
                  </w:r>
                </w:p>
              </w:tc>
              <w:tc>
                <w:tcPr>
                  <w:tcW w:w="1309" w:type="dxa"/>
                  <w:gridSpan w:val="3"/>
                  <w:tcBorders>
                    <w:tl2br w:val="nil"/>
                    <w:tr2bl w:val="nil"/>
                  </w:tcBorders>
                  <w:noWrap/>
                  <w:vAlign w:val="center"/>
                </w:tcPr>
                <w:p w14:paraId="6CED8FEA">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厂界：4.0、1h平均浓度值2.0</w:t>
                  </w:r>
                </w:p>
                <w:p w14:paraId="2065D18B">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监控点处任意一次浓度值10</w:t>
                  </w:r>
                </w:p>
              </w:tc>
            </w:tr>
            <w:tr w14:paraId="13328E97">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vMerge w:val="continue"/>
                  <w:tcBorders>
                    <w:tl2br w:val="nil"/>
                    <w:tr2bl w:val="nil"/>
                  </w:tcBorders>
                  <w:noWrap/>
                  <w:vAlign w:val="center"/>
                </w:tcPr>
                <w:p w14:paraId="31E0DF7B">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rPr>
                  </w:pPr>
                </w:p>
              </w:tc>
              <w:tc>
                <w:tcPr>
                  <w:tcW w:w="482" w:type="dxa"/>
                  <w:gridSpan w:val="2"/>
                  <w:vMerge w:val="continue"/>
                  <w:tcBorders>
                    <w:tl2br w:val="nil"/>
                    <w:tr2bl w:val="nil"/>
                  </w:tcBorders>
                  <w:noWrap/>
                  <w:vAlign w:val="center"/>
                </w:tcPr>
                <w:p w14:paraId="039A45EC">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rPr>
                  </w:pPr>
                </w:p>
              </w:tc>
              <w:tc>
                <w:tcPr>
                  <w:tcW w:w="600" w:type="dxa"/>
                  <w:gridSpan w:val="2"/>
                  <w:tcBorders>
                    <w:top w:val="single" w:color="auto" w:sz="4" w:space="0"/>
                    <w:tl2br w:val="nil"/>
                    <w:tr2bl w:val="nil"/>
                  </w:tcBorders>
                  <w:noWrap/>
                  <w:vAlign w:val="center"/>
                </w:tcPr>
                <w:p w14:paraId="7034B2A7">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2"/>
                      <w:sz w:val="21"/>
                      <w:szCs w:val="21"/>
                      <w:highlight w:val="none"/>
                      <w:u w:val="none"/>
                      <w:lang w:val="en-US" w:eastAsia="zh-CN" w:bidi="ar-SA"/>
                    </w:rPr>
                  </w:pPr>
                  <w:r>
                    <w:rPr>
                      <w:rFonts w:hint="default" w:ascii="Times New Roman" w:hAnsi="Times New Roman" w:eastAsia="宋体" w:cs="Times New Roman"/>
                      <w:i w:val="0"/>
                      <w:iCs w:val="0"/>
                      <w:color w:val="auto"/>
                      <w:spacing w:val="-20"/>
                      <w:w w:val="95"/>
                      <w:sz w:val="21"/>
                      <w:szCs w:val="21"/>
                      <w:highlight w:val="none"/>
                      <w:u w:val="none"/>
                      <w:lang w:val="en-US" w:eastAsia="zh-CN"/>
                    </w:rPr>
                    <w:t>苯乙烯</w:t>
                  </w:r>
                </w:p>
              </w:tc>
              <w:tc>
                <w:tcPr>
                  <w:tcW w:w="664" w:type="dxa"/>
                  <w:gridSpan w:val="2"/>
                  <w:tcBorders>
                    <w:tl2br w:val="nil"/>
                    <w:tr2bl w:val="nil"/>
                  </w:tcBorders>
                  <w:noWrap/>
                  <w:vAlign w:val="center"/>
                </w:tcPr>
                <w:p w14:paraId="541D2D86">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2400/600</w:t>
                  </w:r>
                </w:p>
              </w:tc>
              <w:tc>
                <w:tcPr>
                  <w:tcW w:w="547" w:type="dxa"/>
                  <w:gridSpan w:val="2"/>
                  <w:tcBorders>
                    <w:tl2br w:val="nil"/>
                    <w:tr2bl w:val="nil"/>
                  </w:tcBorders>
                  <w:noWrap/>
                  <w:vAlign w:val="center"/>
                </w:tcPr>
                <w:p w14:paraId="3507EDB9">
                  <w:pPr>
                    <w:keepNext w:val="0"/>
                    <w:keepLines w:val="0"/>
                    <w:pageBreakBefore w:val="0"/>
                    <w:widowControl/>
                    <w:suppressLineNumbers w:val="0"/>
                    <w:kinsoku/>
                    <w:wordWrap/>
                    <w:overflowPunct/>
                    <w:topLinePunct w:val="0"/>
                    <w:autoSpaceDE/>
                    <w:autoSpaceDN/>
                    <w:bidi w:val="0"/>
                    <w:adjustRightInd/>
                    <w:snapToGrid/>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0.046</w:t>
                  </w:r>
                </w:p>
              </w:tc>
              <w:tc>
                <w:tcPr>
                  <w:tcW w:w="707" w:type="dxa"/>
                  <w:gridSpan w:val="2"/>
                  <w:tcBorders>
                    <w:tl2br w:val="nil"/>
                    <w:tr2bl w:val="nil"/>
                  </w:tcBorders>
                  <w:noWrap/>
                  <w:vAlign w:val="center"/>
                </w:tcPr>
                <w:p w14:paraId="4AAC3049">
                  <w:pPr>
                    <w:keepNext w:val="0"/>
                    <w:keepLines w:val="0"/>
                    <w:pageBreakBefore w:val="0"/>
                    <w:widowControl/>
                    <w:suppressLineNumbers w:val="0"/>
                    <w:kinsoku/>
                    <w:wordWrap/>
                    <w:overflowPunct/>
                    <w:topLinePunct w:val="0"/>
                    <w:autoSpaceDE/>
                    <w:autoSpaceDN/>
                    <w:bidi w:val="0"/>
                    <w:adjustRightInd/>
                    <w:snapToGrid/>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0.020</w:t>
                  </w:r>
                </w:p>
              </w:tc>
              <w:tc>
                <w:tcPr>
                  <w:tcW w:w="450" w:type="dxa"/>
                  <w:gridSpan w:val="2"/>
                  <w:vMerge w:val="continue"/>
                  <w:tcBorders>
                    <w:tl2br w:val="nil"/>
                    <w:tr2bl w:val="nil"/>
                  </w:tcBorders>
                  <w:noWrap/>
                  <w:vAlign w:val="center"/>
                </w:tcPr>
                <w:p w14:paraId="1A34EB29">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621" w:type="dxa"/>
                  <w:gridSpan w:val="4"/>
                  <w:vMerge w:val="continue"/>
                  <w:tcBorders>
                    <w:tl2br w:val="nil"/>
                    <w:tr2bl w:val="nil"/>
                  </w:tcBorders>
                  <w:noWrap/>
                  <w:vAlign w:val="center"/>
                </w:tcPr>
                <w:p w14:paraId="0FDDAC99">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50" w:type="dxa"/>
                  <w:vMerge w:val="continue"/>
                  <w:tcBorders>
                    <w:tl2br w:val="nil"/>
                    <w:tr2bl w:val="nil"/>
                  </w:tcBorders>
                  <w:noWrap/>
                  <w:vAlign w:val="center"/>
                </w:tcPr>
                <w:p w14:paraId="73FECD75">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36" w:type="dxa"/>
                  <w:gridSpan w:val="2"/>
                  <w:tcBorders>
                    <w:tl2br w:val="nil"/>
                    <w:tr2bl w:val="nil"/>
                  </w:tcBorders>
                  <w:noWrap/>
                  <w:vAlign w:val="center"/>
                </w:tcPr>
                <w:p w14:paraId="19C3772C">
                  <w:pPr>
                    <w:keepNext w:val="0"/>
                    <w:keepLines w:val="0"/>
                    <w:pageBreakBefore w:val="0"/>
                    <w:widowControl/>
                    <w:suppressLineNumbers w:val="0"/>
                    <w:kinsoku/>
                    <w:wordWrap/>
                    <w:overflowPunct/>
                    <w:topLinePunct w:val="0"/>
                    <w:autoSpaceDE/>
                    <w:autoSpaceDN/>
                    <w:bidi w:val="0"/>
                    <w:adjustRightInd/>
                    <w:snapToGrid/>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0.046</w:t>
                  </w:r>
                </w:p>
              </w:tc>
              <w:tc>
                <w:tcPr>
                  <w:tcW w:w="643" w:type="dxa"/>
                  <w:gridSpan w:val="2"/>
                  <w:tcBorders>
                    <w:tl2br w:val="nil"/>
                    <w:tr2bl w:val="nil"/>
                  </w:tcBorders>
                  <w:noWrap/>
                  <w:vAlign w:val="center"/>
                </w:tcPr>
                <w:p w14:paraId="475ABB41">
                  <w:pPr>
                    <w:keepNext w:val="0"/>
                    <w:keepLines w:val="0"/>
                    <w:pageBreakBefore w:val="0"/>
                    <w:widowControl/>
                    <w:suppressLineNumbers w:val="0"/>
                    <w:kinsoku/>
                    <w:wordWrap/>
                    <w:overflowPunct/>
                    <w:topLinePunct w:val="0"/>
                    <w:autoSpaceDE/>
                    <w:autoSpaceDN/>
                    <w:bidi w:val="0"/>
                    <w:adjustRightInd/>
                    <w:snapToGrid/>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0.020</w:t>
                  </w:r>
                </w:p>
              </w:tc>
              <w:tc>
                <w:tcPr>
                  <w:tcW w:w="846" w:type="dxa"/>
                  <w:gridSpan w:val="2"/>
                  <w:tcBorders>
                    <w:tl2br w:val="nil"/>
                    <w:tr2bl w:val="nil"/>
                  </w:tcBorders>
                  <w:noWrap/>
                  <w:vAlign w:val="center"/>
                </w:tcPr>
                <w:p w14:paraId="7B1B586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w:t>
                  </w:r>
                </w:p>
              </w:tc>
              <w:tc>
                <w:tcPr>
                  <w:tcW w:w="1309" w:type="dxa"/>
                  <w:gridSpan w:val="3"/>
                  <w:tcBorders>
                    <w:tl2br w:val="nil"/>
                    <w:tr2bl w:val="nil"/>
                  </w:tcBorders>
                  <w:noWrap/>
                  <w:vAlign w:val="center"/>
                </w:tcPr>
                <w:p w14:paraId="1F260111">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5.0</w:t>
                  </w:r>
                </w:p>
              </w:tc>
            </w:tr>
            <w:tr w14:paraId="47390053">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9" w:hRule="atLeast"/>
                <w:jc w:val="center"/>
              </w:trPr>
              <w:tc>
                <w:tcPr>
                  <w:tcW w:w="439" w:type="dxa"/>
                  <w:vMerge w:val="continue"/>
                  <w:tcBorders>
                    <w:tl2br w:val="nil"/>
                    <w:tr2bl w:val="nil"/>
                  </w:tcBorders>
                  <w:noWrap/>
                  <w:vAlign w:val="center"/>
                </w:tcPr>
                <w:p w14:paraId="211A3B16">
                  <w:pPr>
                    <w:keepNext w:val="0"/>
                    <w:keepLines w:val="0"/>
                    <w:pageBreakBefore w:val="0"/>
                    <w:kinsoku/>
                    <w:wordWrap/>
                    <w:overflowPunct/>
                    <w:topLinePunct w:val="0"/>
                    <w:autoSpaceDE/>
                    <w:autoSpaceDN/>
                    <w:bidi w:val="0"/>
                    <w:adjustRightInd/>
                    <w:snapToGrid/>
                    <w:spacing w:line="240" w:lineRule="auto"/>
                    <w:ind w:left="-84" w:leftChars="-40" w:right="-63" w:rightChars="-30"/>
                    <w:jc w:val="center"/>
                    <w:rPr>
                      <w:rFonts w:hint="default" w:ascii="Times New Roman" w:hAnsi="Times New Roman" w:eastAsia="宋体" w:cs="Times New Roman"/>
                      <w:i w:val="0"/>
                      <w:iCs w:val="0"/>
                      <w:color w:val="auto"/>
                      <w:spacing w:val="-20"/>
                      <w:w w:val="95"/>
                      <w:sz w:val="21"/>
                      <w:szCs w:val="21"/>
                      <w:highlight w:val="none"/>
                      <w:u w:val="none"/>
                    </w:rPr>
                  </w:pPr>
                </w:p>
              </w:tc>
              <w:tc>
                <w:tcPr>
                  <w:tcW w:w="482" w:type="dxa"/>
                  <w:gridSpan w:val="2"/>
                  <w:vMerge w:val="continue"/>
                  <w:tcBorders>
                    <w:tl2br w:val="nil"/>
                    <w:tr2bl w:val="nil"/>
                  </w:tcBorders>
                  <w:noWrap/>
                  <w:vAlign w:val="center"/>
                </w:tcPr>
                <w:p w14:paraId="6E3B6272">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sz w:val="21"/>
                      <w:szCs w:val="21"/>
                      <w:highlight w:val="none"/>
                      <w:u w:val="none"/>
                      <w:lang w:val="en-US"/>
                    </w:rPr>
                  </w:pPr>
                </w:p>
              </w:tc>
              <w:tc>
                <w:tcPr>
                  <w:tcW w:w="600" w:type="dxa"/>
                  <w:gridSpan w:val="2"/>
                  <w:tcBorders>
                    <w:tl2br w:val="nil"/>
                    <w:tr2bl w:val="nil"/>
                  </w:tcBorders>
                  <w:noWrap/>
                  <w:vAlign w:val="center"/>
                </w:tcPr>
                <w:p w14:paraId="5DB974B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sz w:val="21"/>
                      <w:szCs w:val="21"/>
                      <w:highlight w:val="none"/>
                      <w:u w:val="none"/>
                      <w:lang w:val="en-US" w:eastAsia="zh-CN"/>
                    </w:rPr>
                  </w:pPr>
                  <w:r>
                    <w:rPr>
                      <w:rFonts w:hint="default" w:ascii="Times New Roman" w:hAnsi="Times New Roman" w:eastAsia="宋体" w:cs="Times New Roman"/>
                      <w:i w:val="0"/>
                      <w:iCs w:val="0"/>
                      <w:color w:val="auto"/>
                      <w:spacing w:val="-20"/>
                      <w:w w:val="95"/>
                      <w:sz w:val="21"/>
                      <w:szCs w:val="21"/>
                      <w:highlight w:val="none"/>
                      <w:u w:val="none"/>
                      <w:lang w:val="en-US" w:eastAsia="zh-CN"/>
                    </w:rPr>
                    <w:t>臭气浓度</w:t>
                  </w:r>
                </w:p>
              </w:tc>
              <w:tc>
                <w:tcPr>
                  <w:tcW w:w="664" w:type="dxa"/>
                  <w:gridSpan w:val="2"/>
                  <w:tcBorders>
                    <w:tl2br w:val="nil"/>
                    <w:tr2bl w:val="nil"/>
                  </w:tcBorders>
                  <w:noWrap/>
                  <w:vAlign w:val="center"/>
                </w:tcPr>
                <w:p w14:paraId="7D5B4FF0">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2400/600</w:t>
                  </w:r>
                </w:p>
              </w:tc>
              <w:tc>
                <w:tcPr>
                  <w:tcW w:w="547" w:type="dxa"/>
                  <w:gridSpan w:val="2"/>
                  <w:tcBorders>
                    <w:tl2br w:val="nil"/>
                    <w:tr2bl w:val="nil"/>
                  </w:tcBorders>
                  <w:noWrap/>
                  <w:vAlign w:val="center"/>
                </w:tcPr>
                <w:p w14:paraId="711A07A8">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w:t>
                  </w:r>
                </w:p>
              </w:tc>
              <w:tc>
                <w:tcPr>
                  <w:tcW w:w="707" w:type="dxa"/>
                  <w:gridSpan w:val="2"/>
                  <w:tcBorders>
                    <w:tl2br w:val="nil"/>
                    <w:tr2bl w:val="nil"/>
                  </w:tcBorders>
                  <w:noWrap/>
                  <w:vAlign w:val="center"/>
                </w:tcPr>
                <w:p w14:paraId="75D537A3">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w:t>
                  </w:r>
                </w:p>
              </w:tc>
              <w:tc>
                <w:tcPr>
                  <w:tcW w:w="450" w:type="dxa"/>
                  <w:gridSpan w:val="2"/>
                  <w:vMerge w:val="continue"/>
                  <w:tcBorders>
                    <w:tl2br w:val="nil"/>
                    <w:tr2bl w:val="nil"/>
                  </w:tcBorders>
                  <w:noWrap/>
                  <w:vAlign w:val="center"/>
                </w:tcPr>
                <w:p w14:paraId="4AAF4CA9">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621" w:type="dxa"/>
                  <w:gridSpan w:val="4"/>
                  <w:vMerge w:val="continue"/>
                  <w:tcBorders>
                    <w:tl2br w:val="nil"/>
                    <w:tr2bl w:val="nil"/>
                  </w:tcBorders>
                  <w:noWrap/>
                  <w:vAlign w:val="center"/>
                </w:tcPr>
                <w:p w14:paraId="1D6068E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450" w:type="dxa"/>
                  <w:vMerge w:val="continue"/>
                  <w:tcBorders>
                    <w:tl2br w:val="nil"/>
                    <w:tr2bl w:val="nil"/>
                  </w:tcBorders>
                  <w:noWrap/>
                  <w:vAlign w:val="center"/>
                </w:tcPr>
                <w:p w14:paraId="62DE5205">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p>
              </w:tc>
              <w:tc>
                <w:tcPr>
                  <w:tcW w:w="536" w:type="dxa"/>
                  <w:gridSpan w:val="2"/>
                  <w:tcBorders>
                    <w:tl2br w:val="nil"/>
                    <w:tr2bl w:val="nil"/>
                  </w:tcBorders>
                  <w:noWrap/>
                  <w:vAlign w:val="center"/>
                </w:tcPr>
                <w:p w14:paraId="05F375DC">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w:t>
                  </w:r>
                </w:p>
              </w:tc>
              <w:tc>
                <w:tcPr>
                  <w:tcW w:w="643" w:type="dxa"/>
                  <w:gridSpan w:val="2"/>
                  <w:tcBorders>
                    <w:tl2br w:val="nil"/>
                    <w:tr2bl w:val="nil"/>
                  </w:tcBorders>
                  <w:noWrap/>
                  <w:vAlign w:val="center"/>
                </w:tcPr>
                <w:p w14:paraId="2007BF8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w:t>
                  </w:r>
                </w:p>
              </w:tc>
              <w:tc>
                <w:tcPr>
                  <w:tcW w:w="846" w:type="dxa"/>
                  <w:gridSpan w:val="2"/>
                  <w:tcBorders>
                    <w:tl2br w:val="nil"/>
                    <w:tr2bl w:val="nil"/>
                  </w:tcBorders>
                  <w:noWrap/>
                  <w:vAlign w:val="center"/>
                </w:tcPr>
                <w:p w14:paraId="3BD62E4F">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w:t>
                  </w:r>
                </w:p>
              </w:tc>
              <w:tc>
                <w:tcPr>
                  <w:tcW w:w="1309" w:type="dxa"/>
                  <w:gridSpan w:val="3"/>
                  <w:tcBorders>
                    <w:tl2br w:val="nil"/>
                    <w:tr2bl w:val="nil"/>
                  </w:tcBorders>
                  <w:noWrap/>
                  <w:vAlign w:val="center"/>
                </w:tcPr>
                <w:p w14:paraId="0E708B29">
                  <w:pPr>
                    <w:keepNext w:val="0"/>
                    <w:keepLines w:val="0"/>
                    <w:pageBreakBefore w:val="0"/>
                    <w:widowControl/>
                    <w:suppressLineNumbers w:val="0"/>
                    <w:kinsoku/>
                    <w:wordWrap/>
                    <w:overflowPunct/>
                    <w:topLinePunct w:val="0"/>
                    <w:autoSpaceDE/>
                    <w:autoSpaceDN/>
                    <w:bidi w:val="0"/>
                    <w:adjustRightInd/>
                    <w:snapToGrid/>
                    <w:spacing w:line="240" w:lineRule="auto"/>
                    <w:ind w:left="-84" w:leftChars="-40" w:right="-63" w:rightChars="-30"/>
                    <w:jc w:val="center"/>
                    <w:textAlignment w:val="cente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i w:val="0"/>
                      <w:iCs w:val="0"/>
                      <w:color w:val="auto"/>
                      <w:spacing w:val="-20"/>
                      <w:w w:val="95"/>
                      <w:kern w:val="0"/>
                      <w:sz w:val="21"/>
                      <w:szCs w:val="21"/>
                      <w:highlight w:val="none"/>
                      <w:u w:val="none"/>
                      <w:lang w:val="en-US" w:eastAsia="zh-CN" w:bidi="ar"/>
                    </w:rPr>
                    <w:t>20（无量纲）</w:t>
                  </w:r>
                </w:p>
              </w:tc>
            </w:tr>
            <w:tr w14:paraId="496F25C1">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vMerge w:val="restart"/>
                  <w:tcBorders>
                    <w:tl2br w:val="nil"/>
                    <w:tr2bl w:val="nil"/>
                  </w:tcBorders>
                  <w:noWrap/>
                  <w:vAlign w:val="center"/>
                </w:tcPr>
                <w:p w14:paraId="7B507D88">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sz w:val="21"/>
                      <w:szCs w:val="21"/>
                      <w:highlight w:val="none"/>
                      <w:u w:val="none"/>
                    </w:rPr>
                  </w:pPr>
                  <w:r>
                    <w:rPr>
                      <w:rFonts w:hint="default" w:ascii="Times New Roman" w:hAnsi="Times New Roman" w:eastAsia="宋体" w:cs="Times New Roman"/>
                      <w:color w:val="auto"/>
                      <w:spacing w:val="-20"/>
                      <w:w w:val="95"/>
                      <w:sz w:val="21"/>
                      <w:szCs w:val="21"/>
                      <w:highlight w:val="none"/>
                    </w:rPr>
                    <w:t>排放口信息</w:t>
                  </w:r>
                </w:p>
              </w:tc>
              <w:tc>
                <w:tcPr>
                  <w:tcW w:w="1403" w:type="dxa"/>
                  <w:gridSpan w:val="5"/>
                  <w:tcBorders>
                    <w:tl2br w:val="nil"/>
                    <w:tr2bl w:val="nil"/>
                  </w:tcBorders>
                  <w:noWrap/>
                  <w:vAlign w:val="center"/>
                </w:tcPr>
                <w:p w14:paraId="5BAF0788">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color w:val="auto"/>
                      <w:spacing w:val="-20"/>
                      <w:w w:val="95"/>
                      <w:sz w:val="21"/>
                      <w:szCs w:val="21"/>
                      <w:highlight w:val="none"/>
                    </w:rPr>
                    <w:t>编号</w:t>
                  </w:r>
                </w:p>
              </w:tc>
              <w:tc>
                <w:tcPr>
                  <w:tcW w:w="2173" w:type="dxa"/>
                  <w:gridSpan w:val="8"/>
                  <w:tcBorders>
                    <w:tl2br w:val="nil"/>
                    <w:tr2bl w:val="nil"/>
                  </w:tcBorders>
                  <w:noWrap/>
                  <w:vAlign w:val="center"/>
                </w:tcPr>
                <w:p w14:paraId="014C24BA">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color w:val="auto"/>
                      <w:spacing w:val="-20"/>
                      <w:w w:val="95"/>
                      <w:sz w:val="21"/>
                      <w:szCs w:val="21"/>
                      <w:highlight w:val="none"/>
                    </w:rPr>
                    <w:t>坐标</w:t>
                  </w:r>
                </w:p>
              </w:tc>
              <w:tc>
                <w:tcPr>
                  <w:tcW w:w="495" w:type="dxa"/>
                  <w:gridSpan w:val="3"/>
                  <w:tcBorders>
                    <w:tl2br w:val="nil"/>
                    <w:tr2bl w:val="nil"/>
                  </w:tcBorders>
                  <w:noWrap/>
                  <w:vAlign w:val="center"/>
                </w:tcPr>
                <w:p w14:paraId="2634ED65">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color w:val="auto"/>
                      <w:spacing w:val="-20"/>
                      <w:w w:val="95"/>
                      <w:sz w:val="21"/>
                      <w:szCs w:val="21"/>
                      <w:highlight w:val="none"/>
                    </w:rPr>
                    <w:t>高度</w:t>
                  </w:r>
                </w:p>
              </w:tc>
              <w:tc>
                <w:tcPr>
                  <w:tcW w:w="815" w:type="dxa"/>
                  <w:gridSpan w:val="2"/>
                  <w:tcBorders>
                    <w:tl2br w:val="nil"/>
                    <w:tr2bl w:val="nil"/>
                  </w:tcBorders>
                  <w:noWrap/>
                  <w:vAlign w:val="center"/>
                </w:tcPr>
                <w:p w14:paraId="3D8556D0">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color w:val="auto"/>
                      <w:spacing w:val="-20"/>
                      <w:w w:val="95"/>
                      <w:sz w:val="21"/>
                      <w:szCs w:val="21"/>
                      <w:highlight w:val="none"/>
                      <w:lang w:val="en-US" w:eastAsia="zh-CN"/>
                    </w:rPr>
                    <w:t>直径</w:t>
                  </w:r>
                </w:p>
              </w:tc>
              <w:tc>
                <w:tcPr>
                  <w:tcW w:w="814" w:type="dxa"/>
                  <w:gridSpan w:val="3"/>
                  <w:tcBorders>
                    <w:tl2br w:val="nil"/>
                    <w:tr2bl w:val="nil"/>
                  </w:tcBorders>
                  <w:noWrap/>
                  <w:vAlign w:val="center"/>
                </w:tcPr>
                <w:p w14:paraId="6DA437E3">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color w:val="auto"/>
                      <w:spacing w:val="-20"/>
                      <w:w w:val="95"/>
                      <w:sz w:val="21"/>
                      <w:szCs w:val="21"/>
                      <w:highlight w:val="none"/>
                      <w:lang w:val="en-US" w:eastAsia="zh-CN"/>
                    </w:rPr>
                    <w:t>流速</w:t>
                  </w:r>
                </w:p>
              </w:tc>
              <w:tc>
                <w:tcPr>
                  <w:tcW w:w="975" w:type="dxa"/>
                  <w:gridSpan w:val="3"/>
                  <w:tcBorders>
                    <w:tl2br w:val="nil"/>
                    <w:tr2bl w:val="nil"/>
                  </w:tcBorders>
                  <w:noWrap/>
                  <w:vAlign w:val="center"/>
                </w:tcPr>
                <w:p w14:paraId="62EE2449">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color w:val="auto"/>
                      <w:spacing w:val="-20"/>
                      <w:w w:val="95"/>
                      <w:sz w:val="21"/>
                      <w:szCs w:val="21"/>
                      <w:highlight w:val="none"/>
                    </w:rPr>
                    <w:t>排放温度</w:t>
                  </w:r>
                </w:p>
              </w:tc>
              <w:tc>
                <w:tcPr>
                  <w:tcW w:w="1180" w:type="dxa"/>
                  <w:gridSpan w:val="2"/>
                  <w:tcBorders>
                    <w:tl2br w:val="nil"/>
                    <w:tr2bl w:val="nil"/>
                  </w:tcBorders>
                  <w:noWrap/>
                  <w:vAlign w:val="center"/>
                </w:tcPr>
                <w:p w14:paraId="3EC93A96">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color w:val="auto"/>
                      <w:spacing w:val="-20"/>
                      <w:w w:val="95"/>
                      <w:sz w:val="21"/>
                      <w:szCs w:val="21"/>
                      <w:highlight w:val="none"/>
                    </w:rPr>
                    <w:t>类型</w:t>
                  </w:r>
                </w:p>
              </w:tc>
            </w:tr>
            <w:tr w14:paraId="41F026B6">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439" w:type="dxa"/>
                  <w:vMerge w:val="continue"/>
                  <w:tcBorders>
                    <w:tl2br w:val="nil"/>
                    <w:tr2bl w:val="nil"/>
                  </w:tcBorders>
                  <w:noWrap/>
                  <w:vAlign w:val="center"/>
                </w:tcPr>
                <w:p w14:paraId="03F42FD9">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sz w:val="21"/>
                      <w:szCs w:val="21"/>
                      <w:highlight w:val="none"/>
                      <w:u w:val="none"/>
                    </w:rPr>
                  </w:pPr>
                </w:p>
              </w:tc>
              <w:tc>
                <w:tcPr>
                  <w:tcW w:w="1403" w:type="dxa"/>
                  <w:gridSpan w:val="5"/>
                  <w:tcBorders>
                    <w:tl2br w:val="nil"/>
                    <w:tr2bl w:val="nil"/>
                  </w:tcBorders>
                  <w:noWrap/>
                  <w:vAlign w:val="center"/>
                </w:tcPr>
                <w:p w14:paraId="48A9FDF7">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bCs/>
                      <w:color w:val="auto"/>
                      <w:spacing w:val="-20"/>
                      <w:w w:val="95"/>
                      <w:sz w:val="21"/>
                      <w:szCs w:val="21"/>
                      <w:highlight w:val="none"/>
                    </w:rPr>
                    <w:t>DA001</w:t>
                  </w:r>
                  <w:r>
                    <w:rPr>
                      <w:rFonts w:hint="default" w:ascii="Times New Roman" w:hAnsi="Times New Roman" w:eastAsia="宋体" w:cs="Times New Roman"/>
                      <w:bCs/>
                      <w:color w:val="auto"/>
                      <w:spacing w:val="-20"/>
                      <w:w w:val="95"/>
                      <w:sz w:val="21"/>
                      <w:szCs w:val="21"/>
                      <w:highlight w:val="none"/>
                      <w:lang w:val="en-US" w:eastAsia="zh-CN"/>
                    </w:rPr>
                    <w:t>排期气筒</w:t>
                  </w:r>
                </w:p>
              </w:tc>
              <w:tc>
                <w:tcPr>
                  <w:tcW w:w="1075" w:type="dxa"/>
                  <w:gridSpan w:val="4"/>
                  <w:tcBorders>
                    <w:tl2br w:val="nil"/>
                    <w:tr2bl w:val="nil"/>
                  </w:tcBorders>
                  <w:noWrap/>
                  <w:vAlign w:val="center"/>
                </w:tcPr>
                <w:p w14:paraId="382AA269">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bCs/>
                      <w:color w:val="auto"/>
                      <w:spacing w:val="-20"/>
                      <w:w w:val="95"/>
                      <w:sz w:val="21"/>
                      <w:szCs w:val="21"/>
                      <w:highlight w:val="none"/>
                      <w:lang w:val="en-US" w:eastAsia="zh-CN"/>
                    </w:rPr>
                    <w:t>E</w:t>
                  </w:r>
                  <w:r>
                    <w:rPr>
                      <w:rFonts w:hint="default" w:ascii="Times New Roman" w:hAnsi="Times New Roman" w:eastAsia="宋体" w:cs="Times New Roman"/>
                      <w:bCs/>
                      <w:color w:val="auto"/>
                      <w:spacing w:val="-20"/>
                      <w:w w:val="95"/>
                      <w:sz w:val="21"/>
                      <w:szCs w:val="21"/>
                      <w:highlight w:val="none"/>
                    </w:rPr>
                    <w:t>114.506265648</w:t>
                  </w:r>
                </w:p>
              </w:tc>
              <w:tc>
                <w:tcPr>
                  <w:tcW w:w="1098" w:type="dxa"/>
                  <w:gridSpan w:val="4"/>
                  <w:tcBorders>
                    <w:tl2br w:val="nil"/>
                    <w:tr2bl w:val="nil"/>
                  </w:tcBorders>
                  <w:noWrap/>
                  <w:vAlign w:val="center"/>
                </w:tcPr>
                <w:p w14:paraId="22DD857C">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bCs/>
                      <w:color w:val="auto"/>
                      <w:spacing w:val="-20"/>
                      <w:w w:val="95"/>
                      <w:sz w:val="21"/>
                      <w:szCs w:val="21"/>
                      <w:highlight w:val="none"/>
                      <w:lang w:val="en-US" w:eastAsia="zh-CN"/>
                    </w:rPr>
                    <w:t>N</w:t>
                  </w:r>
                  <w:r>
                    <w:rPr>
                      <w:rFonts w:hint="default" w:ascii="Times New Roman" w:hAnsi="Times New Roman" w:eastAsia="宋体" w:cs="Times New Roman"/>
                      <w:bCs/>
                      <w:color w:val="auto"/>
                      <w:spacing w:val="-20"/>
                      <w:w w:val="95"/>
                      <w:sz w:val="21"/>
                      <w:szCs w:val="21"/>
                      <w:highlight w:val="none"/>
                    </w:rPr>
                    <w:t>38.389798766</w:t>
                  </w:r>
                </w:p>
              </w:tc>
              <w:tc>
                <w:tcPr>
                  <w:tcW w:w="495" w:type="dxa"/>
                  <w:gridSpan w:val="3"/>
                  <w:tcBorders>
                    <w:tl2br w:val="nil"/>
                    <w:tr2bl w:val="nil"/>
                  </w:tcBorders>
                  <w:noWrap/>
                  <w:vAlign w:val="center"/>
                </w:tcPr>
                <w:p w14:paraId="4DA05330">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bCs/>
                      <w:color w:val="auto"/>
                      <w:spacing w:val="-20"/>
                      <w:w w:val="95"/>
                      <w:sz w:val="21"/>
                      <w:szCs w:val="21"/>
                      <w:highlight w:val="none"/>
                    </w:rPr>
                    <w:t>15m</w:t>
                  </w:r>
                </w:p>
              </w:tc>
              <w:tc>
                <w:tcPr>
                  <w:tcW w:w="815" w:type="dxa"/>
                  <w:gridSpan w:val="2"/>
                  <w:tcBorders>
                    <w:tl2br w:val="nil"/>
                    <w:tr2bl w:val="nil"/>
                  </w:tcBorders>
                  <w:noWrap/>
                  <w:vAlign w:val="center"/>
                </w:tcPr>
                <w:p w14:paraId="0D645D49">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bCs/>
                      <w:color w:val="auto"/>
                      <w:spacing w:val="-20"/>
                      <w:w w:val="95"/>
                      <w:sz w:val="21"/>
                      <w:szCs w:val="21"/>
                      <w:highlight w:val="none"/>
                      <w:lang w:val="en-US" w:eastAsia="zh-CN"/>
                    </w:rPr>
                    <w:t>0.9</w:t>
                  </w:r>
                  <w:r>
                    <w:rPr>
                      <w:rFonts w:hint="default" w:ascii="Times New Roman" w:hAnsi="Times New Roman" w:eastAsia="宋体" w:cs="Times New Roman"/>
                      <w:bCs/>
                      <w:color w:val="auto"/>
                      <w:spacing w:val="-20"/>
                      <w:w w:val="95"/>
                      <w:sz w:val="21"/>
                      <w:szCs w:val="21"/>
                      <w:highlight w:val="none"/>
                      <w:lang w:val="en-US"/>
                    </w:rPr>
                    <w:t>m</w:t>
                  </w:r>
                </w:p>
              </w:tc>
              <w:tc>
                <w:tcPr>
                  <w:tcW w:w="814" w:type="dxa"/>
                  <w:gridSpan w:val="3"/>
                  <w:tcBorders>
                    <w:tl2br w:val="nil"/>
                    <w:tr2bl w:val="nil"/>
                  </w:tcBorders>
                  <w:noWrap/>
                  <w:vAlign w:val="center"/>
                </w:tcPr>
                <w:p w14:paraId="608E5C36">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cs="Times New Roman"/>
                      <w:bCs/>
                      <w:color w:val="auto"/>
                      <w:spacing w:val="-20"/>
                      <w:w w:val="95"/>
                      <w:sz w:val="21"/>
                      <w:szCs w:val="21"/>
                      <w:highlight w:val="none"/>
                      <w:lang w:val="en-US" w:eastAsia="zh-CN"/>
                    </w:rPr>
                    <w:t>13.106</w:t>
                  </w:r>
                  <w:r>
                    <w:rPr>
                      <w:rFonts w:hint="default" w:ascii="Times New Roman" w:hAnsi="Times New Roman" w:eastAsia="宋体" w:cs="Times New Roman"/>
                      <w:bCs/>
                      <w:color w:val="auto"/>
                      <w:spacing w:val="-20"/>
                      <w:w w:val="95"/>
                      <w:sz w:val="21"/>
                      <w:szCs w:val="21"/>
                      <w:highlight w:val="none"/>
                      <w:lang w:val="en-US"/>
                    </w:rPr>
                    <w:t>m</w:t>
                  </w:r>
                  <w:r>
                    <w:rPr>
                      <w:rFonts w:hint="default" w:ascii="Times New Roman" w:hAnsi="Times New Roman" w:eastAsia="宋体" w:cs="Times New Roman"/>
                      <w:bCs/>
                      <w:color w:val="auto"/>
                      <w:spacing w:val="-20"/>
                      <w:w w:val="95"/>
                      <w:sz w:val="21"/>
                      <w:szCs w:val="21"/>
                      <w:highlight w:val="none"/>
                      <w:lang w:val="en-US" w:eastAsia="zh-CN"/>
                    </w:rPr>
                    <w:t>/s</w:t>
                  </w:r>
                </w:p>
              </w:tc>
              <w:tc>
                <w:tcPr>
                  <w:tcW w:w="975" w:type="dxa"/>
                  <w:gridSpan w:val="3"/>
                  <w:tcBorders>
                    <w:tl2br w:val="nil"/>
                    <w:tr2bl w:val="nil"/>
                  </w:tcBorders>
                  <w:noWrap/>
                  <w:vAlign w:val="center"/>
                </w:tcPr>
                <w:p w14:paraId="1D2A6975">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eastAsia" w:ascii="Times New Roman" w:hAnsi="Times New Roman" w:eastAsia="宋体" w:cs="Times New Roman"/>
                      <w:bCs/>
                      <w:color w:val="auto"/>
                      <w:spacing w:val="-20"/>
                      <w:w w:val="95"/>
                      <w:sz w:val="21"/>
                      <w:szCs w:val="21"/>
                      <w:highlight w:val="none"/>
                      <w:lang w:val="en-US" w:eastAsia="zh-CN"/>
                    </w:rPr>
                    <w:t>常温</w:t>
                  </w:r>
                </w:p>
              </w:tc>
              <w:tc>
                <w:tcPr>
                  <w:tcW w:w="1180" w:type="dxa"/>
                  <w:gridSpan w:val="2"/>
                  <w:tcBorders>
                    <w:tl2br w:val="nil"/>
                    <w:tr2bl w:val="nil"/>
                  </w:tcBorders>
                  <w:noWrap/>
                  <w:vAlign w:val="center"/>
                </w:tcPr>
                <w:p w14:paraId="1B012C2B">
                  <w:pPr>
                    <w:pStyle w:val="134"/>
                    <w:keepNext w:val="0"/>
                    <w:keepLines w:val="0"/>
                    <w:pageBreakBefore w:val="0"/>
                    <w:widowControl w:val="0"/>
                    <w:tabs>
                      <w:tab w:val="left" w:pos="327"/>
                      <w:tab w:val="left" w:pos="507"/>
                      <w:tab w:val="right" w:pos="8913"/>
                    </w:tabs>
                    <w:kinsoku/>
                    <w:wordWrap/>
                    <w:overflowPunct/>
                    <w:topLinePunct w:val="0"/>
                    <w:autoSpaceDE/>
                    <w:autoSpaceDN/>
                    <w:bidi w:val="0"/>
                    <w:adjustRightInd/>
                    <w:snapToGrid w:val="0"/>
                    <w:spacing w:line="240" w:lineRule="auto"/>
                    <w:ind w:left="-84" w:leftChars="-40" w:right="-63" w:rightChars="-30" w:firstLine="0" w:firstLineChars="0"/>
                    <w:jc w:val="center"/>
                    <w:textAlignment w:val="auto"/>
                    <w:rPr>
                      <w:rFonts w:hint="default" w:ascii="Times New Roman" w:hAnsi="Times New Roman" w:eastAsia="宋体" w:cs="Times New Roman"/>
                      <w:i w:val="0"/>
                      <w:iCs w:val="0"/>
                      <w:color w:val="auto"/>
                      <w:spacing w:val="-20"/>
                      <w:w w:val="95"/>
                      <w:kern w:val="0"/>
                      <w:sz w:val="21"/>
                      <w:szCs w:val="21"/>
                      <w:highlight w:val="none"/>
                      <w:u w:val="none"/>
                      <w:lang w:val="en-US" w:eastAsia="zh-CN" w:bidi="ar"/>
                    </w:rPr>
                  </w:pPr>
                  <w:r>
                    <w:rPr>
                      <w:rFonts w:hint="default" w:ascii="Times New Roman" w:hAnsi="Times New Roman" w:eastAsia="宋体" w:cs="Times New Roman"/>
                      <w:bCs/>
                      <w:color w:val="auto"/>
                      <w:spacing w:val="-20"/>
                      <w:w w:val="95"/>
                      <w:sz w:val="21"/>
                      <w:szCs w:val="21"/>
                      <w:highlight w:val="none"/>
                    </w:rPr>
                    <w:t>一般排放口</w:t>
                  </w:r>
                </w:p>
              </w:tc>
            </w:tr>
          </w:tbl>
          <w:p w14:paraId="1BF19DD9">
            <w:pPr>
              <w:bidi w:val="0"/>
              <w:rPr>
                <w:rFonts w:hint="eastAsia" w:ascii="Times New Roman" w:hAnsi="Times New Roman" w:cs="Times New Roman"/>
                <w:b w:val="0"/>
                <w:bCs w:val="0"/>
                <w:i w:val="0"/>
                <w:iCs w:val="0"/>
                <w:color w:val="auto"/>
                <w:spacing w:val="-11"/>
                <w:kern w:val="0"/>
                <w:sz w:val="21"/>
                <w:szCs w:val="21"/>
                <w:highlight w:val="none"/>
                <w:u w:val="none"/>
                <w:lang w:val="en-US" w:eastAsia="zh-CN" w:bidi="ar"/>
              </w:rPr>
            </w:pPr>
            <w:r>
              <w:rPr>
                <w:rFonts w:hint="eastAsia"/>
                <w:b w:val="0"/>
                <w:bCs w:val="0"/>
                <w:color w:val="auto"/>
                <w:highlight w:val="none"/>
                <w:lang w:val="en-US" w:eastAsia="zh-CN"/>
              </w:rPr>
              <w:t>注：仅吸附时</w:t>
            </w:r>
            <w:r>
              <w:rPr>
                <w:rFonts w:hint="default" w:ascii="Times New Roman" w:hAnsi="Times New Roman" w:eastAsia="宋体" w:cs="Times New Roman"/>
                <w:b w:val="0"/>
                <w:bCs w:val="0"/>
                <w:i w:val="0"/>
                <w:iCs w:val="0"/>
                <w:color w:val="auto"/>
                <w:spacing w:val="-11"/>
                <w:kern w:val="0"/>
                <w:sz w:val="21"/>
                <w:szCs w:val="21"/>
                <w:highlight w:val="none"/>
                <w:u w:val="none"/>
                <w:lang w:val="en-US" w:eastAsia="zh-CN" w:bidi="ar"/>
              </w:rPr>
              <w:t>①</w:t>
            </w:r>
            <w:r>
              <w:rPr>
                <w:rFonts w:hint="default" w:ascii="Times New Roman" w:hAnsi="Times New Roman" w:cs="Times New Roman"/>
                <w:b w:val="0"/>
                <w:bCs w:val="0"/>
                <w:i w:val="0"/>
                <w:iCs w:val="0"/>
                <w:color w:val="auto"/>
                <w:spacing w:val="-11"/>
                <w:kern w:val="0"/>
                <w:sz w:val="21"/>
                <w:szCs w:val="21"/>
                <w:highlight w:val="none"/>
                <w:u w:val="none"/>
                <w:lang w:val="en-US" w:eastAsia="zh-CN" w:bidi="ar"/>
              </w:rPr>
              <w:t>按照全厂污染物产生/排放核算；</w:t>
            </w:r>
            <w:r>
              <w:rPr>
                <w:rFonts w:hint="eastAsia" w:cs="Times New Roman"/>
                <w:b w:val="0"/>
                <w:bCs w:val="0"/>
                <w:i w:val="0"/>
                <w:iCs w:val="0"/>
                <w:color w:val="auto"/>
                <w:spacing w:val="-11"/>
                <w:kern w:val="0"/>
                <w:sz w:val="21"/>
                <w:szCs w:val="21"/>
                <w:highlight w:val="none"/>
                <w:u w:val="none"/>
                <w:lang w:val="en-US" w:eastAsia="zh-CN" w:bidi="ar"/>
              </w:rPr>
              <w:t>②</w:t>
            </w:r>
            <w:r>
              <w:rPr>
                <w:rFonts w:hint="default" w:ascii="Times New Roman" w:hAnsi="Times New Roman" w:cs="Times New Roman"/>
                <w:b w:val="0"/>
                <w:bCs w:val="0"/>
                <w:i w:val="0"/>
                <w:iCs w:val="0"/>
                <w:color w:val="auto"/>
                <w:spacing w:val="-11"/>
                <w:kern w:val="0"/>
                <w:sz w:val="21"/>
                <w:szCs w:val="21"/>
                <w:highlight w:val="none"/>
                <w:u w:val="none"/>
                <w:lang w:val="en-US" w:eastAsia="zh-CN" w:bidi="ar"/>
              </w:rPr>
              <w:t>③</w:t>
            </w:r>
            <w:r>
              <w:rPr>
                <w:rFonts w:hint="default" w:ascii="Times New Roman" w:hAnsi="Times New Roman" w:eastAsia="宋体" w:cs="Times New Roman"/>
                <w:b w:val="0"/>
                <w:bCs w:val="0"/>
                <w:i w:val="0"/>
                <w:iCs w:val="0"/>
                <w:color w:val="auto"/>
                <w:spacing w:val="-11"/>
                <w:kern w:val="0"/>
                <w:sz w:val="21"/>
                <w:szCs w:val="21"/>
                <w:highlight w:val="none"/>
                <w:u w:val="none"/>
                <w:lang w:val="en-US" w:eastAsia="zh-CN" w:bidi="ar"/>
              </w:rPr>
              <w:t>发泡及成型年运行时间为2400小时、切割工序年运行时间为600小时，项目按照</w:t>
            </w:r>
            <w:r>
              <w:rPr>
                <w:rFonts w:hint="default" w:ascii="Times New Roman" w:hAnsi="Times New Roman" w:cs="Times New Roman"/>
                <w:b w:val="0"/>
                <w:bCs w:val="0"/>
                <w:i w:val="0"/>
                <w:iCs w:val="0"/>
                <w:color w:val="auto"/>
                <w:spacing w:val="-11"/>
                <w:kern w:val="0"/>
                <w:sz w:val="21"/>
                <w:szCs w:val="21"/>
                <w:highlight w:val="none"/>
                <w:u w:val="none"/>
                <w:lang w:val="en-US" w:eastAsia="zh-CN" w:bidi="ar"/>
              </w:rPr>
              <w:t>最不利：</w:t>
            </w:r>
            <w:r>
              <w:rPr>
                <w:rFonts w:hint="default" w:ascii="Times New Roman" w:hAnsi="Times New Roman" w:eastAsia="宋体" w:cs="Times New Roman"/>
                <w:b w:val="0"/>
                <w:bCs w:val="0"/>
                <w:i w:val="0"/>
                <w:iCs w:val="0"/>
                <w:color w:val="auto"/>
                <w:spacing w:val="-11"/>
                <w:kern w:val="0"/>
                <w:sz w:val="21"/>
                <w:szCs w:val="21"/>
                <w:highlight w:val="none"/>
                <w:u w:val="none"/>
                <w:lang w:val="en-US" w:eastAsia="zh-CN" w:bidi="ar"/>
              </w:rPr>
              <w:t>年运行600小时进行达标分析</w:t>
            </w:r>
            <w:r>
              <w:rPr>
                <w:rFonts w:hint="eastAsia" w:ascii="Times New Roman" w:hAnsi="Times New Roman" w:cs="Times New Roman"/>
                <w:b w:val="0"/>
                <w:bCs w:val="0"/>
                <w:i w:val="0"/>
                <w:iCs w:val="0"/>
                <w:color w:val="auto"/>
                <w:spacing w:val="-11"/>
                <w:kern w:val="0"/>
                <w:sz w:val="21"/>
                <w:szCs w:val="21"/>
                <w:highlight w:val="none"/>
                <w:u w:val="none"/>
                <w:lang w:val="en-US" w:eastAsia="zh-CN" w:bidi="ar"/>
              </w:rPr>
              <w:t>。</w:t>
            </w:r>
          </w:p>
          <w:p w14:paraId="1BD5A93E">
            <w:pPr>
              <w:bidi w:val="0"/>
              <w:rPr>
                <w:rFonts w:hint="default" w:ascii="Times New Roman" w:hAnsi="Times New Roman" w:cs="Times New Roman"/>
                <w:b w:val="0"/>
                <w:bCs w:val="0"/>
                <w:i w:val="0"/>
                <w:iCs w:val="0"/>
                <w:color w:val="auto"/>
                <w:spacing w:val="-11"/>
                <w:kern w:val="0"/>
                <w:sz w:val="21"/>
                <w:szCs w:val="21"/>
                <w:highlight w:val="none"/>
                <w:u w:val="none"/>
                <w:lang w:val="en-US" w:eastAsia="zh-CN" w:bidi="ar"/>
              </w:rPr>
            </w:pPr>
            <w:r>
              <w:rPr>
                <w:rFonts w:hint="eastAsia" w:cs="Times New Roman"/>
                <w:i w:val="0"/>
                <w:iCs w:val="0"/>
                <w:color w:val="auto"/>
                <w:spacing w:val="-20"/>
                <w:w w:val="95"/>
                <w:kern w:val="0"/>
                <w:sz w:val="21"/>
                <w:szCs w:val="21"/>
                <w:highlight w:val="none"/>
                <w:u w:val="none"/>
                <w:lang w:val="en-US" w:eastAsia="zh-CN" w:bidi="ar"/>
              </w:rPr>
              <w:t>仅脱附-催化燃烧时按照</w:t>
            </w:r>
            <w:r>
              <w:rPr>
                <w:rFonts w:hint="default" w:ascii="Times New Roman" w:hAnsi="Times New Roman" w:eastAsia="宋体" w:cs="Times New Roman"/>
                <w:b w:val="0"/>
                <w:bCs w:val="0"/>
                <w:i w:val="0"/>
                <w:iCs w:val="0"/>
                <w:color w:val="auto"/>
                <w:spacing w:val="-11"/>
                <w:kern w:val="0"/>
                <w:sz w:val="21"/>
                <w:szCs w:val="21"/>
                <w:highlight w:val="none"/>
                <w:u w:val="none"/>
                <w:lang w:val="en-US" w:eastAsia="zh-CN" w:bidi="ar"/>
              </w:rPr>
              <w:t>年运行</w:t>
            </w:r>
            <w:r>
              <w:rPr>
                <w:rFonts w:hint="eastAsia" w:ascii="Times New Roman" w:hAnsi="Times New Roman" w:cs="Times New Roman"/>
                <w:b w:val="0"/>
                <w:bCs w:val="0"/>
                <w:i w:val="0"/>
                <w:iCs w:val="0"/>
                <w:color w:val="auto"/>
                <w:spacing w:val="-11"/>
                <w:kern w:val="0"/>
                <w:sz w:val="21"/>
                <w:szCs w:val="21"/>
                <w:highlight w:val="none"/>
                <w:u w:val="none"/>
                <w:lang w:val="en-US" w:eastAsia="zh-CN" w:bidi="ar"/>
              </w:rPr>
              <w:t>144</w:t>
            </w:r>
            <w:r>
              <w:rPr>
                <w:rFonts w:hint="default" w:ascii="Times New Roman" w:hAnsi="Times New Roman" w:eastAsia="宋体" w:cs="Times New Roman"/>
                <w:b w:val="0"/>
                <w:bCs w:val="0"/>
                <w:i w:val="0"/>
                <w:iCs w:val="0"/>
                <w:color w:val="auto"/>
                <w:spacing w:val="-11"/>
                <w:kern w:val="0"/>
                <w:sz w:val="21"/>
                <w:szCs w:val="21"/>
                <w:highlight w:val="none"/>
                <w:u w:val="none"/>
                <w:lang w:val="en-US" w:eastAsia="zh-CN" w:bidi="ar"/>
              </w:rPr>
              <w:t>小时进行达标分析</w:t>
            </w:r>
          </w:p>
          <w:p w14:paraId="68478BBA">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outlineLvl w:val="1"/>
              <w:rPr>
                <w:rFonts w:ascii="Times New Roman" w:hAnsi="Times New Roman" w:eastAsia="宋体" w:cs="Times New Roman"/>
                <w:b/>
                <w:color w:val="auto"/>
                <w:sz w:val="24"/>
                <w:szCs w:val="22"/>
                <w:highlight w:val="none"/>
              </w:rPr>
            </w:pPr>
            <w:r>
              <w:rPr>
                <w:rFonts w:hint="eastAsia" w:cs="Times New Roman"/>
                <w:b w:val="0"/>
                <w:bCs w:val="0"/>
                <w:color w:val="auto"/>
                <w:sz w:val="24"/>
                <w:highlight w:val="none"/>
                <w:lang w:val="en-US" w:eastAsia="zh-CN"/>
              </w:rPr>
              <w:t>3.</w:t>
            </w:r>
            <w:r>
              <w:rPr>
                <w:rFonts w:hint="eastAsia" w:ascii="Times New Roman" w:hAnsi="Times New Roman" w:eastAsia="宋体" w:cs="Times New Roman"/>
                <w:b w:val="0"/>
                <w:bCs w:val="0"/>
                <w:color w:val="auto"/>
                <w:sz w:val="24"/>
                <w:highlight w:val="none"/>
                <w:lang w:val="en-US" w:eastAsia="zh-CN"/>
              </w:rPr>
              <w:t>建成后全厂污染物排放量</w:t>
            </w:r>
          </w:p>
          <w:p w14:paraId="42AC0DFA">
            <w:pPr>
              <w:spacing w:line="240" w:lineRule="auto"/>
              <w:jc w:val="center"/>
              <w:rPr>
                <w:rFonts w:ascii="Times New Roman" w:hAnsi="Times New Roman" w:eastAsia="宋体" w:cs="Times New Roman"/>
                <w:b/>
                <w:color w:val="auto"/>
                <w:sz w:val="24"/>
                <w:szCs w:val="22"/>
                <w:highlight w:val="none"/>
              </w:rPr>
            </w:pPr>
            <w:r>
              <w:rPr>
                <w:rFonts w:ascii="Times New Roman" w:hAnsi="Times New Roman" w:eastAsia="宋体" w:cs="Times New Roman"/>
                <w:b/>
                <w:color w:val="auto"/>
                <w:sz w:val="24"/>
                <w:szCs w:val="22"/>
                <w:highlight w:val="none"/>
              </w:rPr>
              <w:t>表4-</w:t>
            </w:r>
            <w:r>
              <w:rPr>
                <w:rFonts w:hint="eastAsia" w:cs="Times New Roman"/>
                <w:b/>
                <w:color w:val="auto"/>
                <w:sz w:val="24"/>
                <w:szCs w:val="22"/>
                <w:highlight w:val="none"/>
                <w:lang w:val="en-US" w:eastAsia="zh-CN"/>
              </w:rPr>
              <w:t>4</w:t>
            </w:r>
            <w:r>
              <w:rPr>
                <w:rFonts w:ascii="Times New Roman" w:hAnsi="Times New Roman" w:eastAsia="宋体" w:cs="Times New Roman"/>
                <w:b/>
                <w:color w:val="auto"/>
                <w:sz w:val="24"/>
                <w:szCs w:val="22"/>
                <w:highlight w:val="none"/>
              </w:rPr>
              <w:t xml:space="preserve">  </w:t>
            </w:r>
            <w:r>
              <w:rPr>
                <w:rFonts w:hint="eastAsia" w:ascii="Times New Roman" w:hAnsi="Times New Roman" w:eastAsia="宋体" w:cs="Times New Roman"/>
                <w:b/>
                <w:color w:val="auto"/>
                <w:sz w:val="24"/>
                <w:szCs w:val="22"/>
                <w:highlight w:val="none"/>
                <w:lang w:val="en-US" w:eastAsia="zh-CN"/>
              </w:rPr>
              <w:t>全厂</w:t>
            </w:r>
            <w:r>
              <w:rPr>
                <w:rFonts w:ascii="Times New Roman" w:hAnsi="Times New Roman" w:eastAsia="宋体" w:cs="Times New Roman"/>
                <w:b/>
                <w:color w:val="auto"/>
                <w:sz w:val="24"/>
                <w:szCs w:val="22"/>
                <w:highlight w:val="none"/>
              </w:rPr>
              <w:t>主要大气污染物</w:t>
            </w:r>
            <w:r>
              <w:rPr>
                <w:rFonts w:hint="eastAsia" w:ascii="Times New Roman" w:hAnsi="Times New Roman" w:eastAsia="宋体" w:cs="Times New Roman"/>
                <w:b/>
                <w:color w:val="auto"/>
                <w:sz w:val="24"/>
                <w:szCs w:val="22"/>
                <w:highlight w:val="none"/>
                <w:lang w:val="en-US" w:eastAsia="zh-CN"/>
              </w:rPr>
              <w:t>排放量统计</w:t>
            </w:r>
            <w:r>
              <w:rPr>
                <w:rFonts w:ascii="Times New Roman" w:hAnsi="Times New Roman" w:eastAsia="宋体" w:cs="Times New Roman"/>
                <w:b/>
                <w:color w:val="auto"/>
                <w:sz w:val="24"/>
                <w:szCs w:val="22"/>
                <w:highlight w:val="none"/>
              </w:rPr>
              <w:t>一览表</w:t>
            </w:r>
          </w:p>
          <w:tbl>
            <w:tblPr>
              <w:tblStyle w:val="35"/>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1189"/>
              <w:gridCol w:w="2529"/>
              <w:gridCol w:w="2506"/>
              <w:gridCol w:w="2255"/>
            </w:tblGrid>
            <w:tr w14:paraId="63BAE81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192" w:type="pct"/>
                  <w:gridSpan w:val="2"/>
                  <w:noWrap w:val="0"/>
                  <w:vAlign w:val="center"/>
                </w:tcPr>
                <w:p w14:paraId="0FF76851">
                  <w:pPr>
                    <w:pStyle w:val="6"/>
                    <w:keepNext w:val="0"/>
                    <w:keepLines w:val="0"/>
                    <w:pageBreakBefore w:val="0"/>
                    <w:widowControl/>
                    <w:kinsoku/>
                    <w:wordWrap/>
                    <w:overflowPunct/>
                    <w:topLinePunct w:val="0"/>
                    <w:autoSpaceDE/>
                    <w:autoSpaceDN/>
                    <w:bidi w:val="0"/>
                    <w:adjustRightInd w:val="0"/>
                    <w:snapToGrid/>
                    <w:spacing w:line="240" w:lineRule="auto"/>
                    <w:ind w:firstLine="0" w:firstLineChars="0"/>
                    <w:jc w:val="center"/>
                    <w:textAlignment w:val="auto"/>
                    <w:rPr>
                      <w:rFonts w:hint="default" w:ascii="Times New Roman" w:hAnsi="Times New Roman" w:eastAsia="宋体" w:cs="Times New Roman"/>
                      <w:b/>
                      <w:bCs w:val="0"/>
                      <w:color w:val="auto"/>
                      <w:spacing w:val="0"/>
                      <w:w w:val="100"/>
                      <w:sz w:val="21"/>
                      <w:szCs w:val="21"/>
                      <w:highlight w:val="none"/>
                      <w:vertAlign w:val="baseline"/>
                      <w:lang w:val="en-US" w:eastAsia="zh-CN"/>
                    </w:rPr>
                  </w:pPr>
                  <w:r>
                    <w:rPr>
                      <w:rFonts w:hint="default" w:ascii="Times New Roman" w:hAnsi="Times New Roman" w:eastAsia="宋体" w:cs="Times New Roman"/>
                      <w:b/>
                      <w:bCs w:val="0"/>
                      <w:color w:val="auto"/>
                      <w:spacing w:val="0"/>
                      <w:w w:val="100"/>
                      <w:sz w:val="21"/>
                      <w:szCs w:val="21"/>
                      <w:highlight w:val="none"/>
                      <w:vertAlign w:val="baseline"/>
                      <w:lang w:val="en-US" w:eastAsia="zh-CN"/>
                    </w:rPr>
                    <w:t>种类</w:t>
                  </w:r>
                </w:p>
              </w:tc>
              <w:tc>
                <w:tcPr>
                  <w:tcW w:w="1477" w:type="pct"/>
                  <w:noWrap w:val="0"/>
                  <w:vAlign w:val="center"/>
                </w:tcPr>
                <w:p w14:paraId="25AEE9D3">
                  <w:pPr>
                    <w:pStyle w:val="6"/>
                    <w:keepNext w:val="0"/>
                    <w:keepLines w:val="0"/>
                    <w:pageBreakBefore w:val="0"/>
                    <w:widowControl/>
                    <w:kinsoku/>
                    <w:wordWrap/>
                    <w:overflowPunct/>
                    <w:topLinePunct w:val="0"/>
                    <w:autoSpaceDE/>
                    <w:autoSpaceDN/>
                    <w:bidi w:val="0"/>
                    <w:adjustRightInd w:val="0"/>
                    <w:snapToGrid/>
                    <w:spacing w:line="240" w:lineRule="auto"/>
                    <w:ind w:firstLine="0" w:firstLineChars="0"/>
                    <w:jc w:val="center"/>
                    <w:textAlignment w:val="auto"/>
                    <w:rPr>
                      <w:rFonts w:hint="default" w:ascii="Times New Roman" w:hAnsi="Times New Roman" w:eastAsia="宋体" w:cs="Times New Roman"/>
                      <w:b/>
                      <w:bCs w:val="0"/>
                      <w:color w:val="auto"/>
                      <w:spacing w:val="0"/>
                      <w:w w:val="100"/>
                      <w:sz w:val="21"/>
                      <w:szCs w:val="21"/>
                      <w:highlight w:val="none"/>
                      <w:vertAlign w:val="baseline"/>
                      <w:lang w:val="en-US" w:eastAsia="zh-CN"/>
                    </w:rPr>
                  </w:pPr>
                  <w:r>
                    <w:rPr>
                      <w:rFonts w:hint="default" w:ascii="Times New Roman" w:hAnsi="Times New Roman" w:eastAsia="宋体" w:cs="Times New Roman"/>
                      <w:b/>
                      <w:bCs w:val="0"/>
                      <w:color w:val="auto"/>
                      <w:spacing w:val="0"/>
                      <w:w w:val="100"/>
                      <w:sz w:val="21"/>
                      <w:szCs w:val="21"/>
                      <w:highlight w:val="none"/>
                      <w:vertAlign w:val="baseline"/>
                      <w:lang w:val="en-US" w:eastAsia="zh-CN"/>
                    </w:rPr>
                    <w:t>非甲烷总烃（</w:t>
                  </w:r>
                  <w:r>
                    <w:rPr>
                      <w:rFonts w:hint="default" w:ascii="Times New Roman" w:hAnsi="Times New Roman" w:eastAsia="宋体" w:cs="Times New Roman"/>
                      <w:b/>
                      <w:bCs w:val="0"/>
                      <w:color w:val="auto"/>
                      <w:spacing w:val="0"/>
                      <w:w w:val="100"/>
                      <w:sz w:val="21"/>
                      <w:szCs w:val="21"/>
                      <w:highlight w:val="none"/>
                    </w:rPr>
                    <w:t>t/a</w:t>
                  </w:r>
                  <w:r>
                    <w:rPr>
                      <w:rFonts w:hint="default" w:ascii="Times New Roman" w:hAnsi="Times New Roman" w:eastAsia="宋体" w:cs="Times New Roman"/>
                      <w:b/>
                      <w:bCs w:val="0"/>
                      <w:color w:val="auto"/>
                      <w:spacing w:val="0"/>
                      <w:w w:val="100"/>
                      <w:sz w:val="21"/>
                      <w:szCs w:val="21"/>
                      <w:highlight w:val="none"/>
                      <w:vertAlign w:val="baseline"/>
                      <w:lang w:val="en-US" w:eastAsia="zh-CN"/>
                    </w:rPr>
                    <w:t>）</w:t>
                  </w:r>
                </w:p>
              </w:tc>
              <w:tc>
                <w:tcPr>
                  <w:tcW w:w="1329" w:type="pct"/>
                  <w:noWrap w:val="0"/>
                  <w:vAlign w:val="center"/>
                </w:tcPr>
                <w:p w14:paraId="5595356F">
                  <w:pPr>
                    <w:pStyle w:val="6"/>
                    <w:keepNext w:val="0"/>
                    <w:keepLines w:val="0"/>
                    <w:pageBreakBefore w:val="0"/>
                    <w:widowControl/>
                    <w:kinsoku/>
                    <w:wordWrap/>
                    <w:overflowPunct/>
                    <w:topLinePunct w:val="0"/>
                    <w:autoSpaceDE/>
                    <w:autoSpaceDN/>
                    <w:bidi w:val="0"/>
                    <w:adjustRightInd w:val="0"/>
                    <w:snapToGrid/>
                    <w:spacing w:line="240" w:lineRule="auto"/>
                    <w:ind w:firstLine="0" w:firstLineChars="0"/>
                    <w:jc w:val="center"/>
                    <w:textAlignment w:val="auto"/>
                    <w:rPr>
                      <w:rFonts w:hint="default" w:ascii="Times New Roman" w:hAnsi="Times New Roman" w:eastAsia="宋体" w:cs="Times New Roman"/>
                      <w:b/>
                      <w:bCs w:val="0"/>
                      <w:color w:val="auto"/>
                      <w:spacing w:val="0"/>
                      <w:w w:val="100"/>
                      <w:sz w:val="21"/>
                      <w:szCs w:val="21"/>
                      <w:highlight w:val="none"/>
                      <w:vertAlign w:val="baseline"/>
                      <w:lang w:val="en-US" w:eastAsia="zh-CN"/>
                    </w:rPr>
                  </w:pPr>
                  <w:r>
                    <w:rPr>
                      <w:rFonts w:hint="default" w:ascii="Times New Roman" w:hAnsi="Times New Roman" w:eastAsia="宋体" w:cs="Times New Roman"/>
                      <w:b/>
                      <w:bCs w:val="0"/>
                      <w:i w:val="0"/>
                      <w:iCs w:val="0"/>
                      <w:color w:val="auto"/>
                      <w:spacing w:val="0"/>
                      <w:w w:val="100"/>
                      <w:kern w:val="0"/>
                      <w:sz w:val="21"/>
                      <w:szCs w:val="21"/>
                      <w:highlight w:val="none"/>
                      <w:u w:val="none"/>
                      <w:lang w:val="en-US" w:eastAsia="zh-CN" w:bidi="ar"/>
                    </w:rPr>
                    <w:t>苯乙烯</w:t>
                  </w:r>
                  <w:r>
                    <w:rPr>
                      <w:rFonts w:hint="default" w:ascii="Times New Roman" w:hAnsi="Times New Roman" w:eastAsia="宋体" w:cs="Times New Roman"/>
                      <w:b/>
                      <w:bCs w:val="0"/>
                      <w:color w:val="auto"/>
                      <w:spacing w:val="0"/>
                      <w:w w:val="100"/>
                      <w:sz w:val="21"/>
                      <w:szCs w:val="21"/>
                      <w:highlight w:val="none"/>
                      <w:vertAlign w:val="baseline"/>
                      <w:lang w:val="en-US" w:eastAsia="zh-CN"/>
                    </w:rPr>
                    <w:t>（</w:t>
                  </w:r>
                  <w:r>
                    <w:rPr>
                      <w:rFonts w:hint="default" w:ascii="Times New Roman" w:hAnsi="Times New Roman" w:eastAsia="宋体" w:cs="Times New Roman"/>
                      <w:b/>
                      <w:bCs w:val="0"/>
                      <w:color w:val="auto"/>
                      <w:spacing w:val="0"/>
                      <w:w w:val="100"/>
                      <w:sz w:val="21"/>
                      <w:szCs w:val="21"/>
                      <w:highlight w:val="none"/>
                    </w:rPr>
                    <w:t>t/a</w:t>
                  </w:r>
                  <w:r>
                    <w:rPr>
                      <w:rFonts w:hint="default" w:ascii="Times New Roman" w:hAnsi="Times New Roman" w:eastAsia="宋体" w:cs="Times New Roman"/>
                      <w:b/>
                      <w:bCs w:val="0"/>
                      <w:color w:val="auto"/>
                      <w:spacing w:val="0"/>
                      <w:w w:val="100"/>
                      <w:sz w:val="21"/>
                      <w:szCs w:val="21"/>
                      <w:highlight w:val="none"/>
                      <w:vertAlign w:val="baseline"/>
                      <w:lang w:val="en-US" w:eastAsia="zh-CN"/>
                    </w:rPr>
                    <w:t>）</w:t>
                  </w:r>
                </w:p>
              </w:tc>
            </w:tr>
            <w:tr w14:paraId="64A618E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0" w:hRule="atLeast"/>
                <w:jc w:val="center"/>
              </w:trPr>
              <w:tc>
                <w:tcPr>
                  <w:tcW w:w="701" w:type="pct"/>
                  <w:vMerge w:val="restart"/>
                  <w:noWrap w:val="0"/>
                  <w:vAlign w:val="center"/>
                </w:tcPr>
                <w:p w14:paraId="600D21EF">
                  <w:pPr>
                    <w:pStyle w:val="6"/>
                    <w:keepNext w:val="0"/>
                    <w:keepLines w:val="0"/>
                    <w:pageBreakBefore w:val="0"/>
                    <w:widowControl/>
                    <w:kinsoku/>
                    <w:wordWrap/>
                    <w:overflowPunct/>
                    <w:topLinePunct w:val="0"/>
                    <w:autoSpaceDE/>
                    <w:autoSpaceDN/>
                    <w:bidi w:val="0"/>
                    <w:adjustRightInd w:val="0"/>
                    <w:snapToGrid/>
                    <w:spacing w:line="240" w:lineRule="auto"/>
                    <w:ind w:left="0" w:leftChars="0" w:firstLine="0" w:firstLineChars="0"/>
                    <w:jc w:val="center"/>
                    <w:textAlignment w:val="auto"/>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default" w:ascii="Times New Roman" w:hAnsi="Times New Roman" w:eastAsia="宋体" w:cs="Times New Roman"/>
                      <w:b w:val="0"/>
                      <w:bCs/>
                      <w:color w:val="auto"/>
                      <w:spacing w:val="0"/>
                      <w:w w:val="100"/>
                      <w:sz w:val="21"/>
                      <w:szCs w:val="21"/>
                      <w:highlight w:val="none"/>
                      <w:vertAlign w:val="baseline"/>
                      <w:lang w:val="en-US" w:eastAsia="zh-CN"/>
                    </w:rPr>
                    <w:t>有组织</w:t>
                  </w:r>
                </w:p>
              </w:tc>
              <w:tc>
                <w:tcPr>
                  <w:tcW w:w="1491" w:type="pct"/>
                  <w:noWrap w:val="0"/>
                  <w:vAlign w:val="center"/>
                </w:tcPr>
                <w:p w14:paraId="740DAE70">
                  <w:pPr>
                    <w:pStyle w:val="6"/>
                    <w:keepNext w:val="0"/>
                    <w:keepLines w:val="0"/>
                    <w:pageBreakBefore w:val="0"/>
                    <w:widowControl/>
                    <w:kinsoku/>
                    <w:wordWrap/>
                    <w:overflowPunct/>
                    <w:topLinePunct w:val="0"/>
                    <w:autoSpaceDE/>
                    <w:autoSpaceDN/>
                    <w:bidi w:val="0"/>
                    <w:adjustRightInd w:val="0"/>
                    <w:snapToGrid/>
                    <w:spacing w:line="240" w:lineRule="auto"/>
                    <w:ind w:left="0" w:leftChars="0" w:firstLine="0" w:firstLineChars="0"/>
                    <w:jc w:val="center"/>
                    <w:textAlignment w:val="auto"/>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default" w:ascii="Times New Roman" w:hAnsi="Times New Roman" w:eastAsia="宋体" w:cs="Times New Roman"/>
                      <w:b w:val="0"/>
                      <w:bCs/>
                      <w:color w:val="auto"/>
                      <w:spacing w:val="0"/>
                      <w:w w:val="100"/>
                      <w:sz w:val="21"/>
                      <w:szCs w:val="21"/>
                      <w:highlight w:val="none"/>
                      <w:vertAlign w:val="baseline"/>
                      <w:lang w:val="en-US" w:eastAsia="zh-CN"/>
                    </w:rPr>
                    <w:t>DA001（仅吸附时）</w:t>
                  </w:r>
                </w:p>
              </w:tc>
              <w:tc>
                <w:tcPr>
                  <w:tcW w:w="1477" w:type="pct"/>
                  <w:noWrap w:val="0"/>
                  <w:vAlign w:val="center"/>
                </w:tcPr>
                <w:p w14:paraId="24553E7B">
                  <w:pPr>
                    <w:keepNext w:val="0"/>
                    <w:keepLines w:val="0"/>
                    <w:pageBreakBefore w:val="0"/>
                    <w:widowControl/>
                    <w:suppressLineNumbers w:val="0"/>
                    <w:kinsoku/>
                    <w:wordWrap/>
                    <w:overflowPunct/>
                    <w:topLinePunct w:val="0"/>
                    <w:autoSpaceDE/>
                    <w:autoSpaceDN/>
                    <w:bidi w:val="0"/>
                    <w:adjustRightInd w:val="0"/>
                    <w:snapToGrid/>
                    <w:jc w:val="center"/>
                    <w:textAlignment w:val="center"/>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default" w:ascii="Times New Roman" w:hAnsi="Times New Roman" w:eastAsia="宋体" w:cs="Times New Roman"/>
                      <w:i w:val="0"/>
                      <w:iCs w:val="0"/>
                      <w:color w:val="auto"/>
                      <w:spacing w:val="0"/>
                      <w:w w:val="100"/>
                      <w:kern w:val="0"/>
                      <w:sz w:val="21"/>
                      <w:szCs w:val="21"/>
                      <w:highlight w:val="none"/>
                      <w:u w:val="none"/>
                      <w:lang w:val="en-US" w:eastAsia="zh-CN" w:bidi="ar"/>
                    </w:rPr>
                    <w:t>1.538</w:t>
                  </w:r>
                </w:p>
              </w:tc>
              <w:tc>
                <w:tcPr>
                  <w:tcW w:w="1329" w:type="pct"/>
                  <w:noWrap w:val="0"/>
                  <w:vAlign w:val="center"/>
                </w:tcPr>
                <w:p w14:paraId="10D58443">
                  <w:pPr>
                    <w:keepNext w:val="0"/>
                    <w:keepLines w:val="0"/>
                    <w:pageBreakBefore w:val="0"/>
                    <w:widowControl/>
                    <w:suppressLineNumbers w:val="0"/>
                    <w:kinsoku/>
                    <w:wordWrap/>
                    <w:overflowPunct/>
                    <w:topLinePunct w:val="0"/>
                    <w:autoSpaceDE/>
                    <w:autoSpaceDN/>
                    <w:bidi w:val="0"/>
                    <w:adjustRightInd w:val="0"/>
                    <w:snapToGrid/>
                    <w:jc w:val="center"/>
                    <w:textAlignment w:val="center"/>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default" w:ascii="Times New Roman" w:hAnsi="Times New Roman" w:eastAsia="宋体" w:cs="Times New Roman"/>
                      <w:i w:val="0"/>
                      <w:iCs w:val="0"/>
                      <w:color w:val="auto"/>
                      <w:spacing w:val="0"/>
                      <w:w w:val="100"/>
                      <w:kern w:val="0"/>
                      <w:sz w:val="21"/>
                      <w:szCs w:val="21"/>
                      <w:highlight w:val="none"/>
                      <w:u w:val="none"/>
                      <w:lang w:val="en-US" w:eastAsia="zh-CN" w:bidi="ar"/>
                    </w:rPr>
                    <w:t>0.026</w:t>
                  </w:r>
                </w:p>
              </w:tc>
            </w:tr>
            <w:tr w14:paraId="2EFC20E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0" w:hRule="atLeast"/>
                <w:jc w:val="center"/>
              </w:trPr>
              <w:tc>
                <w:tcPr>
                  <w:tcW w:w="701" w:type="pct"/>
                  <w:vMerge w:val="continue"/>
                  <w:noWrap w:val="0"/>
                  <w:vAlign w:val="center"/>
                </w:tcPr>
                <w:p w14:paraId="7F40609D">
                  <w:pPr>
                    <w:pStyle w:val="6"/>
                    <w:keepNext w:val="0"/>
                    <w:keepLines w:val="0"/>
                    <w:pageBreakBefore w:val="0"/>
                    <w:widowControl/>
                    <w:kinsoku/>
                    <w:wordWrap/>
                    <w:overflowPunct/>
                    <w:topLinePunct w:val="0"/>
                    <w:autoSpaceDE/>
                    <w:autoSpaceDN/>
                    <w:bidi w:val="0"/>
                    <w:adjustRightInd w:val="0"/>
                    <w:snapToGrid/>
                    <w:spacing w:line="240" w:lineRule="auto"/>
                    <w:ind w:left="0" w:leftChars="0" w:firstLine="0" w:firstLineChars="0"/>
                    <w:jc w:val="center"/>
                    <w:textAlignment w:val="auto"/>
                    <w:rPr>
                      <w:rFonts w:hint="default" w:ascii="Times New Roman" w:hAnsi="Times New Roman" w:eastAsia="宋体" w:cs="Times New Roman"/>
                      <w:b w:val="0"/>
                      <w:bCs/>
                      <w:color w:val="auto"/>
                      <w:spacing w:val="0"/>
                      <w:w w:val="100"/>
                      <w:sz w:val="21"/>
                      <w:szCs w:val="21"/>
                      <w:highlight w:val="none"/>
                      <w:vertAlign w:val="baseline"/>
                      <w:lang w:val="en-US" w:eastAsia="zh-CN"/>
                    </w:rPr>
                  </w:pPr>
                </w:p>
              </w:tc>
              <w:tc>
                <w:tcPr>
                  <w:tcW w:w="1491" w:type="pct"/>
                  <w:noWrap w:val="0"/>
                  <w:vAlign w:val="center"/>
                </w:tcPr>
                <w:p w14:paraId="3E2E19BA">
                  <w:pPr>
                    <w:pStyle w:val="6"/>
                    <w:keepNext w:val="0"/>
                    <w:keepLines w:val="0"/>
                    <w:pageBreakBefore w:val="0"/>
                    <w:widowControl/>
                    <w:kinsoku/>
                    <w:wordWrap/>
                    <w:overflowPunct/>
                    <w:topLinePunct w:val="0"/>
                    <w:autoSpaceDE/>
                    <w:autoSpaceDN/>
                    <w:bidi w:val="0"/>
                    <w:adjustRightInd w:val="0"/>
                    <w:snapToGrid/>
                    <w:spacing w:line="240" w:lineRule="auto"/>
                    <w:ind w:left="0" w:leftChars="0" w:firstLine="0" w:firstLineChars="0"/>
                    <w:jc w:val="center"/>
                    <w:textAlignment w:val="auto"/>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default" w:ascii="Times New Roman" w:hAnsi="Times New Roman" w:eastAsia="宋体" w:cs="Times New Roman"/>
                      <w:b w:val="0"/>
                      <w:bCs/>
                      <w:color w:val="auto"/>
                      <w:spacing w:val="0"/>
                      <w:w w:val="100"/>
                      <w:sz w:val="21"/>
                      <w:szCs w:val="21"/>
                      <w:highlight w:val="none"/>
                      <w:vertAlign w:val="baseline"/>
                      <w:lang w:val="en-US" w:eastAsia="zh-CN"/>
                    </w:rPr>
                    <w:t>DA001（</w:t>
                  </w:r>
                  <w:r>
                    <w:rPr>
                      <w:rFonts w:hint="default" w:ascii="Times New Roman" w:hAnsi="Times New Roman" w:eastAsia="宋体" w:cs="Times New Roman"/>
                      <w:i w:val="0"/>
                      <w:iCs w:val="0"/>
                      <w:color w:val="auto"/>
                      <w:spacing w:val="0"/>
                      <w:w w:val="100"/>
                      <w:kern w:val="0"/>
                      <w:sz w:val="21"/>
                      <w:szCs w:val="21"/>
                      <w:highlight w:val="none"/>
                      <w:u w:val="none"/>
                      <w:lang w:val="en-US" w:eastAsia="zh-CN" w:bidi="ar"/>
                    </w:rPr>
                    <w:t>仅脱附-催化燃烧时）</w:t>
                  </w:r>
                </w:p>
              </w:tc>
              <w:tc>
                <w:tcPr>
                  <w:tcW w:w="1477" w:type="pct"/>
                  <w:noWrap w:val="0"/>
                  <w:vAlign w:val="center"/>
                </w:tcPr>
                <w:p w14:paraId="4950B7B5">
                  <w:pPr>
                    <w:keepNext w:val="0"/>
                    <w:keepLines w:val="0"/>
                    <w:pageBreakBefore w:val="0"/>
                    <w:widowControl/>
                    <w:suppressLineNumbers w:val="0"/>
                    <w:kinsoku/>
                    <w:wordWrap/>
                    <w:overflowPunct/>
                    <w:topLinePunct w:val="0"/>
                    <w:autoSpaceDE/>
                    <w:autoSpaceDN/>
                    <w:bidi w:val="0"/>
                    <w:adjustRightInd w:val="0"/>
                    <w:snapToGrid/>
                    <w:jc w:val="center"/>
                    <w:textAlignment w:val="center"/>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default" w:ascii="Times New Roman" w:hAnsi="Times New Roman" w:eastAsia="宋体" w:cs="Times New Roman"/>
                      <w:i w:val="0"/>
                      <w:iCs w:val="0"/>
                      <w:color w:val="auto"/>
                      <w:spacing w:val="0"/>
                      <w:w w:val="100"/>
                      <w:kern w:val="0"/>
                      <w:sz w:val="21"/>
                      <w:szCs w:val="21"/>
                      <w:highlight w:val="none"/>
                      <w:u w:val="none"/>
                      <w:lang w:val="en-US" w:eastAsia="zh-CN" w:bidi="ar"/>
                    </w:rPr>
                    <w:t>0.004</w:t>
                  </w:r>
                </w:p>
              </w:tc>
              <w:tc>
                <w:tcPr>
                  <w:tcW w:w="1329" w:type="pct"/>
                  <w:noWrap w:val="0"/>
                  <w:vAlign w:val="center"/>
                </w:tcPr>
                <w:p w14:paraId="54220317">
                  <w:pPr>
                    <w:keepNext w:val="0"/>
                    <w:keepLines w:val="0"/>
                    <w:pageBreakBefore w:val="0"/>
                    <w:widowControl/>
                    <w:suppressLineNumbers w:val="0"/>
                    <w:kinsoku/>
                    <w:wordWrap/>
                    <w:overflowPunct/>
                    <w:topLinePunct w:val="0"/>
                    <w:autoSpaceDE/>
                    <w:autoSpaceDN/>
                    <w:bidi w:val="0"/>
                    <w:adjustRightInd w:val="0"/>
                    <w:snapToGrid/>
                    <w:jc w:val="center"/>
                    <w:textAlignment w:val="center"/>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default" w:ascii="Times New Roman" w:hAnsi="Times New Roman" w:eastAsia="宋体" w:cs="Times New Roman"/>
                      <w:color w:val="auto"/>
                      <w:spacing w:val="0"/>
                      <w:w w:val="100"/>
                      <w:sz w:val="21"/>
                      <w:szCs w:val="21"/>
                      <w:highlight w:val="none"/>
                      <w:lang w:val="en-US" w:eastAsia="zh-CN"/>
                    </w:rPr>
                    <w:t>7.2×10</w:t>
                  </w:r>
                  <w:r>
                    <w:rPr>
                      <w:rFonts w:hint="default" w:ascii="Times New Roman" w:hAnsi="Times New Roman" w:eastAsia="宋体" w:cs="Times New Roman"/>
                      <w:color w:val="auto"/>
                      <w:spacing w:val="0"/>
                      <w:w w:val="100"/>
                      <w:sz w:val="21"/>
                      <w:szCs w:val="21"/>
                      <w:highlight w:val="none"/>
                      <w:vertAlign w:val="superscript"/>
                      <w:lang w:val="en-US" w:eastAsia="zh-CN"/>
                    </w:rPr>
                    <w:t>-5</w:t>
                  </w:r>
                </w:p>
              </w:tc>
            </w:tr>
            <w:tr w14:paraId="52FF67D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701" w:type="pct"/>
                  <w:vMerge w:val="continue"/>
                  <w:noWrap w:val="0"/>
                  <w:vAlign w:val="center"/>
                </w:tcPr>
                <w:p w14:paraId="67193849">
                  <w:pPr>
                    <w:pStyle w:val="6"/>
                    <w:keepNext w:val="0"/>
                    <w:keepLines w:val="0"/>
                    <w:pageBreakBefore w:val="0"/>
                    <w:widowControl/>
                    <w:kinsoku/>
                    <w:wordWrap/>
                    <w:overflowPunct/>
                    <w:topLinePunct w:val="0"/>
                    <w:autoSpaceDE/>
                    <w:autoSpaceDN/>
                    <w:bidi w:val="0"/>
                    <w:adjustRightInd w:val="0"/>
                    <w:snapToGrid/>
                    <w:spacing w:line="240" w:lineRule="auto"/>
                    <w:ind w:left="0" w:leftChars="0" w:firstLine="0" w:firstLineChars="0"/>
                    <w:jc w:val="center"/>
                    <w:textAlignment w:val="auto"/>
                    <w:rPr>
                      <w:rFonts w:hint="default" w:ascii="Times New Roman" w:hAnsi="Times New Roman" w:eastAsia="宋体" w:cs="Times New Roman"/>
                      <w:b w:val="0"/>
                      <w:bCs/>
                      <w:color w:val="auto"/>
                      <w:spacing w:val="0"/>
                      <w:w w:val="100"/>
                      <w:sz w:val="21"/>
                      <w:szCs w:val="21"/>
                      <w:highlight w:val="none"/>
                      <w:vertAlign w:val="baseline"/>
                      <w:lang w:val="en-US" w:eastAsia="zh-CN"/>
                    </w:rPr>
                  </w:pPr>
                </w:p>
              </w:tc>
              <w:tc>
                <w:tcPr>
                  <w:tcW w:w="1491" w:type="pct"/>
                  <w:noWrap w:val="0"/>
                  <w:vAlign w:val="center"/>
                </w:tcPr>
                <w:p w14:paraId="56704256">
                  <w:pPr>
                    <w:pStyle w:val="6"/>
                    <w:keepNext w:val="0"/>
                    <w:keepLines w:val="0"/>
                    <w:pageBreakBefore w:val="0"/>
                    <w:widowControl/>
                    <w:kinsoku/>
                    <w:wordWrap/>
                    <w:overflowPunct/>
                    <w:topLinePunct w:val="0"/>
                    <w:autoSpaceDE/>
                    <w:autoSpaceDN/>
                    <w:bidi w:val="0"/>
                    <w:adjustRightInd w:val="0"/>
                    <w:snapToGrid/>
                    <w:spacing w:line="240" w:lineRule="auto"/>
                    <w:ind w:left="0" w:leftChars="0" w:firstLine="0" w:firstLineChars="0"/>
                    <w:jc w:val="center"/>
                    <w:textAlignment w:val="auto"/>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eastAsia" w:cs="Times New Roman"/>
                      <w:b w:val="0"/>
                      <w:bCs/>
                      <w:color w:val="auto"/>
                      <w:spacing w:val="0"/>
                      <w:w w:val="100"/>
                      <w:sz w:val="21"/>
                      <w:szCs w:val="21"/>
                      <w:highlight w:val="none"/>
                      <w:vertAlign w:val="baseline"/>
                      <w:lang w:val="en-US" w:eastAsia="zh-CN"/>
                    </w:rPr>
                    <w:t>合计</w:t>
                  </w:r>
                </w:p>
              </w:tc>
              <w:tc>
                <w:tcPr>
                  <w:tcW w:w="1477" w:type="pct"/>
                  <w:noWrap w:val="0"/>
                  <w:vAlign w:val="center"/>
                </w:tcPr>
                <w:p w14:paraId="6DE1A0C8">
                  <w:pPr>
                    <w:keepNext w:val="0"/>
                    <w:keepLines w:val="0"/>
                    <w:pageBreakBefore w:val="0"/>
                    <w:widowControl/>
                    <w:suppressLineNumbers w:val="0"/>
                    <w:kinsoku/>
                    <w:wordWrap/>
                    <w:overflowPunct/>
                    <w:topLinePunct w:val="0"/>
                    <w:autoSpaceDE/>
                    <w:autoSpaceDN/>
                    <w:bidi w:val="0"/>
                    <w:adjustRightInd w:val="0"/>
                    <w:snapToGrid/>
                    <w:jc w:val="center"/>
                    <w:textAlignment w:val="center"/>
                    <w:rPr>
                      <w:rFonts w:hint="default" w:ascii="Times New Roman" w:hAnsi="Times New Roman" w:eastAsia="宋体" w:cs="Times New Roman"/>
                      <w:i w:val="0"/>
                      <w:iCs w:val="0"/>
                      <w:color w:val="auto"/>
                      <w:spacing w:val="0"/>
                      <w:w w:val="100"/>
                      <w:kern w:val="0"/>
                      <w:sz w:val="21"/>
                      <w:szCs w:val="21"/>
                      <w:highlight w:val="none"/>
                      <w:u w:val="none"/>
                      <w:lang w:val="en-US" w:eastAsia="zh-CN" w:bidi="ar"/>
                    </w:rPr>
                  </w:pPr>
                  <w:r>
                    <w:rPr>
                      <w:rFonts w:hint="eastAsia" w:cs="Times New Roman"/>
                      <w:i w:val="0"/>
                      <w:iCs w:val="0"/>
                      <w:color w:val="auto"/>
                      <w:spacing w:val="0"/>
                      <w:w w:val="100"/>
                      <w:kern w:val="0"/>
                      <w:sz w:val="21"/>
                      <w:szCs w:val="21"/>
                      <w:highlight w:val="none"/>
                      <w:u w:val="none"/>
                      <w:lang w:val="en-US" w:eastAsia="zh-CN" w:bidi="ar"/>
                    </w:rPr>
                    <w:t>1.542</w:t>
                  </w:r>
                </w:p>
              </w:tc>
              <w:tc>
                <w:tcPr>
                  <w:tcW w:w="1329" w:type="pct"/>
                  <w:noWrap w:val="0"/>
                  <w:vAlign w:val="center"/>
                </w:tcPr>
                <w:p w14:paraId="0B369886">
                  <w:pPr>
                    <w:keepNext w:val="0"/>
                    <w:keepLines w:val="0"/>
                    <w:pageBreakBefore w:val="0"/>
                    <w:widowControl/>
                    <w:suppressLineNumbers w:val="0"/>
                    <w:kinsoku/>
                    <w:wordWrap/>
                    <w:overflowPunct/>
                    <w:topLinePunct w:val="0"/>
                    <w:autoSpaceDE/>
                    <w:autoSpaceDN/>
                    <w:bidi w:val="0"/>
                    <w:adjustRightInd w:val="0"/>
                    <w:snapToGrid/>
                    <w:jc w:val="center"/>
                    <w:textAlignment w:val="center"/>
                    <w:rPr>
                      <w:rFonts w:hint="default" w:ascii="Times New Roman" w:hAnsi="Times New Roman" w:eastAsia="宋体" w:cs="Times New Roman"/>
                      <w:color w:val="auto"/>
                      <w:spacing w:val="0"/>
                      <w:w w:val="100"/>
                      <w:sz w:val="21"/>
                      <w:szCs w:val="21"/>
                      <w:highlight w:val="none"/>
                      <w:lang w:val="en-US" w:eastAsia="zh-CN"/>
                    </w:rPr>
                  </w:pPr>
                  <w:r>
                    <w:rPr>
                      <w:rFonts w:hint="eastAsia" w:cs="Times New Roman"/>
                      <w:color w:val="auto"/>
                      <w:spacing w:val="0"/>
                      <w:w w:val="100"/>
                      <w:sz w:val="21"/>
                      <w:szCs w:val="21"/>
                      <w:highlight w:val="none"/>
                      <w:lang w:val="en-US" w:eastAsia="zh-CN"/>
                    </w:rPr>
                    <w:t>0.026</w:t>
                  </w:r>
                </w:p>
              </w:tc>
            </w:tr>
            <w:tr w14:paraId="7298B51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192" w:type="pct"/>
                  <w:gridSpan w:val="2"/>
                  <w:noWrap w:val="0"/>
                  <w:vAlign w:val="center"/>
                </w:tcPr>
                <w:p w14:paraId="7D50CEA6">
                  <w:pPr>
                    <w:pStyle w:val="6"/>
                    <w:keepNext w:val="0"/>
                    <w:keepLines w:val="0"/>
                    <w:pageBreakBefore w:val="0"/>
                    <w:widowControl/>
                    <w:kinsoku/>
                    <w:wordWrap/>
                    <w:overflowPunct/>
                    <w:topLinePunct w:val="0"/>
                    <w:autoSpaceDE/>
                    <w:autoSpaceDN/>
                    <w:bidi w:val="0"/>
                    <w:adjustRightInd w:val="0"/>
                    <w:snapToGrid/>
                    <w:spacing w:line="240" w:lineRule="auto"/>
                    <w:ind w:left="0" w:leftChars="0" w:firstLine="0" w:firstLineChars="0"/>
                    <w:jc w:val="center"/>
                    <w:textAlignment w:val="auto"/>
                    <w:rPr>
                      <w:rFonts w:hint="default" w:ascii="Times New Roman" w:hAnsi="Times New Roman" w:eastAsia="宋体" w:cs="Times New Roman"/>
                      <w:b w:val="0"/>
                      <w:bCs/>
                      <w:color w:val="auto"/>
                      <w:spacing w:val="0"/>
                      <w:w w:val="100"/>
                      <w:kern w:val="0"/>
                      <w:sz w:val="21"/>
                      <w:szCs w:val="21"/>
                      <w:highlight w:val="none"/>
                      <w:vertAlign w:val="baseline"/>
                      <w:lang w:val="en-US" w:eastAsia="zh-CN" w:bidi="en-US"/>
                    </w:rPr>
                  </w:pPr>
                  <w:r>
                    <w:rPr>
                      <w:rFonts w:hint="default" w:ascii="Times New Roman" w:hAnsi="Times New Roman" w:eastAsia="宋体" w:cs="Times New Roman"/>
                      <w:b w:val="0"/>
                      <w:bCs/>
                      <w:color w:val="auto"/>
                      <w:spacing w:val="0"/>
                      <w:w w:val="100"/>
                      <w:sz w:val="21"/>
                      <w:szCs w:val="21"/>
                      <w:highlight w:val="none"/>
                      <w:vertAlign w:val="baseline"/>
                      <w:lang w:val="en-US" w:eastAsia="zh-CN"/>
                    </w:rPr>
                    <w:t>无组织</w:t>
                  </w:r>
                </w:p>
              </w:tc>
              <w:tc>
                <w:tcPr>
                  <w:tcW w:w="1477" w:type="pct"/>
                  <w:noWrap w:val="0"/>
                  <w:vAlign w:val="center"/>
                </w:tcPr>
                <w:p w14:paraId="6180EDB7">
                  <w:pPr>
                    <w:keepNext w:val="0"/>
                    <w:keepLines w:val="0"/>
                    <w:pageBreakBefore w:val="0"/>
                    <w:widowControl/>
                    <w:suppressLineNumbers w:val="0"/>
                    <w:kinsoku/>
                    <w:wordWrap/>
                    <w:overflowPunct/>
                    <w:topLinePunct w:val="0"/>
                    <w:autoSpaceDE/>
                    <w:autoSpaceDN/>
                    <w:bidi w:val="0"/>
                    <w:adjustRightInd w:val="0"/>
                    <w:snapToGrid/>
                    <w:jc w:val="center"/>
                    <w:textAlignment w:val="center"/>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eastAsia" w:cs="Times New Roman"/>
                      <w:i w:val="0"/>
                      <w:iCs w:val="0"/>
                      <w:color w:val="auto"/>
                      <w:spacing w:val="0"/>
                      <w:w w:val="100"/>
                      <w:kern w:val="0"/>
                      <w:sz w:val="21"/>
                      <w:szCs w:val="21"/>
                      <w:highlight w:val="none"/>
                      <w:u w:val="none"/>
                      <w:lang w:val="en-US" w:eastAsia="zh-CN" w:bidi="ar"/>
                    </w:rPr>
                    <w:t>2.714</w:t>
                  </w:r>
                </w:p>
              </w:tc>
              <w:tc>
                <w:tcPr>
                  <w:tcW w:w="1329" w:type="pct"/>
                  <w:noWrap w:val="0"/>
                  <w:vAlign w:val="center"/>
                </w:tcPr>
                <w:p w14:paraId="11DE56E7">
                  <w:pPr>
                    <w:keepNext w:val="0"/>
                    <w:keepLines w:val="0"/>
                    <w:pageBreakBefore w:val="0"/>
                    <w:widowControl/>
                    <w:suppressLineNumbers w:val="0"/>
                    <w:kinsoku/>
                    <w:wordWrap/>
                    <w:overflowPunct/>
                    <w:topLinePunct w:val="0"/>
                    <w:autoSpaceDE/>
                    <w:autoSpaceDN/>
                    <w:bidi w:val="0"/>
                    <w:adjustRightInd w:val="0"/>
                    <w:snapToGrid/>
                    <w:jc w:val="center"/>
                    <w:textAlignment w:val="center"/>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eastAsia" w:cs="Times New Roman"/>
                      <w:i w:val="0"/>
                      <w:iCs w:val="0"/>
                      <w:color w:val="auto"/>
                      <w:spacing w:val="0"/>
                      <w:w w:val="100"/>
                      <w:kern w:val="0"/>
                      <w:sz w:val="21"/>
                      <w:szCs w:val="21"/>
                      <w:highlight w:val="none"/>
                      <w:u w:val="none"/>
                      <w:lang w:val="en-US" w:eastAsia="zh-CN" w:bidi="ar"/>
                    </w:rPr>
                    <w:t>0.046</w:t>
                  </w:r>
                </w:p>
              </w:tc>
            </w:tr>
            <w:tr w14:paraId="09C3F4F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9" w:hRule="atLeast"/>
                <w:jc w:val="center"/>
              </w:trPr>
              <w:tc>
                <w:tcPr>
                  <w:tcW w:w="701" w:type="pct"/>
                  <w:noWrap w:val="0"/>
                  <w:vAlign w:val="center"/>
                </w:tcPr>
                <w:p w14:paraId="7C8DF5B3">
                  <w:pPr>
                    <w:pStyle w:val="6"/>
                    <w:keepNext w:val="0"/>
                    <w:keepLines w:val="0"/>
                    <w:pageBreakBefore w:val="0"/>
                    <w:widowControl/>
                    <w:kinsoku/>
                    <w:wordWrap/>
                    <w:overflowPunct/>
                    <w:topLinePunct w:val="0"/>
                    <w:autoSpaceDE/>
                    <w:autoSpaceDN/>
                    <w:bidi w:val="0"/>
                    <w:adjustRightInd w:val="0"/>
                    <w:snapToGrid/>
                    <w:spacing w:line="240" w:lineRule="auto"/>
                    <w:ind w:firstLine="0" w:firstLineChars="0"/>
                    <w:jc w:val="center"/>
                    <w:textAlignment w:val="auto"/>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default" w:ascii="Times New Roman" w:hAnsi="Times New Roman" w:eastAsia="宋体" w:cs="Times New Roman"/>
                      <w:b w:val="0"/>
                      <w:bCs/>
                      <w:color w:val="auto"/>
                      <w:spacing w:val="0"/>
                      <w:w w:val="100"/>
                      <w:sz w:val="21"/>
                      <w:szCs w:val="21"/>
                      <w:highlight w:val="none"/>
                      <w:vertAlign w:val="baseline"/>
                      <w:lang w:val="en-US" w:eastAsia="zh-CN"/>
                    </w:rPr>
                    <w:t>--</w:t>
                  </w:r>
                </w:p>
              </w:tc>
              <w:tc>
                <w:tcPr>
                  <w:tcW w:w="1491" w:type="pct"/>
                  <w:noWrap w:val="0"/>
                  <w:vAlign w:val="center"/>
                </w:tcPr>
                <w:p w14:paraId="5E6C5446">
                  <w:pPr>
                    <w:pStyle w:val="6"/>
                    <w:keepNext w:val="0"/>
                    <w:keepLines w:val="0"/>
                    <w:pageBreakBefore w:val="0"/>
                    <w:widowControl/>
                    <w:kinsoku/>
                    <w:wordWrap/>
                    <w:overflowPunct/>
                    <w:topLinePunct w:val="0"/>
                    <w:autoSpaceDE/>
                    <w:autoSpaceDN/>
                    <w:bidi w:val="0"/>
                    <w:adjustRightInd w:val="0"/>
                    <w:snapToGrid/>
                    <w:spacing w:line="240" w:lineRule="auto"/>
                    <w:ind w:firstLine="0" w:firstLineChars="0"/>
                    <w:jc w:val="center"/>
                    <w:textAlignment w:val="auto"/>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default" w:ascii="Times New Roman" w:hAnsi="Times New Roman" w:eastAsia="宋体" w:cs="Times New Roman"/>
                      <w:b w:val="0"/>
                      <w:bCs/>
                      <w:color w:val="auto"/>
                      <w:spacing w:val="0"/>
                      <w:w w:val="100"/>
                      <w:sz w:val="21"/>
                      <w:szCs w:val="21"/>
                      <w:highlight w:val="none"/>
                      <w:vertAlign w:val="baseline"/>
                      <w:lang w:val="en-US" w:eastAsia="zh-CN"/>
                    </w:rPr>
                    <w:t>合计</w:t>
                  </w:r>
                </w:p>
              </w:tc>
              <w:tc>
                <w:tcPr>
                  <w:tcW w:w="1477" w:type="pct"/>
                  <w:noWrap w:val="0"/>
                  <w:vAlign w:val="center"/>
                </w:tcPr>
                <w:p w14:paraId="4FAFB3E0">
                  <w:pPr>
                    <w:keepNext w:val="0"/>
                    <w:keepLines w:val="0"/>
                    <w:pageBreakBefore w:val="0"/>
                    <w:widowControl/>
                    <w:suppressLineNumbers w:val="0"/>
                    <w:kinsoku/>
                    <w:wordWrap/>
                    <w:overflowPunct/>
                    <w:topLinePunct w:val="0"/>
                    <w:autoSpaceDE/>
                    <w:autoSpaceDN/>
                    <w:bidi w:val="0"/>
                    <w:adjustRightInd w:val="0"/>
                    <w:snapToGrid/>
                    <w:jc w:val="center"/>
                    <w:textAlignment w:val="center"/>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eastAsia" w:cs="Times New Roman"/>
                      <w:i w:val="0"/>
                      <w:iCs w:val="0"/>
                      <w:color w:val="auto"/>
                      <w:spacing w:val="0"/>
                      <w:w w:val="100"/>
                      <w:kern w:val="0"/>
                      <w:sz w:val="21"/>
                      <w:szCs w:val="21"/>
                      <w:highlight w:val="none"/>
                      <w:u w:val="none"/>
                      <w:lang w:val="en-US" w:eastAsia="zh-CN" w:bidi="ar"/>
                    </w:rPr>
                    <w:t>4.256</w:t>
                  </w:r>
                </w:p>
              </w:tc>
              <w:tc>
                <w:tcPr>
                  <w:tcW w:w="1329" w:type="pct"/>
                  <w:noWrap w:val="0"/>
                  <w:vAlign w:val="center"/>
                </w:tcPr>
                <w:p w14:paraId="11385B93">
                  <w:pPr>
                    <w:keepNext w:val="0"/>
                    <w:keepLines w:val="0"/>
                    <w:pageBreakBefore w:val="0"/>
                    <w:widowControl/>
                    <w:suppressLineNumbers w:val="0"/>
                    <w:kinsoku/>
                    <w:wordWrap/>
                    <w:overflowPunct/>
                    <w:topLinePunct w:val="0"/>
                    <w:autoSpaceDE/>
                    <w:autoSpaceDN/>
                    <w:bidi w:val="0"/>
                    <w:adjustRightInd w:val="0"/>
                    <w:snapToGrid/>
                    <w:jc w:val="center"/>
                    <w:textAlignment w:val="center"/>
                    <w:rPr>
                      <w:rFonts w:hint="default" w:ascii="Times New Roman" w:hAnsi="Times New Roman" w:eastAsia="宋体" w:cs="Times New Roman"/>
                      <w:b w:val="0"/>
                      <w:bCs/>
                      <w:color w:val="auto"/>
                      <w:spacing w:val="0"/>
                      <w:w w:val="100"/>
                      <w:sz w:val="21"/>
                      <w:szCs w:val="21"/>
                      <w:highlight w:val="none"/>
                      <w:vertAlign w:val="baseline"/>
                      <w:lang w:val="en-US" w:eastAsia="zh-CN"/>
                    </w:rPr>
                  </w:pPr>
                  <w:r>
                    <w:rPr>
                      <w:rFonts w:hint="eastAsia" w:cs="Times New Roman"/>
                      <w:i w:val="0"/>
                      <w:iCs w:val="0"/>
                      <w:color w:val="auto"/>
                      <w:spacing w:val="0"/>
                      <w:w w:val="100"/>
                      <w:kern w:val="0"/>
                      <w:sz w:val="21"/>
                      <w:szCs w:val="21"/>
                      <w:highlight w:val="none"/>
                      <w:u w:val="none"/>
                      <w:lang w:val="en-US" w:eastAsia="zh-CN" w:bidi="ar"/>
                    </w:rPr>
                    <w:t>0.072</w:t>
                  </w:r>
                </w:p>
              </w:tc>
            </w:tr>
          </w:tbl>
          <w:p w14:paraId="2D3DA0CB">
            <w:pPr>
              <w:pStyle w:val="6"/>
              <w:spacing w:line="360" w:lineRule="auto"/>
              <w:rPr>
                <w:rFonts w:hint="default" w:ascii="Times New Roman" w:hAnsi="Times New Roman" w:cs="Times New Roman"/>
                <w:b w:val="0"/>
                <w:bCs w:val="0"/>
                <w:snapToGrid w:val="0"/>
                <w:color w:val="auto"/>
                <w:sz w:val="24"/>
                <w:highlight w:val="none"/>
              </w:rPr>
            </w:pPr>
            <w:r>
              <w:rPr>
                <w:rFonts w:hint="eastAsia" w:cs="Times New Roman"/>
                <w:b w:val="0"/>
                <w:bCs w:val="0"/>
                <w:color w:val="auto"/>
                <w:sz w:val="24"/>
                <w:highlight w:val="none"/>
                <w:lang w:val="en-US" w:eastAsia="zh-CN"/>
              </w:rPr>
              <w:t>4.</w:t>
            </w:r>
            <w:r>
              <w:rPr>
                <w:rFonts w:hint="default" w:ascii="Times New Roman" w:hAnsi="Times New Roman" w:cs="Times New Roman"/>
                <w:b w:val="0"/>
                <w:bCs w:val="0"/>
                <w:color w:val="auto"/>
                <w:sz w:val="24"/>
                <w:highlight w:val="none"/>
              </w:rPr>
              <w:t>非正常工况产排情况分析</w:t>
            </w:r>
          </w:p>
          <w:p w14:paraId="332DA066">
            <w:pPr>
              <w:pStyle w:val="120"/>
              <w:widowControl w:val="0"/>
              <w:spacing w:before="0" w:beforeLines="0" w:after="0" w:afterLines="0" w:line="360" w:lineRule="auto"/>
              <w:ind w:firstLine="480"/>
              <w:rPr>
                <w:rFonts w:hint="default" w:ascii="Times New Roman" w:hAnsi="Times New Roman" w:cs="Times New Roman"/>
                <w:b w:val="0"/>
                <w:bCs w:val="0"/>
                <w:color w:val="auto"/>
                <w:sz w:val="24"/>
                <w:szCs w:val="24"/>
                <w:highlight w:val="none"/>
              </w:rPr>
            </w:pPr>
            <w:r>
              <w:rPr>
                <w:rFonts w:hint="default" w:ascii="Times New Roman" w:hAnsi="Times New Roman" w:cs="Times New Roman"/>
                <w:b w:val="0"/>
                <w:bCs w:val="0"/>
                <w:color w:val="auto"/>
                <w:sz w:val="24"/>
                <w:szCs w:val="24"/>
                <w:highlight w:val="none"/>
              </w:rPr>
              <w:t>（1）工艺装置开、停车、检修时废气污染物排放分析</w:t>
            </w:r>
          </w:p>
          <w:p w14:paraId="51A0F21F">
            <w:pPr>
              <w:pStyle w:val="120"/>
              <w:widowControl w:val="0"/>
              <w:spacing w:before="0" w:beforeLines="0" w:after="0" w:afterLines="0" w:line="360" w:lineRule="auto"/>
              <w:ind w:firstLine="480"/>
              <w:rPr>
                <w:rFonts w:hint="default" w:ascii="Times New Roman" w:hAnsi="Times New Roman" w:cs="Times New Roman"/>
                <w:b w:val="0"/>
                <w:bCs w:val="0"/>
                <w:color w:val="auto"/>
                <w:sz w:val="24"/>
                <w:szCs w:val="24"/>
                <w:highlight w:val="none"/>
              </w:rPr>
            </w:pPr>
            <w:r>
              <w:rPr>
                <w:rFonts w:hint="default" w:ascii="Times New Roman" w:hAnsi="Times New Roman" w:cs="Times New Roman"/>
                <w:b w:val="0"/>
                <w:bCs w:val="0"/>
                <w:color w:val="auto"/>
                <w:sz w:val="24"/>
                <w:szCs w:val="24"/>
                <w:highlight w:val="none"/>
              </w:rPr>
              <w:t>各工艺装置，进行有计划检修开停机及临时性故障停车时，各工艺及环保设施均处于正常运行状态，开机时物料投料量逐渐加大、停机时物料停止投料，装置内物料量均较正常生产时小</w:t>
            </w:r>
            <w:r>
              <w:rPr>
                <w:rFonts w:hint="eastAsia" w:cs="Times New Roman"/>
                <w:b w:val="0"/>
                <w:bCs w:val="0"/>
                <w:color w:val="auto"/>
                <w:sz w:val="24"/>
                <w:szCs w:val="24"/>
                <w:highlight w:val="none"/>
                <w:lang w:eastAsia="zh-CN"/>
              </w:rPr>
              <w:t>得</w:t>
            </w:r>
            <w:r>
              <w:rPr>
                <w:rFonts w:hint="default" w:ascii="Times New Roman" w:hAnsi="Times New Roman" w:cs="Times New Roman"/>
                <w:b w:val="0"/>
                <w:bCs w:val="0"/>
                <w:color w:val="auto"/>
                <w:sz w:val="24"/>
                <w:szCs w:val="24"/>
                <w:highlight w:val="none"/>
              </w:rPr>
              <w:t>多，污染物的排放量小于正常生产时的排放量，且开停机系统置换气均能按正常操作进入各工艺及环保设施，进行有效处理，废气污染物均可实现达标排放，不会对环境造成影响。</w:t>
            </w:r>
          </w:p>
          <w:p w14:paraId="69C9D33C">
            <w:pPr>
              <w:pStyle w:val="120"/>
              <w:widowControl w:val="0"/>
              <w:spacing w:before="0" w:beforeLines="0" w:after="0" w:afterLines="0" w:line="360" w:lineRule="auto"/>
              <w:ind w:firstLine="480"/>
              <w:rPr>
                <w:rFonts w:hint="default" w:ascii="Times New Roman" w:hAnsi="Times New Roman" w:cs="Times New Roman"/>
                <w:b w:val="0"/>
                <w:bCs w:val="0"/>
                <w:color w:val="auto"/>
                <w:sz w:val="24"/>
                <w:szCs w:val="24"/>
                <w:highlight w:val="none"/>
              </w:rPr>
            </w:pPr>
            <w:r>
              <w:rPr>
                <w:rFonts w:hint="default" w:ascii="Times New Roman" w:hAnsi="Times New Roman" w:cs="Times New Roman"/>
                <w:b w:val="0"/>
                <w:bCs w:val="0"/>
                <w:color w:val="auto"/>
                <w:sz w:val="24"/>
                <w:szCs w:val="24"/>
                <w:highlight w:val="none"/>
              </w:rPr>
              <w:t>（2）工艺设备及环保设施非正常运行污染物排放</w:t>
            </w:r>
          </w:p>
          <w:p w14:paraId="1C6961D0">
            <w:pPr>
              <w:pStyle w:val="6"/>
              <w:spacing w:line="360" w:lineRule="auto"/>
              <w:ind w:firstLine="482"/>
              <w:rPr>
                <w:rFonts w:ascii="Times New Roman" w:hAnsi="Times New Roman" w:eastAsia="宋体" w:cs="Times New Roman"/>
                <w:b/>
                <w:color w:val="auto"/>
                <w:sz w:val="24"/>
                <w:szCs w:val="22"/>
                <w:highlight w:val="none"/>
              </w:rPr>
            </w:pPr>
            <w:r>
              <w:rPr>
                <w:rFonts w:hint="default" w:ascii="Times New Roman" w:hAnsi="Times New Roman" w:cs="Times New Roman"/>
                <w:b w:val="0"/>
                <w:bCs w:val="0"/>
                <w:color w:val="auto"/>
                <w:sz w:val="24"/>
                <w:szCs w:val="24"/>
                <w:highlight w:val="none"/>
              </w:rPr>
              <w:t>活性炭吸附脱装置</w:t>
            </w:r>
            <w:r>
              <w:rPr>
                <w:rFonts w:hint="eastAsia" w:cs="Times New Roman"/>
                <w:b w:val="0"/>
                <w:bCs w:val="0"/>
                <w:color w:val="auto"/>
                <w:sz w:val="24"/>
                <w:szCs w:val="24"/>
                <w:highlight w:val="none"/>
                <w:lang w:val="en-US" w:eastAsia="zh-CN"/>
              </w:rPr>
              <w:t>发生故障，</w:t>
            </w:r>
            <w:r>
              <w:rPr>
                <w:rFonts w:hint="default" w:ascii="Times New Roman" w:hAnsi="Times New Roman" w:cs="Times New Roman"/>
                <w:b w:val="0"/>
                <w:bCs w:val="0"/>
                <w:color w:val="auto"/>
                <w:sz w:val="24"/>
                <w:szCs w:val="24"/>
                <w:highlight w:val="none"/>
              </w:rPr>
              <w:t>处理事故最长持续时间</w:t>
            </w:r>
            <w:r>
              <w:rPr>
                <w:rFonts w:hint="default" w:ascii="Times New Roman" w:hAnsi="Times New Roman" w:cs="Times New Roman"/>
                <w:b w:val="0"/>
                <w:bCs w:val="0"/>
                <w:color w:val="auto"/>
                <w:sz w:val="24"/>
                <w:szCs w:val="24"/>
                <w:highlight w:val="none"/>
                <w:lang w:val="en-US" w:eastAsia="zh-CN"/>
              </w:rPr>
              <w:t>30分钟</w:t>
            </w:r>
            <w:r>
              <w:rPr>
                <w:rFonts w:hint="default" w:ascii="Times New Roman" w:hAnsi="Times New Roman" w:cs="Times New Roman"/>
                <w:b w:val="0"/>
                <w:bCs w:val="0"/>
                <w:color w:val="auto"/>
                <w:sz w:val="24"/>
                <w:szCs w:val="24"/>
                <w:highlight w:val="none"/>
              </w:rPr>
              <w:t>，效率降至</w:t>
            </w:r>
            <w:r>
              <w:rPr>
                <w:rFonts w:hint="eastAsia" w:cs="Times New Roman"/>
                <w:b w:val="0"/>
                <w:bCs w:val="0"/>
                <w:color w:val="auto"/>
                <w:sz w:val="24"/>
                <w:szCs w:val="24"/>
                <w:highlight w:val="none"/>
                <w:lang w:val="en-US" w:eastAsia="zh-CN"/>
              </w:rPr>
              <w:t>0</w:t>
            </w:r>
            <w:r>
              <w:rPr>
                <w:rFonts w:hint="default" w:ascii="Times New Roman" w:hAnsi="Times New Roman" w:cs="Times New Roman"/>
                <w:b w:val="0"/>
                <w:bCs w:val="0"/>
                <w:color w:val="auto"/>
                <w:sz w:val="24"/>
                <w:szCs w:val="24"/>
                <w:highlight w:val="none"/>
              </w:rPr>
              <w:t>%</w:t>
            </w:r>
            <w:r>
              <w:rPr>
                <w:rFonts w:hint="eastAsia" w:cs="Times New Roman"/>
                <w:b w:val="0"/>
                <w:bCs w:val="0"/>
                <w:color w:val="auto"/>
                <w:sz w:val="24"/>
                <w:szCs w:val="24"/>
                <w:highlight w:val="none"/>
                <w:lang w:val="en-US" w:eastAsia="zh-CN"/>
              </w:rPr>
              <w:t>。</w:t>
            </w:r>
          </w:p>
          <w:p w14:paraId="71DA852F">
            <w:pPr>
              <w:spacing w:line="240" w:lineRule="auto"/>
              <w:jc w:val="center"/>
              <w:rPr>
                <w:rFonts w:ascii="Times New Roman" w:hAnsi="Times New Roman" w:eastAsia="宋体" w:cs="Times New Roman"/>
                <w:b/>
                <w:color w:val="auto"/>
                <w:sz w:val="24"/>
                <w:szCs w:val="22"/>
                <w:highlight w:val="none"/>
              </w:rPr>
            </w:pPr>
            <w:r>
              <w:rPr>
                <w:rFonts w:ascii="Times New Roman" w:hAnsi="Times New Roman" w:eastAsia="宋体" w:cs="Times New Roman"/>
                <w:b/>
                <w:color w:val="auto"/>
                <w:sz w:val="24"/>
                <w:szCs w:val="22"/>
                <w:highlight w:val="none"/>
              </w:rPr>
              <w:t>表4-</w:t>
            </w:r>
            <w:r>
              <w:rPr>
                <w:rFonts w:hint="eastAsia" w:cs="Times New Roman"/>
                <w:b/>
                <w:color w:val="auto"/>
                <w:sz w:val="24"/>
                <w:szCs w:val="22"/>
                <w:highlight w:val="none"/>
                <w:lang w:val="en-US" w:eastAsia="zh-CN"/>
              </w:rPr>
              <w:t>5</w:t>
            </w:r>
            <w:r>
              <w:rPr>
                <w:rFonts w:ascii="Times New Roman" w:hAnsi="Times New Roman" w:eastAsia="宋体" w:cs="Times New Roman"/>
                <w:b/>
                <w:color w:val="auto"/>
                <w:sz w:val="24"/>
                <w:szCs w:val="22"/>
                <w:highlight w:val="none"/>
              </w:rPr>
              <w:t xml:space="preserve">  本项目非正常工况下废气排放情况一览表</w:t>
            </w:r>
          </w:p>
          <w:tbl>
            <w:tblPr>
              <w:tblStyle w:val="34"/>
              <w:tblW w:w="4995"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780"/>
              <w:gridCol w:w="1166"/>
              <w:gridCol w:w="1231"/>
              <w:gridCol w:w="1003"/>
              <w:gridCol w:w="802"/>
              <w:gridCol w:w="916"/>
              <w:gridCol w:w="676"/>
              <w:gridCol w:w="1900"/>
            </w:tblGrid>
            <w:tr w14:paraId="3FE5323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80" w:type="pct"/>
                  <w:noWrap w:val="0"/>
                  <w:vAlign w:val="center"/>
                </w:tcPr>
                <w:p w14:paraId="08097723">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
                      <w:bCs/>
                      <w:color w:val="auto"/>
                      <w:spacing w:val="-11"/>
                      <w:w w:val="100"/>
                      <w:sz w:val="21"/>
                      <w:szCs w:val="21"/>
                      <w:highlight w:val="none"/>
                    </w:rPr>
                  </w:pPr>
                  <w:r>
                    <w:rPr>
                      <w:rFonts w:ascii="Times New Roman" w:hAnsi="Times New Roman" w:eastAsia="宋体" w:cs="Times New Roman"/>
                      <w:b/>
                      <w:bCs/>
                      <w:color w:val="auto"/>
                      <w:spacing w:val="-11"/>
                      <w:w w:val="100"/>
                      <w:sz w:val="21"/>
                      <w:szCs w:val="21"/>
                      <w:highlight w:val="none"/>
                    </w:rPr>
                    <w:t>污染源</w:t>
                  </w:r>
                </w:p>
              </w:tc>
              <w:tc>
                <w:tcPr>
                  <w:tcW w:w="717" w:type="pct"/>
                  <w:noWrap w:val="0"/>
                  <w:vAlign w:val="center"/>
                </w:tcPr>
                <w:p w14:paraId="03163AC1">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
                      <w:bCs/>
                      <w:color w:val="auto"/>
                      <w:spacing w:val="-11"/>
                      <w:w w:val="100"/>
                      <w:sz w:val="21"/>
                      <w:szCs w:val="21"/>
                      <w:highlight w:val="none"/>
                    </w:rPr>
                  </w:pPr>
                  <w:r>
                    <w:rPr>
                      <w:rFonts w:ascii="Times New Roman" w:hAnsi="Times New Roman" w:eastAsia="宋体" w:cs="Times New Roman"/>
                      <w:b/>
                      <w:bCs/>
                      <w:color w:val="auto"/>
                      <w:spacing w:val="-11"/>
                      <w:w w:val="100"/>
                      <w:sz w:val="21"/>
                      <w:szCs w:val="21"/>
                      <w:highlight w:val="none"/>
                    </w:rPr>
                    <w:t>污染物</w:t>
                  </w:r>
                </w:p>
              </w:tc>
              <w:tc>
                <w:tcPr>
                  <w:tcW w:w="704" w:type="pct"/>
                  <w:noWrap w:val="0"/>
                  <w:vAlign w:val="center"/>
                </w:tcPr>
                <w:p w14:paraId="15CF09B7">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
                      <w:bCs/>
                      <w:color w:val="auto"/>
                      <w:spacing w:val="-11"/>
                      <w:w w:val="100"/>
                      <w:sz w:val="21"/>
                      <w:szCs w:val="21"/>
                      <w:highlight w:val="none"/>
                    </w:rPr>
                  </w:pPr>
                  <w:r>
                    <w:rPr>
                      <w:rFonts w:ascii="Times New Roman" w:hAnsi="Times New Roman" w:eastAsia="宋体" w:cs="Times New Roman"/>
                      <w:b/>
                      <w:bCs/>
                      <w:color w:val="auto"/>
                      <w:spacing w:val="-11"/>
                      <w:w w:val="100"/>
                      <w:sz w:val="21"/>
                      <w:szCs w:val="21"/>
                      <w:highlight w:val="none"/>
                    </w:rPr>
                    <w:t>非正常排放浓度</w:t>
                  </w:r>
                </w:p>
              </w:tc>
              <w:tc>
                <w:tcPr>
                  <w:tcW w:w="620" w:type="pct"/>
                  <w:noWrap w:val="0"/>
                  <w:vAlign w:val="center"/>
                </w:tcPr>
                <w:p w14:paraId="66E80F0F">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
                      <w:bCs/>
                      <w:color w:val="auto"/>
                      <w:spacing w:val="-11"/>
                      <w:w w:val="100"/>
                      <w:sz w:val="21"/>
                      <w:szCs w:val="21"/>
                      <w:highlight w:val="none"/>
                    </w:rPr>
                  </w:pPr>
                  <w:r>
                    <w:rPr>
                      <w:rFonts w:ascii="Times New Roman" w:hAnsi="Times New Roman" w:eastAsia="宋体" w:cs="Times New Roman"/>
                      <w:b/>
                      <w:bCs/>
                      <w:color w:val="auto"/>
                      <w:spacing w:val="-11"/>
                      <w:w w:val="100"/>
                      <w:sz w:val="21"/>
                      <w:szCs w:val="21"/>
                      <w:highlight w:val="none"/>
                    </w:rPr>
                    <w:t>非正常排放速率</w:t>
                  </w:r>
                </w:p>
              </w:tc>
              <w:tc>
                <w:tcPr>
                  <w:tcW w:w="484" w:type="pct"/>
                  <w:noWrap w:val="0"/>
                  <w:vAlign w:val="center"/>
                </w:tcPr>
                <w:p w14:paraId="111CDA42">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
                      <w:bCs/>
                      <w:color w:val="auto"/>
                      <w:spacing w:val="-11"/>
                      <w:w w:val="100"/>
                      <w:sz w:val="21"/>
                      <w:szCs w:val="21"/>
                      <w:highlight w:val="none"/>
                    </w:rPr>
                  </w:pPr>
                  <w:r>
                    <w:rPr>
                      <w:rFonts w:ascii="Times New Roman" w:hAnsi="Times New Roman" w:eastAsia="宋体" w:cs="Times New Roman"/>
                      <w:b/>
                      <w:bCs/>
                      <w:color w:val="auto"/>
                      <w:spacing w:val="-11"/>
                      <w:w w:val="100"/>
                      <w:sz w:val="21"/>
                      <w:szCs w:val="21"/>
                      <w:highlight w:val="none"/>
                    </w:rPr>
                    <w:t>单次持续时间</w:t>
                  </w:r>
                </w:p>
              </w:tc>
              <w:tc>
                <w:tcPr>
                  <w:tcW w:w="497" w:type="pct"/>
                  <w:noWrap w:val="0"/>
                  <w:vAlign w:val="center"/>
                </w:tcPr>
                <w:p w14:paraId="77A778B8">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
                      <w:bCs/>
                      <w:color w:val="auto"/>
                      <w:spacing w:val="-11"/>
                      <w:w w:val="100"/>
                      <w:sz w:val="21"/>
                      <w:szCs w:val="21"/>
                      <w:highlight w:val="none"/>
                    </w:rPr>
                  </w:pPr>
                  <w:r>
                    <w:rPr>
                      <w:rFonts w:ascii="Times New Roman" w:hAnsi="Times New Roman" w:eastAsia="宋体" w:cs="Times New Roman"/>
                      <w:b/>
                      <w:bCs/>
                      <w:color w:val="auto"/>
                      <w:spacing w:val="-11"/>
                      <w:w w:val="100"/>
                      <w:sz w:val="21"/>
                      <w:szCs w:val="21"/>
                      <w:highlight w:val="none"/>
                    </w:rPr>
                    <w:t>年排放量</w:t>
                  </w:r>
                </w:p>
              </w:tc>
              <w:tc>
                <w:tcPr>
                  <w:tcW w:w="445" w:type="pct"/>
                  <w:noWrap w:val="0"/>
                  <w:vAlign w:val="center"/>
                </w:tcPr>
                <w:p w14:paraId="637ED2AA">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
                      <w:bCs/>
                      <w:color w:val="auto"/>
                      <w:spacing w:val="-11"/>
                      <w:w w:val="100"/>
                      <w:sz w:val="21"/>
                      <w:szCs w:val="21"/>
                      <w:highlight w:val="none"/>
                    </w:rPr>
                  </w:pPr>
                  <w:r>
                    <w:rPr>
                      <w:rFonts w:ascii="Times New Roman" w:hAnsi="Times New Roman" w:eastAsia="宋体" w:cs="Times New Roman"/>
                      <w:b/>
                      <w:bCs/>
                      <w:color w:val="auto"/>
                      <w:spacing w:val="-11"/>
                      <w:w w:val="100"/>
                      <w:sz w:val="21"/>
                      <w:szCs w:val="21"/>
                      <w:highlight w:val="none"/>
                    </w:rPr>
                    <w:t>发生频次</w:t>
                  </w:r>
                </w:p>
              </w:tc>
              <w:tc>
                <w:tcPr>
                  <w:tcW w:w="1149" w:type="pct"/>
                  <w:noWrap w:val="0"/>
                  <w:vAlign w:val="center"/>
                </w:tcPr>
                <w:p w14:paraId="0D00AD75">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
                      <w:bCs/>
                      <w:color w:val="auto"/>
                      <w:spacing w:val="-11"/>
                      <w:w w:val="100"/>
                      <w:sz w:val="21"/>
                      <w:szCs w:val="21"/>
                      <w:highlight w:val="none"/>
                    </w:rPr>
                  </w:pPr>
                  <w:r>
                    <w:rPr>
                      <w:rFonts w:ascii="Times New Roman" w:hAnsi="Times New Roman" w:eastAsia="宋体" w:cs="Times New Roman"/>
                      <w:b/>
                      <w:bCs/>
                      <w:color w:val="auto"/>
                      <w:spacing w:val="-11"/>
                      <w:w w:val="100"/>
                      <w:sz w:val="21"/>
                      <w:szCs w:val="21"/>
                      <w:highlight w:val="none"/>
                    </w:rPr>
                    <w:t>应对</w:t>
                  </w:r>
                </w:p>
                <w:p w14:paraId="6AFE6B37">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
                      <w:bCs/>
                      <w:color w:val="auto"/>
                      <w:spacing w:val="-11"/>
                      <w:w w:val="100"/>
                      <w:sz w:val="21"/>
                      <w:szCs w:val="21"/>
                      <w:highlight w:val="none"/>
                    </w:rPr>
                  </w:pPr>
                  <w:r>
                    <w:rPr>
                      <w:rFonts w:ascii="Times New Roman" w:hAnsi="Times New Roman" w:eastAsia="宋体" w:cs="Times New Roman"/>
                      <w:b/>
                      <w:bCs/>
                      <w:color w:val="auto"/>
                      <w:spacing w:val="-11"/>
                      <w:w w:val="100"/>
                      <w:sz w:val="21"/>
                      <w:szCs w:val="21"/>
                      <w:highlight w:val="none"/>
                    </w:rPr>
                    <w:t>措施</w:t>
                  </w:r>
                </w:p>
              </w:tc>
            </w:tr>
            <w:tr w14:paraId="442FF48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380" w:type="pct"/>
                  <w:vMerge w:val="restart"/>
                  <w:noWrap w:val="0"/>
                  <w:vAlign w:val="center"/>
                </w:tcPr>
                <w:p w14:paraId="4068E137">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Times New Roman" w:hAnsi="Times New Roman" w:eastAsia="宋体" w:cs="Times New Roman"/>
                      <w:bCs/>
                      <w:color w:val="auto"/>
                      <w:spacing w:val="-11"/>
                      <w:w w:val="100"/>
                      <w:sz w:val="21"/>
                      <w:szCs w:val="21"/>
                      <w:highlight w:val="none"/>
                      <w:lang w:eastAsia="zh-CN"/>
                    </w:rPr>
                  </w:pPr>
                  <w:r>
                    <w:rPr>
                      <w:rFonts w:ascii="Times New Roman" w:hAnsi="Times New Roman" w:eastAsia="宋体" w:cs="Times New Roman"/>
                      <w:bCs/>
                      <w:color w:val="auto"/>
                      <w:spacing w:val="-11"/>
                      <w:w w:val="100"/>
                      <w:sz w:val="21"/>
                      <w:szCs w:val="21"/>
                      <w:highlight w:val="none"/>
                    </w:rPr>
                    <w:t>DA001</w:t>
                  </w:r>
                </w:p>
              </w:tc>
              <w:tc>
                <w:tcPr>
                  <w:tcW w:w="717" w:type="pct"/>
                  <w:noWrap w:val="0"/>
                  <w:vAlign w:val="center"/>
                </w:tcPr>
                <w:p w14:paraId="0798A9FD">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Cs/>
                      <w:color w:val="auto"/>
                      <w:spacing w:val="-11"/>
                      <w:w w:val="100"/>
                      <w:sz w:val="21"/>
                      <w:szCs w:val="21"/>
                      <w:highlight w:val="none"/>
                    </w:rPr>
                  </w:pPr>
                  <w:r>
                    <w:rPr>
                      <w:rFonts w:ascii="Times New Roman" w:hAnsi="Times New Roman" w:eastAsia="宋体" w:cs="Times New Roman"/>
                      <w:bCs/>
                      <w:color w:val="auto"/>
                      <w:spacing w:val="-11"/>
                      <w:w w:val="100"/>
                      <w:sz w:val="21"/>
                      <w:szCs w:val="21"/>
                      <w:highlight w:val="none"/>
                    </w:rPr>
                    <w:t>非甲烷总烃</w:t>
                  </w:r>
                </w:p>
              </w:tc>
              <w:tc>
                <w:tcPr>
                  <w:tcW w:w="704" w:type="pct"/>
                  <w:noWrap w:val="0"/>
                  <w:vAlign w:val="center"/>
                </w:tcPr>
                <w:p w14:paraId="73105533">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default" w:ascii="Times New Roman" w:hAnsi="Times New Roman" w:eastAsia="宋体" w:cs="Times New Roman"/>
                      <w:b w:val="0"/>
                      <w:bCs/>
                      <w:color w:val="auto"/>
                      <w:spacing w:val="-11"/>
                      <w:w w:val="100"/>
                      <w:sz w:val="21"/>
                      <w:szCs w:val="21"/>
                      <w:highlight w:val="none"/>
                      <w:lang w:val="en-US" w:eastAsia="zh-CN"/>
                    </w:rPr>
                  </w:pPr>
                  <w:r>
                    <w:rPr>
                      <w:rFonts w:hint="eastAsia" w:cs="Times New Roman"/>
                      <w:color w:val="auto"/>
                      <w:spacing w:val="-11"/>
                      <w:w w:val="100"/>
                      <w:sz w:val="21"/>
                      <w:szCs w:val="21"/>
                      <w:highlight w:val="none"/>
                      <w:lang w:val="en-US" w:eastAsia="zh-CN"/>
                    </w:rPr>
                    <w:t>216.75</w:t>
                  </w:r>
                  <w:r>
                    <w:rPr>
                      <w:rFonts w:ascii="Times New Roman" w:hAnsi="Times New Roman" w:eastAsia="宋体" w:cs="Times New Roman"/>
                      <w:b w:val="0"/>
                      <w:bCs/>
                      <w:color w:val="auto"/>
                      <w:spacing w:val="-11"/>
                      <w:w w:val="100"/>
                      <w:sz w:val="21"/>
                      <w:szCs w:val="21"/>
                      <w:highlight w:val="none"/>
                    </w:rPr>
                    <w:t>mg/m</w:t>
                  </w:r>
                  <w:r>
                    <w:rPr>
                      <w:rFonts w:ascii="Times New Roman" w:hAnsi="Times New Roman" w:eastAsia="宋体" w:cs="Times New Roman"/>
                      <w:b w:val="0"/>
                      <w:bCs/>
                      <w:color w:val="auto"/>
                      <w:spacing w:val="-11"/>
                      <w:w w:val="100"/>
                      <w:sz w:val="21"/>
                      <w:szCs w:val="21"/>
                      <w:highlight w:val="none"/>
                      <w:vertAlign w:val="superscript"/>
                    </w:rPr>
                    <w:t>3</w:t>
                  </w:r>
                </w:p>
              </w:tc>
              <w:tc>
                <w:tcPr>
                  <w:tcW w:w="620" w:type="pct"/>
                  <w:noWrap w:val="0"/>
                  <w:vAlign w:val="center"/>
                </w:tcPr>
                <w:p w14:paraId="7E4BC90F">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default" w:ascii="Times New Roman" w:hAnsi="Times New Roman" w:eastAsia="宋体" w:cs="Times New Roman"/>
                      <w:b w:val="0"/>
                      <w:bCs/>
                      <w:color w:val="auto"/>
                      <w:spacing w:val="-11"/>
                      <w:w w:val="100"/>
                      <w:sz w:val="21"/>
                      <w:szCs w:val="21"/>
                      <w:highlight w:val="none"/>
                      <w:lang w:val="en-US" w:eastAsia="zh-CN"/>
                    </w:rPr>
                  </w:pPr>
                  <w:r>
                    <w:rPr>
                      <w:rFonts w:hint="eastAsia" w:cs="Times New Roman"/>
                      <w:color w:val="auto"/>
                      <w:spacing w:val="-11"/>
                      <w:w w:val="100"/>
                      <w:sz w:val="21"/>
                      <w:szCs w:val="21"/>
                      <w:highlight w:val="none"/>
                      <w:lang w:val="en-US" w:eastAsia="zh-CN"/>
                    </w:rPr>
                    <w:t>6.503</w:t>
                  </w:r>
                  <w:r>
                    <w:rPr>
                      <w:rFonts w:ascii="Times New Roman" w:hAnsi="Times New Roman" w:eastAsia="宋体" w:cs="Times New Roman"/>
                      <w:b w:val="0"/>
                      <w:bCs/>
                      <w:color w:val="auto"/>
                      <w:spacing w:val="-11"/>
                      <w:w w:val="100"/>
                      <w:sz w:val="21"/>
                      <w:szCs w:val="21"/>
                      <w:highlight w:val="none"/>
                    </w:rPr>
                    <w:t>kg/h</w:t>
                  </w:r>
                </w:p>
              </w:tc>
              <w:tc>
                <w:tcPr>
                  <w:tcW w:w="484" w:type="pct"/>
                  <w:vMerge w:val="restart"/>
                  <w:noWrap w:val="0"/>
                  <w:vAlign w:val="center"/>
                </w:tcPr>
                <w:p w14:paraId="0CA192CA">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 w:val="0"/>
                      <w:bCs/>
                      <w:color w:val="auto"/>
                      <w:spacing w:val="-11"/>
                      <w:w w:val="100"/>
                      <w:sz w:val="21"/>
                      <w:szCs w:val="21"/>
                      <w:highlight w:val="none"/>
                    </w:rPr>
                  </w:pPr>
                  <w:r>
                    <w:rPr>
                      <w:rFonts w:ascii="Times New Roman" w:hAnsi="Times New Roman" w:eastAsia="宋体" w:cs="Times New Roman"/>
                      <w:b w:val="0"/>
                      <w:bCs/>
                      <w:color w:val="auto"/>
                      <w:spacing w:val="-11"/>
                      <w:w w:val="100"/>
                      <w:sz w:val="21"/>
                      <w:szCs w:val="21"/>
                      <w:highlight w:val="none"/>
                    </w:rPr>
                    <w:t>≤</w:t>
                  </w:r>
                  <w:r>
                    <w:rPr>
                      <w:rFonts w:hint="eastAsia" w:ascii="Times New Roman" w:hAnsi="Times New Roman" w:eastAsia="宋体" w:cs="Times New Roman"/>
                      <w:b w:val="0"/>
                      <w:bCs/>
                      <w:color w:val="auto"/>
                      <w:spacing w:val="-11"/>
                      <w:w w:val="100"/>
                      <w:sz w:val="21"/>
                      <w:szCs w:val="21"/>
                      <w:highlight w:val="none"/>
                      <w:lang w:val="en-US" w:eastAsia="zh-CN"/>
                    </w:rPr>
                    <w:t>3</w:t>
                  </w:r>
                  <w:r>
                    <w:rPr>
                      <w:rFonts w:ascii="Times New Roman" w:hAnsi="Times New Roman" w:eastAsia="宋体" w:cs="Times New Roman"/>
                      <w:b w:val="0"/>
                      <w:bCs/>
                      <w:color w:val="auto"/>
                      <w:spacing w:val="-11"/>
                      <w:w w:val="100"/>
                      <w:sz w:val="21"/>
                      <w:szCs w:val="21"/>
                      <w:highlight w:val="none"/>
                    </w:rPr>
                    <w:t>0min</w:t>
                  </w:r>
                </w:p>
              </w:tc>
              <w:tc>
                <w:tcPr>
                  <w:tcW w:w="497" w:type="pct"/>
                  <w:noWrap w:val="0"/>
                  <w:vAlign w:val="center"/>
                </w:tcPr>
                <w:p w14:paraId="322CBBD2">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default" w:ascii="Times New Roman" w:hAnsi="Times New Roman" w:eastAsia="宋体" w:cs="Times New Roman"/>
                      <w:b w:val="0"/>
                      <w:bCs/>
                      <w:color w:val="auto"/>
                      <w:spacing w:val="-11"/>
                      <w:w w:val="100"/>
                      <w:kern w:val="0"/>
                      <w:sz w:val="21"/>
                      <w:szCs w:val="21"/>
                      <w:highlight w:val="none"/>
                      <w:lang w:val="en-US" w:eastAsia="zh-CN" w:bidi="ar-SA"/>
                    </w:rPr>
                  </w:pPr>
                  <w:r>
                    <w:rPr>
                      <w:rFonts w:hint="eastAsia" w:cs="Times New Roman"/>
                      <w:b w:val="0"/>
                      <w:bCs/>
                      <w:color w:val="auto"/>
                      <w:spacing w:val="-11"/>
                      <w:w w:val="100"/>
                      <w:sz w:val="21"/>
                      <w:szCs w:val="21"/>
                      <w:highlight w:val="none"/>
                      <w:lang w:val="en-US" w:eastAsia="zh-CN"/>
                    </w:rPr>
                    <w:t>3.2515</w:t>
                  </w:r>
                  <w:r>
                    <w:rPr>
                      <w:rFonts w:ascii="Times New Roman" w:hAnsi="Times New Roman" w:eastAsia="宋体" w:cs="Times New Roman"/>
                      <w:b w:val="0"/>
                      <w:bCs/>
                      <w:color w:val="auto"/>
                      <w:spacing w:val="-11"/>
                      <w:w w:val="100"/>
                      <w:sz w:val="21"/>
                      <w:szCs w:val="21"/>
                      <w:highlight w:val="none"/>
                    </w:rPr>
                    <w:t>kg</w:t>
                  </w:r>
                </w:p>
              </w:tc>
              <w:tc>
                <w:tcPr>
                  <w:tcW w:w="445" w:type="pct"/>
                  <w:vMerge w:val="restart"/>
                  <w:noWrap w:val="0"/>
                  <w:vAlign w:val="center"/>
                </w:tcPr>
                <w:p w14:paraId="098A595B">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Cs/>
                      <w:color w:val="auto"/>
                      <w:spacing w:val="-11"/>
                      <w:w w:val="100"/>
                      <w:sz w:val="21"/>
                      <w:szCs w:val="21"/>
                      <w:highlight w:val="none"/>
                    </w:rPr>
                  </w:pPr>
                  <w:r>
                    <w:rPr>
                      <w:rFonts w:ascii="Times New Roman" w:hAnsi="Times New Roman" w:eastAsia="宋体" w:cs="Times New Roman"/>
                      <w:bCs/>
                      <w:color w:val="auto"/>
                      <w:spacing w:val="-11"/>
                      <w:w w:val="100"/>
                      <w:sz w:val="21"/>
                      <w:szCs w:val="21"/>
                      <w:highlight w:val="none"/>
                    </w:rPr>
                    <w:t>≤1次/年</w:t>
                  </w:r>
                </w:p>
              </w:tc>
              <w:tc>
                <w:tcPr>
                  <w:tcW w:w="1149" w:type="pct"/>
                  <w:vMerge w:val="restart"/>
                  <w:noWrap w:val="0"/>
                  <w:vAlign w:val="center"/>
                </w:tcPr>
                <w:p w14:paraId="54DF69A9">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Cs/>
                      <w:color w:val="auto"/>
                      <w:spacing w:val="-11"/>
                      <w:w w:val="100"/>
                      <w:sz w:val="21"/>
                      <w:szCs w:val="21"/>
                      <w:highlight w:val="none"/>
                    </w:rPr>
                  </w:pPr>
                  <w:r>
                    <w:rPr>
                      <w:rFonts w:ascii="Times New Roman" w:hAnsi="Times New Roman" w:eastAsia="宋体" w:cs="Times New Roman"/>
                      <w:bCs/>
                      <w:color w:val="auto"/>
                      <w:spacing w:val="-11"/>
                      <w:w w:val="100"/>
                      <w:sz w:val="21"/>
                      <w:szCs w:val="21"/>
                      <w:highlight w:val="none"/>
                    </w:rPr>
                    <w:t>设置应急停车装置，停止生产，直至污染防治设施修复</w:t>
                  </w:r>
                </w:p>
              </w:tc>
            </w:tr>
            <w:tr w14:paraId="20385DC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80" w:type="pct"/>
                  <w:vMerge w:val="continue"/>
                  <w:noWrap w:val="0"/>
                  <w:vAlign w:val="center"/>
                </w:tcPr>
                <w:p w14:paraId="1026AB2B">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Cs/>
                      <w:color w:val="auto"/>
                      <w:spacing w:val="-11"/>
                      <w:w w:val="100"/>
                      <w:sz w:val="21"/>
                      <w:szCs w:val="21"/>
                      <w:highlight w:val="none"/>
                    </w:rPr>
                  </w:pPr>
                </w:p>
              </w:tc>
              <w:tc>
                <w:tcPr>
                  <w:tcW w:w="717" w:type="pct"/>
                  <w:noWrap w:val="0"/>
                  <w:vAlign w:val="center"/>
                </w:tcPr>
                <w:p w14:paraId="5D38A7BA">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rightChars="0"/>
                    <w:jc w:val="center"/>
                    <w:textAlignment w:val="center"/>
                    <w:rPr>
                      <w:rFonts w:ascii="Times New Roman" w:hAnsi="Times New Roman" w:eastAsia="宋体" w:cs="Times New Roman"/>
                      <w:bCs/>
                      <w:color w:val="auto"/>
                      <w:spacing w:val="-11"/>
                      <w:w w:val="100"/>
                      <w:kern w:val="0"/>
                      <w:sz w:val="21"/>
                      <w:szCs w:val="21"/>
                      <w:highlight w:val="none"/>
                      <w:lang w:val="en-US" w:eastAsia="zh-CN" w:bidi="ar-SA"/>
                    </w:rPr>
                  </w:pPr>
                  <w:r>
                    <w:rPr>
                      <w:rFonts w:hint="default" w:ascii="Times New Roman" w:hAnsi="Times New Roman" w:eastAsia="宋体" w:cs="Times New Roman"/>
                      <w:bCs/>
                      <w:color w:val="auto"/>
                      <w:spacing w:val="-11"/>
                      <w:w w:val="100"/>
                      <w:kern w:val="0"/>
                      <w:sz w:val="21"/>
                      <w:szCs w:val="21"/>
                      <w:highlight w:val="none"/>
                      <w:lang w:val="en-US" w:eastAsia="zh-CN" w:bidi="ar-SA"/>
                    </w:rPr>
                    <w:t>苯乙烯</w:t>
                  </w:r>
                </w:p>
              </w:tc>
              <w:tc>
                <w:tcPr>
                  <w:tcW w:w="704" w:type="pct"/>
                  <w:noWrap w:val="0"/>
                  <w:vAlign w:val="center"/>
                </w:tcPr>
                <w:p w14:paraId="4BAC0CB9">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Times New Roman" w:hAnsi="Times New Roman" w:eastAsia="宋体" w:cs="Times New Roman"/>
                      <w:bCs/>
                      <w:color w:val="auto"/>
                      <w:spacing w:val="-11"/>
                      <w:w w:val="100"/>
                      <w:sz w:val="21"/>
                      <w:szCs w:val="21"/>
                      <w:highlight w:val="none"/>
                      <w:lang w:val="en-US" w:eastAsia="zh-CN"/>
                    </w:rPr>
                  </w:pPr>
                  <w:r>
                    <w:rPr>
                      <w:rFonts w:hint="eastAsia" w:cs="Times New Roman"/>
                      <w:color w:val="auto"/>
                      <w:spacing w:val="-11"/>
                      <w:w w:val="100"/>
                      <w:sz w:val="21"/>
                      <w:szCs w:val="21"/>
                      <w:highlight w:val="none"/>
                      <w:lang w:val="en-US" w:eastAsia="zh-CN"/>
                    </w:rPr>
                    <w:t>3.712</w:t>
                  </w:r>
                  <w:r>
                    <w:rPr>
                      <w:rFonts w:ascii="Times New Roman" w:hAnsi="Times New Roman" w:eastAsia="宋体" w:cs="Times New Roman"/>
                      <w:b w:val="0"/>
                      <w:bCs/>
                      <w:color w:val="auto"/>
                      <w:spacing w:val="-11"/>
                      <w:w w:val="100"/>
                      <w:sz w:val="21"/>
                      <w:szCs w:val="21"/>
                      <w:highlight w:val="none"/>
                    </w:rPr>
                    <w:t>mg/m</w:t>
                  </w:r>
                  <w:r>
                    <w:rPr>
                      <w:rFonts w:ascii="Times New Roman" w:hAnsi="Times New Roman" w:eastAsia="宋体" w:cs="Times New Roman"/>
                      <w:b w:val="0"/>
                      <w:bCs/>
                      <w:color w:val="auto"/>
                      <w:spacing w:val="-11"/>
                      <w:w w:val="100"/>
                      <w:sz w:val="21"/>
                      <w:szCs w:val="21"/>
                      <w:highlight w:val="none"/>
                      <w:vertAlign w:val="superscript"/>
                    </w:rPr>
                    <w:t>3</w:t>
                  </w:r>
                </w:p>
              </w:tc>
              <w:tc>
                <w:tcPr>
                  <w:tcW w:w="620" w:type="pct"/>
                  <w:noWrap w:val="0"/>
                  <w:vAlign w:val="center"/>
                </w:tcPr>
                <w:p w14:paraId="29AAF507">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Times New Roman" w:hAnsi="Times New Roman" w:eastAsia="宋体" w:cs="Times New Roman"/>
                      <w:bCs/>
                      <w:color w:val="auto"/>
                      <w:spacing w:val="-11"/>
                      <w:w w:val="100"/>
                      <w:sz w:val="21"/>
                      <w:szCs w:val="21"/>
                      <w:highlight w:val="none"/>
                      <w:lang w:val="en-US" w:eastAsia="zh-CN"/>
                    </w:rPr>
                  </w:pPr>
                  <w:r>
                    <w:rPr>
                      <w:rFonts w:hint="eastAsia" w:cs="Times New Roman"/>
                      <w:color w:val="auto"/>
                      <w:spacing w:val="-11"/>
                      <w:w w:val="100"/>
                      <w:sz w:val="21"/>
                      <w:szCs w:val="21"/>
                      <w:highlight w:val="none"/>
                      <w:lang w:val="en-US" w:eastAsia="zh-CN"/>
                    </w:rPr>
                    <w:t>0.111</w:t>
                  </w:r>
                  <w:r>
                    <w:rPr>
                      <w:rFonts w:ascii="Times New Roman" w:hAnsi="Times New Roman" w:eastAsia="宋体" w:cs="Times New Roman"/>
                      <w:b w:val="0"/>
                      <w:bCs/>
                      <w:color w:val="auto"/>
                      <w:spacing w:val="-11"/>
                      <w:w w:val="100"/>
                      <w:sz w:val="21"/>
                      <w:szCs w:val="21"/>
                      <w:highlight w:val="none"/>
                    </w:rPr>
                    <w:t>kg/h</w:t>
                  </w:r>
                </w:p>
              </w:tc>
              <w:tc>
                <w:tcPr>
                  <w:tcW w:w="484" w:type="pct"/>
                  <w:vMerge w:val="continue"/>
                  <w:noWrap w:val="0"/>
                  <w:vAlign w:val="center"/>
                </w:tcPr>
                <w:p w14:paraId="39F9D6D3">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Cs/>
                      <w:color w:val="auto"/>
                      <w:spacing w:val="-11"/>
                      <w:w w:val="100"/>
                      <w:sz w:val="21"/>
                      <w:szCs w:val="21"/>
                      <w:highlight w:val="none"/>
                    </w:rPr>
                  </w:pPr>
                </w:p>
              </w:tc>
              <w:tc>
                <w:tcPr>
                  <w:tcW w:w="497" w:type="pct"/>
                  <w:noWrap w:val="0"/>
                  <w:vAlign w:val="center"/>
                </w:tcPr>
                <w:p w14:paraId="18E5DE16">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Times New Roman" w:hAnsi="Times New Roman" w:eastAsia="宋体" w:cs="Times New Roman"/>
                      <w:b w:val="0"/>
                      <w:bCs/>
                      <w:color w:val="auto"/>
                      <w:spacing w:val="-11"/>
                      <w:w w:val="100"/>
                      <w:sz w:val="21"/>
                      <w:szCs w:val="21"/>
                      <w:highlight w:val="none"/>
                    </w:rPr>
                  </w:pPr>
                  <w:r>
                    <w:rPr>
                      <w:rFonts w:hint="eastAsia" w:cs="Times New Roman"/>
                      <w:b w:val="0"/>
                      <w:bCs/>
                      <w:color w:val="auto"/>
                      <w:spacing w:val="-11"/>
                      <w:w w:val="100"/>
                      <w:sz w:val="21"/>
                      <w:szCs w:val="21"/>
                      <w:highlight w:val="none"/>
                      <w:lang w:val="en-US" w:eastAsia="zh-CN"/>
                    </w:rPr>
                    <w:t>0.055</w:t>
                  </w:r>
                  <w:r>
                    <w:rPr>
                      <w:rFonts w:ascii="Times New Roman" w:hAnsi="Times New Roman" w:eastAsia="宋体" w:cs="Times New Roman"/>
                      <w:b w:val="0"/>
                      <w:bCs/>
                      <w:color w:val="auto"/>
                      <w:spacing w:val="-11"/>
                      <w:w w:val="100"/>
                      <w:sz w:val="21"/>
                      <w:szCs w:val="21"/>
                      <w:highlight w:val="none"/>
                    </w:rPr>
                    <w:t>kg</w:t>
                  </w:r>
                </w:p>
              </w:tc>
              <w:tc>
                <w:tcPr>
                  <w:tcW w:w="445" w:type="pct"/>
                  <w:vMerge w:val="continue"/>
                  <w:noWrap w:val="0"/>
                  <w:vAlign w:val="center"/>
                </w:tcPr>
                <w:p w14:paraId="487569DC">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Cs/>
                      <w:color w:val="auto"/>
                      <w:spacing w:val="-11"/>
                      <w:w w:val="100"/>
                      <w:sz w:val="21"/>
                      <w:szCs w:val="21"/>
                      <w:highlight w:val="none"/>
                    </w:rPr>
                  </w:pPr>
                </w:p>
              </w:tc>
              <w:tc>
                <w:tcPr>
                  <w:tcW w:w="1149" w:type="pct"/>
                  <w:vMerge w:val="continue"/>
                  <w:noWrap w:val="0"/>
                  <w:vAlign w:val="center"/>
                </w:tcPr>
                <w:p w14:paraId="523355AE">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宋体" w:cs="Times New Roman"/>
                      <w:bCs/>
                      <w:color w:val="auto"/>
                      <w:spacing w:val="-11"/>
                      <w:w w:val="100"/>
                      <w:sz w:val="21"/>
                      <w:szCs w:val="21"/>
                      <w:highlight w:val="none"/>
                    </w:rPr>
                  </w:pPr>
                </w:p>
              </w:tc>
            </w:tr>
          </w:tbl>
          <w:p w14:paraId="21AEEE90">
            <w:pPr>
              <w:pStyle w:val="6"/>
              <w:spacing w:line="360" w:lineRule="auto"/>
              <w:ind w:firstLine="482"/>
              <w:rPr>
                <w:rFonts w:hint="default" w:ascii="Times New Roman" w:hAnsi="Times New Roman" w:cs="Times New Roman"/>
                <w:b w:val="0"/>
                <w:bCs w:val="0"/>
                <w:color w:val="auto"/>
                <w:sz w:val="24"/>
                <w:szCs w:val="24"/>
                <w:highlight w:val="none"/>
              </w:rPr>
            </w:pPr>
            <w:r>
              <w:rPr>
                <w:rFonts w:hint="default" w:ascii="Times New Roman" w:hAnsi="Times New Roman" w:cs="Times New Roman"/>
                <w:b w:val="0"/>
                <w:bCs w:val="0"/>
                <w:color w:val="auto"/>
                <w:spacing w:val="0"/>
                <w:w w:val="100"/>
                <w:sz w:val="24"/>
                <w:szCs w:val="24"/>
                <w:highlight w:val="none"/>
              </w:rPr>
              <w:t>经核算，在该非正常工况下污染物排放浓度较低，且持续时间较短，因此不对区域大气环境产生明显影响。在运行中，只要加强管理，一般能很快得到恢复，应尽量避免此类事故。</w:t>
            </w:r>
          </w:p>
          <w:p w14:paraId="0A1DE119">
            <w:pPr>
              <w:pStyle w:val="6"/>
              <w:spacing w:line="360" w:lineRule="auto"/>
              <w:ind w:firstLine="482"/>
              <w:rPr>
                <w:rFonts w:hint="default" w:ascii="Times New Roman" w:hAnsi="Times New Roman" w:eastAsia="宋体" w:cs="Times New Roman"/>
                <w:b w:val="0"/>
                <w:bCs w:val="0"/>
                <w:snapToGrid w:val="0"/>
                <w:color w:val="auto"/>
                <w:sz w:val="24"/>
                <w:highlight w:val="none"/>
              </w:rPr>
            </w:pPr>
            <w:r>
              <w:rPr>
                <w:rFonts w:hint="eastAsia" w:cs="Times New Roman"/>
                <w:b w:val="0"/>
                <w:bCs w:val="0"/>
                <w:snapToGrid w:val="0"/>
                <w:color w:val="auto"/>
                <w:sz w:val="24"/>
                <w:highlight w:val="none"/>
                <w:lang w:eastAsia="zh-CN"/>
              </w:rPr>
              <w:t>5.</w:t>
            </w:r>
            <w:r>
              <w:rPr>
                <w:rFonts w:hint="default" w:ascii="Times New Roman" w:hAnsi="Times New Roman" w:eastAsia="宋体" w:cs="Times New Roman"/>
                <w:b w:val="0"/>
                <w:bCs w:val="0"/>
                <w:snapToGrid w:val="0"/>
                <w:color w:val="auto"/>
                <w:sz w:val="24"/>
                <w:highlight w:val="none"/>
              </w:rPr>
              <w:t>废气治理措施可行性分析</w:t>
            </w:r>
          </w:p>
          <w:p w14:paraId="48101C91">
            <w:pPr>
              <w:spacing w:line="240" w:lineRule="auto"/>
              <w:jc w:val="center"/>
              <w:rPr>
                <w:rFonts w:hint="default" w:ascii="Times New Roman" w:hAnsi="Times New Roman" w:eastAsia="宋体" w:cs="Times New Roman"/>
                <w:b w:val="0"/>
                <w:bCs w:val="0"/>
                <w:snapToGrid w:val="0"/>
                <w:color w:val="auto"/>
                <w:sz w:val="24"/>
                <w:highlight w:val="none"/>
                <w:lang w:val="en-US" w:eastAsia="zh-CN"/>
              </w:rPr>
            </w:pPr>
            <w:r>
              <w:rPr>
                <w:rFonts w:ascii="Times New Roman" w:hAnsi="Times New Roman" w:eastAsia="宋体" w:cs="Times New Roman"/>
                <w:b/>
                <w:color w:val="auto"/>
                <w:sz w:val="24"/>
                <w:szCs w:val="22"/>
                <w:highlight w:val="none"/>
              </w:rPr>
              <w:t>表4-</w:t>
            </w:r>
            <w:r>
              <w:rPr>
                <w:rFonts w:hint="eastAsia" w:cs="Times New Roman"/>
                <w:b/>
                <w:color w:val="auto"/>
                <w:sz w:val="24"/>
                <w:szCs w:val="22"/>
                <w:highlight w:val="none"/>
                <w:lang w:val="en-US" w:eastAsia="zh-CN"/>
              </w:rPr>
              <w:t>6</w:t>
            </w:r>
            <w:r>
              <w:rPr>
                <w:rFonts w:ascii="Times New Roman" w:hAnsi="Times New Roman" w:eastAsia="宋体" w:cs="Times New Roman"/>
                <w:b/>
                <w:color w:val="auto"/>
                <w:sz w:val="24"/>
                <w:szCs w:val="22"/>
                <w:highlight w:val="none"/>
              </w:rPr>
              <w:t xml:space="preserve">  本项目</w:t>
            </w:r>
            <w:r>
              <w:rPr>
                <w:rFonts w:hint="eastAsia" w:ascii="Times New Roman" w:hAnsi="Times New Roman" w:cs="Times New Roman"/>
                <w:b/>
                <w:color w:val="auto"/>
                <w:sz w:val="24"/>
                <w:szCs w:val="22"/>
                <w:highlight w:val="none"/>
                <w:lang w:val="en-US" w:eastAsia="zh-CN"/>
              </w:rPr>
              <w:t>涉及</w:t>
            </w:r>
            <w:bookmarkStart w:id="56" w:name="_GoBack"/>
            <w:bookmarkEnd w:id="56"/>
            <w:r>
              <w:rPr>
                <w:rFonts w:hint="eastAsia" w:ascii="Times New Roman" w:hAnsi="Times New Roman" w:cs="Times New Roman"/>
                <w:b/>
                <w:color w:val="auto"/>
                <w:sz w:val="24"/>
                <w:szCs w:val="22"/>
                <w:highlight w:val="none"/>
                <w:lang w:val="en-US" w:eastAsia="zh-CN"/>
              </w:rPr>
              <w:t>的推荐可行技术</w:t>
            </w:r>
            <w:r>
              <w:rPr>
                <w:rFonts w:ascii="Times New Roman" w:hAnsi="Times New Roman" w:eastAsia="宋体" w:cs="Times New Roman"/>
                <w:b/>
                <w:color w:val="auto"/>
                <w:sz w:val="24"/>
                <w:szCs w:val="22"/>
                <w:highlight w:val="none"/>
              </w:rPr>
              <w:t>一览表</w:t>
            </w:r>
          </w:p>
          <w:tbl>
            <w:tblPr>
              <w:tblStyle w:val="3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3"/>
              <w:gridCol w:w="2657"/>
              <w:gridCol w:w="1245"/>
              <w:gridCol w:w="2204"/>
            </w:tblGrid>
            <w:tr w14:paraId="42FCB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5" w:type="pct"/>
                  <w:vAlign w:val="center"/>
                </w:tcPr>
                <w:p w14:paraId="2218670C">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ascii="Times New Roman" w:hAnsi="Times New Roman" w:eastAsia="宋体" w:cs="Times New Roman"/>
                      <w:b w:val="0"/>
                      <w:bCs w:val="0"/>
                      <w:snapToGrid w:val="0"/>
                      <w:color w:val="auto"/>
                      <w:sz w:val="21"/>
                      <w:szCs w:val="21"/>
                      <w:highlight w:val="none"/>
                      <w:vertAlign w:val="baseline"/>
                      <w:lang w:val="en-US" w:eastAsia="zh-CN"/>
                    </w:rPr>
                  </w:pPr>
                  <w:r>
                    <w:rPr>
                      <w:rFonts w:hint="eastAsia" w:cs="Times New Roman"/>
                      <w:b w:val="0"/>
                      <w:bCs w:val="0"/>
                      <w:snapToGrid w:val="0"/>
                      <w:color w:val="auto"/>
                      <w:sz w:val="21"/>
                      <w:szCs w:val="21"/>
                      <w:highlight w:val="none"/>
                      <w:vertAlign w:val="baseline"/>
                      <w:lang w:val="en-US" w:eastAsia="zh-CN"/>
                    </w:rPr>
                    <w:t>文件名称</w:t>
                  </w:r>
                </w:p>
              </w:tc>
              <w:tc>
                <w:tcPr>
                  <w:tcW w:w="1568" w:type="pct"/>
                  <w:vAlign w:val="center"/>
                </w:tcPr>
                <w:p w14:paraId="66D465D7">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ascii="Times New Roman" w:hAnsi="Times New Roman" w:eastAsia="宋体" w:cs="Times New Roman"/>
                      <w:b w:val="0"/>
                      <w:bCs w:val="0"/>
                      <w:snapToGrid w:val="0"/>
                      <w:color w:val="auto"/>
                      <w:sz w:val="21"/>
                      <w:szCs w:val="21"/>
                      <w:highlight w:val="none"/>
                      <w:vertAlign w:val="baseline"/>
                      <w:lang w:val="en-US" w:eastAsia="zh-CN"/>
                    </w:rPr>
                  </w:pPr>
                  <w:r>
                    <w:rPr>
                      <w:rFonts w:hint="eastAsia" w:cs="Times New Roman"/>
                      <w:b w:val="0"/>
                      <w:bCs w:val="0"/>
                      <w:snapToGrid w:val="0"/>
                      <w:color w:val="auto"/>
                      <w:sz w:val="21"/>
                      <w:szCs w:val="21"/>
                      <w:highlight w:val="none"/>
                      <w:vertAlign w:val="baseline"/>
                      <w:lang w:val="en-US" w:eastAsia="zh-CN"/>
                    </w:rPr>
                    <w:t>产排污环节</w:t>
                  </w:r>
                </w:p>
              </w:tc>
              <w:tc>
                <w:tcPr>
                  <w:tcW w:w="735" w:type="pct"/>
                  <w:vAlign w:val="center"/>
                </w:tcPr>
                <w:p w14:paraId="5ACCC53C">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ascii="Times New Roman" w:hAnsi="Times New Roman" w:eastAsia="宋体" w:cs="Times New Roman"/>
                      <w:b w:val="0"/>
                      <w:bCs w:val="0"/>
                      <w:snapToGrid w:val="0"/>
                      <w:color w:val="auto"/>
                      <w:sz w:val="21"/>
                      <w:szCs w:val="21"/>
                      <w:highlight w:val="none"/>
                      <w:vertAlign w:val="baseline"/>
                      <w:lang w:val="en-US" w:eastAsia="zh-CN"/>
                    </w:rPr>
                  </w:pPr>
                  <w:r>
                    <w:rPr>
                      <w:rFonts w:hint="eastAsia" w:cs="Times New Roman"/>
                      <w:b w:val="0"/>
                      <w:bCs w:val="0"/>
                      <w:snapToGrid w:val="0"/>
                      <w:color w:val="auto"/>
                      <w:sz w:val="21"/>
                      <w:szCs w:val="21"/>
                      <w:highlight w:val="none"/>
                      <w:vertAlign w:val="baseline"/>
                      <w:lang w:val="en-US" w:eastAsia="zh-CN"/>
                    </w:rPr>
                    <w:t>因子</w:t>
                  </w:r>
                </w:p>
              </w:tc>
              <w:tc>
                <w:tcPr>
                  <w:tcW w:w="1301" w:type="pct"/>
                  <w:vAlign w:val="center"/>
                </w:tcPr>
                <w:p w14:paraId="0E41C23D">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ascii="Times New Roman" w:hAnsi="Times New Roman" w:eastAsia="宋体" w:cs="Times New Roman"/>
                      <w:b w:val="0"/>
                      <w:bCs w:val="0"/>
                      <w:snapToGrid w:val="0"/>
                      <w:color w:val="auto"/>
                      <w:sz w:val="21"/>
                      <w:szCs w:val="21"/>
                      <w:highlight w:val="none"/>
                      <w:vertAlign w:val="baseline"/>
                      <w:lang w:val="en-US" w:eastAsia="zh-CN"/>
                    </w:rPr>
                  </w:pPr>
                  <w:r>
                    <w:rPr>
                      <w:rFonts w:hint="eastAsia" w:cs="Times New Roman"/>
                      <w:b w:val="0"/>
                      <w:bCs w:val="0"/>
                      <w:snapToGrid w:val="0"/>
                      <w:color w:val="auto"/>
                      <w:sz w:val="21"/>
                      <w:szCs w:val="21"/>
                      <w:highlight w:val="none"/>
                      <w:vertAlign w:val="baseline"/>
                      <w:lang w:val="en-US" w:eastAsia="zh-CN"/>
                    </w:rPr>
                    <w:t>推荐可行技术</w:t>
                  </w:r>
                </w:p>
              </w:tc>
            </w:tr>
            <w:tr w14:paraId="53F58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5" w:type="pct"/>
                  <w:vMerge w:val="restart"/>
                  <w:vAlign w:val="center"/>
                </w:tcPr>
                <w:p w14:paraId="4F027776">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ascii="Times New Roman" w:hAnsi="Times New Roman" w:eastAsia="宋体" w:cs="Times New Roman"/>
                      <w:b w:val="0"/>
                      <w:bCs w:val="0"/>
                      <w:snapToGrid w:val="0"/>
                      <w:color w:val="auto"/>
                      <w:sz w:val="21"/>
                      <w:szCs w:val="21"/>
                      <w:highlight w:val="none"/>
                      <w:vertAlign w:val="baseline"/>
                      <w:lang w:val="en-US" w:eastAsia="zh-CN"/>
                    </w:rPr>
                  </w:pPr>
                  <w:r>
                    <w:rPr>
                      <w:rFonts w:hint="default" w:ascii="Times New Roman" w:hAnsi="Times New Roman" w:eastAsia="宋体" w:cs="Times New Roman"/>
                      <w:b w:val="0"/>
                      <w:bCs w:val="0"/>
                      <w:snapToGrid w:val="0"/>
                      <w:color w:val="auto"/>
                      <w:sz w:val="21"/>
                      <w:szCs w:val="21"/>
                      <w:highlight w:val="none"/>
                    </w:rPr>
                    <w:t>《</w:t>
                  </w:r>
                  <w:r>
                    <w:rPr>
                      <w:rFonts w:hint="default" w:ascii="Times New Roman" w:hAnsi="Times New Roman" w:eastAsia="宋体" w:cs="Times New Roman"/>
                      <w:b w:val="0"/>
                      <w:bCs w:val="0"/>
                      <w:color w:val="auto"/>
                      <w:kern w:val="0"/>
                      <w:sz w:val="21"/>
                      <w:szCs w:val="21"/>
                      <w:highlight w:val="none"/>
                      <w:lang w:bidi="ar"/>
                    </w:rPr>
                    <w:t>排污许可证申请与核发技术规范 橡胶和塑料制品工业</w:t>
                  </w:r>
                  <w:r>
                    <w:rPr>
                      <w:rFonts w:hint="default" w:ascii="Times New Roman" w:hAnsi="Times New Roman" w:eastAsia="宋体" w:cs="Times New Roman"/>
                      <w:b w:val="0"/>
                      <w:bCs w:val="0"/>
                      <w:snapToGrid w:val="0"/>
                      <w:color w:val="auto"/>
                      <w:sz w:val="21"/>
                      <w:szCs w:val="21"/>
                      <w:highlight w:val="none"/>
                    </w:rPr>
                    <w:t>》（</w:t>
                  </w:r>
                  <w:r>
                    <w:rPr>
                      <w:rFonts w:hint="default" w:ascii="Times New Roman" w:hAnsi="Times New Roman" w:eastAsia="宋体" w:cs="Times New Roman"/>
                      <w:b w:val="0"/>
                      <w:bCs w:val="0"/>
                      <w:color w:val="auto"/>
                      <w:kern w:val="0"/>
                      <w:sz w:val="21"/>
                      <w:szCs w:val="21"/>
                      <w:highlight w:val="none"/>
                      <w:lang w:bidi="ar"/>
                    </w:rPr>
                    <w:t>HJ1122—2020</w:t>
                  </w:r>
                </w:p>
              </w:tc>
              <w:tc>
                <w:tcPr>
                  <w:tcW w:w="1568" w:type="pct"/>
                  <w:vMerge w:val="restart"/>
                  <w:vAlign w:val="center"/>
                </w:tcPr>
                <w:p w14:paraId="263C238A">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ascii="Times New Roman" w:hAnsi="Times New Roman" w:eastAsia="宋体" w:cs="Times New Roman"/>
                      <w:b w:val="0"/>
                      <w:bCs w:val="0"/>
                      <w:snapToGrid w:val="0"/>
                      <w:color w:val="auto"/>
                      <w:sz w:val="21"/>
                      <w:szCs w:val="21"/>
                      <w:highlight w:val="none"/>
                      <w:vertAlign w:val="baseline"/>
                      <w:lang w:val="en-US" w:eastAsia="zh-CN"/>
                    </w:rPr>
                  </w:pPr>
                  <w:r>
                    <w:rPr>
                      <w:rFonts w:ascii="宋体" w:hAnsi="宋体" w:eastAsia="宋体" w:cs="宋体"/>
                      <w:color w:val="auto"/>
                      <w:sz w:val="21"/>
                      <w:szCs w:val="21"/>
                    </w:rPr>
                    <w:t>塑料薄膜制造，塑料板、管、型材制造，塑料丝、绳及编制品制造，泡沫塑料制造，塑料包装箱及容器制造，日用塑料制品制造，人造草坪制造，塑料零件及其他塑料制品制造废气</w:t>
                  </w:r>
                </w:p>
              </w:tc>
              <w:tc>
                <w:tcPr>
                  <w:tcW w:w="735" w:type="pct"/>
                  <w:vAlign w:val="center"/>
                </w:tcPr>
                <w:p w14:paraId="69285FDA">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ascii="Times New Roman" w:hAnsi="Times New Roman" w:eastAsia="宋体" w:cs="Times New Roman"/>
                      <w:b w:val="0"/>
                      <w:bCs w:val="0"/>
                      <w:snapToGrid w:val="0"/>
                      <w:color w:val="auto"/>
                      <w:sz w:val="21"/>
                      <w:szCs w:val="21"/>
                      <w:highlight w:val="none"/>
                      <w:vertAlign w:val="baseline"/>
                      <w:lang w:val="en-US" w:eastAsia="zh-CN"/>
                    </w:rPr>
                  </w:pPr>
                  <w:r>
                    <w:rPr>
                      <w:rFonts w:hint="eastAsia" w:cs="Times New Roman"/>
                      <w:b w:val="0"/>
                      <w:bCs w:val="0"/>
                      <w:snapToGrid w:val="0"/>
                      <w:color w:val="auto"/>
                      <w:sz w:val="21"/>
                      <w:szCs w:val="21"/>
                      <w:highlight w:val="none"/>
                      <w:vertAlign w:val="baseline"/>
                      <w:lang w:val="en-US" w:eastAsia="zh-CN"/>
                    </w:rPr>
                    <w:t>非甲烷总烃</w:t>
                  </w:r>
                </w:p>
              </w:tc>
              <w:tc>
                <w:tcPr>
                  <w:tcW w:w="1301" w:type="pct"/>
                  <w:vAlign w:val="center"/>
                </w:tcPr>
                <w:p w14:paraId="52FD211C">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ascii="Times New Roman" w:hAnsi="Times New Roman" w:eastAsia="宋体" w:cs="Times New Roman"/>
                      <w:b w:val="0"/>
                      <w:bCs w:val="0"/>
                      <w:snapToGrid w:val="0"/>
                      <w:color w:val="auto"/>
                      <w:sz w:val="21"/>
                      <w:szCs w:val="21"/>
                      <w:highlight w:val="none"/>
                      <w:vertAlign w:val="baseline"/>
                      <w:lang w:val="en-US" w:eastAsia="zh-CN"/>
                    </w:rPr>
                  </w:pPr>
                  <w:r>
                    <w:rPr>
                      <w:rFonts w:ascii="宋体" w:hAnsi="宋体" w:eastAsia="宋体" w:cs="宋体"/>
                      <w:color w:val="auto"/>
                      <w:sz w:val="21"/>
                      <w:szCs w:val="21"/>
                    </w:rPr>
                    <w:t>喷淋；吸附；吸附浓缩+热力燃烧/催化燃烧</w:t>
                  </w:r>
                </w:p>
              </w:tc>
            </w:tr>
            <w:tr w14:paraId="7947C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5" w:type="pct"/>
                  <w:vMerge w:val="continue"/>
                  <w:vAlign w:val="center"/>
                </w:tcPr>
                <w:p w14:paraId="375968EE">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ascii="Times New Roman" w:hAnsi="Times New Roman" w:eastAsia="宋体" w:cs="Times New Roman"/>
                      <w:b w:val="0"/>
                      <w:bCs w:val="0"/>
                      <w:snapToGrid w:val="0"/>
                      <w:color w:val="auto"/>
                      <w:sz w:val="21"/>
                      <w:szCs w:val="21"/>
                      <w:highlight w:val="none"/>
                    </w:rPr>
                  </w:pPr>
                </w:p>
              </w:tc>
              <w:tc>
                <w:tcPr>
                  <w:tcW w:w="1568" w:type="pct"/>
                  <w:vMerge w:val="continue"/>
                  <w:vAlign w:val="center"/>
                </w:tcPr>
                <w:p w14:paraId="29D4D3C4">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ascii="宋体" w:hAnsi="宋体" w:eastAsia="宋体" w:cs="宋体"/>
                      <w:color w:val="auto"/>
                      <w:sz w:val="21"/>
                      <w:szCs w:val="21"/>
                    </w:rPr>
                  </w:pPr>
                </w:p>
              </w:tc>
              <w:tc>
                <w:tcPr>
                  <w:tcW w:w="735" w:type="pct"/>
                  <w:vAlign w:val="center"/>
                </w:tcPr>
                <w:p w14:paraId="36C3518A">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cs="Times New Roman"/>
                      <w:b w:val="0"/>
                      <w:bCs w:val="0"/>
                      <w:snapToGrid w:val="0"/>
                      <w:color w:val="auto"/>
                      <w:sz w:val="21"/>
                      <w:szCs w:val="21"/>
                      <w:highlight w:val="none"/>
                      <w:vertAlign w:val="baseline"/>
                      <w:lang w:val="en-US" w:eastAsia="zh-CN"/>
                    </w:rPr>
                  </w:pPr>
                  <w:r>
                    <w:rPr>
                      <w:rFonts w:hint="eastAsia" w:cs="Times New Roman"/>
                      <w:b w:val="0"/>
                      <w:bCs w:val="0"/>
                      <w:snapToGrid w:val="0"/>
                      <w:color w:val="auto"/>
                      <w:sz w:val="21"/>
                      <w:szCs w:val="21"/>
                      <w:highlight w:val="none"/>
                      <w:vertAlign w:val="baseline"/>
                      <w:lang w:val="en-US" w:eastAsia="zh-CN"/>
                    </w:rPr>
                    <w:t>臭气浓度、恶臭特征物质</w:t>
                  </w:r>
                </w:p>
              </w:tc>
              <w:tc>
                <w:tcPr>
                  <w:tcW w:w="1301" w:type="pct"/>
                  <w:vAlign w:val="center"/>
                </w:tcPr>
                <w:p w14:paraId="3C6B8E44">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eastAsia" w:ascii="Times New Roman" w:hAnsi="Times New Roman" w:eastAsia="宋体" w:cs="Times New Roman"/>
                      <w:b w:val="0"/>
                      <w:bCs w:val="0"/>
                      <w:snapToGrid w:val="0"/>
                      <w:color w:val="auto"/>
                      <w:sz w:val="21"/>
                      <w:szCs w:val="21"/>
                      <w:highlight w:val="none"/>
                      <w:vertAlign w:val="baseline"/>
                      <w:lang w:val="en-US" w:eastAsia="zh-CN"/>
                    </w:rPr>
                  </w:pPr>
                  <w:r>
                    <w:rPr>
                      <w:rFonts w:ascii="宋体" w:hAnsi="宋体" w:eastAsia="宋体" w:cs="宋体"/>
                      <w:color w:val="auto"/>
                      <w:sz w:val="21"/>
                      <w:szCs w:val="21"/>
                    </w:rPr>
                    <w:t>喷淋、吸附、低温等离子体、UV光氧化/光催化、生物法两种及以上组合技</w:t>
                  </w:r>
                  <w:r>
                    <w:rPr>
                      <w:rFonts w:hint="eastAsia" w:ascii="宋体" w:hAnsi="宋体" w:eastAsia="宋体" w:cs="宋体"/>
                      <w:color w:val="auto"/>
                      <w:sz w:val="21"/>
                      <w:szCs w:val="21"/>
                      <w:lang w:val="en-US" w:eastAsia="zh-CN"/>
                    </w:rPr>
                    <w:t>术</w:t>
                  </w:r>
                </w:p>
              </w:tc>
            </w:tr>
            <w:tr w14:paraId="2D59F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95" w:type="pct"/>
                  <w:vAlign w:val="center"/>
                </w:tcPr>
                <w:p w14:paraId="213FFD16">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ascii="Times New Roman" w:hAnsi="Times New Roman" w:eastAsia="宋体" w:cs="Times New Roman"/>
                      <w:b w:val="0"/>
                      <w:bCs w:val="0"/>
                      <w:snapToGrid w:val="0"/>
                      <w:color w:val="auto"/>
                      <w:sz w:val="21"/>
                      <w:szCs w:val="21"/>
                      <w:highlight w:val="none"/>
                      <w:vertAlign w:val="baseline"/>
                      <w:lang w:val="en-US" w:eastAsia="zh-CN"/>
                    </w:rPr>
                  </w:pPr>
                  <w:r>
                    <w:rPr>
                      <w:rFonts w:hint="eastAsia" w:cs="Times New Roman"/>
                      <w:b w:val="0"/>
                      <w:bCs w:val="0"/>
                      <w:snapToGrid w:val="0"/>
                      <w:color w:val="auto"/>
                      <w:sz w:val="21"/>
                      <w:szCs w:val="21"/>
                      <w:highlight w:val="none"/>
                      <w:lang w:eastAsia="zh-CN"/>
                    </w:rPr>
                    <w:t>《</w:t>
                  </w:r>
                  <w:r>
                    <w:rPr>
                      <w:rFonts w:hint="default" w:ascii="Times New Roman" w:hAnsi="Times New Roman" w:eastAsia="宋体" w:cs="Times New Roman"/>
                      <w:b w:val="0"/>
                      <w:bCs w:val="0"/>
                      <w:snapToGrid w:val="0"/>
                      <w:color w:val="auto"/>
                      <w:sz w:val="21"/>
                      <w:szCs w:val="21"/>
                      <w:highlight w:val="none"/>
                    </w:rPr>
                    <w:t>排污许可证申请与核发技术规范</w:t>
                  </w:r>
                  <w:r>
                    <w:rPr>
                      <w:rFonts w:hint="eastAsia" w:cs="Times New Roman"/>
                      <w:b w:val="0"/>
                      <w:bCs w:val="0"/>
                      <w:snapToGrid w:val="0"/>
                      <w:color w:val="auto"/>
                      <w:sz w:val="21"/>
                      <w:szCs w:val="21"/>
                      <w:highlight w:val="none"/>
                      <w:lang w:val="en-US" w:eastAsia="zh-CN"/>
                    </w:rPr>
                    <w:t xml:space="preserve"> </w:t>
                  </w:r>
                  <w:r>
                    <w:rPr>
                      <w:rFonts w:hint="default" w:ascii="Times New Roman" w:hAnsi="Times New Roman" w:eastAsia="宋体" w:cs="Times New Roman"/>
                      <w:b w:val="0"/>
                      <w:bCs w:val="0"/>
                      <w:snapToGrid w:val="0"/>
                      <w:color w:val="auto"/>
                      <w:sz w:val="21"/>
                      <w:szCs w:val="21"/>
                      <w:highlight w:val="none"/>
                    </w:rPr>
                    <w:t>家具制造工业</w:t>
                  </w:r>
                  <w:r>
                    <w:rPr>
                      <w:rFonts w:hint="eastAsia" w:cs="Times New Roman"/>
                      <w:b w:val="0"/>
                      <w:bCs w:val="0"/>
                      <w:snapToGrid w:val="0"/>
                      <w:color w:val="auto"/>
                      <w:sz w:val="21"/>
                      <w:szCs w:val="21"/>
                      <w:highlight w:val="none"/>
                      <w:lang w:eastAsia="zh-CN"/>
                    </w:rPr>
                    <w:t>》</w:t>
                  </w:r>
                  <w:r>
                    <w:rPr>
                      <w:rFonts w:hint="default" w:ascii="Times New Roman" w:hAnsi="Times New Roman" w:eastAsia="宋体" w:cs="Times New Roman"/>
                      <w:b w:val="0"/>
                      <w:bCs w:val="0"/>
                      <w:snapToGrid w:val="0"/>
                      <w:color w:val="auto"/>
                      <w:sz w:val="21"/>
                      <w:szCs w:val="21"/>
                      <w:highlight w:val="none"/>
                    </w:rPr>
                    <w:t>（HJ1027-2019）</w:t>
                  </w:r>
                </w:p>
              </w:tc>
              <w:tc>
                <w:tcPr>
                  <w:tcW w:w="1568" w:type="pct"/>
                  <w:vAlign w:val="center"/>
                </w:tcPr>
                <w:p w14:paraId="50F5D321">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ascii="Times New Roman" w:hAnsi="Times New Roman" w:eastAsia="宋体" w:cs="Times New Roman"/>
                      <w:b w:val="0"/>
                      <w:bCs w:val="0"/>
                      <w:snapToGrid w:val="0"/>
                      <w:color w:val="auto"/>
                      <w:sz w:val="21"/>
                      <w:szCs w:val="21"/>
                      <w:highlight w:val="none"/>
                      <w:vertAlign w:val="baseline"/>
                      <w:lang w:val="en-US" w:eastAsia="zh-CN"/>
                    </w:rPr>
                  </w:pPr>
                  <w:r>
                    <w:rPr>
                      <w:rFonts w:hint="eastAsia" w:cs="Times New Roman"/>
                      <w:b w:val="0"/>
                      <w:bCs w:val="0"/>
                      <w:snapToGrid w:val="0"/>
                      <w:color w:val="auto"/>
                      <w:sz w:val="21"/>
                      <w:szCs w:val="21"/>
                      <w:highlight w:val="none"/>
                      <w:vertAlign w:val="baseline"/>
                      <w:lang w:val="en-US" w:eastAsia="zh-CN"/>
                    </w:rPr>
                    <w:t>/</w:t>
                  </w:r>
                </w:p>
              </w:tc>
              <w:tc>
                <w:tcPr>
                  <w:tcW w:w="735" w:type="pct"/>
                  <w:vAlign w:val="center"/>
                </w:tcPr>
                <w:p w14:paraId="5D28FC6D">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ascii="Times New Roman" w:hAnsi="Times New Roman" w:eastAsia="宋体" w:cs="Times New Roman"/>
                      <w:b w:val="0"/>
                      <w:bCs w:val="0"/>
                      <w:snapToGrid w:val="0"/>
                      <w:color w:val="auto"/>
                      <w:sz w:val="21"/>
                      <w:szCs w:val="21"/>
                      <w:highlight w:val="none"/>
                      <w:vertAlign w:val="baseline"/>
                      <w:lang w:val="en-US" w:eastAsia="zh-CN"/>
                    </w:rPr>
                  </w:pPr>
                  <w:r>
                    <w:rPr>
                      <w:rFonts w:hint="eastAsia" w:cs="Times New Roman"/>
                      <w:b w:val="0"/>
                      <w:bCs w:val="0"/>
                      <w:snapToGrid w:val="0"/>
                      <w:color w:val="auto"/>
                      <w:sz w:val="21"/>
                      <w:szCs w:val="21"/>
                      <w:highlight w:val="none"/>
                      <w:vertAlign w:val="baseline"/>
                      <w:lang w:val="en-US" w:eastAsia="zh-CN"/>
                    </w:rPr>
                    <w:t>/</w:t>
                  </w:r>
                </w:p>
              </w:tc>
              <w:tc>
                <w:tcPr>
                  <w:tcW w:w="1301" w:type="pct"/>
                  <w:vAlign w:val="center"/>
                </w:tcPr>
                <w:p w14:paraId="771A9FBB">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firstLine="0" w:firstLineChars="0"/>
                    <w:jc w:val="center"/>
                    <w:textAlignment w:val="auto"/>
                    <w:rPr>
                      <w:rFonts w:hint="default" w:ascii="Times New Roman" w:hAnsi="Times New Roman" w:eastAsia="宋体" w:cs="Times New Roman"/>
                      <w:b w:val="0"/>
                      <w:bCs w:val="0"/>
                      <w:snapToGrid w:val="0"/>
                      <w:color w:val="auto"/>
                      <w:sz w:val="21"/>
                      <w:szCs w:val="21"/>
                      <w:highlight w:val="none"/>
                      <w:vertAlign w:val="baseline"/>
                      <w:lang w:val="en-US" w:eastAsia="zh-CN"/>
                    </w:rPr>
                  </w:pPr>
                  <w:r>
                    <w:rPr>
                      <w:rFonts w:hint="eastAsia" w:cs="Times New Roman"/>
                      <w:b w:val="0"/>
                      <w:bCs w:val="0"/>
                      <w:snapToGrid w:val="0"/>
                      <w:color w:val="auto"/>
                      <w:sz w:val="21"/>
                      <w:szCs w:val="21"/>
                      <w:highlight w:val="none"/>
                      <w:vertAlign w:val="baseline"/>
                      <w:lang w:val="en-US" w:eastAsia="zh-CN"/>
                    </w:rPr>
                    <w:t>/</w:t>
                  </w:r>
                </w:p>
              </w:tc>
            </w:tr>
          </w:tbl>
          <w:p w14:paraId="66D366E7">
            <w:pPr>
              <w:pStyle w:val="12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b w:val="0"/>
                <w:bCs w:val="0"/>
                <w:snapToGrid w:val="0"/>
                <w:color w:val="auto"/>
                <w:sz w:val="24"/>
                <w:highlight w:val="none"/>
                <w:lang w:val="en-US" w:eastAsia="zh-CN"/>
              </w:rPr>
              <w:t>项目</w:t>
            </w:r>
            <w:r>
              <w:rPr>
                <w:rFonts w:hint="default" w:ascii="Times New Roman" w:hAnsi="Times New Roman" w:eastAsia="宋体" w:cs="Times New Roman"/>
                <w:b w:val="0"/>
                <w:bCs w:val="0"/>
                <w:snapToGrid w:val="0"/>
                <w:color w:val="auto"/>
                <w:sz w:val="24"/>
                <w:highlight w:val="none"/>
              </w:rPr>
              <w:t>针对非甲烷总烃</w:t>
            </w:r>
            <w:r>
              <w:rPr>
                <w:rFonts w:hint="default" w:ascii="Times New Roman" w:hAnsi="Times New Roman" w:eastAsia="宋体" w:cs="Times New Roman"/>
                <w:b w:val="0"/>
                <w:bCs w:val="0"/>
                <w:snapToGrid w:val="0"/>
                <w:color w:val="auto"/>
                <w:sz w:val="24"/>
                <w:highlight w:val="none"/>
                <w:lang w:eastAsia="zh-CN"/>
              </w:rPr>
              <w:t>、</w:t>
            </w:r>
            <w:r>
              <w:rPr>
                <w:rFonts w:hint="default" w:ascii="Times New Roman" w:hAnsi="Times New Roman" w:eastAsia="宋体" w:cs="Times New Roman"/>
                <w:b w:val="0"/>
                <w:bCs w:val="0"/>
                <w:snapToGrid w:val="0"/>
                <w:color w:val="auto"/>
                <w:sz w:val="24"/>
                <w:highlight w:val="none"/>
                <w:lang w:val="en-US" w:eastAsia="zh-CN"/>
              </w:rPr>
              <w:t>苯乙烯</w:t>
            </w:r>
            <w:r>
              <w:rPr>
                <w:rFonts w:hint="default" w:ascii="Times New Roman" w:hAnsi="Times New Roman" w:eastAsia="宋体" w:cs="Times New Roman"/>
                <w:b w:val="0"/>
                <w:bCs w:val="0"/>
                <w:snapToGrid w:val="0"/>
                <w:color w:val="auto"/>
                <w:sz w:val="24"/>
                <w:highlight w:val="none"/>
              </w:rPr>
              <w:t>废气采用</w:t>
            </w:r>
            <w:r>
              <w:rPr>
                <w:rFonts w:hint="default" w:ascii="Times New Roman" w:hAnsi="Times New Roman" w:eastAsia="宋体" w:cs="Times New Roman"/>
                <w:b w:val="0"/>
                <w:bCs w:val="0"/>
                <w:snapToGrid w:val="0"/>
                <w:color w:val="auto"/>
                <w:sz w:val="24"/>
                <w:highlight w:val="none"/>
                <w:lang w:eastAsia="zh-CN"/>
              </w:rPr>
              <w:t>“</w:t>
            </w:r>
            <w:r>
              <w:rPr>
                <w:rFonts w:hint="default" w:ascii="Times New Roman" w:hAnsi="Times New Roman" w:eastAsia="宋体" w:cs="Times New Roman"/>
                <w:b w:val="0"/>
                <w:bCs w:val="0"/>
                <w:snapToGrid w:val="0"/>
                <w:color w:val="auto"/>
                <w:sz w:val="24"/>
                <w:highlight w:val="none"/>
                <w:lang w:val="en-US" w:eastAsia="zh-CN"/>
              </w:rPr>
              <w:t>活性炭吸附TA001-脱附催化燃烧TA002</w:t>
            </w:r>
            <w:r>
              <w:rPr>
                <w:rFonts w:hint="default" w:ascii="Times New Roman" w:hAnsi="Times New Roman" w:eastAsia="宋体" w:cs="Times New Roman"/>
                <w:b w:val="0"/>
                <w:bCs w:val="0"/>
                <w:snapToGrid w:val="0"/>
                <w:color w:val="auto"/>
                <w:sz w:val="24"/>
                <w:highlight w:val="none"/>
                <w:lang w:eastAsia="zh-CN"/>
              </w:rPr>
              <w:t>，</w:t>
            </w:r>
            <w:r>
              <w:rPr>
                <w:rFonts w:hint="default" w:ascii="Times New Roman" w:hAnsi="Times New Roman" w:eastAsia="宋体" w:cs="Times New Roman"/>
                <w:b w:val="0"/>
                <w:bCs w:val="0"/>
                <w:snapToGrid w:val="0"/>
                <w:color w:val="auto"/>
                <w:sz w:val="24"/>
                <w:highlight w:val="none"/>
                <w:lang w:val="en-US" w:eastAsia="zh-CN"/>
              </w:rPr>
              <w:t>为</w:t>
            </w:r>
            <w:r>
              <w:rPr>
                <w:rFonts w:hint="default" w:ascii="Times New Roman" w:hAnsi="Times New Roman" w:eastAsia="宋体" w:cs="Times New Roman"/>
                <w:b w:val="0"/>
                <w:bCs w:val="0"/>
                <w:snapToGrid w:val="0"/>
                <w:color w:val="auto"/>
                <w:sz w:val="24"/>
                <w:highlight w:val="none"/>
              </w:rPr>
              <w:t>《</w:t>
            </w:r>
            <w:r>
              <w:rPr>
                <w:rFonts w:hint="default" w:ascii="Times New Roman" w:hAnsi="Times New Roman" w:eastAsia="宋体" w:cs="Times New Roman"/>
                <w:b w:val="0"/>
                <w:bCs w:val="0"/>
                <w:color w:val="auto"/>
                <w:kern w:val="0"/>
                <w:sz w:val="24"/>
                <w:highlight w:val="none"/>
                <w:lang w:bidi="ar"/>
              </w:rPr>
              <w:t>排污许可证申请与核发技术规范 橡胶和塑料制品工业</w:t>
            </w:r>
            <w:r>
              <w:rPr>
                <w:rFonts w:hint="default" w:ascii="Times New Roman" w:hAnsi="Times New Roman" w:eastAsia="宋体" w:cs="Times New Roman"/>
                <w:b w:val="0"/>
                <w:bCs w:val="0"/>
                <w:snapToGrid w:val="0"/>
                <w:color w:val="auto"/>
                <w:sz w:val="24"/>
                <w:highlight w:val="none"/>
              </w:rPr>
              <w:t>》（</w:t>
            </w:r>
            <w:r>
              <w:rPr>
                <w:rFonts w:hint="default" w:ascii="Times New Roman" w:hAnsi="Times New Roman" w:eastAsia="宋体" w:cs="Times New Roman"/>
                <w:b w:val="0"/>
                <w:bCs w:val="0"/>
                <w:color w:val="auto"/>
                <w:kern w:val="0"/>
                <w:sz w:val="24"/>
                <w:highlight w:val="none"/>
                <w:lang w:bidi="ar"/>
              </w:rPr>
              <w:t>HJ1122—2020</w:t>
            </w:r>
            <w:r>
              <w:rPr>
                <w:rFonts w:hint="default" w:ascii="Times New Roman" w:hAnsi="Times New Roman" w:eastAsia="宋体" w:cs="Times New Roman"/>
                <w:b w:val="0"/>
                <w:bCs w:val="0"/>
                <w:snapToGrid w:val="0"/>
                <w:color w:val="auto"/>
                <w:sz w:val="24"/>
                <w:highlight w:val="none"/>
              </w:rPr>
              <w:t>）</w:t>
            </w:r>
            <w:r>
              <w:rPr>
                <w:rFonts w:hint="default" w:ascii="Times New Roman" w:hAnsi="Times New Roman" w:eastAsia="宋体" w:cs="Times New Roman"/>
                <w:b w:val="0"/>
                <w:bCs w:val="0"/>
                <w:color w:val="auto"/>
                <w:sz w:val="24"/>
                <w:szCs w:val="28"/>
                <w:highlight w:val="none"/>
                <w:lang w:val="en-US" w:eastAsia="zh-CN"/>
              </w:rPr>
              <w:t>中</w:t>
            </w:r>
            <w:r>
              <w:rPr>
                <w:rFonts w:hint="default" w:ascii="Times New Roman" w:hAnsi="Times New Roman" w:eastAsia="宋体" w:cs="Times New Roman"/>
                <w:b w:val="0"/>
                <w:bCs w:val="0"/>
                <w:snapToGrid w:val="0"/>
                <w:color w:val="auto"/>
                <w:sz w:val="24"/>
                <w:highlight w:val="none"/>
              </w:rPr>
              <w:t>可行性技术。</w:t>
            </w:r>
          </w:p>
          <w:p w14:paraId="7CE24D71">
            <w:pPr>
              <w:widowControl/>
              <w:spacing w:line="360" w:lineRule="auto"/>
              <w:ind w:firstLine="480" w:firstLineChars="200"/>
              <w:jc w:val="both"/>
              <w:rPr>
                <w:rFonts w:ascii="Times New Roman" w:hAnsi="Times New Roman" w:eastAsia="宋体" w:cs="Times New Roman"/>
                <w:color w:val="auto"/>
                <w:kern w:val="0"/>
                <w:sz w:val="24"/>
                <w:highlight w:val="none"/>
              </w:rPr>
            </w:pPr>
            <w:r>
              <w:rPr>
                <w:rFonts w:ascii="Times New Roman" w:hAnsi="Times New Roman" w:eastAsia="宋体" w:cs="Times New Roman"/>
                <w:color w:val="auto"/>
                <w:kern w:val="0"/>
                <w:sz w:val="24"/>
                <w:highlight w:val="none"/>
              </w:rPr>
              <w:t>无组织废气排放量与操作管理水平、设备状况</w:t>
            </w:r>
            <w:r>
              <w:rPr>
                <w:rFonts w:hint="eastAsia" w:cs="Times New Roman"/>
                <w:color w:val="auto"/>
                <w:kern w:val="0"/>
                <w:sz w:val="24"/>
                <w:highlight w:val="none"/>
                <w:lang w:eastAsia="zh-CN"/>
              </w:rPr>
              <w:t>等</w:t>
            </w:r>
            <w:r>
              <w:rPr>
                <w:rFonts w:ascii="Times New Roman" w:hAnsi="Times New Roman" w:eastAsia="宋体" w:cs="Times New Roman"/>
                <w:color w:val="auto"/>
                <w:kern w:val="0"/>
                <w:sz w:val="24"/>
                <w:highlight w:val="none"/>
              </w:rPr>
              <w:t>在运行过程</w:t>
            </w:r>
            <w:r>
              <w:rPr>
                <w:rFonts w:hint="eastAsia" w:cs="Times New Roman"/>
                <w:color w:val="auto"/>
                <w:kern w:val="0"/>
                <w:sz w:val="24"/>
                <w:highlight w:val="none"/>
                <w:lang w:eastAsia="zh-CN"/>
              </w:rPr>
              <w:t>中</w:t>
            </w:r>
            <w:r>
              <w:rPr>
                <w:rFonts w:ascii="Times New Roman" w:hAnsi="Times New Roman" w:eastAsia="宋体" w:cs="Times New Roman"/>
                <w:color w:val="auto"/>
                <w:kern w:val="0"/>
                <w:sz w:val="24"/>
                <w:highlight w:val="none"/>
              </w:rPr>
              <w:t>有很大关系，可以通过选用先进设备和加强运行管理来降低其排放量，</w:t>
            </w:r>
            <w:r>
              <w:rPr>
                <w:rFonts w:hint="eastAsia" w:ascii="Times New Roman" w:hAnsi="Times New Roman" w:eastAsia="宋体" w:cs="Times New Roman"/>
                <w:color w:val="auto"/>
                <w:kern w:val="0"/>
                <w:sz w:val="24"/>
                <w:highlight w:val="none"/>
                <w:lang w:val="en-US" w:eastAsia="zh-CN"/>
              </w:rPr>
              <w:t>项目生产均在</w:t>
            </w:r>
            <w:r>
              <w:rPr>
                <w:rFonts w:hint="eastAsia" w:cs="Times New Roman"/>
                <w:color w:val="auto"/>
                <w:kern w:val="0"/>
                <w:sz w:val="24"/>
                <w:highlight w:val="none"/>
                <w:lang w:val="en-US" w:eastAsia="zh-CN"/>
              </w:rPr>
              <w:t>密闭</w:t>
            </w:r>
            <w:r>
              <w:rPr>
                <w:rFonts w:hint="eastAsia" w:ascii="Times New Roman" w:hAnsi="Times New Roman" w:eastAsia="宋体" w:cs="Times New Roman"/>
                <w:color w:val="auto"/>
                <w:kern w:val="0"/>
                <w:sz w:val="24"/>
                <w:highlight w:val="none"/>
                <w:lang w:val="en-US" w:eastAsia="zh-CN"/>
              </w:rPr>
              <w:t>车间内进行，可</w:t>
            </w:r>
            <w:r>
              <w:rPr>
                <w:rFonts w:ascii="Times New Roman" w:hAnsi="Times New Roman" w:eastAsia="宋体" w:cs="Times New Roman"/>
                <w:color w:val="auto"/>
                <w:kern w:val="0"/>
                <w:sz w:val="24"/>
                <w:highlight w:val="none"/>
              </w:rPr>
              <w:t>减少无组织废气的排放</w:t>
            </w:r>
            <w:r>
              <w:rPr>
                <w:rFonts w:hint="eastAsia" w:ascii="Times New Roman" w:hAnsi="Times New Roman" w:eastAsia="宋体" w:cs="Times New Roman"/>
                <w:color w:val="auto"/>
                <w:kern w:val="0"/>
                <w:sz w:val="24"/>
                <w:highlight w:val="none"/>
              </w:rPr>
              <w:t>。</w:t>
            </w:r>
          </w:p>
          <w:p w14:paraId="71F16699">
            <w:pPr>
              <w:pStyle w:val="5"/>
              <w:pageBreakBefore w:val="0"/>
              <w:kinsoku/>
              <w:wordWrap/>
              <w:overflowPunct/>
              <w:topLinePunct w:val="0"/>
              <w:autoSpaceDE/>
              <w:autoSpaceDN/>
              <w:bidi w:val="0"/>
              <w:adjustRightInd/>
              <w:snapToGrid/>
              <w:spacing w:line="360" w:lineRule="auto"/>
              <w:ind w:firstLine="480"/>
              <w:jc w:val="both"/>
              <w:textAlignment w:val="auto"/>
              <w:rPr>
                <w:rFonts w:hint="default" w:ascii="Times New Roman" w:hAnsi="Times New Roman" w:eastAsia="宋体" w:cs="Times New Roman"/>
                <w:b w:val="0"/>
                <w:bCs/>
                <w:color w:val="auto"/>
                <w:sz w:val="24"/>
                <w:highlight w:val="none"/>
                <w:lang w:val="en-US" w:eastAsia="zh-CN"/>
              </w:rPr>
            </w:pPr>
            <w:r>
              <w:rPr>
                <w:rFonts w:hint="default" w:ascii="Times New Roman" w:hAnsi="Times New Roman" w:eastAsia="宋体" w:cs="Times New Roman"/>
                <w:color w:val="auto"/>
                <w:sz w:val="24"/>
                <w:szCs w:val="24"/>
                <w:highlight w:val="none"/>
                <w:lang w:val="en-US" w:eastAsia="zh-CN"/>
              </w:rPr>
              <w:t>依据源强核算本项目有组织及无组织</w:t>
            </w:r>
            <w:r>
              <w:rPr>
                <w:rFonts w:hint="default" w:ascii="Times New Roman" w:hAnsi="Times New Roman" w:eastAsia="宋体" w:cs="Times New Roman"/>
                <w:color w:val="auto"/>
                <w:sz w:val="24"/>
                <w:highlight w:val="none"/>
                <w:lang w:val="en-US" w:eastAsia="zh-CN"/>
              </w:rPr>
              <w:t>非甲烷总烃满足</w:t>
            </w:r>
            <w:r>
              <w:rPr>
                <w:rFonts w:hint="default" w:ascii="Times New Roman" w:hAnsi="Times New Roman" w:eastAsia="宋体" w:cs="Times New Roman"/>
                <w:color w:val="auto"/>
                <w:sz w:val="24"/>
                <w:highlight w:val="none"/>
              </w:rPr>
              <w:t>河北省地方标准《工业企业挥发性有机物排放控制标准》（DB13/2322-20</w:t>
            </w:r>
            <w:r>
              <w:rPr>
                <w:rFonts w:hint="default" w:ascii="Times New Roman" w:hAnsi="Times New Roman" w:eastAsia="宋体" w:cs="Times New Roman"/>
                <w:color w:val="auto"/>
                <w:sz w:val="24"/>
                <w:highlight w:val="none"/>
                <w:lang w:val="en-US" w:eastAsia="zh-CN"/>
              </w:rPr>
              <w:t>25</w:t>
            </w: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highlight w:val="none"/>
                <w:lang w:val="en-US" w:eastAsia="zh-CN"/>
              </w:rPr>
              <w:t>以及</w:t>
            </w:r>
            <w:r>
              <w:rPr>
                <w:rFonts w:hint="default" w:ascii="Times New Roman" w:hAnsi="Times New Roman" w:eastAsia="宋体" w:cs="Times New Roman"/>
                <w:color w:val="auto"/>
                <w:sz w:val="24"/>
                <w:highlight w:val="none"/>
              </w:rPr>
              <w:t>《合成树脂工业污染物排放标准》（GB31572-2015</w:t>
            </w:r>
            <w:r>
              <w:rPr>
                <w:rFonts w:hint="eastAsia"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含2024年修改单</w:t>
            </w:r>
            <w:r>
              <w:rPr>
                <w:rFonts w:hint="eastAsia" w:ascii="Times New Roman" w:hAnsi="Times New Roman" w:cs="Times New Roman"/>
                <w:color w:val="auto"/>
                <w:sz w:val="24"/>
                <w:highlight w:val="none"/>
                <w:lang w:eastAsia="zh-CN"/>
              </w:rPr>
              <w:t>）</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szCs w:val="24"/>
                <w:highlight w:val="none"/>
                <w:lang w:val="en-US" w:eastAsia="zh-CN"/>
              </w:rPr>
              <w:t>苯乙烯满足</w:t>
            </w:r>
            <w:r>
              <w:rPr>
                <w:rFonts w:hint="default" w:ascii="Times New Roman" w:hAnsi="Times New Roman" w:cs="Times New Roman"/>
                <w:color w:val="auto"/>
                <w:sz w:val="24"/>
                <w:szCs w:val="24"/>
                <w:highlight w:val="none"/>
              </w:rPr>
              <w:t>《工业企业挥发性有机物排放控制标准》河北省地方标准（DB13/2322-20</w:t>
            </w:r>
            <w:r>
              <w:rPr>
                <w:rFonts w:hint="default" w:ascii="Times New Roman" w:hAnsi="Times New Roman" w:cs="Times New Roman"/>
                <w:color w:val="auto"/>
                <w:sz w:val="24"/>
                <w:szCs w:val="24"/>
                <w:highlight w:val="none"/>
                <w:lang w:val="en-US" w:eastAsia="zh-CN"/>
              </w:rPr>
              <w:t>25</w:t>
            </w:r>
            <w:r>
              <w:rPr>
                <w:rFonts w:hint="default" w:ascii="Times New Roman" w:hAnsi="Times New Roman" w:cs="Times New Roman"/>
                <w:color w:val="auto"/>
                <w:sz w:val="24"/>
                <w:szCs w:val="24"/>
                <w:highlight w:val="none"/>
              </w:rPr>
              <w:t>）表1</w:t>
            </w:r>
            <w:r>
              <w:rPr>
                <w:rFonts w:hint="eastAsia"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《合成树脂工业污染物</w:t>
            </w:r>
            <w:r>
              <w:rPr>
                <w:rFonts w:hint="default" w:ascii="Times New Roman" w:hAnsi="Times New Roman" w:eastAsia="宋体" w:cs="Times New Roman"/>
                <w:b w:val="0"/>
                <w:bCs/>
                <w:color w:val="auto"/>
                <w:sz w:val="24"/>
                <w:szCs w:val="24"/>
                <w:highlight w:val="none"/>
              </w:rPr>
              <w:t>排放标准》（GB31572-2015</w:t>
            </w:r>
            <w:r>
              <w:rPr>
                <w:rFonts w:hint="eastAsia" w:ascii="Times New Roman" w:hAnsi="Times New Roman" w:cs="Times New Roman"/>
                <w:b w:val="0"/>
                <w:bCs/>
                <w:color w:val="auto"/>
                <w:sz w:val="24"/>
                <w:szCs w:val="24"/>
                <w:highlight w:val="none"/>
                <w:lang w:eastAsia="zh-CN"/>
              </w:rPr>
              <w:t>，</w:t>
            </w:r>
            <w:r>
              <w:rPr>
                <w:rFonts w:hint="eastAsia" w:ascii="Times New Roman" w:hAnsi="Times New Roman" w:cs="Times New Roman"/>
                <w:b w:val="0"/>
                <w:bCs/>
                <w:color w:val="auto"/>
                <w:sz w:val="24"/>
                <w:szCs w:val="24"/>
                <w:highlight w:val="none"/>
                <w:lang w:val="en-US" w:eastAsia="zh-CN"/>
              </w:rPr>
              <w:t>含2024年修改单</w:t>
            </w:r>
            <w:r>
              <w:rPr>
                <w:rFonts w:hint="eastAsia" w:ascii="Times New Roman" w:hAnsi="Times New Roman" w:cs="Times New Roman"/>
                <w:b w:val="0"/>
                <w:bCs/>
                <w:color w:val="auto"/>
                <w:sz w:val="24"/>
                <w:szCs w:val="24"/>
                <w:highlight w:val="none"/>
                <w:lang w:eastAsia="zh-CN"/>
              </w:rPr>
              <w:t>）</w:t>
            </w:r>
            <w:r>
              <w:rPr>
                <w:rFonts w:hint="default" w:ascii="Times New Roman" w:hAnsi="Times New Roman" w:eastAsia="宋体" w:cs="Times New Roman"/>
                <w:b w:val="0"/>
                <w:bCs/>
                <w:color w:val="auto"/>
                <w:sz w:val="24"/>
                <w:szCs w:val="24"/>
                <w:highlight w:val="none"/>
                <w:lang w:val="en-US" w:eastAsia="zh-CN"/>
              </w:rPr>
              <w:t>和</w:t>
            </w:r>
            <w:r>
              <w:rPr>
                <w:rFonts w:hint="default" w:ascii="Times New Roman" w:hAnsi="Times New Roman" w:eastAsia="宋体" w:cs="Times New Roman"/>
                <w:b w:val="0"/>
                <w:bCs/>
                <w:color w:val="auto"/>
                <w:sz w:val="24"/>
                <w:szCs w:val="24"/>
                <w:highlight w:val="none"/>
              </w:rPr>
              <w:t>《恶臭污染物排放标准》（GB14554-93）</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b w:val="0"/>
                <w:bCs/>
                <w:color w:val="auto"/>
                <w:sz w:val="24"/>
                <w:highlight w:val="none"/>
                <w:lang w:val="en-US" w:eastAsia="zh-CN"/>
              </w:rPr>
              <w:t>臭气浓度满足</w:t>
            </w:r>
            <w:r>
              <w:rPr>
                <w:rFonts w:hint="default" w:ascii="Times New Roman" w:hAnsi="Times New Roman" w:eastAsia="宋体" w:cs="Times New Roman"/>
                <w:b w:val="0"/>
                <w:bCs/>
                <w:color w:val="auto"/>
                <w:sz w:val="24"/>
                <w:szCs w:val="24"/>
                <w:highlight w:val="none"/>
              </w:rPr>
              <w:t>《恶臭污染物排放标准》（GB14554-93）</w:t>
            </w:r>
            <w:r>
              <w:rPr>
                <w:rFonts w:hint="eastAsia" w:ascii="Times New Roman" w:hAnsi="Times New Roman" w:cs="Times New Roman"/>
                <w:b w:val="0"/>
                <w:bCs/>
                <w:color w:val="auto"/>
                <w:sz w:val="24"/>
                <w:szCs w:val="24"/>
                <w:highlight w:val="none"/>
                <w:lang w:val="en-US" w:eastAsia="zh-CN"/>
              </w:rPr>
              <w:t>，</w:t>
            </w:r>
            <w:r>
              <w:rPr>
                <w:rFonts w:hint="default" w:ascii="Times New Roman" w:hAnsi="Times New Roman" w:eastAsia="宋体" w:cs="Times New Roman"/>
                <w:b w:val="0"/>
                <w:bCs/>
                <w:color w:val="auto"/>
                <w:sz w:val="24"/>
                <w:highlight w:val="none"/>
                <w:lang w:val="en-US" w:eastAsia="zh-CN"/>
              </w:rPr>
              <w:t>综合上述，项目废气治理措施可行。</w:t>
            </w:r>
          </w:p>
          <w:p w14:paraId="2A941234">
            <w:pPr>
              <w:pStyle w:val="43"/>
              <w:numPr>
                <w:ilvl w:val="0"/>
                <w:numId w:val="0"/>
              </w:numPr>
              <w:spacing w:line="360" w:lineRule="auto"/>
              <w:ind w:leftChars="0" w:firstLine="480" w:firstLineChars="200"/>
              <w:rPr>
                <w:rFonts w:hint="default" w:ascii="Times New Roman" w:hAnsi="Times New Roman" w:cs="Times New Roman"/>
                <w:b w:val="0"/>
                <w:bCs/>
                <w:snapToGrid w:val="0"/>
                <w:color w:val="auto"/>
                <w:highlight w:val="none"/>
              </w:rPr>
            </w:pPr>
            <w:r>
              <w:rPr>
                <w:rFonts w:hint="eastAsia" w:ascii="Times New Roman" w:hAnsi="Times New Roman" w:cs="Times New Roman"/>
                <w:b w:val="0"/>
                <w:bCs/>
                <w:snapToGrid w:val="0"/>
                <w:color w:val="auto"/>
                <w:highlight w:val="none"/>
                <w:lang w:val="en-US" w:eastAsia="zh-CN"/>
              </w:rPr>
              <w:t>6.</w:t>
            </w:r>
            <w:r>
              <w:rPr>
                <w:rFonts w:hint="default" w:ascii="Times New Roman" w:hAnsi="Times New Roman" w:cs="Times New Roman"/>
                <w:b w:val="0"/>
                <w:bCs/>
                <w:snapToGrid w:val="0"/>
                <w:color w:val="auto"/>
                <w:highlight w:val="none"/>
              </w:rPr>
              <w:t>监测计划</w:t>
            </w:r>
          </w:p>
          <w:p w14:paraId="4A8BC700">
            <w:pPr>
              <w:pStyle w:val="120"/>
              <w:widowControl w:val="0"/>
              <w:spacing w:before="0" w:beforeLines="0" w:after="0" w:afterLines="0" w:line="360" w:lineRule="auto"/>
              <w:ind w:firstLine="480"/>
              <w:rPr>
                <w:rFonts w:hint="default" w:ascii="Times New Roman" w:hAnsi="Times New Roman" w:cs="Times New Roman"/>
                <w:color w:val="auto"/>
                <w:highlight w:val="none"/>
              </w:rPr>
            </w:pPr>
            <w:r>
              <w:rPr>
                <w:rFonts w:hint="default" w:ascii="Times New Roman" w:hAnsi="Times New Roman" w:cs="Times New Roman"/>
                <w:b w:val="0"/>
                <w:bCs/>
                <w:snapToGrid w:val="0"/>
                <w:color w:val="auto"/>
                <w:kern w:val="2"/>
                <w:sz w:val="24"/>
                <w:szCs w:val="24"/>
                <w:highlight w:val="none"/>
              </w:rPr>
              <w:t>根据《排污单位自行监测技术指南 总则》（HJ819-2017）、《排污单位自行监测技术指南 橡胶和塑料制品》（HJ1207-2021）</w:t>
            </w:r>
            <w:r>
              <w:rPr>
                <w:rFonts w:hint="eastAsia" w:cs="Times New Roman"/>
                <w:b w:val="0"/>
                <w:bCs/>
                <w:snapToGrid w:val="0"/>
                <w:color w:val="auto"/>
                <w:kern w:val="2"/>
                <w:sz w:val="24"/>
                <w:szCs w:val="24"/>
                <w:highlight w:val="none"/>
                <w:lang w:eastAsia="zh-CN"/>
              </w:rPr>
              <w:t>、《排污许可证申请与核发技术规范 家具制造工业》（HJ1027-2019）</w:t>
            </w:r>
            <w:r>
              <w:rPr>
                <w:rFonts w:hint="default" w:ascii="Times New Roman" w:hAnsi="Times New Roman" w:cs="Times New Roman"/>
                <w:b w:val="0"/>
                <w:bCs/>
                <w:snapToGrid w:val="0"/>
                <w:color w:val="auto"/>
                <w:kern w:val="2"/>
                <w:sz w:val="24"/>
                <w:szCs w:val="24"/>
                <w:highlight w:val="none"/>
              </w:rPr>
              <w:t>，项目污染源监测计划见下表</w:t>
            </w:r>
            <w:r>
              <w:rPr>
                <w:rFonts w:hint="default" w:ascii="Times New Roman" w:hAnsi="Times New Roman" w:cs="Times New Roman"/>
                <w:snapToGrid w:val="0"/>
                <w:color w:val="auto"/>
                <w:kern w:val="2"/>
                <w:sz w:val="24"/>
                <w:szCs w:val="24"/>
                <w:highlight w:val="none"/>
              </w:rPr>
              <w:t>。</w:t>
            </w:r>
          </w:p>
          <w:p w14:paraId="5FEF75FE">
            <w:pPr>
              <w:pStyle w:val="99"/>
              <w:keepLines w:val="0"/>
              <w:numPr>
                <w:ilvl w:val="0"/>
                <w:numId w:val="0"/>
              </w:numPr>
              <w:spacing w:before="0" w:beforeLines="0" w:after="0" w:afterLines="0"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表4</w:t>
            </w:r>
            <w:r>
              <w:rPr>
                <w:rFonts w:hint="default" w:ascii="Times New Roman" w:hAnsi="Times New Roman" w:cs="Times New Roman"/>
                <w:color w:val="auto"/>
                <w:highlight w:val="none"/>
                <w:lang w:val="en-US" w:eastAsia="zh-CN"/>
              </w:rPr>
              <w:t>-</w:t>
            </w:r>
            <w:r>
              <w:rPr>
                <w:rFonts w:hint="eastAsia" w:cs="Times New Roman"/>
                <w:color w:val="auto"/>
                <w:highlight w:val="none"/>
                <w:lang w:val="en-US" w:eastAsia="zh-CN"/>
              </w:rPr>
              <w:t>7</w:t>
            </w:r>
            <w:r>
              <w:rPr>
                <w:rFonts w:hint="default" w:ascii="Times New Roman" w:hAnsi="Times New Roman" w:cs="Times New Roman"/>
                <w:color w:val="auto"/>
                <w:highlight w:val="none"/>
              </w:rPr>
              <w:t xml:space="preserve"> 项目污染源监测计划</w:t>
            </w:r>
          </w:p>
          <w:tbl>
            <w:tblPr>
              <w:tblStyle w:val="34"/>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852"/>
              <w:gridCol w:w="1299"/>
              <w:gridCol w:w="2500"/>
              <w:gridCol w:w="1542"/>
              <w:gridCol w:w="2286"/>
            </w:tblGrid>
            <w:tr w14:paraId="246B17E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502" w:type="pct"/>
                  <w:noWrap w:val="0"/>
                  <w:vAlign w:val="center"/>
                </w:tcPr>
                <w:p w14:paraId="1F6E7185">
                  <w:pPr>
                    <w:pStyle w:val="110"/>
                    <w:keepNext w:val="0"/>
                    <w:keepLines w:val="0"/>
                    <w:pageBreakBefore w:val="0"/>
                    <w:widowControl w:val="0"/>
                    <w:kinsoku/>
                    <w:wordWrap w:val="0"/>
                    <w:overflowPunct/>
                    <w:topLinePunct w:val="0"/>
                    <w:autoSpaceDE/>
                    <w:autoSpaceDN/>
                    <w:bidi w:val="0"/>
                    <w:adjustRightInd w:val="0"/>
                    <w:snapToGrid w:val="0"/>
                    <w:spacing w:before="0" w:beforeLines="0" w:after="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w:t>
                  </w:r>
                </w:p>
              </w:tc>
              <w:tc>
                <w:tcPr>
                  <w:tcW w:w="766" w:type="pct"/>
                  <w:noWrap w:val="0"/>
                  <w:vAlign w:val="center"/>
                </w:tcPr>
                <w:p w14:paraId="09881E29">
                  <w:pPr>
                    <w:pStyle w:val="110"/>
                    <w:keepNext w:val="0"/>
                    <w:keepLines w:val="0"/>
                    <w:pageBreakBefore w:val="0"/>
                    <w:widowControl w:val="0"/>
                    <w:kinsoku/>
                    <w:wordWrap w:val="0"/>
                    <w:overflowPunct/>
                    <w:topLinePunct w:val="0"/>
                    <w:autoSpaceDE/>
                    <w:autoSpaceDN/>
                    <w:bidi w:val="0"/>
                    <w:adjustRightInd w:val="0"/>
                    <w:snapToGrid w:val="0"/>
                    <w:spacing w:before="0" w:beforeLines="0" w:after="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监测项目</w:t>
                  </w:r>
                </w:p>
              </w:tc>
              <w:tc>
                <w:tcPr>
                  <w:tcW w:w="1474" w:type="pct"/>
                  <w:noWrap w:val="0"/>
                  <w:vAlign w:val="center"/>
                </w:tcPr>
                <w:p w14:paraId="240B2BDF">
                  <w:pPr>
                    <w:pStyle w:val="110"/>
                    <w:keepNext w:val="0"/>
                    <w:keepLines w:val="0"/>
                    <w:pageBreakBefore w:val="0"/>
                    <w:widowControl w:val="0"/>
                    <w:kinsoku/>
                    <w:wordWrap w:val="0"/>
                    <w:overflowPunct/>
                    <w:topLinePunct w:val="0"/>
                    <w:autoSpaceDE/>
                    <w:autoSpaceDN/>
                    <w:bidi w:val="0"/>
                    <w:adjustRightInd w:val="0"/>
                    <w:snapToGrid w:val="0"/>
                    <w:spacing w:before="0" w:beforeLines="0" w:after="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取样位置</w:t>
                  </w:r>
                </w:p>
              </w:tc>
              <w:tc>
                <w:tcPr>
                  <w:tcW w:w="909" w:type="pct"/>
                  <w:noWrap w:val="0"/>
                  <w:vAlign w:val="center"/>
                </w:tcPr>
                <w:p w14:paraId="7758DE08">
                  <w:pPr>
                    <w:pStyle w:val="110"/>
                    <w:keepNext w:val="0"/>
                    <w:keepLines w:val="0"/>
                    <w:pageBreakBefore w:val="0"/>
                    <w:widowControl w:val="0"/>
                    <w:kinsoku/>
                    <w:wordWrap w:val="0"/>
                    <w:overflowPunct/>
                    <w:topLinePunct w:val="0"/>
                    <w:autoSpaceDE/>
                    <w:autoSpaceDN/>
                    <w:bidi w:val="0"/>
                    <w:adjustRightInd w:val="0"/>
                    <w:snapToGrid w:val="0"/>
                    <w:spacing w:before="0" w:beforeLines="0" w:after="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监测因子</w:t>
                  </w:r>
                </w:p>
              </w:tc>
              <w:tc>
                <w:tcPr>
                  <w:tcW w:w="1347" w:type="pct"/>
                  <w:noWrap w:val="0"/>
                  <w:vAlign w:val="center"/>
                </w:tcPr>
                <w:p w14:paraId="06AA1469">
                  <w:pPr>
                    <w:pStyle w:val="110"/>
                    <w:keepNext w:val="0"/>
                    <w:keepLines w:val="0"/>
                    <w:pageBreakBefore w:val="0"/>
                    <w:widowControl w:val="0"/>
                    <w:kinsoku/>
                    <w:wordWrap w:val="0"/>
                    <w:overflowPunct/>
                    <w:topLinePunct w:val="0"/>
                    <w:autoSpaceDE/>
                    <w:autoSpaceDN/>
                    <w:bidi w:val="0"/>
                    <w:adjustRightInd w:val="0"/>
                    <w:snapToGrid w:val="0"/>
                    <w:spacing w:before="0" w:beforeLines="0" w:after="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监测频率</w:t>
                  </w:r>
                </w:p>
              </w:tc>
            </w:tr>
            <w:tr w14:paraId="2E54C91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502" w:type="pct"/>
                  <w:vMerge w:val="restart"/>
                  <w:noWrap w:val="0"/>
                  <w:vAlign w:val="center"/>
                </w:tcPr>
                <w:p w14:paraId="7D95019D">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有组织废气</w:t>
                  </w:r>
                </w:p>
              </w:tc>
              <w:tc>
                <w:tcPr>
                  <w:tcW w:w="766" w:type="pct"/>
                  <w:vMerge w:val="restart"/>
                  <w:noWrap w:val="0"/>
                  <w:vAlign w:val="center"/>
                </w:tcPr>
                <w:p w14:paraId="694E5179">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DA</w:t>
                  </w:r>
                </w:p>
                <w:p w14:paraId="36D8EE07">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001</w:t>
                  </w:r>
                </w:p>
              </w:tc>
              <w:tc>
                <w:tcPr>
                  <w:tcW w:w="1474" w:type="pct"/>
                  <w:noWrap w:val="0"/>
                  <w:vAlign w:val="center"/>
                </w:tcPr>
                <w:p w14:paraId="0FAFB3FF">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活性炭</w:t>
                  </w:r>
                  <w:r>
                    <w:rPr>
                      <w:rFonts w:hint="default" w:ascii="Times New Roman" w:hAnsi="Times New Roman" w:eastAsia="宋体" w:cs="Times New Roman"/>
                      <w:color w:val="auto"/>
                      <w:sz w:val="21"/>
                      <w:szCs w:val="21"/>
                      <w:highlight w:val="none"/>
                    </w:rPr>
                    <w:t>进、出口</w:t>
                  </w:r>
                </w:p>
              </w:tc>
              <w:tc>
                <w:tcPr>
                  <w:tcW w:w="909" w:type="pct"/>
                  <w:vMerge w:val="restart"/>
                  <w:noWrap w:val="0"/>
                  <w:vAlign w:val="center"/>
                </w:tcPr>
                <w:p w14:paraId="26C80B46">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非甲烷总烃</w:t>
                  </w:r>
                </w:p>
              </w:tc>
              <w:tc>
                <w:tcPr>
                  <w:tcW w:w="1347" w:type="pct"/>
                  <w:vMerge w:val="restart"/>
                  <w:noWrap w:val="0"/>
                  <w:vAlign w:val="center"/>
                </w:tcPr>
                <w:p w14:paraId="7D56CF06">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1次/半年</w:t>
                  </w:r>
                </w:p>
              </w:tc>
            </w:tr>
            <w:tr w14:paraId="0FF9F94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502" w:type="pct"/>
                  <w:vMerge w:val="continue"/>
                  <w:noWrap w:val="0"/>
                  <w:vAlign w:val="center"/>
                </w:tcPr>
                <w:p w14:paraId="527997BC">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766" w:type="pct"/>
                  <w:vMerge w:val="continue"/>
                  <w:noWrap w:val="0"/>
                  <w:vAlign w:val="center"/>
                </w:tcPr>
                <w:p w14:paraId="68133AB8">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1474" w:type="pct"/>
                  <w:noWrap w:val="0"/>
                  <w:vAlign w:val="center"/>
                </w:tcPr>
                <w:p w14:paraId="280EC859">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催化燃烧装置</w:t>
                  </w:r>
                  <w:r>
                    <w:rPr>
                      <w:rFonts w:hint="default" w:ascii="Times New Roman" w:hAnsi="Times New Roman" w:eastAsia="宋体" w:cs="Times New Roman"/>
                      <w:color w:val="auto"/>
                      <w:sz w:val="21"/>
                      <w:szCs w:val="21"/>
                      <w:highlight w:val="none"/>
                    </w:rPr>
                    <w:t>进、出口</w:t>
                  </w:r>
                </w:p>
              </w:tc>
              <w:tc>
                <w:tcPr>
                  <w:tcW w:w="909" w:type="pct"/>
                  <w:vMerge w:val="continue"/>
                  <w:noWrap w:val="0"/>
                  <w:vAlign w:val="center"/>
                </w:tcPr>
                <w:p w14:paraId="2D7E07B7">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1347" w:type="pct"/>
                  <w:vMerge w:val="continue"/>
                  <w:noWrap w:val="0"/>
                  <w:vAlign w:val="center"/>
                </w:tcPr>
                <w:p w14:paraId="522ED371">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p>
              </w:tc>
            </w:tr>
            <w:tr w14:paraId="3D64F5D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502" w:type="pct"/>
                  <w:vMerge w:val="continue"/>
                  <w:noWrap w:val="0"/>
                  <w:vAlign w:val="center"/>
                </w:tcPr>
                <w:p w14:paraId="2ABF020F">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766" w:type="pct"/>
                  <w:vMerge w:val="continue"/>
                  <w:noWrap w:val="0"/>
                  <w:vAlign w:val="center"/>
                </w:tcPr>
                <w:p w14:paraId="2F6F137D">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1474" w:type="pct"/>
                  <w:noWrap w:val="0"/>
                  <w:vAlign w:val="center"/>
                </w:tcPr>
                <w:p w14:paraId="5A12A63C">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活性炭</w:t>
                  </w:r>
                  <w:r>
                    <w:rPr>
                      <w:rFonts w:hint="default" w:ascii="Times New Roman" w:hAnsi="Times New Roman" w:eastAsia="宋体" w:cs="Times New Roman"/>
                      <w:color w:val="auto"/>
                      <w:sz w:val="21"/>
                      <w:szCs w:val="21"/>
                      <w:highlight w:val="none"/>
                    </w:rPr>
                    <w:t>出口</w:t>
                  </w:r>
                </w:p>
              </w:tc>
              <w:tc>
                <w:tcPr>
                  <w:tcW w:w="909" w:type="pct"/>
                  <w:vMerge w:val="restart"/>
                  <w:noWrap w:val="0"/>
                  <w:vAlign w:val="center"/>
                </w:tcPr>
                <w:p w14:paraId="7C7FD005">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苯乙烯</w:t>
                  </w:r>
                </w:p>
              </w:tc>
              <w:tc>
                <w:tcPr>
                  <w:tcW w:w="1347" w:type="pct"/>
                  <w:vMerge w:val="restart"/>
                  <w:noWrap w:val="0"/>
                  <w:vAlign w:val="center"/>
                </w:tcPr>
                <w:p w14:paraId="4205D337">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1次/年</w:t>
                  </w:r>
                </w:p>
              </w:tc>
            </w:tr>
            <w:tr w14:paraId="6961087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92" w:hRule="atLeast"/>
                <w:jc w:val="center"/>
              </w:trPr>
              <w:tc>
                <w:tcPr>
                  <w:tcW w:w="502" w:type="pct"/>
                  <w:vMerge w:val="continue"/>
                  <w:noWrap w:val="0"/>
                  <w:vAlign w:val="center"/>
                </w:tcPr>
                <w:p w14:paraId="6956BC27">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766" w:type="pct"/>
                  <w:vMerge w:val="continue"/>
                  <w:noWrap w:val="0"/>
                  <w:vAlign w:val="center"/>
                </w:tcPr>
                <w:p w14:paraId="68ED8E26">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1474" w:type="pct"/>
                  <w:noWrap w:val="0"/>
                  <w:vAlign w:val="center"/>
                </w:tcPr>
                <w:p w14:paraId="4AF84284">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催化燃烧装置</w:t>
                  </w:r>
                  <w:r>
                    <w:rPr>
                      <w:rFonts w:hint="default" w:ascii="Times New Roman" w:hAnsi="Times New Roman" w:eastAsia="宋体" w:cs="Times New Roman"/>
                      <w:color w:val="auto"/>
                      <w:sz w:val="21"/>
                      <w:szCs w:val="21"/>
                      <w:highlight w:val="none"/>
                    </w:rPr>
                    <w:t>出口</w:t>
                  </w:r>
                </w:p>
              </w:tc>
              <w:tc>
                <w:tcPr>
                  <w:tcW w:w="909" w:type="pct"/>
                  <w:vMerge w:val="continue"/>
                  <w:noWrap w:val="0"/>
                  <w:vAlign w:val="center"/>
                </w:tcPr>
                <w:p w14:paraId="2A0AFAE1">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p>
              </w:tc>
              <w:tc>
                <w:tcPr>
                  <w:tcW w:w="1347" w:type="pct"/>
                  <w:vMerge w:val="continue"/>
                  <w:noWrap w:val="0"/>
                  <w:vAlign w:val="center"/>
                </w:tcPr>
                <w:p w14:paraId="345A15D0">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r>
            <w:tr w14:paraId="6E92F41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502" w:type="pct"/>
                  <w:vMerge w:val="continue"/>
                  <w:noWrap w:val="0"/>
                  <w:vAlign w:val="center"/>
                </w:tcPr>
                <w:p w14:paraId="236A0556">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766" w:type="pct"/>
                  <w:vMerge w:val="continue"/>
                  <w:noWrap w:val="0"/>
                  <w:vAlign w:val="center"/>
                </w:tcPr>
                <w:p w14:paraId="23AB83C7">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1474" w:type="pct"/>
                  <w:noWrap w:val="0"/>
                  <w:vAlign w:val="center"/>
                </w:tcPr>
                <w:p w14:paraId="2A632986">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活性炭</w:t>
                  </w:r>
                  <w:r>
                    <w:rPr>
                      <w:rFonts w:hint="default" w:ascii="Times New Roman" w:hAnsi="Times New Roman" w:eastAsia="宋体" w:cs="Times New Roman"/>
                      <w:color w:val="auto"/>
                      <w:sz w:val="21"/>
                      <w:szCs w:val="21"/>
                      <w:highlight w:val="none"/>
                    </w:rPr>
                    <w:t>出口</w:t>
                  </w:r>
                </w:p>
              </w:tc>
              <w:tc>
                <w:tcPr>
                  <w:tcW w:w="909" w:type="pct"/>
                  <w:vMerge w:val="restart"/>
                  <w:noWrap w:val="0"/>
                  <w:vAlign w:val="center"/>
                </w:tcPr>
                <w:p w14:paraId="11C94CEF">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臭气浓度</w:t>
                  </w:r>
                </w:p>
              </w:tc>
              <w:tc>
                <w:tcPr>
                  <w:tcW w:w="1347" w:type="pct"/>
                  <w:vMerge w:val="continue"/>
                  <w:noWrap w:val="0"/>
                  <w:vAlign w:val="center"/>
                </w:tcPr>
                <w:p w14:paraId="2BF4D772">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r>
            <w:tr w14:paraId="08B1AB0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502" w:type="pct"/>
                  <w:vMerge w:val="continue"/>
                  <w:noWrap w:val="0"/>
                  <w:vAlign w:val="center"/>
                </w:tcPr>
                <w:p w14:paraId="3BC8EF20">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766" w:type="pct"/>
                  <w:vMerge w:val="continue"/>
                  <w:noWrap w:val="0"/>
                  <w:vAlign w:val="center"/>
                </w:tcPr>
                <w:p w14:paraId="1DF4A01D">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1474" w:type="pct"/>
                  <w:noWrap w:val="0"/>
                  <w:vAlign w:val="center"/>
                </w:tcPr>
                <w:p w14:paraId="2AE169E0">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催化燃烧装置</w:t>
                  </w:r>
                  <w:r>
                    <w:rPr>
                      <w:rFonts w:hint="default" w:ascii="Times New Roman" w:hAnsi="Times New Roman" w:eastAsia="宋体" w:cs="Times New Roman"/>
                      <w:color w:val="auto"/>
                      <w:sz w:val="21"/>
                      <w:szCs w:val="21"/>
                      <w:highlight w:val="none"/>
                    </w:rPr>
                    <w:t>出口</w:t>
                  </w:r>
                </w:p>
              </w:tc>
              <w:tc>
                <w:tcPr>
                  <w:tcW w:w="909" w:type="pct"/>
                  <w:vMerge w:val="continue"/>
                  <w:noWrap w:val="0"/>
                  <w:vAlign w:val="center"/>
                </w:tcPr>
                <w:p w14:paraId="72E5A736">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1347" w:type="pct"/>
                  <w:vMerge w:val="continue"/>
                  <w:noWrap w:val="0"/>
                  <w:vAlign w:val="center"/>
                </w:tcPr>
                <w:p w14:paraId="242C1E1C">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r>
            <w:tr w14:paraId="7EBAA2E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135" w:hRule="atLeast"/>
                <w:jc w:val="center"/>
              </w:trPr>
              <w:tc>
                <w:tcPr>
                  <w:tcW w:w="502" w:type="pct"/>
                  <w:vMerge w:val="restart"/>
                  <w:noWrap w:val="0"/>
                  <w:vAlign w:val="center"/>
                </w:tcPr>
                <w:p w14:paraId="53F8E6A4">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无组织废气</w:t>
                  </w:r>
                </w:p>
              </w:tc>
              <w:tc>
                <w:tcPr>
                  <w:tcW w:w="2240" w:type="pct"/>
                  <w:gridSpan w:val="2"/>
                  <w:vMerge w:val="restart"/>
                  <w:noWrap w:val="0"/>
                  <w:vAlign w:val="center"/>
                </w:tcPr>
                <w:p w14:paraId="7C2F09DD">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厂界上风向设置1参照点，下风向设置4个监测点（根据实际风向进行调整）</w:t>
                  </w:r>
                </w:p>
              </w:tc>
              <w:tc>
                <w:tcPr>
                  <w:tcW w:w="909" w:type="pct"/>
                  <w:noWrap w:val="0"/>
                  <w:vAlign w:val="center"/>
                </w:tcPr>
                <w:p w14:paraId="109ABF43">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非甲烷总烃</w:t>
                  </w:r>
                </w:p>
              </w:tc>
              <w:tc>
                <w:tcPr>
                  <w:tcW w:w="1347" w:type="pct"/>
                  <w:noWrap w:val="0"/>
                  <w:vAlign w:val="center"/>
                </w:tcPr>
                <w:p w14:paraId="0F05D76B">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1次/年</w:t>
                  </w:r>
                </w:p>
              </w:tc>
            </w:tr>
            <w:tr w14:paraId="10C085B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502" w:type="pct"/>
                  <w:vMerge w:val="continue"/>
                  <w:noWrap w:val="0"/>
                  <w:vAlign w:val="center"/>
                </w:tcPr>
                <w:p w14:paraId="7BFA1C21">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2240" w:type="pct"/>
                  <w:gridSpan w:val="2"/>
                  <w:vMerge w:val="continue"/>
                  <w:noWrap w:val="0"/>
                  <w:vAlign w:val="center"/>
                </w:tcPr>
                <w:p w14:paraId="04619343">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909" w:type="pct"/>
                  <w:noWrap w:val="0"/>
                  <w:vAlign w:val="center"/>
                </w:tcPr>
                <w:p w14:paraId="56B12CAD">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苯乙烯</w:t>
                  </w:r>
                </w:p>
              </w:tc>
              <w:tc>
                <w:tcPr>
                  <w:tcW w:w="1347" w:type="pct"/>
                  <w:noWrap w:val="0"/>
                  <w:vAlign w:val="center"/>
                </w:tcPr>
                <w:p w14:paraId="6C6DE172">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1次/年</w:t>
                  </w:r>
                </w:p>
              </w:tc>
            </w:tr>
            <w:tr w14:paraId="48546C5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502" w:type="pct"/>
                  <w:vMerge w:val="continue"/>
                  <w:noWrap w:val="0"/>
                  <w:vAlign w:val="center"/>
                </w:tcPr>
                <w:p w14:paraId="73BAD8A5">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2240" w:type="pct"/>
                  <w:gridSpan w:val="2"/>
                  <w:vMerge w:val="continue"/>
                  <w:noWrap w:val="0"/>
                  <w:vAlign w:val="center"/>
                </w:tcPr>
                <w:p w14:paraId="71EED076">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909" w:type="pct"/>
                  <w:noWrap w:val="0"/>
                  <w:vAlign w:val="center"/>
                </w:tcPr>
                <w:p w14:paraId="1ABC7508">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臭气浓度</w:t>
                  </w:r>
                </w:p>
              </w:tc>
              <w:tc>
                <w:tcPr>
                  <w:tcW w:w="1347" w:type="pct"/>
                  <w:noWrap w:val="0"/>
                  <w:vAlign w:val="center"/>
                </w:tcPr>
                <w:p w14:paraId="6FD2D816">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1次/年</w:t>
                  </w:r>
                </w:p>
              </w:tc>
            </w:tr>
            <w:tr w14:paraId="5DD3094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502" w:type="pct"/>
                  <w:vMerge w:val="continue"/>
                  <w:noWrap w:val="0"/>
                  <w:vAlign w:val="center"/>
                </w:tcPr>
                <w:p w14:paraId="738D1566">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p>
              </w:tc>
              <w:tc>
                <w:tcPr>
                  <w:tcW w:w="2240" w:type="pct"/>
                  <w:gridSpan w:val="2"/>
                  <w:noWrap w:val="0"/>
                  <w:vAlign w:val="center"/>
                </w:tcPr>
                <w:p w14:paraId="1F0D54C8">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厂区内</w:t>
                  </w:r>
                  <w:r>
                    <w:rPr>
                      <w:rFonts w:hint="eastAsia"/>
                      <w:color w:val="auto"/>
                      <w:lang w:val="en-US" w:eastAsia="zh-CN"/>
                    </w:rPr>
                    <w:t>厂房外</w:t>
                  </w:r>
                </w:p>
              </w:tc>
              <w:tc>
                <w:tcPr>
                  <w:tcW w:w="909" w:type="pct"/>
                  <w:noWrap w:val="0"/>
                  <w:vAlign w:val="center"/>
                </w:tcPr>
                <w:p w14:paraId="33E512C6">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kern w:val="0"/>
                      <w:sz w:val="21"/>
                      <w:szCs w:val="21"/>
                      <w:highlight w:val="none"/>
                      <w:lang w:val="zh-CN" w:eastAsia="zh-CN" w:bidi="ar-SA"/>
                    </w:rPr>
                  </w:pPr>
                  <w:r>
                    <w:rPr>
                      <w:rFonts w:hint="default" w:ascii="Times New Roman" w:hAnsi="Times New Roman" w:eastAsia="宋体" w:cs="Times New Roman"/>
                      <w:color w:val="auto"/>
                      <w:sz w:val="21"/>
                      <w:szCs w:val="21"/>
                      <w:highlight w:val="none"/>
                    </w:rPr>
                    <w:t>非甲烷总烃</w:t>
                  </w:r>
                </w:p>
              </w:tc>
              <w:tc>
                <w:tcPr>
                  <w:tcW w:w="1347" w:type="pct"/>
                  <w:noWrap w:val="0"/>
                  <w:vAlign w:val="center"/>
                </w:tcPr>
                <w:p w14:paraId="1A3AE1F5">
                  <w:pPr>
                    <w:pStyle w:val="111"/>
                    <w:keepLines w:val="0"/>
                    <w:pageBreakBefore w:val="0"/>
                    <w:widowControl w:val="0"/>
                    <w:kinsoku/>
                    <w:overflowPunct/>
                    <w:topLinePunct w:val="0"/>
                    <w:autoSpaceDE/>
                    <w:autoSpaceDN/>
                    <w:bidi w:val="0"/>
                    <w:spacing w:before="0" w:beforeLines="0" w:after="0" w:afterLines="0" w:line="240" w:lineRule="auto"/>
                    <w:ind w:left="0" w:leftChars="0" w:right="0" w:rightChars="0"/>
                    <w:jc w:val="center"/>
                    <w:textAlignment w:val="auto"/>
                    <w:rPr>
                      <w:rFonts w:hint="default" w:ascii="Times New Roman" w:hAnsi="Times New Roman" w:eastAsia="宋体" w:cs="Times New Roman"/>
                      <w:color w:val="auto"/>
                      <w:kern w:val="0"/>
                      <w:sz w:val="21"/>
                      <w:szCs w:val="21"/>
                      <w:highlight w:val="none"/>
                      <w:lang w:val="zh-CN" w:eastAsia="zh-CN" w:bidi="ar-SA"/>
                    </w:rPr>
                  </w:pPr>
                  <w:r>
                    <w:rPr>
                      <w:rFonts w:hint="default" w:ascii="Times New Roman" w:hAnsi="Times New Roman" w:eastAsia="宋体" w:cs="Times New Roman"/>
                      <w:color w:val="auto"/>
                      <w:sz w:val="21"/>
                      <w:szCs w:val="21"/>
                      <w:highlight w:val="none"/>
                    </w:rPr>
                    <w:t>1次/年</w:t>
                  </w:r>
                </w:p>
              </w:tc>
            </w:tr>
          </w:tbl>
          <w:p w14:paraId="688E5A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1"/>
              <w:rPr>
                <w:rFonts w:ascii="Times New Roman" w:hAnsi="Times New Roman" w:eastAsia="宋体" w:cs="Times New Roman"/>
                <w:b w:val="0"/>
                <w:bCs w:val="0"/>
                <w:color w:val="auto"/>
                <w:kern w:val="0"/>
                <w:sz w:val="24"/>
                <w:highlight w:val="none"/>
              </w:rPr>
            </w:pPr>
            <w:r>
              <w:rPr>
                <w:rFonts w:hint="eastAsia" w:cs="Times New Roman"/>
                <w:b w:val="0"/>
                <w:bCs w:val="0"/>
                <w:color w:val="auto"/>
                <w:sz w:val="24"/>
                <w:highlight w:val="none"/>
                <w:lang w:val="en-US" w:eastAsia="zh-CN"/>
              </w:rPr>
              <w:t>7.</w:t>
            </w:r>
            <w:r>
              <w:rPr>
                <w:rFonts w:ascii="Times New Roman" w:hAnsi="Times New Roman" w:eastAsia="宋体" w:cs="Times New Roman"/>
                <w:b w:val="0"/>
                <w:bCs w:val="0"/>
                <w:color w:val="auto"/>
                <w:kern w:val="0"/>
                <w:sz w:val="24"/>
                <w:highlight w:val="none"/>
              </w:rPr>
              <w:t>环境影响分析</w:t>
            </w:r>
          </w:p>
          <w:p w14:paraId="15A8C978">
            <w:pPr>
              <w:spacing w:line="360" w:lineRule="auto"/>
              <w:ind w:firstLine="480" w:firstLineChars="200"/>
              <w:rPr>
                <w:rFonts w:hint="default" w:ascii="Times New Roman" w:hAnsi="Times New Roman" w:cs="Times New Roman"/>
                <w:b/>
                <w:bCs/>
                <w:color w:val="auto"/>
                <w:kern w:val="2"/>
                <w:sz w:val="24"/>
                <w:szCs w:val="24"/>
                <w:highlight w:val="none"/>
                <w:lang w:val="en-US" w:eastAsia="zh-CN" w:bidi="ar-SA"/>
              </w:rPr>
            </w:pPr>
            <w:r>
              <w:rPr>
                <w:rFonts w:ascii="Times New Roman" w:hAnsi="Times New Roman" w:eastAsia="宋体" w:cs="Times New Roman"/>
                <w:b w:val="0"/>
                <w:bCs w:val="0"/>
                <w:color w:val="auto"/>
                <w:sz w:val="24"/>
                <w:highlight w:val="none"/>
              </w:rPr>
              <w:t>项目大气污染物产生量较小，采取了可行技术有效减少了各类污染物排放，最终排放量很小，排放高度较高，污染物可得到有效稀释扩散，周边敏感目标数量较少，影响对周边环境影响很小。</w:t>
            </w:r>
          </w:p>
          <w:p w14:paraId="34337988">
            <w:pPr>
              <w:pStyle w:val="12"/>
              <w:keepNext w:val="0"/>
              <w:keepLines w:val="0"/>
              <w:pageBreakBefore w:val="0"/>
              <w:widowControl/>
              <w:numPr>
                <w:ilvl w:val="0"/>
                <w:numId w:val="0"/>
              </w:numPr>
              <w:kinsoku/>
              <w:wordWrap/>
              <w:overflowPunct/>
              <w:topLinePunct w:val="0"/>
              <w:autoSpaceDE/>
              <w:autoSpaceDN/>
              <w:bidi w:val="0"/>
              <w:adjustRightInd/>
              <w:snapToGrid w:val="0"/>
              <w:spacing w:before="0" w:after="0" w:line="360" w:lineRule="auto"/>
              <w:ind w:right="0" w:rightChars="0" w:firstLine="482" w:firstLineChars="200"/>
              <w:textAlignment w:val="auto"/>
              <w:rPr>
                <w:rFonts w:hint="default" w:ascii="Times New Roman" w:hAnsi="Times New Roman" w:cs="Times New Roman"/>
                <w:b/>
                <w:bCs/>
                <w:color w:val="auto"/>
                <w:kern w:val="2"/>
                <w:sz w:val="24"/>
                <w:szCs w:val="24"/>
                <w:highlight w:val="none"/>
                <w:lang w:val="en-US" w:eastAsia="zh-CN" w:bidi="ar-SA"/>
              </w:rPr>
            </w:pPr>
            <w:r>
              <w:rPr>
                <w:rFonts w:hint="default" w:ascii="Times New Roman" w:hAnsi="Times New Roman" w:cs="Times New Roman"/>
                <w:b/>
                <w:bCs/>
                <w:color w:val="auto"/>
                <w:kern w:val="2"/>
                <w:sz w:val="24"/>
                <w:szCs w:val="24"/>
                <w:highlight w:val="none"/>
                <w:lang w:val="en-US" w:eastAsia="zh-CN" w:bidi="ar-SA"/>
              </w:rPr>
              <w:t>二、废水排放及治理</w:t>
            </w:r>
          </w:p>
          <w:p w14:paraId="23C821D6">
            <w:pPr>
              <w:pStyle w:val="138"/>
              <w:keepNext w:val="0"/>
              <w:keepLines w:val="0"/>
              <w:pageBreakBefore w:val="0"/>
              <w:widowControl w:val="0"/>
              <w:kinsoku/>
              <w:wordWrap/>
              <w:overflowPunct/>
              <w:topLinePunct w:val="0"/>
              <w:autoSpaceDE/>
              <w:autoSpaceDN/>
              <w:bidi w:val="0"/>
              <w:adjustRightInd w:val="0"/>
              <w:snapToGrid w:val="0"/>
              <w:spacing w:line="360" w:lineRule="auto"/>
              <w:ind w:firstLine="482"/>
              <w:textAlignment w:val="auto"/>
              <w:rPr>
                <w:rFonts w:ascii="Times New Roman" w:hAnsi="Times New Roman" w:eastAsia="宋体" w:cs="Times New Roman"/>
                <w:b/>
                <w:bCs w:val="0"/>
                <w:color w:val="auto"/>
                <w:szCs w:val="24"/>
                <w:highlight w:val="none"/>
              </w:rPr>
            </w:pPr>
            <w:r>
              <w:rPr>
                <w:rFonts w:hint="eastAsia" w:cs="Times New Roman"/>
                <w:b/>
                <w:bCs w:val="0"/>
                <w:color w:val="auto"/>
                <w:szCs w:val="24"/>
                <w:highlight w:val="none"/>
                <w:lang w:eastAsia="zh-CN"/>
              </w:rPr>
              <w:t>1.</w:t>
            </w:r>
            <w:r>
              <w:rPr>
                <w:rFonts w:ascii="Times New Roman" w:hAnsi="Times New Roman" w:eastAsia="宋体" w:cs="Times New Roman"/>
                <w:b/>
                <w:bCs w:val="0"/>
                <w:color w:val="auto"/>
                <w:szCs w:val="24"/>
                <w:highlight w:val="none"/>
              </w:rPr>
              <w:t>项目废水产生情况</w:t>
            </w:r>
          </w:p>
          <w:p w14:paraId="4EA10E9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ascii="Times New Roman" w:hAnsi="Times New Roman" w:eastAsia="宋体" w:cs="Times New Roman"/>
                <w:color w:val="auto"/>
                <w:sz w:val="24"/>
                <w:highlight w:val="none"/>
              </w:rPr>
            </w:pPr>
            <w:r>
              <w:rPr>
                <w:rFonts w:ascii="Times New Roman" w:hAnsi="Times New Roman" w:eastAsia="宋体" w:cs="Times New Roman"/>
                <w:color w:val="auto"/>
                <w:sz w:val="24"/>
                <w:highlight w:val="none"/>
              </w:rPr>
              <w:t>本项目冷却用水对水质要求不高，冷却水</w:t>
            </w:r>
            <w:r>
              <w:rPr>
                <w:rFonts w:hint="eastAsia" w:cs="Times New Roman"/>
                <w:color w:val="auto"/>
                <w:sz w:val="24"/>
                <w:highlight w:val="none"/>
                <w:lang w:val="en-US" w:eastAsia="zh-CN"/>
              </w:rPr>
              <w:t>及蒸汽冷凝水排入冷却系统，</w:t>
            </w:r>
            <w:r>
              <w:rPr>
                <w:rFonts w:ascii="Times New Roman" w:hAnsi="Times New Roman" w:eastAsia="宋体" w:cs="Times New Roman"/>
                <w:color w:val="auto"/>
                <w:sz w:val="24"/>
                <w:highlight w:val="none"/>
              </w:rPr>
              <w:t>循环使用不外排，可满足工艺需求；生活污水产生量按新鲜水使用量的80%计算，产生量为</w:t>
            </w:r>
            <w:r>
              <w:rPr>
                <w:rFonts w:hint="eastAsia" w:cs="Times New Roman"/>
                <w:color w:val="auto"/>
                <w:sz w:val="24"/>
                <w:highlight w:val="none"/>
                <w:lang w:val="en-US" w:eastAsia="zh-CN"/>
              </w:rPr>
              <w:t>1.067</w:t>
            </w:r>
            <w:r>
              <w:rPr>
                <w:rFonts w:ascii="Times New Roman" w:hAnsi="Times New Roman" w:eastAsia="宋体" w:cs="Times New Roman"/>
                <w:color w:val="auto"/>
                <w:sz w:val="24"/>
                <w:highlight w:val="none"/>
              </w:rPr>
              <w:t>m</w:t>
            </w:r>
            <w:r>
              <w:rPr>
                <w:rFonts w:ascii="Times New Roman" w:hAnsi="Times New Roman" w:eastAsia="宋体" w:cs="Times New Roman"/>
                <w:color w:val="auto"/>
                <w:sz w:val="24"/>
                <w:highlight w:val="none"/>
                <w:vertAlign w:val="superscript"/>
              </w:rPr>
              <w:t>3</w:t>
            </w:r>
            <w:r>
              <w:rPr>
                <w:rFonts w:ascii="Times New Roman" w:hAnsi="Times New Roman" w:eastAsia="宋体" w:cs="Times New Roman"/>
                <w:color w:val="auto"/>
                <w:sz w:val="24"/>
                <w:highlight w:val="none"/>
              </w:rPr>
              <w:t>/d，厂区设防渗旱厕，生活污水排入防渗旱厕，定期清掏，不外排。本项目实施后废水污染源及治理措施见下表。</w:t>
            </w:r>
          </w:p>
          <w:p w14:paraId="0961B94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color w:val="auto"/>
                <w:sz w:val="24"/>
                <w:szCs w:val="22"/>
                <w:highlight w:val="none"/>
              </w:rPr>
            </w:pPr>
            <w:r>
              <w:rPr>
                <w:rFonts w:ascii="Times New Roman" w:hAnsi="Times New Roman" w:eastAsia="宋体" w:cs="Times New Roman"/>
                <w:b/>
                <w:color w:val="auto"/>
                <w:sz w:val="24"/>
                <w:szCs w:val="22"/>
                <w:highlight w:val="none"/>
              </w:rPr>
              <w:t>表4-</w:t>
            </w:r>
            <w:r>
              <w:rPr>
                <w:rFonts w:hint="eastAsia" w:cs="Times New Roman"/>
                <w:b/>
                <w:color w:val="auto"/>
                <w:sz w:val="24"/>
                <w:szCs w:val="22"/>
                <w:highlight w:val="none"/>
                <w:lang w:val="en-US" w:eastAsia="zh-CN"/>
              </w:rPr>
              <w:t>8</w:t>
            </w:r>
            <w:r>
              <w:rPr>
                <w:rFonts w:ascii="Times New Roman" w:hAnsi="Times New Roman" w:eastAsia="宋体" w:cs="Times New Roman"/>
                <w:b/>
                <w:color w:val="auto"/>
                <w:sz w:val="24"/>
                <w:szCs w:val="22"/>
                <w:highlight w:val="none"/>
              </w:rPr>
              <w:t xml:space="preserve">  </w:t>
            </w:r>
            <w:r>
              <w:rPr>
                <w:rFonts w:hint="eastAsia" w:ascii="Times New Roman" w:hAnsi="Times New Roman" w:eastAsia="宋体" w:cs="Times New Roman"/>
                <w:b/>
                <w:color w:val="auto"/>
                <w:sz w:val="24"/>
                <w:szCs w:val="22"/>
                <w:highlight w:val="none"/>
              </w:rPr>
              <w:t xml:space="preserve"> </w:t>
            </w:r>
            <w:r>
              <w:rPr>
                <w:rFonts w:ascii="Times New Roman" w:hAnsi="Times New Roman" w:eastAsia="宋体" w:cs="Times New Roman"/>
                <w:b/>
                <w:color w:val="auto"/>
                <w:sz w:val="24"/>
                <w:szCs w:val="22"/>
                <w:highlight w:val="none"/>
              </w:rPr>
              <w:t>废水污染源及其治理措施一览表</w:t>
            </w:r>
          </w:p>
          <w:tbl>
            <w:tblPr>
              <w:tblStyle w:val="34"/>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0" w:type="dxa"/>
                <w:bottom w:w="0" w:type="dxa"/>
                <w:right w:w="0" w:type="dxa"/>
              </w:tblCellMar>
            </w:tblPr>
            <w:tblGrid>
              <w:gridCol w:w="914"/>
              <w:gridCol w:w="1102"/>
              <w:gridCol w:w="1710"/>
              <w:gridCol w:w="1152"/>
              <w:gridCol w:w="1309"/>
              <w:gridCol w:w="2292"/>
            </w:tblGrid>
            <w:tr w14:paraId="3F32416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04" w:hRule="atLeast"/>
                <w:jc w:val="center"/>
              </w:trPr>
              <w:tc>
                <w:tcPr>
                  <w:tcW w:w="589" w:type="pct"/>
                  <w:tcBorders>
                    <w:tl2br w:val="nil"/>
                    <w:tr2bl w:val="nil"/>
                  </w:tcBorders>
                  <w:noWrap w:val="0"/>
                  <w:vAlign w:val="center"/>
                </w:tcPr>
                <w:p w14:paraId="7F8C151F">
                  <w:pPr>
                    <w:pStyle w:val="95"/>
                    <w:keepNext w:val="0"/>
                    <w:keepLines w:val="0"/>
                    <w:pageBreakBefore w:val="0"/>
                    <w:widowControl w:val="0"/>
                    <w:kinsoku/>
                    <w:wordWrap/>
                    <w:overflowPunct/>
                    <w:topLinePunct w:val="0"/>
                    <w:autoSpaceDE/>
                    <w:autoSpaceDN/>
                    <w:bidi w:val="0"/>
                    <w:spacing w:beforeLines="0" w:afterLines="0" w:line="240" w:lineRule="auto"/>
                    <w:ind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废水类别</w:t>
                  </w:r>
                </w:p>
              </w:tc>
              <w:tc>
                <w:tcPr>
                  <w:tcW w:w="700" w:type="pct"/>
                  <w:tcBorders>
                    <w:tl2br w:val="nil"/>
                    <w:tr2bl w:val="nil"/>
                  </w:tcBorders>
                  <w:noWrap w:val="0"/>
                  <w:vAlign w:val="center"/>
                </w:tcPr>
                <w:p w14:paraId="437264A6">
                  <w:pPr>
                    <w:pStyle w:val="95"/>
                    <w:keepNext w:val="0"/>
                    <w:keepLines w:val="0"/>
                    <w:pageBreakBefore w:val="0"/>
                    <w:widowControl w:val="0"/>
                    <w:kinsoku/>
                    <w:wordWrap/>
                    <w:overflowPunct/>
                    <w:topLinePunct w:val="0"/>
                    <w:autoSpaceDE/>
                    <w:autoSpaceDN/>
                    <w:bidi w:val="0"/>
                    <w:spacing w:beforeLines="0" w:afterLines="0" w:line="240" w:lineRule="auto"/>
                    <w:ind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污染物种类</w:t>
                  </w:r>
                </w:p>
              </w:tc>
              <w:tc>
                <w:tcPr>
                  <w:tcW w:w="757" w:type="pct"/>
                  <w:tcBorders>
                    <w:tl2br w:val="nil"/>
                    <w:tr2bl w:val="nil"/>
                  </w:tcBorders>
                  <w:noWrap w:val="0"/>
                  <w:vAlign w:val="center"/>
                </w:tcPr>
                <w:p w14:paraId="073E21F1">
                  <w:pPr>
                    <w:pStyle w:val="95"/>
                    <w:keepNext w:val="0"/>
                    <w:keepLines w:val="0"/>
                    <w:pageBreakBefore w:val="0"/>
                    <w:widowControl w:val="0"/>
                    <w:kinsoku/>
                    <w:wordWrap/>
                    <w:overflowPunct/>
                    <w:topLinePunct w:val="0"/>
                    <w:autoSpaceDE/>
                    <w:autoSpaceDN/>
                    <w:bidi w:val="0"/>
                    <w:spacing w:beforeLines="0" w:afterLines="0" w:line="240" w:lineRule="auto"/>
                    <w:ind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废水产生量</w:t>
                  </w:r>
                </w:p>
              </w:tc>
              <w:tc>
                <w:tcPr>
                  <w:tcW w:w="729" w:type="pct"/>
                  <w:tcBorders>
                    <w:tl2br w:val="nil"/>
                    <w:tr2bl w:val="nil"/>
                  </w:tcBorders>
                  <w:noWrap w:val="0"/>
                  <w:vAlign w:val="center"/>
                </w:tcPr>
                <w:p w14:paraId="2A56AC9E">
                  <w:pPr>
                    <w:pStyle w:val="95"/>
                    <w:keepNext w:val="0"/>
                    <w:keepLines w:val="0"/>
                    <w:pageBreakBefore w:val="0"/>
                    <w:widowControl w:val="0"/>
                    <w:kinsoku/>
                    <w:wordWrap/>
                    <w:overflowPunct/>
                    <w:topLinePunct w:val="0"/>
                    <w:autoSpaceDE/>
                    <w:autoSpaceDN/>
                    <w:bidi w:val="0"/>
                    <w:spacing w:beforeLines="0" w:afterLines="0" w:line="240" w:lineRule="auto"/>
                    <w:ind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产生浓度</w:t>
                  </w:r>
                </w:p>
              </w:tc>
              <w:tc>
                <w:tcPr>
                  <w:tcW w:w="822" w:type="pct"/>
                  <w:tcBorders>
                    <w:tl2br w:val="nil"/>
                    <w:tr2bl w:val="nil"/>
                  </w:tcBorders>
                  <w:noWrap w:val="0"/>
                  <w:vAlign w:val="center"/>
                </w:tcPr>
                <w:p w14:paraId="3A63B3DB">
                  <w:pPr>
                    <w:pStyle w:val="95"/>
                    <w:keepNext w:val="0"/>
                    <w:keepLines w:val="0"/>
                    <w:pageBreakBefore w:val="0"/>
                    <w:widowControl w:val="0"/>
                    <w:kinsoku/>
                    <w:wordWrap/>
                    <w:overflowPunct/>
                    <w:topLinePunct w:val="0"/>
                    <w:autoSpaceDE/>
                    <w:autoSpaceDN/>
                    <w:bidi w:val="0"/>
                    <w:spacing w:beforeLines="0" w:afterLines="0" w:line="240" w:lineRule="auto"/>
                    <w:ind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产生量</w:t>
                  </w:r>
                </w:p>
              </w:tc>
              <w:tc>
                <w:tcPr>
                  <w:tcW w:w="1401" w:type="pct"/>
                  <w:tcBorders>
                    <w:tl2br w:val="nil"/>
                    <w:tr2bl w:val="nil"/>
                  </w:tcBorders>
                  <w:noWrap w:val="0"/>
                  <w:vAlign w:val="center"/>
                </w:tcPr>
                <w:p w14:paraId="06F64AB6">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污染治理设施</w:t>
                  </w:r>
                </w:p>
              </w:tc>
            </w:tr>
            <w:tr w14:paraId="262CFAA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90" w:hRule="atLeast"/>
                <w:jc w:val="center"/>
              </w:trPr>
              <w:tc>
                <w:tcPr>
                  <w:tcW w:w="589" w:type="pct"/>
                  <w:vMerge w:val="restart"/>
                  <w:tcBorders>
                    <w:tl2br w:val="nil"/>
                    <w:tr2bl w:val="nil"/>
                  </w:tcBorders>
                  <w:noWrap w:val="0"/>
                  <w:vAlign w:val="center"/>
                </w:tcPr>
                <w:p w14:paraId="55F2654D">
                  <w:pPr>
                    <w:pStyle w:val="95"/>
                    <w:keepNext w:val="0"/>
                    <w:keepLines w:val="0"/>
                    <w:pageBreakBefore w:val="0"/>
                    <w:widowControl w:val="0"/>
                    <w:kinsoku/>
                    <w:wordWrap/>
                    <w:overflowPunct/>
                    <w:topLinePunct w:val="0"/>
                    <w:autoSpaceDE/>
                    <w:autoSpaceDN/>
                    <w:bidi w:val="0"/>
                    <w:spacing w:beforeLines="0" w:afterLines="0" w:line="240" w:lineRule="auto"/>
                    <w:ind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生活污水</w:t>
                  </w:r>
                </w:p>
              </w:tc>
              <w:tc>
                <w:tcPr>
                  <w:tcW w:w="700" w:type="pct"/>
                  <w:tcBorders>
                    <w:tl2br w:val="nil"/>
                    <w:tr2bl w:val="nil"/>
                  </w:tcBorders>
                  <w:noWrap w:val="0"/>
                  <w:vAlign w:val="center"/>
                </w:tcPr>
                <w:p w14:paraId="3FFB55E2">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COD</w:t>
                  </w:r>
                </w:p>
              </w:tc>
              <w:tc>
                <w:tcPr>
                  <w:tcW w:w="757" w:type="pct"/>
                  <w:vMerge w:val="restart"/>
                  <w:tcBorders>
                    <w:tl2br w:val="nil"/>
                    <w:tr2bl w:val="nil"/>
                  </w:tcBorders>
                  <w:noWrap w:val="0"/>
                  <w:vAlign w:val="center"/>
                </w:tcPr>
                <w:p w14:paraId="5EA22667">
                  <w:pPr>
                    <w:pStyle w:val="95"/>
                    <w:keepNext w:val="0"/>
                    <w:keepLines w:val="0"/>
                    <w:pageBreakBefore w:val="0"/>
                    <w:widowControl w:val="0"/>
                    <w:kinsoku/>
                    <w:wordWrap/>
                    <w:overflowPunct/>
                    <w:topLinePunct w:val="0"/>
                    <w:autoSpaceDE/>
                    <w:autoSpaceDN/>
                    <w:bidi w:val="0"/>
                    <w:spacing w:beforeLines="0" w:afterLines="0" w:line="240" w:lineRule="auto"/>
                    <w:ind w:firstLineChars="0"/>
                    <w:jc w:val="center"/>
                    <w:textAlignment w:val="auto"/>
                    <w:rPr>
                      <w:rFonts w:hint="eastAsia" w:ascii="Times New Roman" w:hAnsi="Times New Roman" w:eastAsia="宋体" w:cs="Times New Roman"/>
                      <w:color w:val="auto"/>
                      <w:sz w:val="21"/>
                      <w:szCs w:val="21"/>
                      <w:highlight w:val="none"/>
                      <w:lang w:eastAsia="zh-CN"/>
                    </w:rPr>
                  </w:pPr>
                  <w:r>
                    <w:rPr>
                      <w:rFonts w:hint="eastAsia" w:ascii="Times New Roman" w:hAnsi="Times New Roman" w:eastAsia="宋体" w:cs="Times New Roman"/>
                      <w:color w:val="auto"/>
                      <w:sz w:val="21"/>
                      <w:szCs w:val="21"/>
                      <w:highlight w:val="none"/>
                      <w:lang w:val="en-US" w:eastAsia="zh-CN"/>
                    </w:rPr>
                    <w:t>1.067</w:t>
                  </w:r>
                  <w:r>
                    <w:rPr>
                      <w:rFonts w:hint="default" w:ascii="Times New Roman" w:hAnsi="Times New Roman" w:eastAsia="宋体" w:cs="Times New Roman"/>
                      <w:color w:val="auto"/>
                      <w:sz w:val="21"/>
                      <w:szCs w:val="21"/>
                      <w:highlight w:val="none"/>
                    </w:rPr>
                    <w:t>m³/d</w:t>
                  </w:r>
                  <w:r>
                    <w:rPr>
                      <w:rFonts w:hint="eastAsia"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320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/a</w:t>
                  </w:r>
                  <w:r>
                    <w:rPr>
                      <w:rFonts w:hint="eastAsia" w:cs="Times New Roman"/>
                      <w:color w:val="auto"/>
                      <w:sz w:val="21"/>
                      <w:szCs w:val="21"/>
                      <w:highlight w:val="none"/>
                      <w:lang w:eastAsia="zh-CN"/>
                    </w:rPr>
                    <w:t>)</w:t>
                  </w:r>
                </w:p>
              </w:tc>
              <w:tc>
                <w:tcPr>
                  <w:tcW w:w="729" w:type="pct"/>
                  <w:tcBorders>
                    <w:tl2br w:val="nil"/>
                    <w:tr2bl w:val="nil"/>
                  </w:tcBorders>
                  <w:noWrap w:val="0"/>
                  <w:vAlign w:val="center"/>
                </w:tcPr>
                <w:p w14:paraId="17632C0C">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300</w:t>
                  </w:r>
                  <w:r>
                    <w:rPr>
                      <w:rFonts w:hint="default" w:ascii="Times New Roman" w:hAnsi="Times New Roman" w:eastAsia="宋体" w:cs="Times New Roman"/>
                      <w:color w:val="auto"/>
                      <w:sz w:val="21"/>
                      <w:szCs w:val="21"/>
                      <w:highlight w:val="none"/>
                    </w:rPr>
                    <w:t>mg/L</w:t>
                  </w:r>
                </w:p>
              </w:tc>
              <w:tc>
                <w:tcPr>
                  <w:tcW w:w="1391" w:type="dxa"/>
                  <w:tcBorders>
                    <w:tl2br w:val="nil"/>
                    <w:tr2bl w:val="nil"/>
                  </w:tcBorders>
                  <w:noWrap w:val="0"/>
                  <w:vAlign w:val="center"/>
                </w:tcPr>
                <w:p w14:paraId="0D7A2D31">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eastAsia" w:ascii="Times New Roman" w:hAnsi="Times New Roman" w:eastAsia="宋体" w:cs="Times New Roman"/>
                      <w:color w:val="auto"/>
                      <w:sz w:val="21"/>
                      <w:szCs w:val="21"/>
                      <w:highlight w:val="none"/>
                      <w:lang w:val="en-US" w:eastAsia="zh-CN"/>
                    </w:rPr>
                    <w:t>0.096</w:t>
                  </w:r>
                  <w:r>
                    <w:rPr>
                      <w:rFonts w:hint="default" w:ascii="Times New Roman" w:hAnsi="Times New Roman" w:eastAsia="宋体" w:cs="Times New Roman"/>
                      <w:color w:val="auto"/>
                      <w:sz w:val="21"/>
                      <w:szCs w:val="21"/>
                      <w:highlight w:val="none"/>
                    </w:rPr>
                    <w:t>t/a</w:t>
                  </w:r>
                </w:p>
              </w:tc>
              <w:tc>
                <w:tcPr>
                  <w:tcW w:w="1401" w:type="pct"/>
                  <w:vMerge w:val="restart"/>
                  <w:tcBorders>
                    <w:tl2br w:val="nil"/>
                    <w:tr2bl w:val="nil"/>
                  </w:tcBorders>
                  <w:noWrap w:val="0"/>
                  <w:vAlign w:val="center"/>
                </w:tcPr>
                <w:p w14:paraId="0D4DEE1C">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主要为厂区设防渗旱厕，职工盥洗废水排入防渗旱厕，定期清掏，不外排</w:t>
                  </w:r>
                </w:p>
              </w:tc>
            </w:tr>
            <w:tr w14:paraId="5801AAF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3" w:hRule="atLeast"/>
                <w:jc w:val="center"/>
              </w:trPr>
              <w:tc>
                <w:tcPr>
                  <w:tcW w:w="589" w:type="pct"/>
                  <w:vMerge w:val="continue"/>
                  <w:tcBorders>
                    <w:tl2br w:val="nil"/>
                    <w:tr2bl w:val="nil"/>
                  </w:tcBorders>
                  <w:noWrap w:val="0"/>
                  <w:vAlign w:val="center"/>
                </w:tcPr>
                <w:p w14:paraId="1620FEF1">
                  <w:pPr>
                    <w:pStyle w:val="95"/>
                    <w:keepNext w:val="0"/>
                    <w:keepLines w:val="0"/>
                    <w:pageBreakBefore w:val="0"/>
                    <w:widowControl w:val="0"/>
                    <w:kinsoku/>
                    <w:wordWrap/>
                    <w:overflowPunct/>
                    <w:topLinePunct w:val="0"/>
                    <w:autoSpaceDE/>
                    <w:autoSpaceDN/>
                    <w:bidi w:val="0"/>
                    <w:spacing w:beforeLines="0" w:afterLines="0" w:line="240" w:lineRule="auto"/>
                    <w:ind w:firstLineChars="0"/>
                    <w:jc w:val="center"/>
                    <w:textAlignment w:val="auto"/>
                    <w:rPr>
                      <w:rFonts w:hint="default" w:ascii="Times New Roman" w:hAnsi="Times New Roman" w:eastAsia="宋体" w:cs="Times New Roman"/>
                      <w:color w:val="auto"/>
                      <w:sz w:val="21"/>
                      <w:szCs w:val="21"/>
                      <w:highlight w:val="none"/>
                    </w:rPr>
                  </w:pPr>
                </w:p>
              </w:tc>
              <w:tc>
                <w:tcPr>
                  <w:tcW w:w="700" w:type="pct"/>
                  <w:tcBorders>
                    <w:tl2br w:val="nil"/>
                    <w:tr2bl w:val="nil"/>
                  </w:tcBorders>
                  <w:noWrap w:val="0"/>
                  <w:vAlign w:val="center"/>
                </w:tcPr>
                <w:p w14:paraId="7E23F6FD">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BOD</w:t>
                  </w:r>
                  <w:r>
                    <w:rPr>
                      <w:rFonts w:hint="default" w:ascii="Times New Roman" w:hAnsi="Times New Roman" w:eastAsia="宋体" w:cs="Times New Roman"/>
                      <w:color w:val="auto"/>
                      <w:sz w:val="21"/>
                      <w:szCs w:val="21"/>
                      <w:highlight w:val="none"/>
                      <w:vertAlign w:val="subscript"/>
                      <w:lang w:eastAsia="zh-CN"/>
                    </w:rPr>
                    <w:t>5</w:t>
                  </w:r>
                </w:p>
              </w:tc>
              <w:tc>
                <w:tcPr>
                  <w:tcW w:w="757" w:type="pct"/>
                  <w:vMerge w:val="continue"/>
                  <w:tcBorders>
                    <w:tl2br w:val="nil"/>
                    <w:tr2bl w:val="nil"/>
                  </w:tcBorders>
                  <w:noWrap w:val="0"/>
                  <w:vAlign w:val="center"/>
                </w:tcPr>
                <w:p w14:paraId="56B1D7C5">
                  <w:pPr>
                    <w:pStyle w:val="95"/>
                    <w:keepNext w:val="0"/>
                    <w:keepLines w:val="0"/>
                    <w:pageBreakBefore w:val="0"/>
                    <w:widowControl w:val="0"/>
                    <w:kinsoku/>
                    <w:wordWrap/>
                    <w:overflowPunct/>
                    <w:topLinePunct w:val="0"/>
                    <w:autoSpaceDE/>
                    <w:autoSpaceDN/>
                    <w:bidi w:val="0"/>
                    <w:spacing w:beforeLines="0" w:afterLines="0" w:line="240" w:lineRule="auto"/>
                    <w:ind w:firstLineChars="0"/>
                    <w:jc w:val="center"/>
                    <w:textAlignment w:val="auto"/>
                    <w:rPr>
                      <w:rFonts w:hint="default" w:ascii="Times New Roman" w:hAnsi="Times New Roman" w:eastAsia="宋体" w:cs="Times New Roman"/>
                      <w:color w:val="auto"/>
                      <w:sz w:val="21"/>
                      <w:szCs w:val="21"/>
                      <w:highlight w:val="none"/>
                    </w:rPr>
                  </w:pPr>
                </w:p>
              </w:tc>
              <w:tc>
                <w:tcPr>
                  <w:tcW w:w="729" w:type="pct"/>
                  <w:tcBorders>
                    <w:tl2br w:val="nil"/>
                    <w:tr2bl w:val="nil"/>
                  </w:tcBorders>
                  <w:noWrap w:val="0"/>
                  <w:vAlign w:val="center"/>
                </w:tcPr>
                <w:p w14:paraId="01ED1648">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180</w:t>
                  </w:r>
                  <w:r>
                    <w:rPr>
                      <w:rFonts w:hint="default" w:ascii="Times New Roman" w:hAnsi="Times New Roman" w:eastAsia="宋体" w:cs="Times New Roman"/>
                      <w:color w:val="auto"/>
                      <w:sz w:val="21"/>
                      <w:szCs w:val="21"/>
                      <w:highlight w:val="none"/>
                    </w:rPr>
                    <w:t>mg/L</w:t>
                  </w:r>
                </w:p>
              </w:tc>
              <w:tc>
                <w:tcPr>
                  <w:tcW w:w="1391" w:type="dxa"/>
                  <w:tcBorders>
                    <w:tl2br w:val="nil"/>
                    <w:tr2bl w:val="nil"/>
                  </w:tcBorders>
                  <w:noWrap w:val="0"/>
                  <w:vAlign w:val="center"/>
                </w:tcPr>
                <w:p w14:paraId="0EFADB91">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eastAsia" w:ascii="Times New Roman" w:hAnsi="Times New Roman" w:eastAsia="宋体" w:cs="Times New Roman"/>
                      <w:color w:val="auto"/>
                      <w:sz w:val="21"/>
                      <w:szCs w:val="21"/>
                      <w:highlight w:val="none"/>
                      <w:lang w:val="en-US" w:eastAsia="zh-CN"/>
                    </w:rPr>
                    <w:t>0.05</w:t>
                  </w:r>
                  <w:r>
                    <w:rPr>
                      <w:rFonts w:hint="eastAsia"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rPr>
                    <w:t>t/a</w:t>
                  </w:r>
                </w:p>
              </w:tc>
              <w:tc>
                <w:tcPr>
                  <w:tcW w:w="1401" w:type="pct"/>
                  <w:vMerge w:val="continue"/>
                  <w:tcBorders>
                    <w:tl2br w:val="nil"/>
                    <w:tr2bl w:val="nil"/>
                  </w:tcBorders>
                  <w:noWrap w:val="0"/>
                  <w:vAlign w:val="center"/>
                </w:tcPr>
                <w:p w14:paraId="735FF3DD">
                  <w:pPr>
                    <w:pStyle w:val="95"/>
                    <w:keepNext w:val="0"/>
                    <w:keepLines w:val="0"/>
                    <w:pageBreakBefore w:val="0"/>
                    <w:widowControl w:val="0"/>
                    <w:kinsoku/>
                    <w:wordWrap/>
                    <w:overflowPunct/>
                    <w:topLinePunct w:val="0"/>
                    <w:autoSpaceDE/>
                    <w:autoSpaceDN/>
                    <w:bidi w:val="0"/>
                    <w:spacing w:beforeLines="0" w:afterLines="0" w:line="240" w:lineRule="auto"/>
                    <w:ind w:firstLineChars="0"/>
                    <w:jc w:val="center"/>
                    <w:textAlignment w:val="auto"/>
                    <w:rPr>
                      <w:rFonts w:hint="default" w:ascii="Times New Roman" w:hAnsi="Times New Roman" w:eastAsia="宋体" w:cs="Times New Roman"/>
                      <w:color w:val="auto"/>
                      <w:sz w:val="21"/>
                      <w:szCs w:val="21"/>
                      <w:highlight w:val="none"/>
                    </w:rPr>
                  </w:pPr>
                </w:p>
              </w:tc>
            </w:tr>
            <w:tr w14:paraId="6334A42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74" w:hRule="atLeast"/>
                <w:jc w:val="center"/>
              </w:trPr>
              <w:tc>
                <w:tcPr>
                  <w:tcW w:w="589" w:type="pct"/>
                  <w:vMerge w:val="continue"/>
                  <w:tcBorders>
                    <w:tl2br w:val="nil"/>
                    <w:tr2bl w:val="nil"/>
                  </w:tcBorders>
                  <w:noWrap w:val="0"/>
                  <w:vAlign w:val="center"/>
                </w:tcPr>
                <w:p w14:paraId="0C6EAFA3">
                  <w:pPr>
                    <w:keepNext w:val="0"/>
                    <w:keepLines w:val="0"/>
                    <w:pageBreakBefore w:val="0"/>
                    <w:widowControl w:val="0"/>
                    <w:kinsoku/>
                    <w:wordWrap/>
                    <w:overflowPunct/>
                    <w:topLinePunct w:val="0"/>
                    <w:autoSpaceDE/>
                    <w:autoSpaceDN/>
                    <w:bidi w:val="0"/>
                    <w:spacing w:line="240" w:lineRule="auto"/>
                    <w:ind w:firstLineChars="0"/>
                    <w:jc w:val="center"/>
                    <w:textAlignment w:val="auto"/>
                    <w:rPr>
                      <w:rFonts w:hint="default" w:ascii="Times New Roman" w:hAnsi="Times New Roman" w:eastAsia="宋体" w:cs="Times New Roman"/>
                      <w:color w:val="auto"/>
                      <w:sz w:val="21"/>
                      <w:szCs w:val="21"/>
                      <w:highlight w:val="none"/>
                    </w:rPr>
                  </w:pPr>
                </w:p>
              </w:tc>
              <w:tc>
                <w:tcPr>
                  <w:tcW w:w="700" w:type="pct"/>
                  <w:tcBorders>
                    <w:tl2br w:val="nil"/>
                    <w:tr2bl w:val="nil"/>
                  </w:tcBorders>
                  <w:noWrap w:val="0"/>
                  <w:vAlign w:val="center"/>
                </w:tcPr>
                <w:p w14:paraId="6D140D9A">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NH</w:t>
                  </w:r>
                  <w:r>
                    <w:rPr>
                      <w:rFonts w:hint="default" w:ascii="Times New Roman" w:hAnsi="Times New Roman" w:eastAsia="宋体" w:cs="Times New Roman"/>
                      <w:color w:val="auto"/>
                      <w:sz w:val="21"/>
                      <w:szCs w:val="21"/>
                      <w:highlight w:val="none"/>
                      <w:vertAlign w:val="subscript"/>
                      <w:lang w:eastAsia="zh-CN"/>
                    </w:rPr>
                    <w:t>3</w:t>
                  </w:r>
                  <w:r>
                    <w:rPr>
                      <w:rFonts w:hint="default" w:ascii="Times New Roman" w:hAnsi="Times New Roman" w:eastAsia="宋体" w:cs="Times New Roman"/>
                      <w:color w:val="auto"/>
                      <w:sz w:val="21"/>
                      <w:szCs w:val="21"/>
                      <w:highlight w:val="none"/>
                      <w:lang w:eastAsia="zh-CN"/>
                    </w:rPr>
                    <w:t>-N</w:t>
                  </w:r>
                </w:p>
              </w:tc>
              <w:tc>
                <w:tcPr>
                  <w:tcW w:w="757" w:type="pct"/>
                  <w:vMerge w:val="continue"/>
                  <w:tcBorders>
                    <w:tl2br w:val="nil"/>
                    <w:tr2bl w:val="nil"/>
                  </w:tcBorders>
                  <w:noWrap w:val="0"/>
                  <w:vAlign w:val="center"/>
                </w:tcPr>
                <w:p w14:paraId="3A4FDFCB">
                  <w:pPr>
                    <w:keepNext w:val="0"/>
                    <w:keepLines w:val="0"/>
                    <w:pageBreakBefore w:val="0"/>
                    <w:widowControl w:val="0"/>
                    <w:kinsoku/>
                    <w:wordWrap/>
                    <w:overflowPunct/>
                    <w:topLinePunct w:val="0"/>
                    <w:autoSpaceDE/>
                    <w:autoSpaceDN/>
                    <w:bidi w:val="0"/>
                    <w:spacing w:line="240" w:lineRule="auto"/>
                    <w:ind w:firstLineChars="0"/>
                    <w:jc w:val="center"/>
                    <w:textAlignment w:val="auto"/>
                    <w:rPr>
                      <w:rFonts w:hint="default" w:ascii="Times New Roman" w:hAnsi="Times New Roman" w:eastAsia="宋体" w:cs="Times New Roman"/>
                      <w:color w:val="auto"/>
                      <w:sz w:val="21"/>
                      <w:szCs w:val="21"/>
                      <w:highlight w:val="none"/>
                    </w:rPr>
                  </w:pPr>
                </w:p>
              </w:tc>
              <w:tc>
                <w:tcPr>
                  <w:tcW w:w="729" w:type="pct"/>
                  <w:tcBorders>
                    <w:tl2br w:val="nil"/>
                    <w:tr2bl w:val="nil"/>
                  </w:tcBorders>
                  <w:noWrap w:val="0"/>
                  <w:vAlign w:val="center"/>
                </w:tcPr>
                <w:p w14:paraId="3CB88CDE">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35</w:t>
                  </w:r>
                  <w:r>
                    <w:rPr>
                      <w:rFonts w:hint="default" w:ascii="Times New Roman" w:hAnsi="Times New Roman" w:eastAsia="宋体" w:cs="Times New Roman"/>
                      <w:color w:val="auto"/>
                      <w:sz w:val="21"/>
                      <w:szCs w:val="21"/>
                      <w:highlight w:val="none"/>
                    </w:rPr>
                    <w:t>mg/L</w:t>
                  </w:r>
                </w:p>
              </w:tc>
              <w:tc>
                <w:tcPr>
                  <w:tcW w:w="1391" w:type="dxa"/>
                  <w:tcBorders>
                    <w:tl2br w:val="nil"/>
                    <w:tr2bl w:val="nil"/>
                  </w:tcBorders>
                  <w:noWrap w:val="0"/>
                  <w:vAlign w:val="center"/>
                </w:tcPr>
                <w:p w14:paraId="3161F5B3">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eastAsia" w:ascii="Times New Roman" w:hAnsi="Times New Roman" w:eastAsia="宋体" w:cs="Times New Roman"/>
                      <w:color w:val="auto"/>
                      <w:sz w:val="21"/>
                      <w:szCs w:val="21"/>
                      <w:highlight w:val="none"/>
                      <w:lang w:val="en-US" w:eastAsia="zh-CN"/>
                    </w:rPr>
                    <w:t>0.011</w:t>
                  </w:r>
                  <w:r>
                    <w:rPr>
                      <w:rFonts w:hint="default" w:ascii="Times New Roman" w:hAnsi="Times New Roman" w:eastAsia="宋体" w:cs="Times New Roman"/>
                      <w:color w:val="auto"/>
                      <w:sz w:val="21"/>
                      <w:szCs w:val="21"/>
                      <w:highlight w:val="none"/>
                    </w:rPr>
                    <w:t>t/a</w:t>
                  </w:r>
                </w:p>
              </w:tc>
              <w:tc>
                <w:tcPr>
                  <w:tcW w:w="1401" w:type="pct"/>
                  <w:vMerge w:val="continue"/>
                  <w:tcBorders>
                    <w:tl2br w:val="nil"/>
                    <w:tr2bl w:val="nil"/>
                  </w:tcBorders>
                  <w:noWrap w:val="0"/>
                  <w:vAlign w:val="center"/>
                </w:tcPr>
                <w:p w14:paraId="74AF1CC5">
                  <w:pPr>
                    <w:keepNext w:val="0"/>
                    <w:keepLines w:val="0"/>
                    <w:pageBreakBefore w:val="0"/>
                    <w:widowControl w:val="0"/>
                    <w:kinsoku/>
                    <w:wordWrap/>
                    <w:overflowPunct/>
                    <w:topLinePunct w:val="0"/>
                    <w:autoSpaceDE/>
                    <w:autoSpaceDN/>
                    <w:bidi w:val="0"/>
                    <w:spacing w:line="240" w:lineRule="auto"/>
                    <w:ind w:firstLineChars="0"/>
                    <w:jc w:val="center"/>
                    <w:textAlignment w:val="auto"/>
                    <w:rPr>
                      <w:rFonts w:hint="default" w:ascii="Times New Roman" w:hAnsi="Times New Roman" w:eastAsia="宋体" w:cs="Times New Roman"/>
                      <w:color w:val="auto"/>
                      <w:sz w:val="21"/>
                      <w:szCs w:val="21"/>
                      <w:highlight w:val="none"/>
                    </w:rPr>
                  </w:pPr>
                </w:p>
              </w:tc>
            </w:tr>
            <w:tr w14:paraId="2472366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589" w:type="pct"/>
                  <w:vMerge w:val="continue"/>
                  <w:tcBorders>
                    <w:tl2br w:val="nil"/>
                    <w:tr2bl w:val="nil"/>
                  </w:tcBorders>
                  <w:noWrap w:val="0"/>
                  <w:vAlign w:val="center"/>
                </w:tcPr>
                <w:p w14:paraId="5E1DED96">
                  <w:pPr>
                    <w:keepNext w:val="0"/>
                    <w:keepLines w:val="0"/>
                    <w:pageBreakBefore w:val="0"/>
                    <w:widowControl w:val="0"/>
                    <w:kinsoku/>
                    <w:wordWrap/>
                    <w:overflowPunct/>
                    <w:topLinePunct w:val="0"/>
                    <w:autoSpaceDE/>
                    <w:autoSpaceDN/>
                    <w:bidi w:val="0"/>
                    <w:spacing w:line="240" w:lineRule="auto"/>
                    <w:ind w:firstLineChars="0"/>
                    <w:jc w:val="center"/>
                    <w:textAlignment w:val="auto"/>
                    <w:rPr>
                      <w:rFonts w:hint="default" w:ascii="Times New Roman" w:hAnsi="Times New Roman" w:eastAsia="宋体" w:cs="Times New Roman"/>
                      <w:color w:val="auto"/>
                      <w:sz w:val="21"/>
                      <w:szCs w:val="21"/>
                      <w:highlight w:val="none"/>
                    </w:rPr>
                  </w:pPr>
                </w:p>
              </w:tc>
              <w:tc>
                <w:tcPr>
                  <w:tcW w:w="700" w:type="pct"/>
                  <w:tcBorders>
                    <w:tl2br w:val="nil"/>
                    <w:tr2bl w:val="nil"/>
                  </w:tcBorders>
                  <w:noWrap w:val="0"/>
                  <w:vAlign w:val="center"/>
                </w:tcPr>
                <w:p w14:paraId="16B595A9">
                  <w:pPr>
                    <w:pStyle w:val="95"/>
                    <w:keepNext w:val="0"/>
                    <w:keepLines w:val="0"/>
                    <w:pageBreakBefore w:val="0"/>
                    <w:widowControl w:val="0"/>
                    <w:kinsoku/>
                    <w:wordWrap/>
                    <w:overflowPunct/>
                    <w:topLinePunct w:val="0"/>
                    <w:autoSpaceDE/>
                    <w:autoSpaceDN/>
                    <w:bidi w:val="0"/>
                    <w:spacing w:beforeLines="0" w:afterLines="0" w:line="240" w:lineRule="auto"/>
                    <w:ind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position w:val="2"/>
                      <w:sz w:val="21"/>
                      <w:szCs w:val="21"/>
                      <w:highlight w:val="none"/>
                    </w:rPr>
                    <w:t>SS</w:t>
                  </w:r>
                </w:p>
              </w:tc>
              <w:tc>
                <w:tcPr>
                  <w:tcW w:w="757" w:type="pct"/>
                  <w:vMerge w:val="continue"/>
                  <w:tcBorders>
                    <w:tl2br w:val="nil"/>
                    <w:tr2bl w:val="nil"/>
                  </w:tcBorders>
                  <w:noWrap w:val="0"/>
                  <w:vAlign w:val="center"/>
                </w:tcPr>
                <w:p w14:paraId="3680951B">
                  <w:pPr>
                    <w:keepNext w:val="0"/>
                    <w:keepLines w:val="0"/>
                    <w:pageBreakBefore w:val="0"/>
                    <w:widowControl w:val="0"/>
                    <w:kinsoku/>
                    <w:wordWrap/>
                    <w:overflowPunct/>
                    <w:topLinePunct w:val="0"/>
                    <w:autoSpaceDE/>
                    <w:autoSpaceDN/>
                    <w:bidi w:val="0"/>
                    <w:spacing w:line="240" w:lineRule="auto"/>
                    <w:ind w:firstLineChars="0"/>
                    <w:jc w:val="center"/>
                    <w:textAlignment w:val="auto"/>
                    <w:rPr>
                      <w:rFonts w:hint="default" w:ascii="Times New Roman" w:hAnsi="Times New Roman" w:eastAsia="宋体" w:cs="Times New Roman"/>
                      <w:color w:val="auto"/>
                      <w:sz w:val="21"/>
                      <w:szCs w:val="21"/>
                      <w:highlight w:val="none"/>
                    </w:rPr>
                  </w:pPr>
                </w:p>
              </w:tc>
              <w:tc>
                <w:tcPr>
                  <w:tcW w:w="729" w:type="pct"/>
                  <w:tcBorders>
                    <w:tl2br w:val="nil"/>
                    <w:tr2bl w:val="nil"/>
                  </w:tcBorders>
                  <w:noWrap w:val="0"/>
                  <w:vAlign w:val="center"/>
                </w:tcPr>
                <w:p w14:paraId="05A774B9">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250</w:t>
                  </w:r>
                  <w:r>
                    <w:rPr>
                      <w:rFonts w:hint="default" w:ascii="Times New Roman" w:hAnsi="Times New Roman" w:eastAsia="宋体" w:cs="Times New Roman"/>
                      <w:color w:val="auto"/>
                      <w:sz w:val="21"/>
                      <w:szCs w:val="21"/>
                      <w:highlight w:val="none"/>
                    </w:rPr>
                    <w:t>mg/L</w:t>
                  </w:r>
                </w:p>
              </w:tc>
              <w:tc>
                <w:tcPr>
                  <w:tcW w:w="1391" w:type="dxa"/>
                  <w:tcBorders>
                    <w:tl2br w:val="nil"/>
                    <w:tr2bl w:val="nil"/>
                  </w:tcBorders>
                  <w:noWrap w:val="0"/>
                  <w:vAlign w:val="center"/>
                </w:tcPr>
                <w:p w14:paraId="0B834ADE">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eastAsia" w:ascii="Times New Roman" w:hAnsi="Times New Roman" w:eastAsia="宋体" w:cs="Times New Roman"/>
                      <w:color w:val="auto"/>
                      <w:sz w:val="21"/>
                      <w:szCs w:val="21"/>
                      <w:highlight w:val="none"/>
                      <w:lang w:val="en-US" w:eastAsia="zh-CN"/>
                    </w:rPr>
                    <w:t>0.08</w:t>
                  </w:r>
                  <w:r>
                    <w:rPr>
                      <w:rFonts w:hint="default" w:ascii="Times New Roman" w:hAnsi="Times New Roman" w:eastAsia="宋体" w:cs="Times New Roman"/>
                      <w:color w:val="auto"/>
                      <w:sz w:val="21"/>
                      <w:szCs w:val="21"/>
                      <w:highlight w:val="none"/>
                    </w:rPr>
                    <w:t>t/a</w:t>
                  </w:r>
                </w:p>
              </w:tc>
              <w:tc>
                <w:tcPr>
                  <w:tcW w:w="1401" w:type="pct"/>
                  <w:vMerge w:val="continue"/>
                  <w:tcBorders>
                    <w:tl2br w:val="nil"/>
                    <w:tr2bl w:val="nil"/>
                  </w:tcBorders>
                  <w:noWrap w:val="0"/>
                  <w:vAlign w:val="center"/>
                </w:tcPr>
                <w:p w14:paraId="50FB6962">
                  <w:pPr>
                    <w:keepNext w:val="0"/>
                    <w:keepLines w:val="0"/>
                    <w:pageBreakBefore w:val="0"/>
                    <w:widowControl w:val="0"/>
                    <w:kinsoku/>
                    <w:wordWrap/>
                    <w:overflowPunct/>
                    <w:topLinePunct w:val="0"/>
                    <w:autoSpaceDE/>
                    <w:autoSpaceDN/>
                    <w:bidi w:val="0"/>
                    <w:spacing w:line="240" w:lineRule="auto"/>
                    <w:ind w:firstLineChars="0"/>
                    <w:jc w:val="center"/>
                    <w:textAlignment w:val="auto"/>
                    <w:rPr>
                      <w:rFonts w:hint="default" w:ascii="Times New Roman" w:hAnsi="Times New Roman" w:eastAsia="宋体" w:cs="Times New Roman"/>
                      <w:color w:val="auto"/>
                      <w:sz w:val="21"/>
                      <w:szCs w:val="21"/>
                      <w:highlight w:val="none"/>
                    </w:rPr>
                  </w:pPr>
                </w:p>
              </w:tc>
            </w:tr>
          </w:tbl>
          <w:p w14:paraId="02DB5979">
            <w:pPr>
              <w:adjustRightInd w:val="0"/>
              <w:snapToGrid w:val="0"/>
              <w:spacing w:line="500" w:lineRule="exact"/>
              <w:ind w:firstLine="482" w:firstLineChars="200"/>
              <w:rPr>
                <w:rFonts w:ascii="Times New Roman" w:hAnsi="Times New Roman" w:eastAsia="宋体" w:cs="Times New Roman"/>
                <w:b/>
                <w:bCs/>
                <w:color w:val="auto"/>
                <w:sz w:val="24"/>
                <w:highlight w:val="none"/>
              </w:rPr>
            </w:pPr>
            <w:r>
              <w:rPr>
                <w:rFonts w:hint="eastAsia" w:cs="Times New Roman"/>
                <w:b/>
                <w:bCs/>
                <w:color w:val="auto"/>
                <w:sz w:val="24"/>
                <w:highlight w:val="none"/>
                <w:lang w:eastAsia="zh-CN"/>
              </w:rPr>
              <w:t>2.</w:t>
            </w:r>
            <w:r>
              <w:rPr>
                <w:rFonts w:ascii="Times New Roman" w:hAnsi="Times New Roman" w:eastAsia="宋体" w:cs="Times New Roman"/>
                <w:b/>
                <w:bCs/>
                <w:color w:val="auto"/>
                <w:sz w:val="24"/>
                <w:highlight w:val="none"/>
              </w:rPr>
              <w:t xml:space="preserve">废水污染治理技术可行性 </w:t>
            </w:r>
          </w:p>
          <w:p w14:paraId="2D6F4A4D">
            <w:pPr>
              <w:adjustRightInd w:val="0"/>
              <w:snapToGrid w:val="0"/>
              <w:spacing w:line="500" w:lineRule="exact"/>
              <w:ind w:firstLine="480" w:firstLineChars="200"/>
              <w:rPr>
                <w:rFonts w:ascii="Times New Roman" w:hAnsi="Times New Roman" w:eastAsia="宋体" w:cs="Times New Roman"/>
                <w:color w:val="auto"/>
                <w:sz w:val="24"/>
                <w:highlight w:val="none"/>
              </w:rPr>
            </w:pPr>
            <w:r>
              <w:rPr>
                <w:rFonts w:ascii="Times New Roman" w:hAnsi="Times New Roman" w:eastAsia="宋体" w:cs="Times New Roman"/>
                <w:color w:val="auto"/>
                <w:sz w:val="24"/>
                <w:highlight w:val="none"/>
              </w:rPr>
              <w:t>本项目厂区生活污水主要为职工盥洗废水，厂区设防渗旱厕，生活污水排入防渗旱厕，定期清掏</w:t>
            </w:r>
            <w:r>
              <w:rPr>
                <w:rFonts w:hint="eastAsia" w:ascii="Times New Roman" w:hAnsi="Times New Roman" w:eastAsia="宋体" w:cs="Times New Roman"/>
                <w:color w:val="auto"/>
                <w:sz w:val="24"/>
                <w:highlight w:val="none"/>
              </w:rPr>
              <w:t>用作农肥</w:t>
            </w:r>
            <w:r>
              <w:rPr>
                <w:rFonts w:ascii="Times New Roman" w:hAnsi="Times New Roman" w:eastAsia="宋体" w:cs="Times New Roman"/>
                <w:color w:val="auto"/>
                <w:sz w:val="24"/>
                <w:highlight w:val="none"/>
              </w:rPr>
              <w:t>，不外排。</w:t>
            </w:r>
          </w:p>
          <w:p w14:paraId="3BB5246A">
            <w:pPr>
              <w:adjustRightInd w:val="0"/>
              <w:snapToGrid w:val="0"/>
              <w:spacing w:line="500" w:lineRule="exact"/>
              <w:ind w:firstLine="480" w:firstLineChars="200"/>
              <w:rPr>
                <w:rFonts w:ascii="Times New Roman" w:hAnsi="Times New Roman" w:eastAsia="宋体" w:cs="Times New Roman"/>
                <w:color w:val="auto"/>
                <w:sz w:val="24"/>
                <w:highlight w:val="none"/>
              </w:rPr>
            </w:pPr>
            <w:r>
              <w:rPr>
                <w:rFonts w:ascii="Times New Roman" w:hAnsi="Times New Roman" w:eastAsia="宋体" w:cs="Times New Roman"/>
                <w:color w:val="auto"/>
                <w:sz w:val="24"/>
                <w:highlight w:val="none"/>
              </w:rPr>
              <w:t>综上，本项目采用的水污染控制和水环境影响减缓措施有效，可实现废水不外排。</w:t>
            </w:r>
          </w:p>
          <w:p w14:paraId="4E70404E">
            <w:pPr>
              <w:pStyle w:val="12"/>
              <w:keepNext w:val="0"/>
              <w:keepLines w:val="0"/>
              <w:pageBreakBefore w:val="0"/>
              <w:widowControl/>
              <w:numPr>
                <w:ilvl w:val="0"/>
                <w:numId w:val="0"/>
              </w:numPr>
              <w:kinsoku/>
              <w:wordWrap/>
              <w:overflowPunct/>
              <w:topLinePunct w:val="0"/>
              <w:autoSpaceDE/>
              <w:autoSpaceDN/>
              <w:bidi w:val="0"/>
              <w:adjustRightInd/>
              <w:snapToGrid w:val="0"/>
              <w:spacing w:before="0" w:after="0" w:line="360" w:lineRule="auto"/>
              <w:ind w:right="0" w:rightChars="0" w:firstLine="482" w:firstLineChars="200"/>
              <w:textAlignment w:val="auto"/>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三、噪声治理及排放情况</w:t>
            </w:r>
          </w:p>
          <w:p w14:paraId="7BEF3E5F">
            <w:pPr>
              <w:pStyle w:val="120"/>
              <w:widowControl w:val="0"/>
              <w:spacing w:before="0" w:beforeLines="0" w:after="0" w:afterLines="0" w:line="360" w:lineRule="auto"/>
              <w:ind w:firstLine="482"/>
              <w:rPr>
                <w:rFonts w:hint="default" w:ascii="Times New Roman" w:hAnsi="Times New Roman" w:cs="Times New Roman"/>
                <w:b/>
                <w:bCs/>
                <w:color w:val="auto"/>
                <w:sz w:val="24"/>
                <w:szCs w:val="24"/>
                <w:highlight w:val="none"/>
              </w:rPr>
            </w:pPr>
            <w:r>
              <w:rPr>
                <w:rFonts w:hint="eastAsia" w:cs="Times New Roman"/>
                <w:b/>
                <w:bCs/>
                <w:color w:val="auto"/>
                <w:sz w:val="24"/>
                <w:szCs w:val="24"/>
                <w:highlight w:val="none"/>
                <w:lang w:eastAsia="zh-CN"/>
              </w:rPr>
              <w:t>1.</w:t>
            </w:r>
            <w:r>
              <w:rPr>
                <w:rFonts w:hint="default" w:ascii="Times New Roman" w:hAnsi="Times New Roman" w:cs="Times New Roman"/>
                <w:b/>
                <w:bCs/>
                <w:color w:val="auto"/>
                <w:sz w:val="24"/>
                <w:szCs w:val="24"/>
                <w:highlight w:val="none"/>
              </w:rPr>
              <w:t>噪声源强分析</w:t>
            </w:r>
          </w:p>
          <w:p w14:paraId="381E6FB4">
            <w:pPr>
              <w:pStyle w:val="135"/>
              <w:snapToGrid w:val="0"/>
              <w:spacing w:line="360" w:lineRule="auto"/>
              <w:rPr>
                <w:rFonts w:hint="eastAsia" w:ascii="Times New Roman" w:hAnsi="Times New Roman" w:cs="Times New Roman"/>
                <w:color w:val="auto"/>
                <w:sz w:val="24"/>
                <w:szCs w:val="24"/>
                <w:highlight w:val="none"/>
                <w:lang w:val="en-US" w:eastAsia="zh-CN"/>
              </w:rPr>
            </w:pPr>
            <w:r>
              <w:rPr>
                <w:rFonts w:hint="default" w:ascii="Times New Roman" w:hAnsi="Times New Roman" w:cs="Times New Roman"/>
                <w:b w:val="0"/>
                <w:bCs w:val="0"/>
                <w:color w:val="auto"/>
                <w:highlight w:val="none"/>
                <w:lang w:val="en-US" w:eastAsia="zh-CN"/>
              </w:rPr>
              <w:t>项目噪声主要为</w:t>
            </w:r>
            <w:r>
              <w:rPr>
                <w:rFonts w:hint="eastAsia" w:cs="Times New Roman"/>
                <w:b w:val="0"/>
                <w:bCs w:val="0"/>
                <w:color w:val="auto"/>
                <w:highlight w:val="none"/>
                <w:lang w:val="en-US" w:eastAsia="zh-CN"/>
              </w:rPr>
              <w:t>发泡机、成型机、真空泵、水泵、环保设备风机等</w:t>
            </w:r>
            <w:r>
              <w:rPr>
                <w:rFonts w:hint="eastAsia" w:cs="Times New Roman"/>
                <w:b w:val="0"/>
                <w:bCs w:val="0"/>
                <w:color w:val="auto"/>
                <w:sz w:val="24"/>
                <w:szCs w:val="24"/>
                <w:highlight w:val="none"/>
                <w:lang w:val="en-US" w:eastAsia="zh-CN"/>
              </w:rPr>
              <w:t>，</w:t>
            </w:r>
            <w:r>
              <w:rPr>
                <w:rFonts w:hint="default" w:ascii="Times New Roman" w:hAnsi="Times New Roman" w:eastAsia="宋体" w:cs="Times New Roman"/>
                <w:b w:val="0"/>
                <w:bCs w:val="0"/>
                <w:color w:val="auto"/>
                <w:sz w:val="24"/>
                <w:szCs w:val="24"/>
                <w:highlight w:val="none"/>
              </w:rPr>
              <w:t>主要噪声源于设备运行时产生的噪声根据《实用环境保护数据大全》（第六册）、《机加工行业环境影响评价中常见污染源强估算及污染治理》《环境噪声与</w:t>
            </w:r>
            <w:r>
              <w:rPr>
                <w:rFonts w:hint="eastAsia" w:cs="Times New Roman"/>
                <w:b w:val="0"/>
                <w:bCs w:val="0"/>
                <w:color w:val="auto"/>
                <w:sz w:val="24"/>
                <w:szCs w:val="24"/>
                <w:highlight w:val="none"/>
                <w:lang w:eastAsia="zh-CN"/>
              </w:rPr>
              <w:t>振动</w:t>
            </w:r>
            <w:r>
              <w:rPr>
                <w:rFonts w:hint="default" w:ascii="Times New Roman" w:hAnsi="Times New Roman" w:eastAsia="宋体" w:cs="Times New Roman"/>
                <w:b w:val="0"/>
                <w:bCs w:val="0"/>
                <w:color w:val="auto"/>
                <w:sz w:val="24"/>
                <w:szCs w:val="24"/>
                <w:highlight w:val="none"/>
              </w:rPr>
              <w:t>控制工程技术导则》（</w:t>
            </w:r>
            <w:r>
              <w:rPr>
                <w:rFonts w:hint="default" w:ascii="Times New Roman" w:hAnsi="Times New Roman" w:eastAsia="TimesNewRomanPSMT" w:cs="Times New Roman"/>
                <w:b w:val="0"/>
                <w:bCs w:val="0"/>
                <w:color w:val="auto"/>
                <w:sz w:val="24"/>
                <w:szCs w:val="24"/>
                <w:highlight w:val="none"/>
              </w:rPr>
              <w:t>HJ2034-2013</w:t>
            </w:r>
            <w:r>
              <w:rPr>
                <w:rFonts w:hint="default" w:ascii="Times New Roman" w:hAnsi="Times New Roman" w:eastAsia="宋体" w:cs="Times New Roman"/>
                <w:b w:val="0"/>
                <w:bCs w:val="0"/>
                <w:color w:val="auto"/>
                <w:sz w:val="24"/>
                <w:szCs w:val="24"/>
                <w:highlight w:val="none"/>
              </w:rPr>
              <w:t>）及类比其他同类型项目，这类生产设备噪声值约为</w:t>
            </w:r>
            <w:r>
              <w:rPr>
                <w:rFonts w:hint="default" w:ascii="Times New Roman" w:hAnsi="Times New Roman" w:eastAsia="TimesNewRomanPSMT" w:cs="Times New Roman"/>
                <w:b w:val="0"/>
                <w:bCs w:val="0"/>
                <w:color w:val="auto"/>
                <w:sz w:val="24"/>
                <w:szCs w:val="24"/>
                <w:highlight w:val="none"/>
              </w:rPr>
              <w:t>6</w:t>
            </w:r>
            <w:r>
              <w:rPr>
                <w:rFonts w:hint="eastAsia" w:eastAsia="宋体" w:cs="Times New Roman"/>
                <w:b w:val="0"/>
                <w:bCs w:val="0"/>
                <w:color w:val="auto"/>
                <w:sz w:val="24"/>
                <w:szCs w:val="24"/>
                <w:highlight w:val="none"/>
                <w:lang w:val="en-US" w:eastAsia="zh-CN"/>
              </w:rPr>
              <w:t>0</w:t>
            </w:r>
            <w:r>
              <w:rPr>
                <w:rFonts w:hint="default" w:ascii="Times New Roman" w:hAnsi="Times New Roman" w:eastAsia="TimesNewRomanPSMT" w:cs="Times New Roman"/>
                <w:b w:val="0"/>
                <w:bCs w:val="0"/>
                <w:color w:val="auto"/>
                <w:sz w:val="24"/>
                <w:szCs w:val="24"/>
                <w:highlight w:val="none"/>
              </w:rPr>
              <w:t>~85dB</w:t>
            </w:r>
            <w:r>
              <w:rPr>
                <w:rFonts w:hint="eastAsia" w:eastAsia="宋体" w:cs="Times New Roman"/>
                <w:b w:val="0"/>
                <w:bCs w:val="0"/>
                <w:color w:val="auto"/>
                <w:sz w:val="24"/>
                <w:szCs w:val="24"/>
                <w:highlight w:val="none"/>
                <w:lang w:eastAsia="zh-CN"/>
              </w:rPr>
              <w:t>（</w:t>
            </w:r>
            <w:r>
              <w:rPr>
                <w:rFonts w:hint="default" w:ascii="Times New Roman" w:hAnsi="Times New Roman" w:eastAsia="TimesNewRomanPSMT" w:cs="Times New Roman"/>
                <w:b w:val="0"/>
                <w:bCs w:val="0"/>
                <w:color w:val="auto"/>
                <w:sz w:val="24"/>
                <w:szCs w:val="24"/>
                <w:highlight w:val="none"/>
              </w:rPr>
              <w:t>A</w:t>
            </w:r>
            <w:r>
              <w:rPr>
                <w:rFonts w:hint="eastAsia" w:eastAsia="宋体" w:cs="Times New Roman"/>
                <w:b w:val="0"/>
                <w:bCs w:val="0"/>
                <w:color w:val="auto"/>
                <w:sz w:val="24"/>
                <w:szCs w:val="24"/>
                <w:highlight w:val="none"/>
                <w:lang w:eastAsia="zh-CN"/>
              </w:rPr>
              <w:t>）</w:t>
            </w:r>
            <w:r>
              <w:rPr>
                <w:rFonts w:hint="default" w:ascii="Times New Roman" w:hAnsi="Times New Roman" w:eastAsia="宋体" w:cs="Times New Roman"/>
                <w:b w:val="0"/>
                <w:bCs w:val="0"/>
                <w:color w:val="auto"/>
                <w:sz w:val="24"/>
                <w:szCs w:val="24"/>
                <w:highlight w:val="none"/>
              </w:rPr>
              <w:t>之间。噪声污染防治对策措施主要依据各设备噪声特性，分别采取隔振、消声、隔声措施。</w:t>
            </w:r>
            <w:r>
              <w:rPr>
                <w:rFonts w:hint="eastAsia" w:cs="Times New Roman"/>
                <w:b w:val="0"/>
                <w:bCs w:val="0"/>
                <w:color w:val="auto"/>
                <w:sz w:val="24"/>
                <w:szCs w:val="24"/>
                <w:highlight w:val="none"/>
                <w:lang w:val="en-US" w:eastAsia="zh-CN"/>
              </w:rPr>
              <w:t>本次评价</w:t>
            </w:r>
            <w:r>
              <w:rPr>
                <w:rFonts w:hint="default" w:ascii="Times New Roman" w:hAnsi="Times New Roman" w:eastAsia="宋体" w:cs="Times New Roman"/>
                <w:b w:val="0"/>
                <w:bCs w:val="0"/>
                <w:color w:val="auto"/>
                <w:kern w:val="2"/>
                <w:sz w:val="24"/>
                <w:szCs w:val="24"/>
                <w:highlight w:val="none"/>
                <w:lang w:val="en-US" w:eastAsia="zh-CN" w:bidi="ar-SA"/>
              </w:rPr>
              <w:t>以厂区西南角为坐标原点（0，0</w:t>
            </w:r>
            <w:r>
              <w:rPr>
                <w:rFonts w:hint="default" w:ascii="Times New Roman" w:hAnsi="Times New Roman" w:cs="Times New Roman"/>
                <w:b w:val="0"/>
                <w:bCs w:val="0"/>
                <w:color w:val="auto"/>
                <w:kern w:val="2"/>
                <w:sz w:val="24"/>
                <w:szCs w:val="24"/>
                <w:highlight w:val="none"/>
                <w:lang w:val="en-US" w:eastAsia="zh-CN" w:bidi="ar-SA"/>
              </w:rPr>
              <w:t>，0</w:t>
            </w:r>
            <w:r>
              <w:rPr>
                <w:rFonts w:hint="default" w:ascii="Times New Roman" w:hAnsi="Times New Roman" w:eastAsia="宋体" w:cs="Times New Roman"/>
                <w:b w:val="0"/>
                <w:bCs w:val="0"/>
                <w:color w:val="auto"/>
                <w:kern w:val="2"/>
                <w:sz w:val="24"/>
                <w:szCs w:val="24"/>
                <w:highlight w:val="none"/>
                <w:lang w:val="en-US" w:eastAsia="zh-CN" w:bidi="ar-SA"/>
              </w:rPr>
              <w:t>），结合噪声源的具体点位等参数</w:t>
            </w:r>
            <w:r>
              <w:rPr>
                <w:rFonts w:hint="eastAsia" w:cs="Times New Roman"/>
                <w:b w:val="0"/>
                <w:bCs w:val="0"/>
                <w:color w:val="auto"/>
                <w:kern w:val="2"/>
                <w:sz w:val="24"/>
                <w:szCs w:val="24"/>
                <w:highlight w:val="none"/>
                <w:lang w:val="en-US" w:eastAsia="zh-CN" w:bidi="ar-SA"/>
              </w:rPr>
              <w:t>。</w:t>
            </w:r>
          </w:p>
          <w:p w14:paraId="7F259B8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color w:val="auto"/>
                <w:sz w:val="24"/>
                <w:highlight w:val="none"/>
                <w:vertAlign w:val="baseline"/>
                <w:lang w:val="en-US" w:eastAsia="zh-CN"/>
              </w:rPr>
            </w:pPr>
            <w:r>
              <w:rPr>
                <w:rFonts w:hint="default" w:ascii="Times New Roman" w:hAnsi="Times New Roman" w:eastAsia="宋体" w:cs="Times New Roman"/>
                <w:b/>
                <w:color w:val="auto"/>
                <w:sz w:val="24"/>
                <w:highlight w:val="none"/>
                <w:vertAlign w:val="baseline"/>
                <w:lang w:val="en-US" w:eastAsia="zh-CN"/>
              </w:rPr>
              <w:t>表4</w:t>
            </w:r>
            <w:r>
              <w:rPr>
                <w:rFonts w:hint="eastAsia" w:cs="Times New Roman"/>
                <w:b/>
                <w:color w:val="auto"/>
                <w:sz w:val="24"/>
                <w:highlight w:val="none"/>
                <w:vertAlign w:val="baseline"/>
                <w:lang w:val="en-US" w:eastAsia="zh-CN"/>
              </w:rPr>
              <w:t>-9</w:t>
            </w:r>
            <w:r>
              <w:rPr>
                <w:rFonts w:hint="default" w:ascii="Times New Roman" w:hAnsi="Times New Roman" w:eastAsia="宋体" w:cs="Times New Roman"/>
                <w:b/>
                <w:color w:val="auto"/>
                <w:sz w:val="24"/>
                <w:highlight w:val="none"/>
                <w:vertAlign w:val="baseline"/>
                <w:lang w:val="en-US" w:eastAsia="zh-CN"/>
              </w:rPr>
              <w:t>室外声源调查清单</w:t>
            </w:r>
          </w:p>
          <w:tbl>
            <w:tblPr>
              <w:tblStyle w:val="34"/>
              <w:tblW w:w="494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
              <w:gridCol w:w="1680"/>
              <w:gridCol w:w="481"/>
              <w:gridCol w:w="900"/>
              <w:gridCol w:w="882"/>
              <w:gridCol w:w="666"/>
              <w:gridCol w:w="1505"/>
              <w:gridCol w:w="934"/>
              <w:gridCol w:w="815"/>
            </w:tblGrid>
            <w:tr w14:paraId="7C875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blHeader/>
                <w:jc w:val="center"/>
              </w:trPr>
              <w:tc>
                <w:tcPr>
                  <w:tcW w:w="306" w:type="pct"/>
                  <w:vMerge w:val="restart"/>
                  <w:noWrap w:val="0"/>
                  <w:vAlign w:val="center"/>
                </w:tcPr>
                <w:p w14:paraId="06577C96">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b/>
                      <w:color w:val="auto"/>
                      <w:spacing w:val="4"/>
                      <w:kern w:val="0"/>
                      <w:sz w:val="21"/>
                      <w:szCs w:val="21"/>
                      <w:highlight w:val="none"/>
                    </w:rPr>
                  </w:pPr>
                  <w:r>
                    <w:rPr>
                      <w:rFonts w:hint="default" w:ascii="Times New Roman" w:hAnsi="Times New Roman" w:eastAsia="宋体" w:cs="Times New Roman"/>
                      <w:b/>
                      <w:color w:val="auto"/>
                      <w:spacing w:val="4"/>
                      <w:kern w:val="0"/>
                      <w:sz w:val="21"/>
                      <w:szCs w:val="21"/>
                      <w:highlight w:val="none"/>
                    </w:rPr>
                    <w:t>序号</w:t>
                  </w:r>
                </w:p>
              </w:tc>
              <w:tc>
                <w:tcPr>
                  <w:tcW w:w="1002" w:type="pct"/>
                  <w:vMerge w:val="restart"/>
                  <w:noWrap w:val="0"/>
                  <w:vAlign w:val="center"/>
                </w:tcPr>
                <w:p w14:paraId="5CD3C09C">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b/>
                      <w:color w:val="auto"/>
                      <w:spacing w:val="4"/>
                      <w:kern w:val="0"/>
                      <w:sz w:val="21"/>
                      <w:szCs w:val="21"/>
                      <w:highlight w:val="none"/>
                    </w:rPr>
                  </w:pPr>
                  <w:r>
                    <w:rPr>
                      <w:rFonts w:hint="default" w:ascii="Times New Roman" w:hAnsi="Times New Roman" w:eastAsia="宋体" w:cs="Times New Roman"/>
                      <w:b/>
                      <w:color w:val="auto"/>
                      <w:spacing w:val="4"/>
                      <w:kern w:val="0"/>
                      <w:sz w:val="21"/>
                      <w:szCs w:val="21"/>
                      <w:highlight w:val="none"/>
                      <w:lang w:val="en-US" w:eastAsia="zh-CN"/>
                    </w:rPr>
                    <w:t>声源</w:t>
                  </w:r>
                  <w:r>
                    <w:rPr>
                      <w:rFonts w:hint="default" w:ascii="Times New Roman" w:hAnsi="Times New Roman" w:eastAsia="宋体" w:cs="Times New Roman"/>
                      <w:b/>
                      <w:color w:val="auto"/>
                      <w:spacing w:val="4"/>
                      <w:kern w:val="0"/>
                      <w:sz w:val="21"/>
                      <w:szCs w:val="21"/>
                      <w:highlight w:val="none"/>
                    </w:rPr>
                    <w:t>名称</w:t>
                  </w:r>
                </w:p>
              </w:tc>
              <w:tc>
                <w:tcPr>
                  <w:tcW w:w="287" w:type="pct"/>
                  <w:vMerge w:val="restart"/>
                  <w:noWrap w:val="0"/>
                  <w:vAlign w:val="center"/>
                </w:tcPr>
                <w:p w14:paraId="0D9D0D43">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b/>
                      <w:color w:val="auto"/>
                      <w:spacing w:val="4"/>
                      <w:kern w:val="0"/>
                      <w:sz w:val="21"/>
                      <w:szCs w:val="21"/>
                      <w:highlight w:val="none"/>
                      <w:lang w:val="en-US" w:eastAsia="zh-CN"/>
                    </w:rPr>
                  </w:pPr>
                  <w:r>
                    <w:rPr>
                      <w:rFonts w:hint="default" w:ascii="Times New Roman" w:hAnsi="Times New Roman" w:eastAsia="宋体" w:cs="Times New Roman"/>
                      <w:b/>
                      <w:color w:val="auto"/>
                      <w:spacing w:val="4"/>
                      <w:kern w:val="0"/>
                      <w:sz w:val="21"/>
                      <w:szCs w:val="21"/>
                      <w:highlight w:val="none"/>
                      <w:lang w:val="en-US" w:eastAsia="zh-CN"/>
                    </w:rPr>
                    <w:t>型号</w:t>
                  </w:r>
                </w:p>
              </w:tc>
              <w:tc>
                <w:tcPr>
                  <w:tcW w:w="1460" w:type="pct"/>
                  <w:gridSpan w:val="3"/>
                  <w:noWrap w:val="0"/>
                  <w:vAlign w:val="center"/>
                </w:tcPr>
                <w:p w14:paraId="4A9C15AB">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b/>
                      <w:color w:val="auto"/>
                      <w:spacing w:val="4"/>
                      <w:kern w:val="0"/>
                      <w:sz w:val="21"/>
                      <w:szCs w:val="21"/>
                      <w:highlight w:val="none"/>
                      <w:lang w:val="en-US" w:eastAsia="zh-CN"/>
                    </w:rPr>
                  </w:pPr>
                  <w:r>
                    <w:rPr>
                      <w:rFonts w:hint="default" w:ascii="Times New Roman" w:hAnsi="Times New Roman" w:eastAsia="宋体" w:cs="Times New Roman"/>
                      <w:b/>
                      <w:color w:val="auto"/>
                      <w:spacing w:val="4"/>
                      <w:kern w:val="0"/>
                      <w:sz w:val="21"/>
                      <w:szCs w:val="21"/>
                      <w:highlight w:val="none"/>
                      <w:lang w:val="en-US" w:eastAsia="zh-CN"/>
                    </w:rPr>
                    <w:t>空间相对位置/m</w:t>
                  </w:r>
                </w:p>
              </w:tc>
              <w:tc>
                <w:tcPr>
                  <w:tcW w:w="898" w:type="pct"/>
                  <w:vMerge w:val="restart"/>
                  <w:noWrap w:val="0"/>
                  <w:vAlign w:val="center"/>
                </w:tcPr>
                <w:p w14:paraId="2C1D1807">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b/>
                      <w:color w:val="auto"/>
                      <w:spacing w:val="4"/>
                      <w:kern w:val="0"/>
                      <w:sz w:val="21"/>
                      <w:szCs w:val="21"/>
                      <w:highlight w:val="none"/>
                    </w:rPr>
                  </w:pPr>
                  <w:r>
                    <w:rPr>
                      <w:rFonts w:hint="default" w:ascii="Times New Roman" w:hAnsi="Times New Roman" w:eastAsia="宋体" w:cs="Times New Roman"/>
                      <w:b/>
                      <w:color w:val="auto"/>
                      <w:spacing w:val="4"/>
                      <w:kern w:val="0"/>
                      <w:sz w:val="21"/>
                      <w:szCs w:val="21"/>
                      <w:highlight w:val="none"/>
                      <w:lang w:val="en-US" w:eastAsia="zh-CN"/>
                    </w:rPr>
                    <w:t>（声压级/距声源距离）（dB(A)/m）</w:t>
                  </w:r>
                </w:p>
              </w:tc>
              <w:tc>
                <w:tcPr>
                  <w:tcW w:w="557" w:type="pct"/>
                  <w:vMerge w:val="restart"/>
                  <w:noWrap w:val="0"/>
                  <w:vAlign w:val="center"/>
                </w:tcPr>
                <w:p w14:paraId="3CA09D86">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b/>
                      <w:color w:val="auto"/>
                      <w:spacing w:val="4"/>
                      <w:kern w:val="0"/>
                      <w:sz w:val="21"/>
                      <w:szCs w:val="21"/>
                      <w:highlight w:val="none"/>
                      <w:lang w:val="en-US" w:eastAsia="zh-CN"/>
                    </w:rPr>
                  </w:pPr>
                  <w:r>
                    <w:rPr>
                      <w:rFonts w:hint="default" w:ascii="Times New Roman" w:hAnsi="Times New Roman" w:eastAsia="宋体" w:cs="Times New Roman"/>
                      <w:b/>
                      <w:color w:val="auto"/>
                      <w:spacing w:val="4"/>
                      <w:kern w:val="0"/>
                      <w:sz w:val="21"/>
                      <w:szCs w:val="21"/>
                      <w:highlight w:val="none"/>
                      <w:lang w:val="en-US" w:eastAsia="zh-CN"/>
                    </w:rPr>
                    <w:t>声源控制措施</w:t>
                  </w:r>
                </w:p>
              </w:tc>
              <w:tc>
                <w:tcPr>
                  <w:tcW w:w="486" w:type="pct"/>
                  <w:vMerge w:val="restart"/>
                  <w:tcBorders>
                    <w:right w:val="nil"/>
                  </w:tcBorders>
                  <w:noWrap w:val="0"/>
                  <w:vAlign w:val="center"/>
                </w:tcPr>
                <w:p w14:paraId="02F9F144">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b/>
                      <w:color w:val="auto"/>
                      <w:spacing w:val="4"/>
                      <w:kern w:val="0"/>
                      <w:sz w:val="21"/>
                      <w:szCs w:val="21"/>
                      <w:highlight w:val="none"/>
                      <w:lang w:val="en-US" w:eastAsia="zh-CN"/>
                    </w:rPr>
                  </w:pPr>
                  <w:r>
                    <w:rPr>
                      <w:rFonts w:hint="default" w:ascii="Times New Roman" w:hAnsi="Times New Roman" w:eastAsia="宋体" w:cs="Times New Roman"/>
                      <w:b/>
                      <w:color w:val="auto"/>
                      <w:spacing w:val="4"/>
                      <w:kern w:val="0"/>
                      <w:sz w:val="21"/>
                      <w:szCs w:val="21"/>
                      <w:highlight w:val="none"/>
                      <w:lang w:val="en-US" w:eastAsia="zh-CN"/>
                    </w:rPr>
                    <w:t>运行时段</w:t>
                  </w:r>
                </w:p>
              </w:tc>
            </w:tr>
            <w:tr w14:paraId="5E2D0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 w:hRule="atLeast"/>
                <w:tblHeader/>
                <w:jc w:val="center"/>
              </w:trPr>
              <w:tc>
                <w:tcPr>
                  <w:tcW w:w="306" w:type="pct"/>
                  <w:vMerge w:val="continue"/>
                  <w:tcBorders>
                    <w:left w:val="nil"/>
                  </w:tcBorders>
                  <w:noWrap w:val="0"/>
                  <w:vAlign w:val="center"/>
                </w:tcPr>
                <w:p w14:paraId="432A5DDD">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z w:val="21"/>
                      <w:szCs w:val="21"/>
                      <w:highlight w:val="none"/>
                    </w:rPr>
                  </w:pPr>
                </w:p>
              </w:tc>
              <w:tc>
                <w:tcPr>
                  <w:tcW w:w="1002" w:type="pct"/>
                  <w:vMerge w:val="continue"/>
                  <w:noWrap w:val="0"/>
                  <w:vAlign w:val="center"/>
                </w:tcPr>
                <w:p w14:paraId="32ABE242">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z w:val="21"/>
                      <w:szCs w:val="21"/>
                      <w:highlight w:val="none"/>
                    </w:rPr>
                  </w:pPr>
                </w:p>
              </w:tc>
              <w:tc>
                <w:tcPr>
                  <w:tcW w:w="287" w:type="pct"/>
                  <w:vMerge w:val="continue"/>
                  <w:noWrap w:val="0"/>
                  <w:vAlign w:val="center"/>
                </w:tcPr>
                <w:p w14:paraId="47302CAB">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z w:val="21"/>
                      <w:szCs w:val="21"/>
                      <w:highlight w:val="none"/>
                    </w:rPr>
                  </w:pPr>
                </w:p>
              </w:tc>
              <w:tc>
                <w:tcPr>
                  <w:tcW w:w="537" w:type="pct"/>
                  <w:noWrap w:val="0"/>
                  <w:vAlign w:val="center"/>
                </w:tcPr>
                <w:p w14:paraId="7A0D1652">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b/>
                      <w:color w:val="auto"/>
                      <w:spacing w:val="4"/>
                      <w:kern w:val="0"/>
                      <w:sz w:val="21"/>
                      <w:szCs w:val="21"/>
                      <w:highlight w:val="none"/>
                      <w:lang w:val="en-US" w:eastAsia="zh-CN"/>
                    </w:rPr>
                  </w:pPr>
                  <w:r>
                    <w:rPr>
                      <w:rFonts w:hint="default" w:ascii="Times New Roman" w:hAnsi="Times New Roman" w:eastAsia="宋体" w:cs="Times New Roman"/>
                      <w:b/>
                      <w:color w:val="auto"/>
                      <w:spacing w:val="4"/>
                      <w:kern w:val="0"/>
                      <w:sz w:val="21"/>
                      <w:szCs w:val="21"/>
                      <w:highlight w:val="none"/>
                      <w:lang w:val="en-US" w:eastAsia="zh-CN"/>
                    </w:rPr>
                    <w:t>X</w:t>
                  </w:r>
                </w:p>
              </w:tc>
              <w:tc>
                <w:tcPr>
                  <w:tcW w:w="526" w:type="pct"/>
                  <w:noWrap w:val="0"/>
                  <w:vAlign w:val="center"/>
                </w:tcPr>
                <w:p w14:paraId="395EDE3F">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b/>
                      <w:color w:val="auto"/>
                      <w:spacing w:val="4"/>
                      <w:kern w:val="0"/>
                      <w:sz w:val="21"/>
                      <w:szCs w:val="21"/>
                      <w:highlight w:val="none"/>
                      <w:lang w:val="en-US" w:eastAsia="zh-CN"/>
                    </w:rPr>
                  </w:pPr>
                  <w:r>
                    <w:rPr>
                      <w:rFonts w:hint="default" w:ascii="Times New Roman" w:hAnsi="Times New Roman" w:eastAsia="宋体" w:cs="Times New Roman"/>
                      <w:b/>
                      <w:color w:val="auto"/>
                      <w:spacing w:val="4"/>
                      <w:kern w:val="0"/>
                      <w:sz w:val="21"/>
                      <w:szCs w:val="21"/>
                      <w:highlight w:val="none"/>
                      <w:lang w:val="en-US" w:eastAsia="zh-CN"/>
                    </w:rPr>
                    <w:t>Y</w:t>
                  </w:r>
                </w:p>
              </w:tc>
              <w:tc>
                <w:tcPr>
                  <w:tcW w:w="397" w:type="pct"/>
                  <w:noWrap w:val="0"/>
                  <w:vAlign w:val="center"/>
                </w:tcPr>
                <w:p w14:paraId="50AB6DF2">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b/>
                      <w:color w:val="auto"/>
                      <w:spacing w:val="4"/>
                      <w:kern w:val="0"/>
                      <w:sz w:val="21"/>
                      <w:szCs w:val="21"/>
                      <w:highlight w:val="none"/>
                      <w:lang w:val="en-US" w:eastAsia="zh-CN"/>
                    </w:rPr>
                  </w:pPr>
                  <w:r>
                    <w:rPr>
                      <w:rFonts w:hint="default" w:ascii="Times New Roman" w:hAnsi="Times New Roman" w:eastAsia="宋体" w:cs="Times New Roman"/>
                      <w:b/>
                      <w:color w:val="auto"/>
                      <w:spacing w:val="4"/>
                      <w:kern w:val="0"/>
                      <w:sz w:val="21"/>
                      <w:szCs w:val="21"/>
                      <w:highlight w:val="none"/>
                      <w:lang w:val="en-US" w:eastAsia="zh-CN"/>
                    </w:rPr>
                    <w:t>Z</w:t>
                  </w:r>
                </w:p>
              </w:tc>
              <w:tc>
                <w:tcPr>
                  <w:tcW w:w="898" w:type="pct"/>
                  <w:vMerge w:val="continue"/>
                  <w:noWrap w:val="0"/>
                  <w:vAlign w:val="center"/>
                </w:tcPr>
                <w:p w14:paraId="4BFE82BE">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b/>
                      <w:color w:val="auto"/>
                      <w:spacing w:val="4"/>
                      <w:kern w:val="0"/>
                      <w:sz w:val="21"/>
                      <w:szCs w:val="21"/>
                      <w:highlight w:val="none"/>
                      <w:lang w:val="en-US" w:eastAsia="zh-CN"/>
                    </w:rPr>
                  </w:pPr>
                </w:p>
              </w:tc>
              <w:tc>
                <w:tcPr>
                  <w:tcW w:w="557" w:type="pct"/>
                  <w:vMerge w:val="continue"/>
                  <w:noWrap w:val="0"/>
                  <w:vAlign w:val="center"/>
                </w:tcPr>
                <w:p w14:paraId="59558FC3">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b/>
                      <w:color w:val="auto"/>
                      <w:spacing w:val="4"/>
                      <w:kern w:val="0"/>
                      <w:sz w:val="21"/>
                      <w:szCs w:val="21"/>
                      <w:highlight w:val="none"/>
                      <w:lang w:val="en-US" w:eastAsia="zh-CN"/>
                    </w:rPr>
                  </w:pPr>
                </w:p>
              </w:tc>
              <w:tc>
                <w:tcPr>
                  <w:tcW w:w="486" w:type="pct"/>
                  <w:vMerge w:val="continue"/>
                  <w:tcBorders>
                    <w:right w:val="nil"/>
                  </w:tcBorders>
                  <w:noWrap w:val="0"/>
                  <w:vAlign w:val="center"/>
                </w:tcPr>
                <w:p w14:paraId="26D012FF">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b/>
                      <w:color w:val="auto"/>
                      <w:spacing w:val="4"/>
                      <w:kern w:val="0"/>
                      <w:sz w:val="21"/>
                      <w:szCs w:val="21"/>
                      <w:highlight w:val="none"/>
                      <w:lang w:val="en-US" w:eastAsia="zh-CN"/>
                    </w:rPr>
                  </w:pPr>
                </w:p>
              </w:tc>
            </w:tr>
            <w:tr w14:paraId="2A6F9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306" w:type="pct"/>
                  <w:tcBorders>
                    <w:left w:val="nil"/>
                  </w:tcBorders>
                  <w:noWrap w:val="0"/>
                  <w:vAlign w:val="center"/>
                </w:tcPr>
                <w:p w14:paraId="4261CD83">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002" w:type="pct"/>
                  <w:noWrap w:val="0"/>
                  <w:vAlign w:val="center"/>
                </w:tcPr>
                <w:p w14:paraId="595094F1">
                  <w:pPr>
                    <w:keepNext w:val="0"/>
                    <w:keepLines w:val="0"/>
                    <w:pageBreakBefore w:val="0"/>
                    <w:kinsoku/>
                    <w:wordWrap/>
                    <w:overflowPunct/>
                    <w:topLinePunct w:val="0"/>
                    <w:autoSpaceDE w:val="0"/>
                    <w:autoSpaceDN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lang w:val="en-US" w:eastAsia="zh-CN"/>
                    </w:rPr>
                    <w:t>冷却塔</w:t>
                  </w:r>
                </w:p>
              </w:tc>
              <w:tc>
                <w:tcPr>
                  <w:tcW w:w="287" w:type="pct"/>
                  <w:noWrap w:val="0"/>
                  <w:vAlign w:val="center"/>
                </w:tcPr>
                <w:p w14:paraId="6F1ED7BB">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lang w:val="en-US" w:eastAsia="zh-CN"/>
                    </w:rPr>
                    <w:t>--</w:t>
                  </w:r>
                </w:p>
              </w:tc>
              <w:tc>
                <w:tcPr>
                  <w:tcW w:w="537" w:type="pct"/>
                  <w:noWrap w:val="0"/>
                  <w:vAlign w:val="center"/>
                </w:tcPr>
                <w:p w14:paraId="17A8AC3A">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48.96</w:t>
                  </w:r>
                </w:p>
              </w:tc>
              <w:tc>
                <w:tcPr>
                  <w:tcW w:w="526" w:type="pct"/>
                  <w:noWrap w:val="0"/>
                  <w:vAlign w:val="center"/>
                </w:tcPr>
                <w:p w14:paraId="682CEB19">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-1.49</w:t>
                  </w:r>
                </w:p>
              </w:tc>
              <w:tc>
                <w:tcPr>
                  <w:tcW w:w="397" w:type="pct"/>
                  <w:noWrap w:val="0"/>
                  <w:vAlign w:val="center"/>
                </w:tcPr>
                <w:p w14:paraId="4A8787E9">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898" w:type="pct"/>
                  <w:noWrap w:val="0"/>
                  <w:vAlign w:val="center"/>
                </w:tcPr>
                <w:p w14:paraId="52D4FF08">
                  <w:pPr>
                    <w:keepNext w:val="0"/>
                    <w:keepLines w:val="0"/>
                    <w:pageBreakBefore w:val="0"/>
                    <w:kinsoku/>
                    <w:wordWrap/>
                    <w:overflowPunct/>
                    <w:topLinePunct w:val="0"/>
                    <w:autoSpaceDE w:val="0"/>
                    <w:autoSpaceDN w:val="0"/>
                    <w:bidi w:val="0"/>
                    <w:adjustRightInd w:val="0"/>
                    <w:snapToGrid w:val="0"/>
                    <w:spacing w:line="240" w:lineRule="auto"/>
                    <w:jc w:val="center"/>
                    <w:rPr>
                      <w:rFonts w:hint="default" w:ascii="Times New Roman" w:hAnsi="Times New Roman" w:eastAsia="宋体" w:cs="Times New Roman"/>
                      <w:color w:val="auto"/>
                      <w:spacing w:val="4"/>
                      <w:kern w:val="0"/>
                      <w:sz w:val="21"/>
                      <w:szCs w:val="21"/>
                      <w:highlight w:val="none"/>
                      <w:lang w:val="en-US"/>
                    </w:rPr>
                  </w:pPr>
                  <w:r>
                    <w:rPr>
                      <w:rFonts w:hint="eastAsia" w:cs="Times New Roman"/>
                      <w:color w:val="auto"/>
                      <w:sz w:val="21"/>
                      <w:szCs w:val="21"/>
                      <w:highlight w:val="none"/>
                      <w:lang w:val="en-US" w:eastAsia="zh-CN"/>
                    </w:rPr>
                    <w:t>70</w:t>
                  </w:r>
                  <w:r>
                    <w:rPr>
                      <w:rFonts w:hint="default" w:ascii="Times New Roman" w:hAnsi="Times New Roman" w:eastAsia="宋体" w:cs="Times New Roman"/>
                      <w:color w:val="auto"/>
                      <w:sz w:val="21"/>
                      <w:szCs w:val="21"/>
                      <w:highlight w:val="none"/>
                      <w:lang w:val="en-US" w:eastAsia="zh-CN"/>
                    </w:rPr>
                    <w:t>/1</w:t>
                  </w:r>
                </w:p>
              </w:tc>
              <w:tc>
                <w:tcPr>
                  <w:tcW w:w="557" w:type="pct"/>
                  <w:vMerge w:val="restart"/>
                  <w:noWrap w:val="0"/>
                  <w:vAlign w:val="center"/>
                </w:tcPr>
                <w:p w14:paraId="0B33FBB7">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lang w:val="en-US" w:eastAsia="zh-CN"/>
                    </w:rPr>
                    <w:t>距离衰减、选用低噪声设备</w:t>
                  </w:r>
                </w:p>
              </w:tc>
              <w:tc>
                <w:tcPr>
                  <w:tcW w:w="486" w:type="pct"/>
                  <w:vMerge w:val="restart"/>
                  <w:tcBorders>
                    <w:right w:val="nil"/>
                  </w:tcBorders>
                  <w:noWrap w:val="0"/>
                  <w:vAlign w:val="center"/>
                </w:tcPr>
                <w:p w14:paraId="4F2C4754">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昼间、夜间</w:t>
                  </w:r>
                </w:p>
              </w:tc>
            </w:tr>
            <w:tr w14:paraId="73FF0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306" w:type="pct"/>
                  <w:tcBorders>
                    <w:left w:val="nil"/>
                  </w:tcBorders>
                  <w:noWrap w:val="0"/>
                  <w:vAlign w:val="center"/>
                </w:tcPr>
                <w:p w14:paraId="78D6FC12">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002" w:type="pct"/>
                  <w:noWrap w:val="0"/>
                  <w:vAlign w:val="center"/>
                </w:tcPr>
                <w:p w14:paraId="44F98324">
                  <w:pPr>
                    <w:keepNext w:val="0"/>
                    <w:keepLines w:val="0"/>
                    <w:pageBreakBefore w:val="0"/>
                    <w:kinsoku/>
                    <w:wordWrap/>
                    <w:overflowPunct/>
                    <w:topLinePunct w:val="0"/>
                    <w:autoSpaceDE w:val="0"/>
                    <w:autoSpaceDN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lang w:val="en-US" w:eastAsia="zh-CN"/>
                    </w:rPr>
                    <w:t>冷却塔</w:t>
                  </w:r>
                </w:p>
              </w:tc>
              <w:tc>
                <w:tcPr>
                  <w:tcW w:w="287" w:type="pct"/>
                  <w:noWrap w:val="0"/>
                  <w:vAlign w:val="center"/>
                </w:tcPr>
                <w:p w14:paraId="5FC7C00D">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lang w:val="en-US" w:eastAsia="zh-CN"/>
                    </w:rPr>
                    <w:t>--</w:t>
                  </w:r>
                </w:p>
              </w:tc>
              <w:tc>
                <w:tcPr>
                  <w:tcW w:w="537" w:type="pct"/>
                  <w:noWrap w:val="0"/>
                  <w:vAlign w:val="center"/>
                </w:tcPr>
                <w:p w14:paraId="176DBA79">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-0.71</w:t>
                  </w:r>
                </w:p>
              </w:tc>
              <w:tc>
                <w:tcPr>
                  <w:tcW w:w="526" w:type="pct"/>
                  <w:noWrap w:val="0"/>
                  <w:vAlign w:val="center"/>
                </w:tcPr>
                <w:p w14:paraId="3B33697F">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20.26</w:t>
                  </w:r>
                </w:p>
              </w:tc>
              <w:tc>
                <w:tcPr>
                  <w:tcW w:w="397" w:type="pct"/>
                  <w:noWrap w:val="0"/>
                  <w:vAlign w:val="center"/>
                </w:tcPr>
                <w:p w14:paraId="06AEE744">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0.8</w:t>
                  </w:r>
                </w:p>
              </w:tc>
              <w:tc>
                <w:tcPr>
                  <w:tcW w:w="898" w:type="pct"/>
                  <w:noWrap w:val="0"/>
                  <w:vAlign w:val="center"/>
                </w:tcPr>
                <w:p w14:paraId="4B6A4771">
                  <w:pPr>
                    <w:keepNext w:val="0"/>
                    <w:keepLines w:val="0"/>
                    <w:pageBreakBefore w:val="0"/>
                    <w:kinsoku/>
                    <w:wordWrap/>
                    <w:overflowPunct/>
                    <w:topLinePunct w:val="0"/>
                    <w:autoSpaceDE w:val="0"/>
                    <w:autoSpaceDN w:val="0"/>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70</w:t>
                  </w:r>
                  <w:r>
                    <w:rPr>
                      <w:rFonts w:hint="default" w:ascii="Times New Roman" w:hAnsi="Times New Roman" w:eastAsia="宋体" w:cs="Times New Roman"/>
                      <w:color w:val="auto"/>
                      <w:sz w:val="21"/>
                      <w:szCs w:val="21"/>
                      <w:highlight w:val="none"/>
                      <w:lang w:val="en-US" w:eastAsia="zh-CN"/>
                    </w:rPr>
                    <w:t>/1</w:t>
                  </w:r>
                </w:p>
              </w:tc>
              <w:tc>
                <w:tcPr>
                  <w:tcW w:w="557" w:type="pct"/>
                  <w:vMerge w:val="continue"/>
                  <w:noWrap w:val="0"/>
                  <w:vAlign w:val="center"/>
                </w:tcPr>
                <w:p w14:paraId="56C8E19F">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c>
                <w:tcPr>
                  <w:tcW w:w="486" w:type="pct"/>
                  <w:vMerge w:val="continue"/>
                  <w:tcBorders>
                    <w:right w:val="nil"/>
                  </w:tcBorders>
                  <w:noWrap w:val="0"/>
                  <w:vAlign w:val="center"/>
                </w:tcPr>
                <w:p w14:paraId="7993743B">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r>
            <w:tr w14:paraId="67113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306" w:type="pct"/>
                  <w:tcBorders>
                    <w:left w:val="nil"/>
                  </w:tcBorders>
                  <w:noWrap w:val="0"/>
                  <w:vAlign w:val="center"/>
                </w:tcPr>
                <w:p w14:paraId="00D08E47">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002" w:type="pct"/>
                  <w:noWrap w:val="0"/>
                  <w:vAlign w:val="center"/>
                </w:tcPr>
                <w:p w14:paraId="490D8CB7">
                  <w:pPr>
                    <w:keepNext w:val="0"/>
                    <w:keepLines w:val="0"/>
                    <w:pageBreakBefore w:val="0"/>
                    <w:kinsoku/>
                    <w:wordWrap/>
                    <w:overflowPunct/>
                    <w:topLinePunct w:val="0"/>
                    <w:autoSpaceDE w:val="0"/>
                    <w:autoSpaceDN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lang w:val="en-US" w:eastAsia="zh-CN"/>
                    </w:rPr>
                    <w:t>冷却塔</w:t>
                  </w:r>
                </w:p>
              </w:tc>
              <w:tc>
                <w:tcPr>
                  <w:tcW w:w="287" w:type="pct"/>
                  <w:noWrap w:val="0"/>
                  <w:vAlign w:val="center"/>
                </w:tcPr>
                <w:p w14:paraId="04E353B5">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lang w:val="en-US" w:eastAsia="zh-CN"/>
                    </w:rPr>
                    <w:t>--</w:t>
                  </w:r>
                </w:p>
              </w:tc>
              <w:tc>
                <w:tcPr>
                  <w:tcW w:w="537" w:type="pct"/>
                  <w:noWrap w:val="0"/>
                  <w:vAlign w:val="center"/>
                </w:tcPr>
                <w:p w14:paraId="6FBD600B">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-0.25</w:t>
                  </w:r>
                </w:p>
              </w:tc>
              <w:tc>
                <w:tcPr>
                  <w:tcW w:w="526" w:type="pct"/>
                  <w:noWrap w:val="0"/>
                  <w:vAlign w:val="center"/>
                </w:tcPr>
                <w:p w14:paraId="5349F932">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23.35</w:t>
                  </w:r>
                </w:p>
              </w:tc>
              <w:tc>
                <w:tcPr>
                  <w:tcW w:w="397" w:type="pct"/>
                  <w:noWrap w:val="0"/>
                  <w:vAlign w:val="center"/>
                </w:tcPr>
                <w:p w14:paraId="603AB190">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898" w:type="pct"/>
                  <w:noWrap w:val="0"/>
                  <w:vAlign w:val="center"/>
                </w:tcPr>
                <w:p w14:paraId="43E2FCA1">
                  <w:pPr>
                    <w:keepNext w:val="0"/>
                    <w:keepLines w:val="0"/>
                    <w:pageBreakBefore w:val="0"/>
                    <w:kinsoku/>
                    <w:wordWrap/>
                    <w:overflowPunct/>
                    <w:topLinePunct w:val="0"/>
                    <w:autoSpaceDE w:val="0"/>
                    <w:autoSpaceDN w:val="0"/>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70</w:t>
                  </w:r>
                  <w:r>
                    <w:rPr>
                      <w:rFonts w:hint="default" w:ascii="Times New Roman" w:hAnsi="Times New Roman" w:eastAsia="宋体" w:cs="Times New Roman"/>
                      <w:color w:val="auto"/>
                      <w:sz w:val="21"/>
                      <w:szCs w:val="21"/>
                      <w:highlight w:val="none"/>
                      <w:lang w:val="en-US" w:eastAsia="zh-CN"/>
                    </w:rPr>
                    <w:t>/1</w:t>
                  </w:r>
                </w:p>
              </w:tc>
              <w:tc>
                <w:tcPr>
                  <w:tcW w:w="557" w:type="pct"/>
                  <w:vMerge w:val="continue"/>
                  <w:noWrap w:val="0"/>
                  <w:vAlign w:val="center"/>
                </w:tcPr>
                <w:p w14:paraId="3AEBD6FB">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c>
                <w:tcPr>
                  <w:tcW w:w="486" w:type="pct"/>
                  <w:vMerge w:val="continue"/>
                  <w:tcBorders>
                    <w:right w:val="nil"/>
                  </w:tcBorders>
                  <w:noWrap w:val="0"/>
                  <w:vAlign w:val="center"/>
                </w:tcPr>
                <w:p w14:paraId="54F20E75">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r>
            <w:tr w14:paraId="0725D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306" w:type="pct"/>
                  <w:tcBorders>
                    <w:left w:val="nil"/>
                  </w:tcBorders>
                  <w:noWrap w:val="0"/>
                  <w:vAlign w:val="center"/>
                </w:tcPr>
                <w:p w14:paraId="0F854BEF">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002" w:type="pct"/>
                  <w:noWrap w:val="0"/>
                  <w:vAlign w:val="center"/>
                </w:tcPr>
                <w:p w14:paraId="4EDCFDA1">
                  <w:pPr>
                    <w:keepNext w:val="0"/>
                    <w:keepLines w:val="0"/>
                    <w:pageBreakBefore w:val="0"/>
                    <w:kinsoku/>
                    <w:wordWrap/>
                    <w:overflowPunct/>
                    <w:topLinePunct w:val="0"/>
                    <w:autoSpaceDE w:val="0"/>
                    <w:autoSpaceDN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lang w:val="en-US" w:eastAsia="zh-CN"/>
                    </w:rPr>
                    <w:t>环保设备风机</w:t>
                  </w:r>
                </w:p>
              </w:tc>
              <w:tc>
                <w:tcPr>
                  <w:tcW w:w="287" w:type="pct"/>
                  <w:noWrap w:val="0"/>
                  <w:vAlign w:val="center"/>
                </w:tcPr>
                <w:p w14:paraId="71D68BE4">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lang w:val="en-US" w:eastAsia="zh-CN"/>
                    </w:rPr>
                    <w:t>--</w:t>
                  </w:r>
                </w:p>
              </w:tc>
              <w:tc>
                <w:tcPr>
                  <w:tcW w:w="537" w:type="pct"/>
                  <w:noWrap w:val="0"/>
                  <w:vAlign w:val="center"/>
                </w:tcPr>
                <w:p w14:paraId="51447419">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-0.56</w:t>
                  </w:r>
                </w:p>
              </w:tc>
              <w:tc>
                <w:tcPr>
                  <w:tcW w:w="526" w:type="pct"/>
                  <w:noWrap w:val="0"/>
                  <w:vAlign w:val="center"/>
                </w:tcPr>
                <w:p w14:paraId="54745864">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26.89</w:t>
                  </w:r>
                </w:p>
              </w:tc>
              <w:tc>
                <w:tcPr>
                  <w:tcW w:w="397" w:type="pct"/>
                  <w:noWrap w:val="0"/>
                  <w:vAlign w:val="center"/>
                </w:tcPr>
                <w:p w14:paraId="5D4BB648">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0.5</w:t>
                  </w:r>
                </w:p>
              </w:tc>
              <w:tc>
                <w:tcPr>
                  <w:tcW w:w="898" w:type="pct"/>
                  <w:noWrap w:val="0"/>
                  <w:vAlign w:val="center"/>
                </w:tcPr>
                <w:p w14:paraId="69C38922">
                  <w:pPr>
                    <w:keepNext w:val="0"/>
                    <w:keepLines w:val="0"/>
                    <w:pageBreakBefore w:val="0"/>
                    <w:kinsoku/>
                    <w:wordWrap/>
                    <w:overflowPunct/>
                    <w:topLinePunct w:val="0"/>
                    <w:autoSpaceDE w:val="0"/>
                    <w:autoSpaceDN w:val="0"/>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85</w:t>
                  </w:r>
                  <w:r>
                    <w:rPr>
                      <w:rFonts w:hint="default" w:ascii="Times New Roman" w:hAnsi="Times New Roman" w:eastAsia="宋体" w:cs="Times New Roman"/>
                      <w:color w:val="auto"/>
                      <w:sz w:val="21"/>
                      <w:szCs w:val="21"/>
                      <w:highlight w:val="none"/>
                      <w:lang w:val="en-US" w:eastAsia="zh-CN"/>
                    </w:rPr>
                    <w:t>/1</w:t>
                  </w:r>
                </w:p>
              </w:tc>
              <w:tc>
                <w:tcPr>
                  <w:tcW w:w="557" w:type="pct"/>
                  <w:vMerge w:val="continue"/>
                  <w:noWrap w:val="0"/>
                  <w:vAlign w:val="center"/>
                </w:tcPr>
                <w:p w14:paraId="232BDEF7">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c>
                <w:tcPr>
                  <w:tcW w:w="486" w:type="pct"/>
                  <w:vMerge w:val="continue"/>
                  <w:tcBorders>
                    <w:right w:val="nil"/>
                  </w:tcBorders>
                  <w:noWrap w:val="0"/>
                  <w:vAlign w:val="center"/>
                </w:tcPr>
                <w:p w14:paraId="4DCEB19C">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r>
            <w:tr w14:paraId="5784A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06" w:type="pct"/>
                  <w:tcBorders>
                    <w:left w:val="nil"/>
                  </w:tcBorders>
                  <w:noWrap w:val="0"/>
                  <w:vAlign w:val="center"/>
                </w:tcPr>
                <w:p w14:paraId="25A4452E">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5</w:t>
                  </w:r>
                </w:p>
              </w:tc>
              <w:tc>
                <w:tcPr>
                  <w:tcW w:w="1002" w:type="pct"/>
                  <w:noWrap w:val="0"/>
                  <w:vAlign w:val="center"/>
                </w:tcPr>
                <w:p w14:paraId="333F2BE2">
                  <w:pPr>
                    <w:keepNext w:val="0"/>
                    <w:keepLines w:val="0"/>
                    <w:pageBreakBefore w:val="0"/>
                    <w:kinsoku/>
                    <w:wordWrap/>
                    <w:overflowPunct/>
                    <w:topLinePunct w:val="0"/>
                    <w:autoSpaceDE w:val="0"/>
                    <w:autoSpaceDN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真空泵</w:t>
                  </w:r>
                </w:p>
              </w:tc>
              <w:tc>
                <w:tcPr>
                  <w:tcW w:w="287" w:type="pct"/>
                  <w:noWrap w:val="0"/>
                  <w:vAlign w:val="center"/>
                </w:tcPr>
                <w:p w14:paraId="6BBE6F3E">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lang w:val="en-US" w:eastAsia="zh-CN"/>
                    </w:rPr>
                    <w:t>--</w:t>
                  </w:r>
                </w:p>
              </w:tc>
              <w:tc>
                <w:tcPr>
                  <w:tcW w:w="537" w:type="pct"/>
                  <w:noWrap w:val="0"/>
                  <w:vAlign w:val="center"/>
                </w:tcPr>
                <w:p w14:paraId="2B8759D1">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4.68</w:t>
                  </w:r>
                </w:p>
              </w:tc>
              <w:tc>
                <w:tcPr>
                  <w:tcW w:w="526" w:type="pct"/>
                  <w:noWrap w:val="0"/>
                  <w:vAlign w:val="center"/>
                </w:tcPr>
                <w:p w14:paraId="0770A02D">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44.02</w:t>
                  </w:r>
                </w:p>
              </w:tc>
              <w:tc>
                <w:tcPr>
                  <w:tcW w:w="397" w:type="pct"/>
                  <w:noWrap w:val="0"/>
                  <w:vAlign w:val="center"/>
                </w:tcPr>
                <w:p w14:paraId="141DCABC">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i w:val="0"/>
                      <w:iCs w:val="0"/>
                      <w:color w:val="auto"/>
                      <w:kern w:val="0"/>
                      <w:sz w:val="21"/>
                      <w:szCs w:val="21"/>
                      <w:highlight w:val="none"/>
                      <w:u w:val="none"/>
                      <w:lang w:val="en-US" w:eastAsia="zh-CN" w:bidi="ar"/>
                    </w:rPr>
                    <w:t>1</w:t>
                  </w:r>
                </w:p>
              </w:tc>
              <w:tc>
                <w:tcPr>
                  <w:tcW w:w="898" w:type="pct"/>
                  <w:noWrap w:val="0"/>
                  <w:vAlign w:val="center"/>
                </w:tcPr>
                <w:p w14:paraId="330C1D94">
                  <w:pPr>
                    <w:keepNext w:val="0"/>
                    <w:keepLines w:val="0"/>
                    <w:pageBreakBefore w:val="0"/>
                    <w:kinsoku/>
                    <w:wordWrap/>
                    <w:overflowPunct/>
                    <w:topLinePunct w:val="0"/>
                    <w:autoSpaceDE w:val="0"/>
                    <w:autoSpaceDN w:val="0"/>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w:t>
                  </w:r>
                  <w:r>
                    <w:rPr>
                      <w:rFonts w:hint="eastAsia"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lang w:val="en-US" w:eastAsia="zh-CN"/>
                    </w:rPr>
                    <w:t>/1</w:t>
                  </w:r>
                </w:p>
              </w:tc>
              <w:tc>
                <w:tcPr>
                  <w:tcW w:w="557" w:type="pct"/>
                  <w:vMerge w:val="continue"/>
                  <w:noWrap w:val="0"/>
                  <w:vAlign w:val="center"/>
                </w:tcPr>
                <w:p w14:paraId="2267C164">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c>
                <w:tcPr>
                  <w:tcW w:w="486" w:type="pct"/>
                  <w:vMerge w:val="continue"/>
                  <w:tcBorders>
                    <w:right w:val="nil"/>
                  </w:tcBorders>
                  <w:noWrap w:val="0"/>
                  <w:vAlign w:val="center"/>
                </w:tcPr>
                <w:p w14:paraId="16E17A93">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r>
            <w:tr w14:paraId="0150D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306" w:type="pct"/>
                  <w:tcBorders>
                    <w:left w:val="nil"/>
                  </w:tcBorders>
                  <w:noWrap w:val="0"/>
                  <w:vAlign w:val="center"/>
                </w:tcPr>
                <w:p w14:paraId="4A7832B1">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6</w:t>
                  </w:r>
                </w:p>
              </w:tc>
              <w:tc>
                <w:tcPr>
                  <w:tcW w:w="1002" w:type="pct"/>
                  <w:noWrap w:val="0"/>
                  <w:vAlign w:val="center"/>
                </w:tcPr>
                <w:p w14:paraId="621B4D4F">
                  <w:pPr>
                    <w:keepNext w:val="0"/>
                    <w:keepLines w:val="0"/>
                    <w:pageBreakBefore w:val="0"/>
                    <w:kinsoku/>
                    <w:wordWrap/>
                    <w:overflowPunct/>
                    <w:topLinePunct w:val="0"/>
                    <w:autoSpaceDE w:val="0"/>
                    <w:autoSpaceDN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真空泵</w:t>
                  </w:r>
                </w:p>
              </w:tc>
              <w:tc>
                <w:tcPr>
                  <w:tcW w:w="287" w:type="pct"/>
                  <w:noWrap w:val="0"/>
                  <w:vAlign w:val="center"/>
                </w:tcPr>
                <w:p w14:paraId="461D9CC5">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w:t>
                  </w:r>
                </w:p>
              </w:tc>
              <w:tc>
                <w:tcPr>
                  <w:tcW w:w="537" w:type="pct"/>
                  <w:noWrap w:val="0"/>
                  <w:vAlign w:val="center"/>
                </w:tcPr>
                <w:p w14:paraId="459342AA">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eastAsia="宋体" w:cs="Times New Roman"/>
                      <w:i w:val="0"/>
                      <w:iCs w:val="0"/>
                      <w:color w:val="auto"/>
                      <w:spacing w:val="-17"/>
                      <w:kern w:val="0"/>
                      <w:sz w:val="21"/>
                      <w:szCs w:val="21"/>
                      <w:highlight w:val="none"/>
                      <w:u w:val="none"/>
                      <w:lang w:val="en-US" w:eastAsia="zh-CN" w:bidi="ar"/>
                    </w:rPr>
                    <w:t>8.46</w:t>
                  </w:r>
                </w:p>
              </w:tc>
              <w:tc>
                <w:tcPr>
                  <w:tcW w:w="526" w:type="pct"/>
                  <w:noWrap w:val="0"/>
                  <w:vAlign w:val="center"/>
                </w:tcPr>
                <w:p w14:paraId="6B303B6D">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w:t>
                  </w:r>
                  <w:r>
                    <w:rPr>
                      <w:rFonts w:hint="eastAsia" w:eastAsia="宋体" w:cs="Times New Roman"/>
                      <w:i w:val="0"/>
                      <w:iCs w:val="0"/>
                      <w:color w:val="auto"/>
                      <w:spacing w:val="-17"/>
                      <w:kern w:val="0"/>
                      <w:sz w:val="21"/>
                      <w:szCs w:val="21"/>
                      <w:highlight w:val="none"/>
                      <w:u w:val="none"/>
                      <w:lang w:val="en-US" w:eastAsia="zh-CN" w:bidi="ar"/>
                    </w:rPr>
                    <w:t>0</w:t>
                  </w: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r>
                    <w:rPr>
                      <w:rFonts w:hint="eastAsia" w:eastAsia="宋体" w:cs="Times New Roman"/>
                      <w:i w:val="0"/>
                      <w:iCs w:val="0"/>
                      <w:color w:val="auto"/>
                      <w:spacing w:val="-17"/>
                      <w:kern w:val="0"/>
                      <w:sz w:val="21"/>
                      <w:szCs w:val="21"/>
                      <w:highlight w:val="none"/>
                      <w:u w:val="none"/>
                      <w:lang w:val="en-US" w:eastAsia="zh-CN" w:bidi="ar"/>
                    </w:rPr>
                    <w:t>16</w:t>
                  </w:r>
                </w:p>
              </w:tc>
              <w:tc>
                <w:tcPr>
                  <w:tcW w:w="397" w:type="pct"/>
                  <w:noWrap w:val="0"/>
                  <w:vAlign w:val="center"/>
                </w:tcPr>
                <w:p w14:paraId="055C0C36">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w:t>
                  </w:r>
                </w:p>
              </w:tc>
              <w:tc>
                <w:tcPr>
                  <w:tcW w:w="898" w:type="pct"/>
                  <w:noWrap w:val="0"/>
                  <w:vAlign w:val="center"/>
                </w:tcPr>
                <w:p w14:paraId="54C8A4D2">
                  <w:pPr>
                    <w:keepNext w:val="0"/>
                    <w:keepLines w:val="0"/>
                    <w:pageBreakBefore w:val="0"/>
                    <w:kinsoku/>
                    <w:wordWrap/>
                    <w:overflowPunct/>
                    <w:topLinePunct w:val="0"/>
                    <w:autoSpaceDE w:val="0"/>
                    <w:autoSpaceDN w:val="0"/>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w:t>
                  </w:r>
                  <w:r>
                    <w:rPr>
                      <w:rFonts w:hint="eastAsia"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lang w:val="en-US" w:eastAsia="zh-CN"/>
                    </w:rPr>
                    <w:t>/1</w:t>
                  </w:r>
                </w:p>
              </w:tc>
              <w:tc>
                <w:tcPr>
                  <w:tcW w:w="557" w:type="pct"/>
                  <w:vMerge w:val="continue"/>
                  <w:noWrap w:val="0"/>
                  <w:vAlign w:val="center"/>
                </w:tcPr>
                <w:p w14:paraId="715744B4">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c>
                <w:tcPr>
                  <w:tcW w:w="486" w:type="pct"/>
                  <w:vMerge w:val="continue"/>
                  <w:tcBorders>
                    <w:right w:val="nil"/>
                  </w:tcBorders>
                  <w:noWrap w:val="0"/>
                  <w:vAlign w:val="center"/>
                </w:tcPr>
                <w:p w14:paraId="41021E5A">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r>
            <w:tr w14:paraId="5C5BA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306" w:type="pct"/>
                  <w:tcBorders>
                    <w:left w:val="nil"/>
                  </w:tcBorders>
                  <w:noWrap w:val="0"/>
                  <w:vAlign w:val="center"/>
                </w:tcPr>
                <w:p w14:paraId="4AC38575">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7</w:t>
                  </w:r>
                </w:p>
              </w:tc>
              <w:tc>
                <w:tcPr>
                  <w:tcW w:w="1002" w:type="pct"/>
                  <w:noWrap w:val="0"/>
                  <w:vAlign w:val="center"/>
                </w:tcPr>
                <w:p w14:paraId="2E5142E6">
                  <w:pPr>
                    <w:keepNext w:val="0"/>
                    <w:keepLines w:val="0"/>
                    <w:pageBreakBefore w:val="0"/>
                    <w:kinsoku/>
                    <w:wordWrap/>
                    <w:overflowPunct/>
                    <w:topLinePunct w:val="0"/>
                    <w:autoSpaceDE w:val="0"/>
                    <w:autoSpaceDN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lang w:val="en-US" w:eastAsia="zh-CN"/>
                    </w:rPr>
                    <w:t>真空泵</w:t>
                  </w:r>
                </w:p>
              </w:tc>
              <w:tc>
                <w:tcPr>
                  <w:tcW w:w="287" w:type="pct"/>
                  <w:noWrap w:val="0"/>
                  <w:vAlign w:val="center"/>
                </w:tcPr>
                <w:p w14:paraId="26D6FDD1">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lang w:val="en-US" w:eastAsia="zh-CN"/>
                    </w:rPr>
                    <w:t>--</w:t>
                  </w:r>
                </w:p>
              </w:tc>
              <w:tc>
                <w:tcPr>
                  <w:tcW w:w="537" w:type="pct"/>
                  <w:noWrap w:val="0"/>
                  <w:vAlign w:val="center"/>
                </w:tcPr>
                <w:p w14:paraId="3890C71A">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21.</w:t>
                  </w:r>
                  <w:r>
                    <w:rPr>
                      <w:rFonts w:hint="eastAsia" w:eastAsia="宋体" w:cs="Times New Roman"/>
                      <w:i w:val="0"/>
                      <w:iCs w:val="0"/>
                      <w:color w:val="auto"/>
                      <w:spacing w:val="-17"/>
                      <w:kern w:val="0"/>
                      <w:sz w:val="21"/>
                      <w:szCs w:val="21"/>
                      <w:highlight w:val="none"/>
                      <w:u w:val="none"/>
                      <w:lang w:val="en-US" w:eastAsia="zh-CN" w:bidi="ar"/>
                    </w:rPr>
                    <w:t>00</w:t>
                  </w:r>
                </w:p>
              </w:tc>
              <w:tc>
                <w:tcPr>
                  <w:tcW w:w="526" w:type="pct"/>
                  <w:noWrap w:val="0"/>
                  <w:vAlign w:val="center"/>
                </w:tcPr>
                <w:p w14:paraId="30BAC339">
                  <w:pPr>
                    <w:keepNext w:val="0"/>
                    <w:keepLines w:val="0"/>
                    <w:pageBreakBefore w:val="0"/>
                    <w:widowControl/>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w:t>
                  </w:r>
                  <w:r>
                    <w:rPr>
                      <w:rFonts w:hint="eastAsia" w:eastAsia="宋体" w:cs="Times New Roman"/>
                      <w:i w:val="0"/>
                      <w:iCs w:val="0"/>
                      <w:color w:val="auto"/>
                      <w:spacing w:val="-17"/>
                      <w:kern w:val="0"/>
                      <w:sz w:val="21"/>
                      <w:szCs w:val="21"/>
                      <w:highlight w:val="none"/>
                      <w:u w:val="none"/>
                      <w:lang w:val="en-US" w:eastAsia="zh-CN" w:bidi="ar"/>
                    </w:rPr>
                    <w:t>59</w:t>
                  </w:r>
                </w:p>
              </w:tc>
              <w:tc>
                <w:tcPr>
                  <w:tcW w:w="397" w:type="pct"/>
                  <w:noWrap w:val="0"/>
                  <w:vAlign w:val="center"/>
                </w:tcPr>
                <w:p w14:paraId="3A4D24CF">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eastAsia="宋体" w:cs="Times New Roman"/>
                      <w:i w:val="0"/>
                      <w:iCs w:val="0"/>
                      <w:color w:val="auto"/>
                      <w:kern w:val="0"/>
                      <w:sz w:val="21"/>
                      <w:szCs w:val="21"/>
                      <w:highlight w:val="none"/>
                      <w:u w:val="none"/>
                      <w:lang w:val="en-US" w:eastAsia="zh-CN" w:bidi="ar"/>
                    </w:rPr>
                    <w:t>1</w:t>
                  </w:r>
                </w:p>
              </w:tc>
              <w:tc>
                <w:tcPr>
                  <w:tcW w:w="898" w:type="pct"/>
                  <w:noWrap w:val="0"/>
                  <w:vAlign w:val="center"/>
                </w:tcPr>
                <w:p w14:paraId="317C7BD4">
                  <w:pPr>
                    <w:keepNext w:val="0"/>
                    <w:keepLines w:val="0"/>
                    <w:pageBreakBefore w:val="0"/>
                    <w:kinsoku/>
                    <w:wordWrap/>
                    <w:overflowPunct/>
                    <w:topLinePunct w:val="0"/>
                    <w:autoSpaceDE w:val="0"/>
                    <w:autoSpaceDN w:val="0"/>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80/1</w:t>
                  </w:r>
                </w:p>
              </w:tc>
              <w:tc>
                <w:tcPr>
                  <w:tcW w:w="557" w:type="pct"/>
                  <w:vMerge w:val="continue"/>
                  <w:noWrap w:val="0"/>
                  <w:vAlign w:val="center"/>
                </w:tcPr>
                <w:p w14:paraId="02CA8195">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c>
                <w:tcPr>
                  <w:tcW w:w="486" w:type="pct"/>
                  <w:vMerge w:val="continue"/>
                  <w:tcBorders>
                    <w:right w:val="nil"/>
                  </w:tcBorders>
                  <w:noWrap w:val="0"/>
                  <w:vAlign w:val="center"/>
                </w:tcPr>
                <w:p w14:paraId="25C0321A">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r>
            <w:tr w14:paraId="13298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306" w:type="pct"/>
                  <w:tcBorders>
                    <w:left w:val="nil"/>
                  </w:tcBorders>
                  <w:noWrap w:val="0"/>
                  <w:vAlign w:val="center"/>
                </w:tcPr>
                <w:p w14:paraId="6FF94BC3">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8</w:t>
                  </w:r>
                </w:p>
              </w:tc>
              <w:tc>
                <w:tcPr>
                  <w:tcW w:w="1002" w:type="pct"/>
                  <w:noWrap w:val="0"/>
                  <w:vAlign w:val="center"/>
                </w:tcPr>
                <w:p w14:paraId="3B317388">
                  <w:pPr>
                    <w:keepNext w:val="0"/>
                    <w:keepLines w:val="0"/>
                    <w:pageBreakBefore w:val="0"/>
                    <w:kinsoku/>
                    <w:wordWrap/>
                    <w:overflowPunct/>
                    <w:topLinePunct w:val="0"/>
                    <w:autoSpaceDE w:val="0"/>
                    <w:autoSpaceDN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lang w:val="en-US" w:eastAsia="zh-CN"/>
                    </w:rPr>
                    <w:t>水池泵</w:t>
                  </w:r>
                </w:p>
              </w:tc>
              <w:tc>
                <w:tcPr>
                  <w:tcW w:w="287" w:type="pct"/>
                  <w:noWrap w:val="0"/>
                  <w:vAlign w:val="center"/>
                </w:tcPr>
                <w:p w14:paraId="6825ED51">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lang w:val="en-US" w:eastAsia="zh-CN"/>
                    </w:rPr>
                    <w:t>--</w:t>
                  </w:r>
                </w:p>
              </w:tc>
              <w:tc>
                <w:tcPr>
                  <w:tcW w:w="537" w:type="pct"/>
                  <w:noWrap w:val="0"/>
                  <w:vAlign w:val="center"/>
                </w:tcPr>
                <w:p w14:paraId="68890977">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26.13</w:t>
                  </w:r>
                </w:p>
              </w:tc>
              <w:tc>
                <w:tcPr>
                  <w:tcW w:w="526" w:type="pct"/>
                  <w:noWrap w:val="0"/>
                  <w:vAlign w:val="center"/>
                </w:tcPr>
                <w:p w14:paraId="5248AC15">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43.86</w:t>
                  </w:r>
                </w:p>
              </w:tc>
              <w:tc>
                <w:tcPr>
                  <w:tcW w:w="397" w:type="pct"/>
                  <w:noWrap w:val="0"/>
                  <w:vAlign w:val="center"/>
                </w:tcPr>
                <w:p w14:paraId="7FA22380">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898" w:type="pct"/>
                  <w:noWrap w:val="0"/>
                  <w:vAlign w:val="center"/>
                </w:tcPr>
                <w:p w14:paraId="7C38ABF9">
                  <w:pPr>
                    <w:keepNext w:val="0"/>
                    <w:keepLines w:val="0"/>
                    <w:pageBreakBefore w:val="0"/>
                    <w:kinsoku/>
                    <w:wordWrap/>
                    <w:overflowPunct/>
                    <w:topLinePunct w:val="0"/>
                    <w:autoSpaceDE w:val="0"/>
                    <w:autoSpaceDN w:val="0"/>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80/1</w:t>
                  </w:r>
                </w:p>
              </w:tc>
              <w:tc>
                <w:tcPr>
                  <w:tcW w:w="557" w:type="pct"/>
                  <w:vMerge w:val="continue"/>
                  <w:noWrap w:val="0"/>
                  <w:vAlign w:val="center"/>
                </w:tcPr>
                <w:p w14:paraId="00EA01AA">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c>
                <w:tcPr>
                  <w:tcW w:w="486" w:type="pct"/>
                  <w:vMerge w:val="continue"/>
                  <w:tcBorders>
                    <w:right w:val="nil"/>
                  </w:tcBorders>
                  <w:noWrap w:val="0"/>
                  <w:vAlign w:val="center"/>
                </w:tcPr>
                <w:p w14:paraId="49790387">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r>
            <w:tr w14:paraId="1D40F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06" w:type="pct"/>
                  <w:tcBorders>
                    <w:left w:val="nil"/>
                  </w:tcBorders>
                  <w:noWrap w:val="0"/>
                  <w:vAlign w:val="center"/>
                </w:tcPr>
                <w:p w14:paraId="5437F0E5">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9</w:t>
                  </w:r>
                </w:p>
              </w:tc>
              <w:tc>
                <w:tcPr>
                  <w:tcW w:w="1002" w:type="pct"/>
                  <w:noWrap w:val="0"/>
                  <w:vAlign w:val="center"/>
                </w:tcPr>
                <w:p w14:paraId="04ED7E74">
                  <w:pPr>
                    <w:keepNext w:val="0"/>
                    <w:keepLines w:val="0"/>
                    <w:pageBreakBefore w:val="0"/>
                    <w:kinsoku/>
                    <w:wordWrap/>
                    <w:overflowPunct/>
                    <w:topLinePunct w:val="0"/>
                    <w:autoSpaceDE w:val="0"/>
                    <w:autoSpaceDN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lang w:val="en-US" w:eastAsia="zh-CN"/>
                    </w:rPr>
                    <w:t>水池泵</w:t>
                  </w:r>
                </w:p>
              </w:tc>
              <w:tc>
                <w:tcPr>
                  <w:tcW w:w="287" w:type="pct"/>
                  <w:noWrap w:val="0"/>
                  <w:vAlign w:val="center"/>
                </w:tcPr>
                <w:p w14:paraId="58B78440">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lang w:val="en-US" w:eastAsia="zh-CN"/>
                    </w:rPr>
                    <w:t>--</w:t>
                  </w:r>
                </w:p>
              </w:tc>
              <w:tc>
                <w:tcPr>
                  <w:tcW w:w="537" w:type="pct"/>
                  <w:noWrap w:val="0"/>
                  <w:vAlign w:val="center"/>
                </w:tcPr>
                <w:p w14:paraId="09FC5F08">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48.96</w:t>
                  </w:r>
                </w:p>
              </w:tc>
              <w:tc>
                <w:tcPr>
                  <w:tcW w:w="526" w:type="pct"/>
                  <w:noWrap w:val="0"/>
                  <w:vAlign w:val="center"/>
                </w:tcPr>
                <w:p w14:paraId="3B66C198">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-1.49</w:t>
                  </w:r>
                </w:p>
              </w:tc>
              <w:tc>
                <w:tcPr>
                  <w:tcW w:w="397" w:type="pct"/>
                  <w:noWrap w:val="0"/>
                  <w:vAlign w:val="center"/>
                </w:tcPr>
                <w:p w14:paraId="3DA9F989">
                  <w:pPr>
                    <w:keepNext w:val="0"/>
                    <w:keepLines w:val="0"/>
                    <w:pageBreakBefore w:val="0"/>
                    <w:widowControl/>
                    <w:suppressLineNumbers w:val="0"/>
                    <w:kinsoku/>
                    <w:wordWrap/>
                    <w:overflowPunct/>
                    <w:topLinePunct w:val="0"/>
                    <w:bidi w:val="0"/>
                    <w:spacing w:line="240" w:lineRule="auto"/>
                    <w:jc w:val="center"/>
                    <w:textAlignment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898" w:type="pct"/>
                  <w:noWrap w:val="0"/>
                  <w:vAlign w:val="center"/>
                </w:tcPr>
                <w:p w14:paraId="08562C13">
                  <w:pPr>
                    <w:keepNext w:val="0"/>
                    <w:keepLines w:val="0"/>
                    <w:pageBreakBefore w:val="0"/>
                    <w:kinsoku/>
                    <w:wordWrap/>
                    <w:overflowPunct/>
                    <w:topLinePunct w:val="0"/>
                    <w:autoSpaceDE w:val="0"/>
                    <w:autoSpaceDN w:val="0"/>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80/1</w:t>
                  </w:r>
                </w:p>
              </w:tc>
              <w:tc>
                <w:tcPr>
                  <w:tcW w:w="557" w:type="pct"/>
                  <w:vMerge w:val="continue"/>
                  <w:noWrap w:val="0"/>
                  <w:vAlign w:val="center"/>
                </w:tcPr>
                <w:p w14:paraId="248B5532">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c>
                <w:tcPr>
                  <w:tcW w:w="486" w:type="pct"/>
                  <w:vMerge w:val="continue"/>
                  <w:tcBorders>
                    <w:right w:val="nil"/>
                  </w:tcBorders>
                  <w:noWrap w:val="0"/>
                  <w:vAlign w:val="center"/>
                </w:tcPr>
                <w:p w14:paraId="596D5600">
                  <w:pPr>
                    <w:keepNext w:val="0"/>
                    <w:keepLines w:val="0"/>
                    <w:pageBreakBefore w:val="0"/>
                    <w:kinsoku/>
                    <w:wordWrap/>
                    <w:overflowPunct/>
                    <w:topLinePunct w:val="0"/>
                    <w:bidi w:val="0"/>
                    <w:spacing w:line="240" w:lineRule="auto"/>
                    <w:jc w:val="center"/>
                    <w:rPr>
                      <w:rFonts w:hint="default" w:ascii="Times New Roman" w:hAnsi="Times New Roman" w:eastAsia="宋体" w:cs="Times New Roman"/>
                      <w:color w:val="auto"/>
                      <w:spacing w:val="4"/>
                      <w:kern w:val="0"/>
                      <w:sz w:val="21"/>
                      <w:szCs w:val="21"/>
                      <w:highlight w:val="none"/>
                      <w:lang w:val="en-US" w:eastAsia="zh-CN"/>
                    </w:rPr>
                  </w:pPr>
                </w:p>
              </w:tc>
            </w:tr>
          </w:tbl>
          <w:p w14:paraId="51331571">
            <w:pPr>
              <w:spacing w:line="480" w:lineRule="exact"/>
              <w:jc w:val="center"/>
              <w:rPr>
                <w:rFonts w:hint="default" w:ascii="Times New Roman" w:hAnsi="Times New Roman" w:eastAsia="宋体" w:cs="Times New Roman"/>
                <w:b/>
                <w:color w:val="auto"/>
                <w:sz w:val="24"/>
                <w:highlight w:val="none"/>
                <w:vertAlign w:val="baseline"/>
                <w:lang w:val="en-US" w:eastAsia="zh-CN"/>
              </w:rPr>
            </w:pPr>
            <w:r>
              <w:rPr>
                <w:rFonts w:hint="default" w:ascii="Times New Roman" w:hAnsi="Times New Roman" w:eastAsia="宋体" w:cs="Times New Roman"/>
                <w:b/>
                <w:color w:val="auto"/>
                <w:sz w:val="24"/>
                <w:highlight w:val="none"/>
                <w:vertAlign w:val="baseline"/>
                <w:lang w:val="en-US" w:eastAsia="zh-CN"/>
              </w:rPr>
              <w:t>表4-</w:t>
            </w:r>
            <w:r>
              <w:rPr>
                <w:rFonts w:hint="eastAsia" w:cs="Times New Roman"/>
                <w:b/>
                <w:color w:val="auto"/>
                <w:sz w:val="24"/>
                <w:highlight w:val="none"/>
                <w:vertAlign w:val="baseline"/>
                <w:lang w:val="en-US" w:eastAsia="zh-CN"/>
              </w:rPr>
              <w:t>10</w:t>
            </w:r>
            <w:r>
              <w:rPr>
                <w:rFonts w:hint="default" w:ascii="Times New Roman" w:hAnsi="Times New Roman" w:eastAsia="宋体" w:cs="Times New Roman"/>
                <w:b/>
                <w:color w:val="auto"/>
                <w:sz w:val="24"/>
                <w:highlight w:val="none"/>
                <w:vertAlign w:val="baseline"/>
                <w:lang w:val="en-US" w:eastAsia="zh-CN"/>
              </w:rPr>
              <w:t>室内声源调查清单</w:t>
            </w:r>
          </w:p>
          <w:tbl>
            <w:tblPr>
              <w:tblStyle w:val="34"/>
              <w:tblW w:w="5000" w:type="pct"/>
              <w:jc w:val="center"/>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autofit"/>
              <w:tblCellMar>
                <w:top w:w="0" w:type="dxa"/>
                <w:left w:w="108" w:type="dxa"/>
                <w:bottom w:w="0" w:type="dxa"/>
                <w:right w:w="108" w:type="dxa"/>
              </w:tblCellMar>
            </w:tblPr>
            <w:tblGrid>
              <w:gridCol w:w="309"/>
              <w:gridCol w:w="612"/>
              <w:gridCol w:w="313"/>
              <w:gridCol w:w="1149"/>
              <w:gridCol w:w="557"/>
              <w:gridCol w:w="557"/>
              <w:gridCol w:w="596"/>
              <w:gridCol w:w="494"/>
              <w:gridCol w:w="532"/>
              <w:gridCol w:w="672"/>
              <w:gridCol w:w="484"/>
              <w:gridCol w:w="684"/>
              <w:gridCol w:w="825"/>
              <w:gridCol w:w="698"/>
            </w:tblGrid>
            <w:tr w14:paraId="7A1B1A95">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PrEx>
              <w:trPr>
                <w:trHeight w:val="312" w:hRule="atLeast"/>
                <w:jc w:val="center"/>
              </w:trPr>
              <w:tc>
                <w:tcPr>
                  <w:tcW w:w="181" w:type="pct"/>
                  <w:vMerge w:val="restart"/>
                  <w:tcBorders>
                    <w:tl2br w:val="nil"/>
                    <w:tr2bl w:val="nil"/>
                  </w:tcBorders>
                  <w:noWrap w:val="0"/>
                  <w:vAlign w:val="center"/>
                </w:tcPr>
                <w:p w14:paraId="2715DB2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bCs/>
                      <w:i w:val="0"/>
                      <w:iCs w:val="0"/>
                      <w:color w:val="auto"/>
                      <w:spacing w:val="-17"/>
                      <w:sz w:val="21"/>
                      <w:szCs w:val="21"/>
                      <w:highlight w:val="none"/>
                      <w:u w:val="none"/>
                    </w:rPr>
                  </w:pPr>
                  <w:r>
                    <w:rPr>
                      <w:rFonts w:hint="default" w:ascii="Times New Roman" w:hAnsi="Times New Roman" w:eastAsia="宋体" w:cs="Times New Roman"/>
                      <w:b/>
                      <w:bCs/>
                      <w:i w:val="0"/>
                      <w:iCs w:val="0"/>
                      <w:color w:val="auto"/>
                      <w:spacing w:val="-17"/>
                      <w:kern w:val="0"/>
                      <w:sz w:val="21"/>
                      <w:szCs w:val="21"/>
                      <w:highlight w:val="none"/>
                      <w:u w:val="none"/>
                      <w:lang w:val="en-US" w:eastAsia="zh-CN" w:bidi="ar"/>
                    </w:rPr>
                    <w:t>序号</w:t>
                  </w:r>
                </w:p>
              </w:tc>
              <w:tc>
                <w:tcPr>
                  <w:tcW w:w="379" w:type="pct"/>
                  <w:vMerge w:val="restart"/>
                  <w:tcBorders>
                    <w:tl2br w:val="nil"/>
                    <w:tr2bl w:val="nil"/>
                  </w:tcBorders>
                  <w:noWrap w:val="0"/>
                  <w:vAlign w:val="center"/>
                </w:tcPr>
                <w:p w14:paraId="2746237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bCs/>
                      <w:i w:val="0"/>
                      <w:iCs w:val="0"/>
                      <w:color w:val="auto"/>
                      <w:spacing w:val="-17"/>
                      <w:sz w:val="21"/>
                      <w:szCs w:val="21"/>
                      <w:highlight w:val="none"/>
                      <w:u w:val="none"/>
                    </w:rPr>
                  </w:pPr>
                  <w:r>
                    <w:rPr>
                      <w:rFonts w:hint="default" w:ascii="Times New Roman" w:hAnsi="Times New Roman" w:eastAsia="宋体" w:cs="Times New Roman"/>
                      <w:b/>
                      <w:bCs/>
                      <w:i w:val="0"/>
                      <w:iCs w:val="0"/>
                      <w:color w:val="auto"/>
                      <w:spacing w:val="-17"/>
                      <w:kern w:val="0"/>
                      <w:sz w:val="21"/>
                      <w:szCs w:val="21"/>
                      <w:highlight w:val="none"/>
                      <w:u w:val="none"/>
                      <w:lang w:val="en-US" w:eastAsia="zh-CN" w:bidi="ar"/>
                    </w:rPr>
                    <w:t>声源名称</w:t>
                  </w:r>
                </w:p>
              </w:tc>
              <w:tc>
                <w:tcPr>
                  <w:tcW w:w="203" w:type="pct"/>
                  <w:vMerge w:val="restart"/>
                  <w:tcBorders>
                    <w:tl2br w:val="nil"/>
                    <w:tr2bl w:val="nil"/>
                  </w:tcBorders>
                  <w:noWrap w:val="0"/>
                  <w:vAlign w:val="center"/>
                </w:tcPr>
                <w:p w14:paraId="74E167A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bCs/>
                      <w:i w:val="0"/>
                      <w:iCs w:val="0"/>
                      <w:color w:val="auto"/>
                      <w:spacing w:val="-17"/>
                      <w:sz w:val="21"/>
                      <w:szCs w:val="21"/>
                      <w:highlight w:val="none"/>
                      <w:u w:val="none"/>
                    </w:rPr>
                  </w:pPr>
                  <w:r>
                    <w:rPr>
                      <w:rFonts w:hint="default" w:ascii="Times New Roman" w:hAnsi="Times New Roman" w:eastAsia="宋体" w:cs="Times New Roman"/>
                      <w:b/>
                      <w:bCs/>
                      <w:i w:val="0"/>
                      <w:iCs w:val="0"/>
                      <w:color w:val="auto"/>
                      <w:spacing w:val="-17"/>
                      <w:kern w:val="0"/>
                      <w:sz w:val="21"/>
                      <w:szCs w:val="21"/>
                      <w:highlight w:val="none"/>
                      <w:u w:val="none"/>
                      <w:lang w:val="en-US" w:eastAsia="zh-CN" w:bidi="ar"/>
                    </w:rPr>
                    <w:t>型号</w:t>
                  </w:r>
                </w:p>
              </w:tc>
              <w:tc>
                <w:tcPr>
                  <w:tcW w:w="512" w:type="pct"/>
                  <w:vMerge w:val="restart"/>
                  <w:tcBorders>
                    <w:tl2br w:val="nil"/>
                    <w:tr2bl w:val="nil"/>
                  </w:tcBorders>
                  <w:noWrap w:val="0"/>
                  <w:vAlign w:val="center"/>
                </w:tcPr>
                <w:p w14:paraId="16C9767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bCs/>
                      <w:i w:val="0"/>
                      <w:iCs w:val="0"/>
                      <w:color w:val="auto"/>
                      <w:spacing w:val="-17"/>
                      <w:sz w:val="21"/>
                      <w:szCs w:val="21"/>
                      <w:highlight w:val="none"/>
                      <w:u w:val="none"/>
                      <w:lang w:val="en-US"/>
                    </w:rPr>
                  </w:pPr>
                  <w:r>
                    <w:rPr>
                      <w:rFonts w:hint="default" w:ascii="Times New Roman" w:hAnsi="Times New Roman" w:eastAsia="宋体" w:cs="Times New Roman"/>
                      <w:b/>
                      <w:color w:val="auto"/>
                      <w:spacing w:val="-17"/>
                      <w:kern w:val="0"/>
                      <w:sz w:val="21"/>
                      <w:szCs w:val="21"/>
                      <w:highlight w:val="none"/>
                      <w:lang w:val="en-US" w:eastAsia="zh-CN"/>
                    </w:rPr>
                    <w:t>（声压级/距声源距离）（dB(A)/m）</w:t>
                  </w:r>
                </w:p>
              </w:tc>
              <w:tc>
                <w:tcPr>
                  <w:tcW w:w="346" w:type="pct"/>
                  <w:vMerge w:val="restart"/>
                  <w:tcBorders>
                    <w:tl2br w:val="nil"/>
                    <w:tr2bl w:val="nil"/>
                  </w:tcBorders>
                  <w:noWrap w:val="0"/>
                  <w:vAlign w:val="center"/>
                </w:tcPr>
                <w:p w14:paraId="7124BD9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bCs/>
                      <w:i w:val="0"/>
                      <w:iCs w:val="0"/>
                      <w:color w:val="auto"/>
                      <w:spacing w:val="-17"/>
                      <w:sz w:val="21"/>
                      <w:szCs w:val="21"/>
                      <w:highlight w:val="none"/>
                      <w:u w:val="none"/>
                    </w:rPr>
                  </w:pPr>
                  <w:r>
                    <w:rPr>
                      <w:rFonts w:hint="default" w:ascii="Times New Roman" w:hAnsi="Times New Roman" w:eastAsia="宋体" w:cs="Times New Roman"/>
                      <w:b/>
                      <w:bCs/>
                      <w:i w:val="0"/>
                      <w:iCs w:val="0"/>
                      <w:color w:val="auto"/>
                      <w:spacing w:val="-17"/>
                      <w:kern w:val="0"/>
                      <w:sz w:val="21"/>
                      <w:szCs w:val="21"/>
                      <w:highlight w:val="none"/>
                      <w:u w:val="none"/>
                      <w:lang w:val="en-US" w:eastAsia="zh-CN" w:bidi="ar"/>
                    </w:rPr>
                    <w:t>声源控制措施</w:t>
                  </w:r>
                </w:p>
              </w:tc>
              <w:tc>
                <w:tcPr>
                  <w:tcW w:w="1024" w:type="pct"/>
                  <w:gridSpan w:val="3"/>
                  <w:tcBorders>
                    <w:tl2br w:val="nil"/>
                    <w:tr2bl w:val="nil"/>
                  </w:tcBorders>
                  <w:noWrap w:val="0"/>
                  <w:vAlign w:val="center"/>
                </w:tcPr>
                <w:p w14:paraId="07E302A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bCs/>
                      <w:i w:val="0"/>
                      <w:iCs w:val="0"/>
                      <w:color w:val="auto"/>
                      <w:spacing w:val="-17"/>
                      <w:sz w:val="21"/>
                      <w:szCs w:val="21"/>
                      <w:highlight w:val="none"/>
                      <w:u w:val="none"/>
                    </w:rPr>
                  </w:pPr>
                  <w:r>
                    <w:rPr>
                      <w:rFonts w:hint="default" w:ascii="Times New Roman" w:hAnsi="Times New Roman" w:eastAsia="宋体" w:cs="Times New Roman"/>
                      <w:b/>
                      <w:bCs/>
                      <w:i w:val="0"/>
                      <w:iCs w:val="0"/>
                      <w:color w:val="auto"/>
                      <w:spacing w:val="-17"/>
                      <w:kern w:val="0"/>
                      <w:sz w:val="21"/>
                      <w:szCs w:val="21"/>
                      <w:highlight w:val="none"/>
                      <w:u w:val="none"/>
                      <w:lang w:val="en-US" w:eastAsia="zh-CN" w:bidi="ar"/>
                    </w:rPr>
                    <w:t>空间相对位置/m</w:t>
                  </w:r>
                </w:p>
              </w:tc>
              <w:tc>
                <w:tcPr>
                  <w:tcW w:w="331" w:type="pct"/>
                  <w:vMerge w:val="restart"/>
                  <w:tcBorders>
                    <w:tl2br w:val="nil"/>
                    <w:tr2bl w:val="nil"/>
                  </w:tcBorders>
                  <w:noWrap w:val="0"/>
                  <w:vAlign w:val="center"/>
                </w:tcPr>
                <w:p w14:paraId="79A8431C">
                  <w:pPr>
                    <w:keepNext w:val="0"/>
                    <w:keepLines w:val="0"/>
                    <w:pageBreakBefore w:val="0"/>
                    <w:widowControl w:val="0"/>
                    <w:kinsoku/>
                    <w:wordWrap/>
                    <w:overflowPunct/>
                    <w:topLinePunct w:val="0"/>
                    <w:autoSpaceDE/>
                    <w:autoSpaceDN/>
                    <w:bidi w:val="0"/>
                    <w:adjustRightInd/>
                    <w:snapToGrid/>
                    <w:spacing w:line="240" w:lineRule="auto"/>
                    <w:ind w:left="-42" w:leftChars="-20" w:right="-42" w:rightChars="-20"/>
                    <w:jc w:val="center"/>
                    <w:rPr>
                      <w:rFonts w:hint="default" w:ascii="Times New Roman" w:hAnsi="Times New Roman" w:eastAsia="宋体" w:cs="Times New Roman"/>
                      <w:b/>
                      <w:bCs/>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color w:val="auto"/>
                      <w:spacing w:val="-17"/>
                      <w:kern w:val="0"/>
                      <w:sz w:val="21"/>
                      <w:szCs w:val="21"/>
                      <w:highlight w:val="none"/>
                      <w:lang w:val="en-US" w:eastAsia="zh-CN"/>
                    </w:rPr>
                    <w:t>距室内边界距离/m</w:t>
                  </w:r>
                </w:p>
              </w:tc>
              <w:tc>
                <w:tcPr>
                  <w:tcW w:w="414" w:type="pct"/>
                  <w:vMerge w:val="restart"/>
                  <w:tcBorders>
                    <w:tl2br w:val="nil"/>
                    <w:tr2bl w:val="nil"/>
                  </w:tcBorders>
                  <w:noWrap w:val="0"/>
                  <w:vAlign w:val="center"/>
                </w:tcPr>
                <w:p w14:paraId="174D0EB1">
                  <w:pPr>
                    <w:keepNext w:val="0"/>
                    <w:keepLines w:val="0"/>
                    <w:pageBreakBefore w:val="0"/>
                    <w:widowControl w:val="0"/>
                    <w:kinsoku/>
                    <w:wordWrap/>
                    <w:overflowPunct/>
                    <w:topLinePunct w:val="0"/>
                    <w:autoSpaceDE/>
                    <w:autoSpaceDN/>
                    <w:bidi w:val="0"/>
                    <w:adjustRightInd/>
                    <w:snapToGrid/>
                    <w:spacing w:line="240" w:lineRule="auto"/>
                    <w:ind w:left="-42" w:leftChars="-20" w:right="-42" w:rightChars="-20"/>
                    <w:jc w:val="center"/>
                    <w:rPr>
                      <w:rFonts w:hint="default" w:ascii="Times New Roman" w:hAnsi="Times New Roman" w:eastAsia="宋体" w:cs="Times New Roman"/>
                      <w:b/>
                      <w:bCs/>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color w:val="auto"/>
                      <w:spacing w:val="-17"/>
                      <w:kern w:val="0"/>
                      <w:sz w:val="21"/>
                      <w:szCs w:val="21"/>
                      <w:highlight w:val="none"/>
                      <w:lang w:val="en-US" w:eastAsia="zh-CN"/>
                    </w:rPr>
                    <w:t>室内边界声级</w:t>
                  </w:r>
                  <w:r>
                    <w:rPr>
                      <w:rFonts w:hint="default" w:ascii="Times New Roman" w:hAnsi="Times New Roman" w:eastAsia="宋体" w:cs="Times New Roman"/>
                      <w:b/>
                      <w:color w:val="auto"/>
                      <w:spacing w:val="-17"/>
                      <w:kern w:val="0"/>
                      <w:sz w:val="21"/>
                      <w:szCs w:val="21"/>
                      <w:highlight w:val="none"/>
                    </w:rPr>
                    <w:t>dB（A）</w:t>
                  </w:r>
                </w:p>
              </w:tc>
              <w:tc>
                <w:tcPr>
                  <w:tcW w:w="256" w:type="pct"/>
                  <w:vMerge w:val="restart"/>
                  <w:tcBorders>
                    <w:tl2br w:val="nil"/>
                    <w:tr2bl w:val="nil"/>
                  </w:tcBorders>
                  <w:noWrap w:val="0"/>
                  <w:vAlign w:val="center"/>
                </w:tcPr>
                <w:p w14:paraId="2F5DABF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bCs/>
                      <w:i w:val="0"/>
                      <w:iCs w:val="0"/>
                      <w:color w:val="auto"/>
                      <w:spacing w:val="-17"/>
                      <w:sz w:val="21"/>
                      <w:szCs w:val="21"/>
                      <w:highlight w:val="none"/>
                      <w:u w:val="none"/>
                    </w:rPr>
                  </w:pPr>
                  <w:r>
                    <w:rPr>
                      <w:rFonts w:hint="default" w:ascii="Times New Roman" w:hAnsi="Times New Roman" w:eastAsia="宋体" w:cs="Times New Roman"/>
                      <w:b/>
                      <w:bCs/>
                      <w:i w:val="0"/>
                      <w:iCs w:val="0"/>
                      <w:color w:val="auto"/>
                      <w:spacing w:val="-17"/>
                      <w:kern w:val="0"/>
                      <w:sz w:val="21"/>
                      <w:szCs w:val="21"/>
                      <w:highlight w:val="none"/>
                      <w:u w:val="none"/>
                      <w:lang w:val="en-US" w:eastAsia="zh-CN" w:bidi="ar"/>
                    </w:rPr>
                    <w:t>运行时段</w:t>
                  </w:r>
                </w:p>
              </w:tc>
              <w:tc>
                <w:tcPr>
                  <w:tcW w:w="421" w:type="pct"/>
                  <w:vMerge w:val="restart"/>
                  <w:tcBorders>
                    <w:tl2br w:val="nil"/>
                    <w:tr2bl w:val="nil"/>
                  </w:tcBorders>
                  <w:noWrap w:val="0"/>
                  <w:vAlign w:val="center"/>
                </w:tcPr>
                <w:p w14:paraId="06124AE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bCs/>
                      <w:i w:val="0"/>
                      <w:iCs w:val="0"/>
                      <w:color w:val="auto"/>
                      <w:spacing w:val="-17"/>
                      <w:sz w:val="21"/>
                      <w:szCs w:val="21"/>
                      <w:highlight w:val="none"/>
                      <w:u w:val="none"/>
                    </w:rPr>
                  </w:pPr>
                  <w:r>
                    <w:rPr>
                      <w:rFonts w:hint="default" w:ascii="Times New Roman" w:hAnsi="Times New Roman" w:eastAsia="宋体" w:cs="Times New Roman"/>
                      <w:b/>
                      <w:bCs/>
                      <w:i w:val="0"/>
                      <w:iCs w:val="0"/>
                      <w:color w:val="auto"/>
                      <w:spacing w:val="-17"/>
                      <w:kern w:val="0"/>
                      <w:sz w:val="21"/>
                      <w:szCs w:val="21"/>
                      <w:highlight w:val="none"/>
                      <w:u w:val="none"/>
                      <w:lang w:val="en-US" w:eastAsia="zh-CN" w:bidi="ar"/>
                    </w:rPr>
                    <w:t>建筑物插入损失/dB(A)</w:t>
                  </w:r>
                </w:p>
              </w:tc>
              <w:tc>
                <w:tcPr>
                  <w:tcW w:w="927" w:type="pct"/>
                  <w:gridSpan w:val="2"/>
                  <w:tcBorders>
                    <w:bottom w:val="single" w:color="000000" w:sz="8" w:space="0"/>
                    <w:tl2br w:val="nil"/>
                    <w:tr2bl w:val="nil"/>
                  </w:tcBorders>
                  <w:noWrap w:val="0"/>
                  <w:vAlign w:val="center"/>
                </w:tcPr>
                <w:p w14:paraId="196829C2">
                  <w:pPr>
                    <w:keepNext w:val="0"/>
                    <w:keepLines w:val="0"/>
                    <w:pageBreakBefore w:val="0"/>
                    <w:widowControl w:val="0"/>
                    <w:kinsoku/>
                    <w:wordWrap/>
                    <w:overflowPunct/>
                    <w:topLinePunct w:val="0"/>
                    <w:autoSpaceDE/>
                    <w:autoSpaceDN/>
                    <w:bidi w:val="0"/>
                    <w:adjustRightInd/>
                    <w:snapToGrid/>
                    <w:spacing w:line="240" w:lineRule="auto"/>
                    <w:ind w:left="-42" w:leftChars="-20" w:right="-42" w:rightChars="-20"/>
                    <w:jc w:val="center"/>
                    <w:rPr>
                      <w:rFonts w:hint="default" w:ascii="Times New Roman" w:hAnsi="Times New Roman" w:eastAsia="宋体" w:cs="Times New Roman"/>
                      <w:b/>
                      <w:bCs/>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color w:val="auto"/>
                      <w:spacing w:val="-17"/>
                      <w:kern w:val="0"/>
                      <w:sz w:val="21"/>
                      <w:szCs w:val="21"/>
                      <w:highlight w:val="none"/>
                      <w:lang w:val="en-US" w:eastAsia="zh-CN"/>
                    </w:rPr>
                    <w:t>建筑物外噪声</w:t>
                  </w:r>
                </w:p>
              </w:tc>
            </w:tr>
            <w:tr w14:paraId="001B9B65">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825" w:hRule="atLeast"/>
                <w:jc w:val="center"/>
              </w:trPr>
              <w:tc>
                <w:tcPr>
                  <w:tcW w:w="181" w:type="pct"/>
                  <w:vMerge w:val="continue"/>
                  <w:tcBorders>
                    <w:tl2br w:val="nil"/>
                    <w:tr2bl w:val="nil"/>
                  </w:tcBorders>
                  <w:noWrap w:val="0"/>
                  <w:vAlign w:val="center"/>
                </w:tcPr>
                <w:p w14:paraId="3B50743B">
                  <w:pPr>
                    <w:keepNext w:val="0"/>
                    <w:keepLines w:val="0"/>
                    <w:pageBreakBefore w:val="0"/>
                    <w:widowControl w:val="0"/>
                    <w:kinsoku/>
                    <w:wordWrap/>
                    <w:overflowPunct/>
                    <w:topLinePunct w:val="0"/>
                    <w:autoSpaceDE/>
                    <w:autoSpaceDN/>
                    <w:bidi w:val="0"/>
                    <w:adjustRightInd/>
                    <w:snapToGrid/>
                    <w:ind w:left="-42" w:leftChars="-20" w:right="-42" w:rightChars="-20"/>
                    <w:jc w:val="center"/>
                    <w:rPr>
                      <w:rFonts w:hint="default" w:ascii="Times New Roman" w:hAnsi="Times New Roman" w:eastAsia="宋体" w:cs="Times New Roman"/>
                      <w:b/>
                      <w:bCs/>
                      <w:i w:val="0"/>
                      <w:iCs w:val="0"/>
                      <w:color w:val="auto"/>
                      <w:spacing w:val="-17"/>
                      <w:sz w:val="21"/>
                      <w:szCs w:val="21"/>
                      <w:highlight w:val="none"/>
                      <w:u w:val="none"/>
                    </w:rPr>
                  </w:pPr>
                </w:p>
              </w:tc>
              <w:tc>
                <w:tcPr>
                  <w:tcW w:w="379" w:type="pct"/>
                  <w:vMerge w:val="continue"/>
                  <w:tcBorders>
                    <w:tl2br w:val="nil"/>
                    <w:tr2bl w:val="nil"/>
                  </w:tcBorders>
                  <w:noWrap w:val="0"/>
                  <w:vAlign w:val="center"/>
                </w:tcPr>
                <w:p w14:paraId="133DB4FC">
                  <w:pPr>
                    <w:keepNext w:val="0"/>
                    <w:keepLines w:val="0"/>
                    <w:pageBreakBefore w:val="0"/>
                    <w:widowControl w:val="0"/>
                    <w:kinsoku/>
                    <w:wordWrap/>
                    <w:overflowPunct/>
                    <w:topLinePunct w:val="0"/>
                    <w:autoSpaceDE/>
                    <w:autoSpaceDN/>
                    <w:bidi w:val="0"/>
                    <w:adjustRightInd/>
                    <w:snapToGrid/>
                    <w:ind w:left="-42" w:leftChars="-20" w:right="-42" w:rightChars="-20"/>
                    <w:jc w:val="center"/>
                    <w:rPr>
                      <w:rFonts w:hint="default" w:ascii="Times New Roman" w:hAnsi="Times New Roman" w:eastAsia="宋体" w:cs="Times New Roman"/>
                      <w:b/>
                      <w:bCs/>
                      <w:i w:val="0"/>
                      <w:iCs w:val="0"/>
                      <w:color w:val="auto"/>
                      <w:spacing w:val="-17"/>
                      <w:sz w:val="21"/>
                      <w:szCs w:val="21"/>
                      <w:highlight w:val="none"/>
                      <w:u w:val="none"/>
                    </w:rPr>
                  </w:pPr>
                </w:p>
              </w:tc>
              <w:tc>
                <w:tcPr>
                  <w:tcW w:w="203" w:type="pct"/>
                  <w:vMerge w:val="continue"/>
                  <w:tcBorders>
                    <w:tl2br w:val="nil"/>
                    <w:tr2bl w:val="nil"/>
                  </w:tcBorders>
                  <w:noWrap w:val="0"/>
                  <w:vAlign w:val="center"/>
                </w:tcPr>
                <w:p w14:paraId="2B04A49F">
                  <w:pPr>
                    <w:keepNext w:val="0"/>
                    <w:keepLines w:val="0"/>
                    <w:pageBreakBefore w:val="0"/>
                    <w:widowControl w:val="0"/>
                    <w:kinsoku/>
                    <w:wordWrap/>
                    <w:overflowPunct/>
                    <w:topLinePunct w:val="0"/>
                    <w:autoSpaceDE/>
                    <w:autoSpaceDN/>
                    <w:bidi w:val="0"/>
                    <w:adjustRightInd/>
                    <w:snapToGrid/>
                    <w:ind w:left="-42" w:leftChars="-20" w:right="-42" w:rightChars="-20"/>
                    <w:jc w:val="center"/>
                    <w:rPr>
                      <w:rFonts w:hint="default" w:ascii="Times New Roman" w:hAnsi="Times New Roman" w:eastAsia="宋体" w:cs="Times New Roman"/>
                      <w:b/>
                      <w:bCs/>
                      <w:i w:val="0"/>
                      <w:iCs w:val="0"/>
                      <w:color w:val="auto"/>
                      <w:spacing w:val="-17"/>
                      <w:sz w:val="21"/>
                      <w:szCs w:val="21"/>
                      <w:highlight w:val="none"/>
                      <w:u w:val="none"/>
                    </w:rPr>
                  </w:pPr>
                </w:p>
              </w:tc>
              <w:tc>
                <w:tcPr>
                  <w:tcW w:w="512" w:type="pct"/>
                  <w:vMerge w:val="continue"/>
                  <w:tcBorders>
                    <w:tl2br w:val="nil"/>
                    <w:tr2bl w:val="nil"/>
                  </w:tcBorders>
                  <w:noWrap w:val="0"/>
                  <w:vAlign w:val="center"/>
                </w:tcPr>
                <w:p w14:paraId="34CE7AC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bCs/>
                      <w:i w:val="0"/>
                      <w:iCs w:val="0"/>
                      <w:color w:val="auto"/>
                      <w:spacing w:val="-17"/>
                      <w:sz w:val="21"/>
                      <w:szCs w:val="21"/>
                      <w:highlight w:val="none"/>
                      <w:u w:val="none"/>
                    </w:rPr>
                  </w:pPr>
                </w:p>
              </w:tc>
              <w:tc>
                <w:tcPr>
                  <w:tcW w:w="346" w:type="pct"/>
                  <w:vMerge w:val="continue"/>
                  <w:tcBorders>
                    <w:tl2br w:val="nil"/>
                    <w:tr2bl w:val="nil"/>
                  </w:tcBorders>
                  <w:noWrap w:val="0"/>
                  <w:vAlign w:val="center"/>
                </w:tcPr>
                <w:p w14:paraId="52A1249F">
                  <w:pPr>
                    <w:keepNext w:val="0"/>
                    <w:keepLines w:val="0"/>
                    <w:pageBreakBefore w:val="0"/>
                    <w:widowControl w:val="0"/>
                    <w:kinsoku/>
                    <w:wordWrap/>
                    <w:overflowPunct/>
                    <w:topLinePunct w:val="0"/>
                    <w:autoSpaceDE/>
                    <w:autoSpaceDN/>
                    <w:bidi w:val="0"/>
                    <w:adjustRightInd/>
                    <w:snapToGrid/>
                    <w:ind w:left="-42" w:leftChars="-20" w:right="-42" w:rightChars="-20"/>
                    <w:jc w:val="center"/>
                    <w:rPr>
                      <w:rFonts w:hint="default" w:ascii="Times New Roman" w:hAnsi="Times New Roman" w:eastAsia="宋体" w:cs="Times New Roman"/>
                      <w:b/>
                      <w:bCs/>
                      <w:i w:val="0"/>
                      <w:iCs w:val="0"/>
                      <w:color w:val="auto"/>
                      <w:spacing w:val="-17"/>
                      <w:sz w:val="21"/>
                      <w:szCs w:val="21"/>
                      <w:highlight w:val="none"/>
                      <w:u w:val="none"/>
                    </w:rPr>
                  </w:pPr>
                </w:p>
              </w:tc>
              <w:tc>
                <w:tcPr>
                  <w:tcW w:w="346" w:type="pct"/>
                  <w:tcBorders>
                    <w:tl2br w:val="nil"/>
                    <w:tr2bl w:val="nil"/>
                  </w:tcBorders>
                  <w:noWrap w:val="0"/>
                  <w:vAlign w:val="center"/>
                </w:tcPr>
                <w:p w14:paraId="55A117E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bCs/>
                      <w:i w:val="0"/>
                      <w:iCs w:val="0"/>
                      <w:color w:val="auto"/>
                      <w:spacing w:val="-17"/>
                      <w:sz w:val="21"/>
                      <w:szCs w:val="21"/>
                      <w:highlight w:val="none"/>
                      <w:u w:val="none"/>
                    </w:rPr>
                  </w:pPr>
                  <w:r>
                    <w:rPr>
                      <w:rFonts w:hint="default" w:ascii="Times New Roman" w:hAnsi="Times New Roman" w:eastAsia="宋体" w:cs="Times New Roman"/>
                      <w:b/>
                      <w:bCs/>
                      <w:i w:val="0"/>
                      <w:iCs w:val="0"/>
                      <w:color w:val="auto"/>
                      <w:spacing w:val="-17"/>
                      <w:kern w:val="0"/>
                      <w:sz w:val="21"/>
                      <w:szCs w:val="21"/>
                      <w:highlight w:val="none"/>
                      <w:u w:val="none"/>
                      <w:lang w:val="en-US" w:eastAsia="zh-CN" w:bidi="ar"/>
                    </w:rPr>
                    <w:t>X</w:t>
                  </w:r>
                </w:p>
              </w:tc>
              <w:tc>
                <w:tcPr>
                  <w:tcW w:w="369" w:type="pct"/>
                  <w:tcBorders>
                    <w:tl2br w:val="nil"/>
                    <w:tr2bl w:val="nil"/>
                  </w:tcBorders>
                  <w:noWrap w:val="0"/>
                  <w:vAlign w:val="center"/>
                </w:tcPr>
                <w:p w14:paraId="1ADDD1F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bCs/>
                      <w:i w:val="0"/>
                      <w:iCs w:val="0"/>
                      <w:color w:val="auto"/>
                      <w:spacing w:val="-17"/>
                      <w:sz w:val="21"/>
                      <w:szCs w:val="21"/>
                      <w:highlight w:val="none"/>
                      <w:u w:val="none"/>
                    </w:rPr>
                  </w:pPr>
                  <w:r>
                    <w:rPr>
                      <w:rFonts w:hint="default" w:ascii="Times New Roman" w:hAnsi="Times New Roman" w:eastAsia="宋体" w:cs="Times New Roman"/>
                      <w:b/>
                      <w:bCs/>
                      <w:i w:val="0"/>
                      <w:iCs w:val="0"/>
                      <w:color w:val="auto"/>
                      <w:spacing w:val="-17"/>
                      <w:kern w:val="0"/>
                      <w:sz w:val="21"/>
                      <w:szCs w:val="21"/>
                      <w:highlight w:val="none"/>
                      <w:u w:val="none"/>
                      <w:lang w:val="en-US" w:eastAsia="zh-CN" w:bidi="ar"/>
                    </w:rPr>
                    <w:t>Y</w:t>
                  </w:r>
                </w:p>
              </w:tc>
              <w:tc>
                <w:tcPr>
                  <w:tcW w:w="308" w:type="pct"/>
                  <w:tcBorders>
                    <w:tl2br w:val="nil"/>
                    <w:tr2bl w:val="nil"/>
                  </w:tcBorders>
                  <w:noWrap w:val="0"/>
                  <w:vAlign w:val="center"/>
                </w:tcPr>
                <w:p w14:paraId="4DFB35E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bCs/>
                      <w:i w:val="0"/>
                      <w:iCs w:val="0"/>
                      <w:color w:val="auto"/>
                      <w:spacing w:val="-17"/>
                      <w:sz w:val="21"/>
                      <w:szCs w:val="21"/>
                      <w:highlight w:val="none"/>
                      <w:u w:val="none"/>
                    </w:rPr>
                  </w:pPr>
                  <w:r>
                    <w:rPr>
                      <w:rFonts w:hint="default" w:ascii="Times New Roman" w:hAnsi="Times New Roman" w:eastAsia="宋体" w:cs="Times New Roman"/>
                      <w:b/>
                      <w:bCs/>
                      <w:i w:val="0"/>
                      <w:iCs w:val="0"/>
                      <w:color w:val="auto"/>
                      <w:spacing w:val="-17"/>
                      <w:kern w:val="0"/>
                      <w:sz w:val="21"/>
                      <w:szCs w:val="21"/>
                      <w:highlight w:val="none"/>
                      <w:u w:val="none"/>
                      <w:lang w:val="en-US" w:eastAsia="zh-CN" w:bidi="ar"/>
                    </w:rPr>
                    <w:t>Z</w:t>
                  </w:r>
                </w:p>
              </w:tc>
              <w:tc>
                <w:tcPr>
                  <w:tcW w:w="331" w:type="pct"/>
                  <w:vMerge w:val="continue"/>
                  <w:tcBorders>
                    <w:tl2br w:val="nil"/>
                    <w:tr2bl w:val="nil"/>
                  </w:tcBorders>
                  <w:noWrap w:val="0"/>
                  <w:vAlign w:val="center"/>
                </w:tcPr>
                <w:p w14:paraId="1446091F">
                  <w:pPr>
                    <w:keepNext w:val="0"/>
                    <w:keepLines w:val="0"/>
                    <w:pageBreakBefore w:val="0"/>
                    <w:widowControl w:val="0"/>
                    <w:kinsoku/>
                    <w:wordWrap/>
                    <w:overflowPunct/>
                    <w:topLinePunct w:val="0"/>
                    <w:autoSpaceDE/>
                    <w:autoSpaceDN/>
                    <w:bidi w:val="0"/>
                    <w:adjustRightInd/>
                    <w:snapToGrid/>
                    <w:ind w:left="-42" w:leftChars="-20" w:right="-42" w:rightChars="-20"/>
                    <w:jc w:val="center"/>
                    <w:rPr>
                      <w:rFonts w:hint="default" w:ascii="Times New Roman" w:hAnsi="Times New Roman" w:eastAsia="宋体" w:cs="Times New Roman"/>
                      <w:b/>
                      <w:bCs/>
                      <w:i w:val="0"/>
                      <w:iCs w:val="0"/>
                      <w:color w:val="auto"/>
                      <w:spacing w:val="-17"/>
                      <w:sz w:val="21"/>
                      <w:szCs w:val="21"/>
                      <w:highlight w:val="none"/>
                      <w:u w:val="none"/>
                    </w:rPr>
                  </w:pPr>
                </w:p>
              </w:tc>
              <w:tc>
                <w:tcPr>
                  <w:tcW w:w="414" w:type="pct"/>
                  <w:vMerge w:val="continue"/>
                  <w:tcBorders>
                    <w:tl2br w:val="nil"/>
                    <w:tr2bl w:val="nil"/>
                  </w:tcBorders>
                  <w:noWrap w:val="0"/>
                  <w:vAlign w:val="center"/>
                </w:tcPr>
                <w:p w14:paraId="76649FE6">
                  <w:pPr>
                    <w:keepNext w:val="0"/>
                    <w:keepLines w:val="0"/>
                    <w:pageBreakBefore w:val="0"/>
                    <w:widowControl w:val="0"/>
                    <w:kinsoku/>
                    <w:wordWrap/>
                    <w:overflowPunct/>
                    <w:topLinePunct w:val="0"/>
                    <w:autoSpaceDE/>
                    <w:autoSpaceDN/>
                    <w:bidi w:val="0"/>
                    <w:adjustRightInd/>
                    <w:snapToGrid/>
                    <w:ind w:left="-42" w:leftChars="-20" w:right="-42" w:rightChars="-20"/>
                    <w:jc w:val="center"/>
                    <w:rPr>
                      <w:rFonts w:hint="default" w:ascii="Times New Roman" w:hAnsi="Times New Roman" w:eastAsia="宋体" w:cs="Times New Roman"/>
                      <w:b/>
                      <w:bCs/>
                      <w:i w:val="0"/>
                      <w:iCs w:val="0"/>
                      <w:color w:val="auto"/>
                      <w:spacing w:val="-17"/>
                      <w:sz w:val="21"/>
                      <w:szCs w:val="21"/>
                      <w:highlight w:val="none"/>
                      <w:u w:val="none"/>
                    </w:rPr>
                  </w:pPr>
                </w:p>
              </w:tc>
              <w:tc>
                <w:tcPr>
                  <w:tcW w:w="256" w:type="pct"/>
                  <w:vMerge w:val="continue"/>
                  <w:tcBorders>
                    <w:tl2br w:val="nil"/>
                    <w:tr2bl w:val="nil"/>
                  </w:tcBorders>
                  <w:noWrap w:val="0"/>
                  <w:vAlign w:val="center"/>
                </w:tcPr>
                <w:p w14:paraId="3A57D1C8">
                  <w:pPr>
                    <w:keepNext w:val="0"/>
                    <w:keepLines w:val="0"/>
                    <w:pageBreakBefore w:val="0"/>
                    <w:widowControl w:val="0"/>
                    <w:kinsoku/>
                    <w:wordWrap/>
                    <w:overflowPunct/>
                    <w:topLinePunct w:val="0"/>
                    <w:autoSpaceDE/>
                    <w:autoSpaceDN/>
                    <w:bidi w:val="0"/>
                    <w:adjustRightInd/>
                    <w:snapToGrid/>
                    <w:ind w:left="-42" w:leftChars="-20" w:right="-42" w:rightChars="-20"/>
                    <w:jc w:val="center"/>
                    <w:rPr>
                      <w:rFonts w:hint="default" w:ascii="Times New Roman" w:hAnsi="Times New Roman" w:eastAsia="宋体" w:cs="Times New Roman"/>
                      <w:b/>
                      <w:bCs/>
                      <w:i w:val="0"/>
                      <w:iCs w:val="0"/>
                      <w:color w:val="auto"/>
                      <w:spacing w:val="-17"/>
                      <w:sz w:val="21"/>
                      <w:szCs w:val="21"/>
                      <w:highlight w:val="none"/>
                      <w:u w:val="none"/>
                    </w:rPr>
                  </w:pPr>
                </w:p>
              </w:tc>
              <w:tc>
                <w:tcPr>
                  <w:tcW w:w="421" w:type="pct"/>
                  <w:vMerge w:val="continue"/>
                  <w:tcBorders>
                    <w:tl2br w:val="nil"/>
                    <w:tr2bl w:val="nil"/>
                  </w:tcBorders>
                  <w:noWrap w:val="0"/>
                  <w:vAlign w:val="center"/>
                </w:tcPr>
                <w:p w14:paraId="73844E7E">
                  <w:pPr>
                    <w:keepNext w:val="0"/>
                    <w:keepLines w:val="0"/>
                    <w:pageBreakBefore w:val="0"/>
                    <w:widowControl w:val="0"/>
                    <w:kinsoku/>
                    <w:wordWrap/>
                    <w:overflowPunct/>
                    <w:topLinePunct w:val="0"/>
                    <w:autoSpaceDE/>
                    <w:autoSpaceDN/>
                    <w:bidi w:val="0"/>
                    <w:adjustRightInd/>
                    <w:snapToGrid/>
                    <w:ind w:left="-42" w:leftChars="-20" w:right="-42" w:rightChars="-20"/>
                    <w:jc w:val="center"/>
                    <w:rPr>
                      <w:rFonts w:hint="default" w:ascii="Times New Roman" w:hAnsi="Times New Roman" w:eastAsia="宋体" w:cs="Times New Roman"/>
                      <w:b/>
                      <w:bCs/>
                      <w:i w:val="0"/>
                      <w:iCs w:val="0"/>
                      <w:color w:val="auto"/>
                      <w:spacing w:val="-17"/>
                      <w:sz w:val="21"/>
                      <w:szCs w:val="21"/>
                      <w:highlight w:val="none"/>
                      <w:u w:val="none"/>
                    </w:rPr>
                  </w:pPr>
                </w:p>
              </w:tc>
              <w:tc>
                <w:tcPr>
                  <w:tcW w:w="504" w:type="pct"/>
                  <w:tcBorders>
                    <w:top w:val="single" w:color="000000" w:sz="8" w:space="0"/>
                    <w:tl2br w:val="nil"/>
                    <w:tr2bl w:val="nil"/>
                  </w:tcBorders>
                  <w:noWrap w:val="0"/>
                  <w:vAlign w:val="center"/>
                </w:tcPr>
                <w:p w14:paraId="6245AE00">
                  <w:pPr>
                    <w:keepNext w:val="0"/>
                    <w:keepLines w:val="0"/>
                    <w:pageBreakBefore w:val="0"/>
                    <w:widowControl w:val="0"/>
                    <w:kinsoku/>
                    <w:wordWrap/>
                    <w:overflowPunct/>
                    <w:topLinePunct w:val="0"/>
                    <w:autoSpaceDE/>
                    <w:autoSpaceDN/>
                    <w:bidi w:val="0"/>
                    <w:adjustRightInd/>
                    <w:snapToGrid/>
                    <w:spacing w:line="240" w:lineRule="auto"/>
                    <w:ind w:left="-42" w:leftChars="-20" w:right="-42" w:rightChars="-20"/>
                    <w:jc w:val="center"/>
                    <w:rPr>
                      <w:rFonts w:hint="default" w:ascii="Times New Roman" w:hAnsi="Times New Roman" w:eastAsia="宋体" w:cs="Times New Roman"/>
                      <w:b/>
                      <w:bCs/>
                      <w:i w:val="0"/>
                      <w:iCs w:val="0"/>
                      <w:color w:val="auto"/>
                      <w:spacing w:val="-17"/>
                      <w:sz w:val="21"/>
                      <w:szCs w:val="21"/>
                      <w:highlight w:val="none"/>
                      <w:u w:val="none"/>
                    </w:rPr>
                  </w:pPr>
                  <w:r>
                    <w:rPr>
                      <w:rFonts w:hint="default" w:ascii="Times New Roman" w:hAnsi="Times New Roman" w:eastAsia="宋体" w:cs="Times New Roman"/>
                      <w:b/>
                      <w:color w:val="auto"/>
                      <w:spacing w:val="-17"/>
                      <w:kern w:val="0"/>
                      <w:sz w:val="21"/>
                      <w:szCs w:val="21"/>
                      <w:highlight w:val="none"/>
                      <w:lang w:val="en-US" w:eastAsia="zh-CN"/>
                    </w:rPr>
                    <w:t>声压级/dB(A)</w:t>
                  </w:r>
                </w:p>
              </w:tc>
              <w:tc>
                <w:tcPr>
                  <w:tcW w:w="423" w:type="pct"/>
                  <w:tcBorders>
                    <w:top w:val="single" w:color="000000" w:sz="8" w:space="0"/>
                    <w:tl2br w:val="nil"/>
                    <w:tr2bl w:val="nil"/>
                  </w:tcBorders>
                  <w:noWrap w:val="0"/>
                  <w:vAlign w:val="center"/>
                </w:tcPr>
                <w:p w14:paraId="2F8A4517">
                  <w:pPr>
                    <w:keepNext w:val="0"/>
                    <w:keepLines w:val="0"/>
                    <w:pageBreakBefore w:val="0"/>
                    <w:widowControl w:val="0"/>
                    <w:kinsoku/>
                    <w:wordWrap/>
                    <w:overflowPunct/>
                    <w:topLinePunct w:val="0"/>
                    <w:autoSpaceDE/>
                    <w:autoSpaceDN/>
                    <w:bidi w:val="0"/>
                    <w:adjustRightInd/>
                    <w:snapToGrid/>
                    <w:spacing w:line="240" w:lineRule="auto"/>
                    <w:ind w:left="-42" w:leftChars="-20" w:right="-42" w:rightChars="-20"/>
                    <w:jc w:val="center"/>
                    <w:rPr>
                      <w:rFonts w:hint="default" w:ascii="Times New Roman" w:hAnsi="Times New Roman" w:eastAsia="宋体" w:cs="Times New Roman"/>
                      <w:b/>
                      <w:bCs/>
                      <w:i w:val="0"/>
                      <w:iCs w:val="0"/>
                      <w:color w:val="auto"/>
                      <w:spacing w:val="-17"/>
                      <w:sz w:val="21"/>
                      <w:szCs w:val="21"/>
                      <w:highlight w:val="none"/>
                      <w:u w:val="none"/>
                    </w:rPr>
                  </w:pPr>
                  <w:r>
                    <w:rPr>
                      <w:rFonts w:hint="default" w:ascii="Times New Roman" w:hAnsi="Times New Roman" w:eastAsia="宋体" w:cs="Times New Roman"/>
                      <w:b/>
                      <w:color w:val="auto"/>
                      <w:spacing w:val="-17"/>
                      <w:kern w:val="0"/>
                      <w:sz w:val="21"/>
                      <w:szCs w:val="21"/>
                      <w:highlight w:val="none"/>
                      <w:lang w:val="en-US" w:eastAsia="zh-CN"/>
                    </w:rPr>
                    <w:t>建筑物外距离/m</w:t>
                  </w:r>
                </w:p>
              </w:tc>
            </w:tr>
            <w:tr w14:paraId="5E8ADEA4">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5000" w:type="pct"/>
                  <w:gridSpan w:val="14"/>
                  <w:tcBorders>
                    <w:tl2br w:val="nil"/>
                    <w:tr2bl w:val="nil"/>
                  </w:tcBorders>
                  <w:noWrap w:val="0"/>
                  <w:vAlign w:val="center"/>
                </w:tcPr>
                <w:p w14:paraId="05190A2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生产车间</w:t>
                  </w:r>
                </w:p>
              </w:tc>
            </w:tr>
            <w:tr w14:paraId="5583A62B">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67EBD7F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2"/>
                      <w:sz w:val="21"/>
                      <w:szCs w:val="21"/>
                      <w:highlight w:val="none"/>
                      <w:u w:val="none"/>
                      <w:lang w:val="en-US" w:eastAsia="zh-CN" w:bidi="ar-SA"/>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c>
                <w:tcPr>
                  <w:tcW w:w="379" w:type="pct"/>
                  <w:tcBorders>
                    <w:tl2br w:val="nil"/>
                    <w:tr2bl w:val="nil"/>
                  </w:tcBorders>
                  <w:noWrap w:val="0"/>
                  <w:vAlign w:val="center"/>
                </w:tcPr>
                <w:p w14:paraId="2C084F7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发泡机1</w:t>
                  </w:r>
                </w:p>
              </w:tc>
              <w:tc>
                <w:tcPr>
                  <w:tcW w:w="203" w:type="pct"/>
                  <w:tcBorders>
                    <w:tl2br w:val="nil"/>
                    <w:tr2bl w:val="nil"/>
                  </w:tcBorders>
                  <w:noWrap w:val="0"/>
                  <w:vAlign w:val="center"/>
                </w:tcPr>
                <w:p w14:paraId="5F3AEEB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6311DC1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75/1</w:t>
                  </w:r>
                </w:p>
              </w:tc>
              <w:tc>
                <w:tcPr>
                  <w:tcW w:w="346" w:type="pct"/>
                  <w:vMerge w:val="restart"/>
                  <w:tcBorders>
                    <w:tl2br w:val="nil"/>
                    <w:tr2bl w:val="nil"/>
                  </w:tcBorders>
                  <w:noWrap w:val="0"/>
                  <w:vAlign w:val="center"/>
                </w:tcPr>
                <w:p w14:paraId="7928672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选用低噪声设备、厂房隔声、距离衰减</w:t>
                  </w:r>
                </w:p>
              </w:tc>
              <w:tc>
                <w:tcPr>
                  <w:tcW w:w="346" w:type="pct"/>
                  <w:tcBorders>
                    <w:tl2br w:val="nil"/>
                    <w:tr2bl w:val="nil"/>
                  </w:tcBorders>
                  <w:noWrap w:val="0"/>
                  <w:vAlign w:val="center"/>
                </w:tcPr>
                <w:p w14:paraId="5B8C59A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7.8</w:t>
                  </w:r>
                </w:p>
              </w:tc>
              <w:tc>
                <w:tcPr>
                  <w:tcW w:w="369" w:type="pct"/>
                  <w:tcBorders>
                    <w:tl2br w:val="nil"/>
                    <w:tr2bl w:val="nil"/>
                  </w:tcBorders>
                  <w:noWrap w:val="0"/>
                  <w:vAlign w:val="center"/>
                </w:tcPr>
                <w:p w14:paraId="2F223B0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23.51</w:t>
                  </w:r>
                </w:p>
              </w:tc>
              <w:tc>
                <w:tcPr>
                  <w:tcW w:w="308" w:type="pct"/>
                  <w:tcBorders>
                    <w:tl2br w:val="nil"/>
                    <w:tr2bl w:val="nil"/>
                  </w:tcBorders>
                  <w:noWrap w:val="0"/>
                  <w:vAlign w:val="center"/>
                </w:tcPr>
                <w:p w14:paraId="46BDB56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c>
                <w:tcPr>
                  <w:tcW w:w="331" w:type="pct"/>
                  <w:tcBorders>
                    <w:tl2br w:val="nil"/>
                    <w:tr2bl w:val="nil"/>
                  </w:tcBorders>
                  <w:noWrap w:val="0"/>
                  <w:vAlign w:val="center"/>
                </w:tcPr>
                <w:p w14:paraId="42D28EA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0.39</w:t>
                  </w:r>
                </w:p>
              </w:tc>
              <w:tc>
                <w:tcPr>
                  <w:tcW w:w="414" w:type="pct"/>
                  <w:tcBorders>
                    <w:tl2br w:val="nil"/>
                    <w:tr2bl w:val="nil"/>
                  </w:tcBorders>
                  <w:noWrap w:val="0"/>
                  <w:vAlign w:val="center"/>
                </w:tcPr>
                <w:p w14:paraId="6AD3114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73.02</w:t>
                  </w:r>
                </w:p>
              </w:tc>
              <w:tc>
                <w:tcPr>
                  <w:tcW w:w="256" w:type="pct"/>
                  <w:vMerge w:val="restart"/>
                  <w:tcBorders>
                    <w:tl2br w:val="nil"/>
                    <w:tr2bl w:val="nil"/>
                  </w:tcBorders>
                  <w:noWrap w:val="0"/>
                  <w:vAlign w:val="center"/>
                </w:tcPr>
                <w:p w14:paraId="0E05790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昼间</w:t>
                  </w:r>
                  <w:r>
                    <w:rPr>
                      <w:rFonts w:hint="eastAsia" w:ascii="Times New Roman" w:hAnsi="Times New Roman" w:eastAsia="宋体" w:cs="Times New Roman"/>
                      <w:i w:val="0"/>
                      <w:iCs w:val="0"/>
                      <w:color w:val="auto"/>
                      <w:spacing w:val="-17"/>
                      <w:kern w:val="0"/>
                      <w:sz w:val="21"/>
                      <w:szCs w:val="21"/>
                      <w:highlight w:val="none"/>
                      <w:u w:val="none"/>
                      <w:lang w:val="en-US" w:eastAsia="zh-CN" w:bidi="ar"/>
                    </w:rPr>
                    <w:t>、夜间</w:t>
                  </w:r>
                </w:p>
              </w:tc>
              <w:tc>
                <w:tcPr>
                  <w:tcW w:w="421" w:type="pct"/>
                  <w:vMerge w:val="restart"/>
                  <w:tcBorders>
                    <w:tl2br w:val="nil"/>
                    <w:tr2bl w:val="nil"/>
                  </w:tcBorders>
                  <w:noWrap/>
                  <w:vAlign w:val="center"/>
                </w:tcPr>
                <w:p w14:paraId="0F6EF94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20</w:t>
                  </w:r>
                </w:p>
              </w:tc>
              <w:tc>
                <w:tcPr>
                  <w:tcW w:w="504" w:type="pct"/>
                  <w:tcBorders>
                    <w:tl2br w:val="nil"/>
                    <w:tr2bl w:val="nil"/>
                  </w:tcBorders>
                  <w:noWrap/>
                  <w:vAlign w:val="center"/>
                </w:tcPr>
                <w:p w14:paraId="6D7C6DE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53.02</w:t>
                  </w:r>
                </w:p>
              </w:tc>
              <w:tc>
                <w:tcPr>
                  <w:tcW w:w="423" w:type="pct"/>
                  <w:tcBorders>
                    <w:tl2br w:val="nil"/>
                    <w:tr2bl w:val="nil"/>
                  </w:tcBorders>
                  <w:noWrap/>
                  <w:vAlign w:val="center"/>
                </w:tcPr>
                <w:p w14:paraId="03A0AA3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26BD824B">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304D469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w:t>
                  </w:r>
                </w:p>
              </w:tc>
              <w:tc>
                <w:tcPr>
                  <w:tcW w:w="379" w:type="pct"/>
                  <w:tcBorders>
                    <w:tl2br w:val="nil"/>
                    <w:tr2bl w:val="nil"/>
                  </w:tcBorders>
                  <w:noWrap w:val="0"/>
                  <w:vAlign w:val="center"/>
                </w:tcPr>
                <w:p w14:paraId="3E29D44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发泡机2</w:t>
                  </w:r>
                </w:p>
              </w:tc>
              <w:tc>
                <w:tcPr>
                  <w:tcW w:w="203" w:type="pct"/>
                  <w:tcBorders>
                    <w:tl2br w:val="nil"/>
                    <w:tr2bl w:val="nil"/>
                  </w:tcBorders>
                  <w:noWrap w:val="0"/>
                  <w:vAlign w:val="center"/>
                </w:tcPr>
                <w:p w14:paraId="16C9074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74409C2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75/1</w:t>
                  </w:r>
                </w:p>
              </w:tc>
              <w:tc>
                <w:tcPr>
                  <w:tcW w:w="346" w:type="pct"/>
                  <w:vMerge w:val="continue"/>
                  <w:tcBorders>
                    <w:tl2br w:val="nil"/>
                    <w:tr2bl w:val="nil"/>
                  </w:tcBorders>
                  <w:noWrap w:val="0"/>
                  <w:vAlign w:val="center"/>
                </w:tcPr>
                <w:p w14:paraId="590B1F3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5260548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7.85</w:t>
                  </w:r>
                </w:p>
              </w:tc>
              <w:tc>
                <w:tcPr>
                  <w:tcW w:w="369" w:type="pct"/>
                  <w:tcBorders>
                    <w:tl2br w:val="nil"/>
                    <w:tr2bl w:val="nil"/>
                  </w:tcBorders>
                  <w:noWrap w:val="0"/>
                  <w:vAlign w:val="center"/>
                </w:tcPr>
                <w:p w14:paraId="4648830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21.15</w:t>
                  </w:r>
                </w:p>
              </w:tc>
              <w:tc>
                <w:tcPr>
                  <w:tcW w:w="308" w:type="pct"/>
                  <w:tcBorders>
                    <w:tl2br w:val="nil"/>
                    <w:tr2bl w:val="nil"/>
                  </w:tcBorders>
                  <w:noWrap w:val="0"/>
                  <w:vAlign w:val="center"/>
                </w:tcPr>
                <w:p w14:paraId="1715414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c>
                <w:tcPr>
                  <w:tcW w:w="331" w:type="pct"/>
                  <w:tcBorders>
                    <w:tl2br w:val="nil"/>
                    <w:tr2bl w:val="nil"/>
                  </w:tcBorders>
                  <w:noWrap w:val="0"/>
                  <w:vAlign w:val="center"/>
                </w:tcPr>
                <w:p w14:paraId="7E07A3F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0.40</w:t>
                  </w:r>
                </w:p>
              </w:tc>
              <w:tc>
                <w:tcPr>
                  <w:tcW w:w="414" w:type="pct"/>
                  <w:tcBorders>
                    <w:tl2br w:val="nil"/>
                    <w:tr2bl w:val="nil"/>
                  </w:tcBorders>
                  <w:noWrap w:val="0"/>
                  <w:vAlign w:val="center"/>
                </w:tcPr>
                <w:p w14:paraId="6A0427A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72.84</w:t>
                  </w:r>
                </w:p>
              </w:tc>
              <w:tc>
                <w:tcPr>
                  <w:tcW w:w="256" w:type="pct"/>
                  <w:vMerge w:val="continue"/>
                  <w:tcBorders>
                    <w:tl2br w:val="nil"/>
                    <w:tr2bl w:val="nil"/>
                  </w:tcBorders>
                  <w:noWrap w:val="0"/>
                  <w:vAlign w:val="center"/>
                </w:tcPr>
                <w:p w14:paraId="56C0A8A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10D26F1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17EEF00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52.84</w:t>
                  </w:r>
                </w:p>
              </w:tc>
              <w:tc>
                <w:tcPr>
                  <w:tcW w:w="423" w:type="pct"/>
                  <w:tcBorders>
                    <w:tl2br w:val="nil"/>
                    <w:tr2bl w:val="nil"/>
                  </w:tcBorders>
                  <w:noWrap/>
                  <w:vAlign w:val="center"/>
                </w:tcPr>
                <w:p w14:paraId="166235F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4B33126D">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6A21FEB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w:t>
                  </w:r>
                </w:p>
              </w:tc>
              <w:tc>
                <w:tcPr>
                  <w:tcW w:w="379" w:type="pct"/>
                  <w:tcBorders>
                    <w:tl2br w:val="nil"/>
                    <w:tr2bl w:val="nil"/>
                  </w:tcBorders>
                  <w:noWrap w:val="0"/>
                  <w:vAlign w:val="center"/>
                </w:tcPr>
                <w:p w14:paraId="598BCCC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发泡机3</w:t>
                  </w:r>
                </w:p>
              </w:tc>
              <w:tc>
                <w:tcPr>
                  <w:tcW w:w="203" w:type="pct"/>
                  <w:tcBorders>
                    <w:tl2br w:val="nil"/>
                    <w:tr2bl w:val="nil"/>
                  </w:tcBorders>
                  <w:noWrap w:val="0"/>
                  <w:vAlign w:val="center"/>
                </w:tcPr>
                <w:p w14:paraId="04B7546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0F6084C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75/1</w:t>
                  </w:r>
                </w:p>
              </w:tc>
              <w:tc>
                <w:tcPr>
                  <w:tcW w:w="346" w:type="pct"/>
                  <w:vMerge w:val="continue"/>
                  <w:tcBorders>
                    <w:tl2br w:val="nil"/>
                    <w:tr2bl w:val="nil"/>
                  </w:tcBorders>
                  <w:noWrap w:val="0"/>
                  <w:vAlign w:val="center"/>
                </w:tcPr>
                <w:p w14:paraId="7514382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197DFFA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8.06</w:t>
                  </w:r>
                </w:p>
              </w:tc>
              <w:tc>
                <w:tcPr>
                  <w:tcW w:w="369" w:type="pct"/>
                  <w:tcBorders>
                    <w:tl2br w:val="nil"/>
                    <w:tr2bl w:val="nil"/>
                  </w:tcBorders>
                  <w:noWrap w:val="0"/>
                  <w:vAlign w:val="center"/>
                </w:tcPr>
                <w:p w14:paraId="2F1210A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19.61</w:t>
                  </w:r>
                </w:p>
              </w:tc>
              <w:tc>
                <w:tcPr>
                  <w:tcW w:w="308" w:type="pct"/>
                  <w:tcBorders>
                    <w:tl2br w:val="nil"/>
                    <w:tr2bl w:val="nil"/>
                  </w:tcBorders>
                  <w:noWrap w:val="0"/>
                  <w:vAlign w:val="center"/>
                </w:tcPr>
                <w:p w14:paraId="7498865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c>
                <w:tcPr>
                  <w:tcW w:w="331" w:type="pct"/>
                  <w:tcBorders>
                    <w:tl2br w:val="nil"/>
                    <w:tr2bl w:val="nil"/>
                  </w:tcBorders>
                  <w:noWrap w:val="0"/>
                  <w:vAlign w:val="center"/>
                </w:tcPr>
                <w:p w14:paraId="71C6B76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1.09</w:t>
                  </w:r>
                </w:p>
              </w:tc>
              <w:tc>
                <w:tcPr>
                  <w:tcW w:w="414" w:type="pct"/>
                  <w:tcBorders>
                    <w:tl2br w:val="nil"/>
                    <w:tr2bl w:val="nil"/>
                  </w:tcBorders>
                  <w:noWrap w:val="0"/>
                  <w:vAlign w:val="center"/>
                </w:tcPr>
                <w:p w14:paraId="2D71E3C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67.50</w:t>
                  </w:r>
                </w:p>
              </w:tc>
              <w:tc>
                <w:tcPr>
                  <w:tcW w:w="256" w:type="pct"/>
                  <w:vMerge w:val="continue"/>
                  <w:tcBorders>
                    <w:tl2br w:val="nil"/>
                    <w:tr2bl w:val="nil"/>
                  </w:tcBorders>
                  <w:noWrap w:val="0"/>
                  <w:vAlign w:val="center"/>
                </w:tcPr>
                <w:p w14:paraId="41C9867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19ABA8A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5546D4F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47.5</w:t>
                  </w:r>
                </w:p>
              </w:tc>
              <w:tc>
                <w:tcPr>
                  <w:tcW w:w="423" w:type="pct"/>
                  <w:tcBorders>
                    <w:tl2br w:val="nil"/>
                    <w:tr2bl w:val="nil"/>
                  </w:tcBorders>
                  <w:noWrap/>
                  <w:vAlign w:val="center"/>
                </w:tcPr>
                <w:p w14:paraId="5063FDA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4517162E">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7192AD9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w:t>
                  </w:r>
                </w:p>
              </w:tc>
              <w:tc>
                <w:tcPr>
                  <w:tcW w:w="379" w:type="pct"/>
                  <w:tcBorders>
                    <w:tl2br w:val="nil"/>
                    <w:tr2bl w:val="nil"/>
                  </w:tcBorders>
                  <w:noWrap w:val="0"/>
                  <w:vAlign w:val="center"/>
                </w:tcPr>
                <w:p w14:paraId="6F14617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发泡机4</w:t>
                  </w:r>
                </w:p>
              </w:tc>
              <w:tc>
                <w:tcPr>
                  <w:tcW w:w="203" w:type="pct"/>
                  <w:tcBorders>
                    <w:tl2br w:val="nil"/>
                    <w:tr2bl w:val="nil"/>
                  </w:tcBorders>
                  <w:noWrap w:val="0"/>
                  <w:vAlign w:val="center"/>
                </w:tcPr>
                <w:p w14:paraId="53F7F7E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12" w:type="pct"/>
                  <w:tcBorders>
                    <w:tl2br w:val="nil"/>
                    <w:tr2bl w:val="nil"/>
                  </w:tcBorders>
                  <w:noWrap/>
                  <w:vAlign w:val="center"/>
                </w:tcPr>
                <w:p w14:paraId="7E56E71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75/1</w:t>
                  </w:r>
                </w:p>
              </w:tc>
              <w:tc>
                <w:tcPr>
                  <w:tcW w:w="346" w:type="pct"/>
                  <w:vMerge w:val="continue"/>
                  <w:tcBorders>
                    <w:tl2br w:val="nil"/>
                    <w:tr2bl w:val="nil"/>
                  </w:tcBorders>
                  <w:noWrap w:val="0"/>
                  <w:vAlign w:val="center"/>
                </w:tcPr>
                <w:p w14:paraId="5560BD9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0D671AF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8.12</w:t>
                  </w:r>
                </w:p>
              </w:tc>
              <w:tc>
                <w:tcPr>
                  <w:tcW w:w="369" w:type="pct"/>
                  <w:tcBorders>
                    <w:tl2br w:val="nil"/>
                    <w:tr2bl w:val="nil"/>
                  </w:tcBorders>
                  <w:noWrap w:val="0"/>
                  <w:vAlign w:val="center"/>
                </w:tcPr>
                <w:p w14:paraId="488FD11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16.81</w:t>
                  </w:r>
                </w:p>
              </w:tc>
              <w:tc>
                <w:tcPr>
                  <w:tcW w:w="308" w:type="pct"/>
                  <w:tcBorders>
                    <w:tl2br w:val="nil"/>
                    <w:tr2bl w:val="nil"/>
                  </w:tcBorders>
                  <w:noWrap w:val="0"/>
                  <w:vAlign w:val="center"/>
                </w:tcPr>
                <w:p w14:paraId="4AB22FF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c>
                <w:tcPr>
                  <w:tcW w:w="331" w:type="pct"/>
                  <w:tcBorders>
                    <w:tl2br w:val="nil"/>
                    <w:tr2bl w:val="nil"/>
                  </w:tcBorders>
                  <w:noWrap w:val="0"/>
                  <w:vAlign w:val="center"/>
                </w:tcPr>
                <w:p w14:paraId="5496EFE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2.03</w:t>
                  </w:r>
                </w:p>
              </w:tc>
              <w:tc>
                <w:tcPr>
                  <w:tcW w:w="414" w:type="pct"/>
                  <w:tcBorders>
                    <w:tl2br w:val="nil"/>
                    <w:tr2bl w:val="nil"/>
                  </w:tcBorders>
                  <w:noWrap w:val="0"/>
                  <w:vAlign w:val="center"/>
                </w:tcPr>
                <w:p w14:paraId="2C534C2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66.15</w:t>
                  </w:r>
                </w:p>
              </w:tc>
              <w:tc>
                <w:tcPr>
                  <w:tcW w:w="256" w:type="pct"/>
                  <w:vMerge w:val="continue"/>
                  <w:tcBorders>
                    <w:tl2br w:val="nil"/>
                    <w:tr2bl w:val="nil"/>
                  </w:tcBorders>
                  <w:noWrap w:val="0"/>
                  <w:vAlign w:val="center"/>
                </w:tcPr>
                <w:p w14:paraId="5FF7FD4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0176BCA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605F407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46.15</w:t>
                  </w:r>
                </w:p>
              </w:tc>
              <w:tc>
                <w:tcPr>
                  <w:tcW w:w="423" w:type="pct"/>
                  <w:tcBorders>
                    <w:tl2br w:val="nil"/>
                    <w:tr2bl w:val="nil"/>
                  </w:tcBorders>
                  <w:noWrap/>
                  <w:vAlign w:val="center"/>
                </w:tcPr>
                <w:p w14:paraId="610B149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32AE77BF">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5199E4E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w:t>
                  </w:r>
                </w:p>
              </w:tc>
              <w:tc>
                <w:tcPr>
                  <w:tcW w:w="379" w:type="pct"/>
                  <w:tcBorders>
                    <w:tl2br w:val="nil"/>
                    <w:tr2bl w:val="nil"/>
                  </w:tcBorders>
                  <w:noWrap w:val="0"/>
                  <w:vAlign w:val="center"/>
                </w:tcPr>
                <w:p w14:paraId="265EB8D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成型机1</w:t>
                  </w:r>
                </w:p>
              </w:tc>
              <w:tc>
                <w:tcPr>
                  <w:tcW w:w="203" w:type="pct"/>
                  <w:tcBorders>
                    <w:tl2br w:val="nil"/>
                    <w:tr2bl w:val="nil"/>
                  </w:tcBorders>
                  <w:noWrap w:val="0"/>
                  <w:vAlign w:val="center"/>
                </w:tcPr>
                <w:p w14:paraId="45E78C3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0433EB7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3BB1DA4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21BC630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4.07</w:t>
                  </w:r>
                </w:p>
              </w:tc>
              <w:tc>
                <w:tcPr>
                  <w:tcW w:w="369" w:type="pct"/>
                  <w:tcBorders>
                    <w:tl2br w:val="nil"/>
                    <w:tr2bl w:val="nil"/>
                  </w:tcBorders>
                  <w:noWrap w:val="0"/>
                  <w:vAlign w:val="center"/>
                </w:tcPr>
                <w:p w14:paraId="6043524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40.31</w:t>
                  </w:r>
                </w:p>
              </w:tc>
              <w:tc>
                <w:tcPr>
                  <w:tcW w:w="308" w:type="pct"/>
                  <w:tcBorders>
                    <w:tl2br w:val="nil"/>
                    <w:tr2bl w:val="nil"/>
                  </w:tcBorders>
                  <w:noWrap w:val="0"/>
                  <w:vAlign w:val="center"/>
                </w:tcPr>
                <w:p w14:paraId="028CD01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2E19BB5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2.48</w:t>
                  </w:r>
                </w:p>
              </w:tc>
              <w:tc>
                <w:tcPr>
                  <w:tcW w:w="414" w:type="pct"/>
                  <w:tcBorders>
                    <w:tl2br w:val="nil"/>
                    <w:tr2bl w:val="nil"/>
                  </w:tcBorders>
                  <w:noWrap w:val="0"/>
                  <w:vAlign w:val="center"/>
                </w:tcPr>
                <w:p w14:paraId="06B13D9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60.93</w:t>
                  </w:r>
                </w:p>
              </w:tc>
              <w:tc>
                <w:tcPr>
                  <w:tcW w:w="256" w:type="pct"/>
                  <w:vMerge w:val="continue"/>
                  <w:tcBorders>
                    <w:tl2br w:val="nil"/>
                    <w:tr2bl w:val="nil"/>
                  </w:tcBorders>
                  <w:noWrap w:val="0"/>
                  <w:vAlign w:val="center"/>
                </w:tcPr>
                <w:p w14:paraId="50BC5EA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1DF2ACD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018ED76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40.93</w:t>
                  </w:r>
                </w:p>
              </w:tc>
              <w:tc>
                <w:tcPr>
                  <w:tcW w:w="423" w:type="pct"/>
                  <w:tcBorders>
                    <w:tl2br w:val="nil"/>
                    <w:tr2bl w:val="nil"/>
                  </w:tcBorders>
                  <w:noWrap/>
                  <w:vAlign w:val="center"/>
                </w:tcPr>
                <w:p w14:paraId="41AF987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46621953">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49975FC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w:t>
                  </w:r>
                </w:p>
              </w:tc>
              <w:tc>
                <w:tcPr>
                  <w:tcW w:w="379" w:type="pct"/>
                  <w:tcBorders>
                    <w:tl2br w:val="nil"/>
                    <w:tr2bl w:val="nil"/>
                  </w:tcBorders>
                  <w:noWrap w:val="0"/>
                  <w:vAlign w:val="center"/>
                </w:tcPr>
                <w:p w14:paraId="7176FF5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成型机2</w:t>
                  </w:r>
                </w:p>
              </w:tc>
              <w:tc>
                <w:tcPr>
                  <w:tcW w:w="203" w:type="pct"/>
                  <w:tcBorders>
                    <w:tl2br w:val="nil"/>
                    <w:tr2bl w:val="nil"/>
                  </w:tcBorders>
                  <w:noWrap w:val="0"/>
                  <w:vAlign w:val="center"/>
                </w:tcPr>
                <w:p w14:paraId="43FD72B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589CD3E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60597CF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370A666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7.46</w:t>
                  </w:r>
                </w:p>
              </w:tc>
              <w:tc>
                <w:tcPr>
                  <w:tcW w:w="369" w:type="pct"/>
                  <w:tcBorders>
                    <w:tl2br w:val="nil"/>
                    <w:tr2bl w:val="nil"/>
                  </w:tcBorders>
                  <w:noWrap w:val="0"/>
                  <w:vAlign w:val="center"/>
                </w:tcPr>
                <w:p w14:paraId="427B3CD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40.01</w:t>
                  </w:r>
                </w:p>
              </w:tc>
              <w:tc>
                <w:tcPr>
                  <w:tcW w:w="308" w:type="pct"/>
                  <w:tcBorders>
                    <w:tl2br w:val="nil"/>
                    <w:tr2bl w:val="nil"/>
                  </w:tcBorders>
                  <w:noWrap w:val="0"/>
                  <w:vAlign w:val="center"/>
                </w:tcPr>
                <w:p w14:paraId="69A38F2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0CA464D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2.79</w:t>
                  </w:r>
                </w:p>
              </w:tc>
              <w:tc>
                <w:tcPr>
                  <w:tcW w:w="414" w:type="pct"/>
                  <w:tcBorders>
                    <w:tl2br w:val="nil"/>
                    <w:tr2bl w:val="nil"/>
                  </w:tcBorders>
                  <w:noWrap w:val="0"/>
                  <w:vAlign w:val="center"/>
                </w:tcPr>
                <w:p w14:paraId="4EC4D2A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60.83</w:t>
                  </w:r>
                </w:p>
              </w:tc>
              <w:tc>
                <w:tcPr>
                  <w:tcW w:w="256" w:type="pct"/>
                  <w:vMerge w:val="continue"/>
                  <w:tcBorders>
                    <w:tl2br w:val="nil"/>
                    <w:tr2bl w:val="nil"/>
                  </w:tcBorders>
                  <w:noWrap w:val="0"/>
                  <w:vAlign w:val="center"/>
                </w:tcPr>
                <w:p w14:paraId="66F487E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37E59B2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17A8FB9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40.83</w:t>
                  </w:r>
                </w:p>
              </w:tc>
              <w:tc>
                <w:tcPr>
                  <w:tcW w:w="423" w:type="pct"/>
                  <w:tcBorders>
                    <w:tl2br w:val="nil"/>
                    <w:tr2bl w:val="nil"/>
                  </w:tcBorders>
                  <w:noWrap/>
                  <w:vAlign w:val="center"/>
                </w:tcPr>
                <w:p w14:paraId="74062AB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6C123086">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1D69027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w:t>
                  </w:r>
                </w:p>
              </w:tc>
              <w:tc>
                <w:tcPr>
                  <w:tcW w:w="379" w:type="pct"/>
                  <w:tcBorders>
                    <w:tl2br w:val="nil"/>
                    <w:tr2bl w:val="nil"/>
                  </w:tcBorders>
                  <w:noWrap w:val="0"/>
                  <w:vAlign w:val="center"/>
                </w:tcPr>
                <w:p w14:paraId="2445D45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成型机3</w:t>
                  </w:r>
                </w:p>
              </w:tc>
              <w:tc>
                <w:tcPr>
                  <w:tcW w:w="203" w:type="pct"/>
                  <w:tcBorders>
                    <w:tl2br w:val="nil"/>
                    <w:tr2bl w:val="nil"/>
                  </w:tcBorders>
                  <w:noWrap w:val="0"/>
                  <w:vAlign w:val="center"/>
                </w:tcPr>
                <w:p w14:paraId="79E7776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35AABEA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602AFB1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3771DB6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11.47</w:t>
                  </w:r>
                </w:p>
              </w:tc>
              <w:tc>
                <w:tcPr>
                  <w:tcW w:w="369" w:type="pct"/>
                  <w:tcBorders>
                    <w:tl2br w:val="nil"/>
                    <w:tr2bl w:val="nil"/>
                  </w:tcBorders>
                  <w:noWrap w:val="0"/>
                  <w:vAlign w:val="center"/>
                </w:tcPr>
                <w:p w14:paraId="55F00F7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39.86</w:t>
                  </w:r>
                </w:p>
              </w:tc>
              <w:tc>
                <w:tcPr>
                  <w:tcW w:w="308" w:type="pct"/>
                  <w:tcBorders>
                    <w:tl2br w:val="nil"/>
                    <w:tr2bl w:val="nil"/>
                  </w:tcBorders>
                  <w:noWrap w:val="0"/>
                  <w:vAlign w:val="center"/>
                </w:tcPr>
                <w:p w14:paraId="4370DF5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2A97379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2.08</w:t>
                  </w:r>
                </w:p>
              </w:tc>
              <w:tc>
                <w:tcPr>
                  <w:tcW w:w="414" w:type="pct"/>
                  <w:tcBorders>
                    <w:tl2br w:val="nil"/>
                    <w:tr2bl w:val="nil"/>
                  </w:tcBorders>
                  <w:noWrap w:val="0"/>
                  <w:vAlign w:val="center"/>
                </w:tcPr>
                <w:p w14:paraId="79474ED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61.12</w:t>
                  </w:r>
                </w:p>
              </w:tc>
              <w:tc>
                <w:tcPr>
                  <w:tcW w:w="256" w:type="pct"/>
                  <w:vMerge w:val="continue"/>
                  <w:tcBorders>
                    <w:tl2br w:val="nil"/>
                    <w:tr2bl w:val="nil"/>
                  </w:tcBorders>
                  <w:noWrap w:val="0"/>
                  <w:vAlign w:val="center"/>
                </w:tcPr>
                <w:p w14:paraId="37B2DC7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3B38ACD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08E0E0F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41.12</w:t>
                  </w:r>
                </w:p>
              </w:tc>
              <w:tc>
                <w:tcPr>
                  <w:tcW w:w="423" w:type="pct"/>
                  <w:tcBorders>
                    <w:tl2br w:val="nil"/>
                    <w:tr2bl w:val="nil"/>
                  </w:tcBorders>
                  <w:noWrap/>
                  <w:vAlign w:val="center"/>
                </w:tcPr>
                <w:p w14:paraId="21F3B5F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0196BCBE">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54C22E1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8</w:t>
                  </w:r>
                </w:p>
              </w:tc>
              <w:tc>
                <w:tcPr>
                  <w:tcW w:w="379" w:type="pct"/>
                  <w:tcBorders>
                    <w:tl2br w:val="nil"/>
                    <w:tr2bl w:val="nil"/>
                  </w:tcBorders>
                  <w:noWrap w:val="0"/>
                  <w:vAlign w:val="center"/>
                </w:tcPr>
                <w:p w14:paraId="473896C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成型机4</w:t>
                  </w:r>
                </w:p>
              </w:tc>
              <w:tc>
                <w:tcPr>
                  <w:tcW w:w="203" w:type="pct"/>
                  <w:tcBorders>
                    <w:tl2br w:val="nil"/>
                    <w:tr2bl w:val="nil"/>
                  </w:tcBorders>
                  <w:noWrap w:val="0"/>
                  <w:vAlign w:val="center"/>
                </w:tcPr>
                <w:p w14:paraId="3F3CD0D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23BE191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6E1A2B4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4299ECC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15.94</w:t>
                  </w:r>
                </w:p>
              </w:tc>
              <w:tc>
                <w:tcPr>
                  <w:tcW w:w="369" w:type="pct"/>
                  <w:tcBorders>
                    <w:tl2br w:val="nil"/>
                    <w:tr2bl w:val="nil"/>
                  </w:tcBorders>
                  <w:noWrap w:val="0"/>
                  <w:vAlign w:val="center"/>
                </w:tcPr>
                <w:p w14:paraId="7FEF62E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40.01</w:t>
                  </w:r>
                </w:p>
              </w:tc>
              <w:tc>
                <w:tcPr>
                  <w:tcW w:w="308" w:type="pct"/>
                  <w:tcBorders>
                    <w:tl2br w:val="nil"/>
                    <w:tr2bl w:val="nil"/>
                  </w:tcBorders>
                  <w:noWrap w:val="0"/>
                  <w:vAlign w:val="center"/>
                </w:tcPr>
                <w:p w14:paraId="1997AA5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2DBAA50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2.12</w:t>
                  </w:r>
                </w:p>
              </w:tc>
              <w:tc>
                <w:tcPr>
                  <w:tcW w:w="414" w:type="pct"/>
                  <w:tcBorders>
                    <w:tl2br w:val="nil"/>
                    <w:tr2bl w:val="nil"/>
                  </w:tcBorders>
                  <w:noWrap w:val="0"/>
                  <w:vAlign w:val="center"/>
                </w:tcPr>
                <w:p w14:paraId="61D0D86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61.09</w:t>
                  </w:r>
                </w:p>
              </w:tc>
              <w:tc>
                <w:tcPr>
                  <w:tcW w:w="256" w:type="pct"/>
                  <w:vMerge w:val="continue"/>
                  <w:tcBorders>
                    <w:tl2br w:val="nil"/>
                    <w:tr2bl w:val="nil"/>
                  </w:tcBorders>
                  <w:noWrap w:val="0"/>
                  <w:vAlign w:val="center"/>
                </w:tcPr>
                <w:p w14:paraId="775B53E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294A778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0AFB1C8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41.09</w:t>
                  </w:r>
                </w:p>
              </w:tc>
              <w:tc>
                <w:tcPr>
                  <w:tcW w:w="423" w:type="pct"/>
                  <w:tcBorders>
                    <w:tl2br w:val="nil"/>
                    <w:tr2bl w:val="nil"/>
                  </w:tcBorders>
                  <w:noWrap/>
                  <w:vAlign w:val="center"/>
                </w:tcPr>
                <w:p w14:paraId="5BDBF35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13E963FD">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2B597A1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9</w:t>
                  </w:r>
                </w:p>
              </w:tc>
              <w:tc>
                <w:tcPr>
                  <w:tcW w:w="379" w:type="pct"/>
                  <w:tcBorders>
                    <w:tl2br w:val="nil"/>
                    <w:tr2bl w:val="nil"/>
                  </w:tcBorders>
                  <w:noWrap w:val="0"/>
                  <w:vAlign w:val="center"/>
                </w:tcPr>
                <w:p w14:paraId="2CA312F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成型机5</w:t>
                  </w:r>
                </w:p>
              </w:tc>
              <w:tc>
                <w:tcPr>
                  <w:tcW w:w="203" w:type="pct"/>
                  <w:tcBorders>
                    <w:tl2br w:val="nil"/>
                    <w:tr2bl w:val="nil"/>
                  </w:tcBorders>
                  <w:noWrap w:val="0"/>
                  <w:vAlign w:val="center"/>
                </w:tcPr>
                <w:p w14:paraId="44E34FD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6743DB8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4DC93D4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2B7177A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19.5</w:t>
                  </w:r>
                </w:p>
              </w:tc>
              <w:tc>
                <w:tcPr>
                  <w:tcW w:w="369" w:type="pct"/>
                  <w:tcBorders>
                    <w:tl2br w:val="nil"/>
                    <w:tr2bl w:val="nil"/>
                  </w:tcBorders>
                  <w:noWrap w:val="0"/>
                  <w:vAlign w:val="center"/>
                </w:tcPr>
                <w:p w14:paraId="0BD6660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w:t>
                  </w:r>
                </w:p>
              </w:tc>
              <w:tc>
                <w:tcPr>
                  <w:tcW w:w="308" w:type="pct"/>
                  <w:tcBorders>
                    <w:tl2br w:val="nil"/>
                    <w:tr2bl w:val="nil"/>
                  </w:tcBorders>
                  <w:noWrap w:val="0"/>
                  <w:vAlign w:val="center"/>
                </w:tcPr>
                <w:p w14:paraId="7F6F188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28D8437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2.86</w:t>
                  </w:r>
                </w:p>
              </w:tc>
              <w:tc>
                <w:tcPr>
                  <w:tcW w:w="414" w:type="pct"/>
                  <w:tcBorders>
                    <w:tl2br w:val="nil"/>
                    <w:tr2bl w:val="nil"/>
                  </w:tcBorders>
                  <w:noWrap w:val="0"/>
                  <w:vAlign w:val="center"/>
                </w:tcPr>
                <w:p w14:paraId="421EC5C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60.82</w:t>
                  </w:r>
                </w:p>
              </w:tc>
              <w:tc>
                <w:tcPr>
                  <w:tcW w:w="256" w:type="pct"/>
                  <w:vMerge w:val="continue"/>
                  <w:tcBorders>
                    <w:tl2br w:val="nil"/>
                    <w:tr2bl w:val="nil"/>
                  </w:tcBorders>
                  <w:noWrap w:val="0"/>
                  <w:vAlign w:val="center"/>
                </w:tcPr>
                <w:p w14:paraId="0C76885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60F9247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61CFE60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40.82</w:t>
                  </w:r>
                </w:p>
              </w:tc>
              <w:tc>
                <w:tcPr>
                  <w:tcW w:w="423" w:type="pct"/>
                  <w:tcBorders>
                    <w:tl2br w:val="nil"/>
                    <w:tr2bl w:val="nil"/>
                  </w:tcBorders>
                  <w:noWrap/>
                  <w:vAlign w:val="center"/>
                </w:tcPr>
                <w:p w14:paraId="28238A8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1D8361F0">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5A08D07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10</w:t>
                  </w:r>
                </w:p>
              </w:tc>
              <w:tc>
                <w:tcPr>
                  <w:tcW w:w="379" w:type="pct"/>
                  <w:tcBorders>
                    <w:tl2br w:val="nil"/>
                    <w:tr2bl w:val="nil"/>
                  </w:tcBorders>
                  <w:noWrap w:val="0"/>
                  <w:vAlign w:val="center"/>
                </w:tcPr>
                <w:p w14:paraId="3F04471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成型机6</w:t>
                  </w:r>
                </w:p>
              </w:tc>
              <w:tc>
                <w:tcPr>
                  <w:tcW w:w="203" w:type="pct"/>
                  <w:tcBorders>
                    <w:tl2br w:val="nil"/>
                    <w:tr2bl w:val="nil"/>
                  </w:tcBorders>
                  <w:noWrap w:val="0"/>
                  <w:vAlign w:val="center"/>
                </w:tcPr>
                <w:p w14:paraId="09FB4DD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46441FA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2F719DC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489B0C3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22.27</w:t>
                  </w:r>
                </w:p>
              </w:tc>
              <w:tc>
                <w:tcPr>
                  <w:tcW w:w="369" w:type="pct"/>
                  <w:tcBorders>
                    <w:tl2br w:val="nil"/>
                    <w:tr2bl w:val="nil"/>
                  </w:tcBorders>
                  <w:noWrap w:val="0"/>
                  <w:vAlign w:val="center"/>
                </w:tcPr>
                <w:p w14:paraId="7692C8E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w:t>
                  </w:r>
                </w:p>
              </w:tc>
              <w:tc>
                <w:tcPr>
                  <w:tcW w:w="308" w:type="pct"/>
                  <w:tcBorders>
                    <w:tl2br w:val="nil"/>
                    <w:tr2bl w:val="nil"/>
                  </w:tcBorders>
                  <w:noWrap w:val="0"/>
                  <w:vAlign w:val="center"/>
                </w:tcPr>
                <w:p w14:paraId="60C4AAF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372547C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2.87</w:t>
                  </w:r>
                </w:p>
              </w:tc>
              <w:tc>
                <w:tcPr>
                  <w:tcW w:w="414" w:type="pct"/>
                  <w:tcBorders>
                    <w:tl2br w:val="nil"/>
                    <w:tr2bl w:val="nil"/>
                  </w:tcBorders>
                  <w:noWrap w:val="0"/>
                  <w:vAlign w:val="center"/>
                </w:tcPr>
                <w:p w14:paraId="00F5238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60.81</w:t>
                  </w:r>
                </w:p>
              </w:tc>
              <w:tc>
                <w:tcPr>
                  <w:tcW w:w="256" w:type="pct"/>
                  <w:vMerge w:val="continue"/>
                  <w:tcBorders>
                    <w:tl2br w:val="nil"/>
                    <w:tr2bl w:val="nil"/>
                  </w:tcBorders>
                  <w:noWrap w:val="0"/>
                  <w:vAlign w:val="center"/>
                </w:tcPr>
                <w:p w14:paraId="4AFB89B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4A3474A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5D0F733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40.81</w:t>
                  </w:r>
                </w:p>
              </w:tc>
              <w:tc>
                <w:tcPr>
                  <w:tcW w:w="423" w:type="pct"/>
                  <w:tcBorders>
                    <w:tl2br w:val="nil"/>
                    <w:tr2bl w:val="nil"/>
                  </w:tcBorders>
                  <w:noWrap/>
                  <w:vAlign w:val="center"/>
                </w:tcPr>
                <w:p w14:paraId="30A5157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1489A127">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57D0F98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11</w:t>
                  </w:r>
                </w:p>
              </w:tc>
              <w:tc>
                <w:tcPr>
                  <w:tcW w:w="379" w:type="pct"/>
                  <w:tcBorders>
                    <w:tl2br w:val="nil"/>
                    <w:tr2bl w:val="nil"/>
                  </w:tcBorders>
                  <w:noWrap w:val="0"/>
                  <w:vAlign w:val="center"/>
                </w:tcPr>
                <w:p w14:paraId="04B0252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成型机7</w:t>
                  </w:r>
                </w:p>
              </w:tc>
              <w:tc>
                <w:tcPr>
                  <w:tcW w:w="203" w:type="pct"/>
                  <w:tcBorders>
                    <w:tl2br w:val="nil"/>
                    <w:tr2bl w:val="nil"/>
                  </w:tcBorders>
                  <w:noWrap w:val="0"/>
                  <w:vAlign w:val="center"/>
                </w:tcPr>
                <w:p w14:paraId="6B1A9F7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5ECCA2E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2EBCC72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00C300D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25.04</w:t>
                  </w:r>
                </w:p>
              </w:tc>
              <w:tc>
                <w:tcPr>
                  <w:tcW w:w="369" w:type="pct"/>
                  <w:tcBorders>
                    <w:tl2br w:val="nil"/>
                    <w:tr2bl w:val="nil"/>
                  </w:tcBorders>
                  <w:noWrap w:val="0"/>
                  <w:vAlign w:val="center"/>
                </w:tcPr>
                <w:p w14:paraId="663FC57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39.7</w:t>
                  </w:r>
                </w:p>
              </w:tc>
              <w:tc>
                <w:tcPr>
                  <w:tcW w:w="308" w:type="pct"/>
                  <w:tcBorders>
                    <w:tl2br w:val="nil"/>
                    <w:tr2bl w:val="nil"/>
                  </w:tcBorders>
                  <w:noWrap w:val="0"/>
                  <w:vAlign w:val="center"/>
                </w:tcPr>
                <w:p w14:paraId="0002608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656A14A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3.18</w:t>
                  </w:r>
                </w:p>
              </w:tc>
              <w:tc>
                <w:tcPr>
                  <w:tcW w:w="414" w:type="pct"/>
                  <w:tcBorders>
                    <w:tl2br w:val="nil"/>
                    <w:tr2bl w:val="nil"/>
                  </w:tcBorders>
                  <w:noWrap w:val="0"/>
                  <w:vAlign w:val="center"/>
                </w:tcPr>
                <w:p w14:paraId="394C1EE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60.75</w:t>
                  </w:r>
                </w:p>
              </w:tc>
              <w:tc>
                <w:tcPr>
                  <w:tcW w:w="256" w:type="pct"/>
                  <w:vMerge w:val="continue"/>
                  <w:tcBorders>
                    <w:tl2br w:val="nil"/>
                    <w:tr2bl w:val="nil"/>
                  </w:tcBorders>
                  <w:noWrap w:val="0"/>
                  <w:vAlign w:val="center"/>
                </w:tcPr>
                <w:p w14:paraId="40D738D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606ED04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4C68544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40.75</w:t>
                  </w:r>
                </w:p>
              </w:tc>
              <w:tc>
                <w:tcPr>
                  <w:tcW w:w="423" w:type="pct"/>
                  <w:tcBorders>
                    <w:tl2br w:val="nil"/>
                    <w:tr2bl w:val="nil"/>
                  </w:tcBorders>
                  <w:noWrap/>
                  <w:vAlign w:val="center"/>
                </w:tcPr>
                <w:p w14:paraId="79E2492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07C868AD">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268CABC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79" w:type="pct"/>
                  <w:tcBorders>
                    <w:tl2br w:val="nil"/>
                    <w:tr2bl w:val="nil"/>
                  </w:tcBorders>
                  <w:noWrap w:val="0"/>
                  <w:vAlign w:val="center"/>
                </w:tcPr>
                <w:p w14:paraId="4C63909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成型机8</w:t>
                  </w:r>
                </w:p>
              </w:tc>
              <w:tc>
                <w:tcPr>
                  <w:tcW w:w="203" w:type="pct"/>
                  <w:tcBorders>
                    <w:tl2br w:val="nil"/>
                    <w:tr2bl w:val="nil"/>
                  </w:tcBorders>
                  <w:noWrap w:val="0"/>
                  <w:vAlign w:val="center"/>
                </w:tcPr>
                <w:p w14:paraId="7C87455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1D22596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4BA42BA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19F9ABE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27.36</w:t>
                  </w:r>
                </w:p>
              </w:tc>
              <w:tc>
                <w:tcPr>
                  <w:tcW w:w="369" w:type="pct"/>
                  <w:tcBorders>
                    <w:tl2br w:val="nil"/>
                    <w:tr2bl w:val="nil"/>
                  </w:tcBorders>
                  <w:noWrap w:val="0"/>
                  <w:vAlign w:val="center"/>
                </w:tcPr>
                <w:p w14:paraId="0783FC8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39.85</w:t>
                  </w:r>
                </w:p>
              </w:tc>
              <w:tc>
                <w:tcPr>
                  <w:tcW w:w="308" w:type="pct"/>
                  <w:tcBorders>
                    <w:tl2br w:val="nil"/>
                    <w:tr2bl w:val="nil"/>
                  </w:tcBorders>
                  <w:noWrap w:val="0"/>
                  <w:vAlign w:val="center"/>
                </w:tcPr>
                <w:p w14:paraId="442286C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504952C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3.05</w:t>
                  </w:r>
                </w:p>
              </w:tc>
              <w:tc>
                <w:tcPr>
                  <w:tcW w:w="414" w:type="pct"/>
                  <w:tcBorders>
                    <w:tl2br w:val="nil"/>
                    <w:tr2bl w:val="nil"/>
                  </w:tcBorders>
                  <w:noWrap w:val="0"/>
                  <w:vAlign w:val="center"/>
                </w:tcPr>
                <w:p w14:paraId="1A1874C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60.77</w:t>
                  </w:r>
                </w:p>
              </w:tc>
              <w:tc>
                <w:tcPr>
                  <w:tcW w:w="256" w:type="pct"/>
                  <w:vMerge w:val="continue"/>
                  <w:tcBorders>
                    <w:tl2br w:val="nil"/>
                    <w:tr2bl w:val="nil"/>
                  </w:tcBorders>
                  <w:noWrap w:val="0"/>
                  <w:vAlign w:val="center"/>
                </w:tcPr>
                <w:p w14:paraId="637CCB3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46DD280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0056975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40.77</w:t>
                  </w:r>
                </w:p>
              </w:tc>
              <w:tc>
                <w:tcPr>
                  <w:tcW w:w="423" w:type="pct"/>
                  <w:tcBorders>
                    <w:tl2br w:val="nil"/>
                    <w:tr2bl w:val="nil"/>
                  </w:tcBorders>
                  <w:noWrap/>
                  <w:vAlign w:val="center"/>
                </w:tcPr>
                <w:p w14:paraId="6417FD9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3AAC3C2C">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319ADB9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13</w:t>
                  </w:r>
                </w:p>
              </w:tc>
              <w:tc>
                <w:tcPr>
                  <w:tcW w:w="379" w:type="pct"/>
                  <w:tcBorders>
                    <w:tl2br w:val="nil"/>
                    <w:tr2bl w:val="nil"/>
                  </w:tcBorders>
                  <w:noWrap w:val="0"/>
                  <w:vAlign w:val="center"/>
                </w:tcPr>
                <w:p w14:paraId="384A75B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成型机9</w:t>
                  </w:r>
                </w:p>
              </w:tc>
              <w:tc>
                <w:tcPr>
                  <w:tcW w:w="203" w:type="pct"/>
                  <w:tcBorders>
                    <w:tl2br w:val="nil"/>
                    <w:tr2bl w:val="nil"/>
                  </w:tcBorders>
                  <w:noWrap w:val="0"/>
                  <w:vAlign w:val="center"/>
                </w:tcPr>
                <w:p w14:paraId="60B9E54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0E215B2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6404CD2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627F84D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30.91</w:t>
                  </w:r>
                </w:p>
              </w:tc>
              <w:tc>
                <w:tcPr>
                  <w:tcW w:w="369" w:type="pct"/>
                  <w:tcBorders>
                    <w:tl2br w:val="nil"/>
                    <w:tr2bl w:val="nil"/>
                  </w:tcBorders>
                  <w:noWrap w:val="0"/>
                  <w:vAlign w:val="center"/>
                </w:tcPr>
                <w:p w14:paraId="757D155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40.16</w:t>
                  </w:r>
                </w:p>
              </w:tc>
              <w:tc>
                <w:tcPr>
                  <w:tcW w:w="308" w:type="pct"/>
                  <w:tcBorders>
                    <w:tl2br w:val="nil"/>
                    <w:tr2bl w:val="nil"/>
                  </w:tcBorders>
                  <w:noWrap w:val="0"/>
                  <w:vAlign w:val="center"/>
                </w:tcPr>
                <w:p w14:paraId="60A8759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5BE641B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2.75</w:t>
                  </w:r>
                </w:p>
              </w:tc>
              <w:tc>
                <w:tcPr>
                  <w:tcW w:w="414" w:type="pct"/>
                  <w:tcBorders>
                    <w:tl2br w:val="nil"/>
                    <w:tr2bl w:val="nil"/>
                  </w:tcBorders>
                  <w:noWrap w:val="0"/>
                  <w:vAlign w:val="center"/>
                </w:tcPr>
                <w:p w14:paraId="2E92EE8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60.84</w:t>
                  </w:r>
                </w:p>
              </w:tc>
              <w:tc>
                <w:tcPr>
                  <w:tcW w:w="256" w:type="pct"/>
                  <w:vMerge w:val="continue"/>
                  <w:tcBorders>
                    <w:tl2br w:val="nil"/>
                    <w:tr2bl w:val="nil"/>
                  </w:tcBorders>
                  <w:noWrap w:val="0"/>
                  <w:vAlign w:val="center"/>
                </w:tcPr>
                <w:p w14:paraId="03BB107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2398B06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7A5D027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40.84</w:t>
                  </w:r>
                </w:p>
              </w:tc>
              <w:tc>
                <w:tcPr>
                  <w:tcW w:w="423" w:type="pct"/>
                  <w:tcBorders>
                    <w:tl2br w:val="nil"/>
                    <w:tr2bl w:val="nil"/>
                  </w:tcBorders>
                  <w:noWrap/>
                  <w:vAlign w:val="center"/>
                </w:tcPr>
                <w:p w14:paraId="659C7D5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6E8C58FF">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7CBB566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14</w:t>
                  </w:r>
                </w:p>
              </w:tc>
              <w:tc>
                <w:tcPr>
                  <w:tcW w:w="379" w:type="pct"/>
                  <w:tcBorders>
                    <w:tl2br w:val="nil"/>
                    <w:tr2bl w:val="nil"/>
                  </w:tcBorders>
                  <w:noWrap w:val="0"/>
                  <w:vAlign w:val="center"/>
                </w:tcPr>
                <w:p w14:paraId="6FE224C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成型机10</w:t>
                  </w:r>
                </w:p>
              </w:tc>
              <w:tc>
                <w:tcPr>
                  <w:tcW w:w="203" w:type="pct"/>
                  <w:tcBorders>
                    <w:tl2br w:val="nil"/>
                    <w:tr2bl w:val="nil"/>
                  </w:tcBorders>
                  <w:noWrap w:val="0"/>
                  <w:vAlign w:val="center"/>
                </w:tcPr>
                <w:p w14:paraId="4CCC483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1A353A6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44985BB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312A898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33.99</w:t>
                  </w:r>
                </w:p>
              </w:tc>
              <w:tc>
                <w:tcPr>
                  <w:tcW w:w="369" w:type="pct"/>
                  <w:tcBorders>
                    <w:tl2br w:val="nil"/>
                    <w:tr2bl w:val="nil"/>
                  </w:tcBorders>
                  <w:noWrap w:val="0"/>
                  <w:vAlign w:val="center"/>
                </w:tcPr>
                <w:p w14:paraId="403859C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40.16</w:t>
                  </w:r>
                </w:p>
              </w:tc>
              <w:tc>
                <w:tcPr>
                  <w:tcW w:w="308" w:type="pct"/>
                  <w:tcBorders>
                    <w:tl2br w:val="nil"/>
                    <w:tr2bl w:val="nil"/>
                  </w:tcBorders>
                  <w:noWrap w:val="0"/>
                  <w:vAlign w:val="center"/>
                </w:tcPr>
                <w:p w14:paraId="681BD0E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2BA11AA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2.77</w:t>
                  </w:r>
                </w:p>
              </w:tc>
              <w:tc>
                <w:tcPr>
                  <w:tcW w:w="414" w:type="pct"/>
                  <w:tcBorders>
                    <w:tl2br w:val="nil"/>
                    <w:tr2bl w:val="nil"/>
                  </w:tcBorders>
                  <w:noWrap w:val="0"/>
                  <w:vAlign w:val="center"/>
                </w:tcPr>
                <w:p w14:paraId="43EA4A5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60.84</w:t>
                  </w:r>
                </w:p>
              </w:tc>
              <w:tc>
                <w:tcPr>
                  <w:tcW w:w="256" w:type="pct"/>
                  <w:vMerge w:val="continue"/>
                  <w:tcBorders>
                    <w:tl2br w:val="nil"/>
                    <w:tr2bl w:val="nil"/>
                  </w:tcBorders>
                  <w:noWrap w:val="0"/>
                  <w:vAlign w:val="center"/>
                </w:tcPr>
                <w:p w14:paraId="0A3AA1D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4E51309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3E0DBF2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40.84</w:t>
                  </w:r>
                </w:p>
              </w:tc>
              <w:tc>
                <w:tcPr>
                  <w:tcW w:w="423" w:type="pct"/>
                  <w:tcBorders>
                    <w:tl2br w:val="nil"/>
                    <w:tr2bl w:val="nil"/>
                  </w:tcBorders>
                  <w:noWrap/>
                  <w:vAlign w:val="center"/>
                </w:tcPr>
                <w:p w14:paraId="5F83E30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46A3FC42">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338E117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15</w:t>
                  </w:r>
                </w:p>
              </w:tc>
              <w:tc>
                <w:tcPr>
                  <w:tcW w:w="379" w:type="pct"/>
                  <w:tcBorders>
                    <w:tl2br w:val="nil"/>
                    <w:tr2bl w:val="nil"/>
                  </w:tcBorders>
                  <w:noWrap w:val="0"/>
                  <w:vAlign w:val="center"/>
                </w:tcPr>
                <w:p w14:paraId="4BBF45F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成型机11</w:t>
                  </w:r>
                </w:p>
              </w:tc>
              <w:tc>
                <w:tcPr>
                  <w:tcW w:w="203" w:type="pct"/>
                  <w:tcBorders>
                    <w:tl2br w:val="nil"/>
                    <w:tr2bl w:val="nil"/>
                  </w:tcBorders>
                  <w:noWrap w:val="0"/>
                  <w:vAlign w:val="center"/>
                </w:tcPr>
                <w:p w14:paraId="73AC232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6EA29AE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1A12CB7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6ACFA6E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37.54</w:t>
                  </w:r>
                </w:p>
              </w:tc>
              <w:tc>
                <w:tcPr>
                  <w:tcW w:w="369" w:type="pct"/>
                  <w:tcBorders>
                    <w:tl2br w:val="nil"/>
                    <w:tr2bl w:val="nil"/>
                  </w:tcBorders>
                  <w:noWrap w:val="0"/>
                  <w:vAlign w:val="center"/>
                </w:tcPr>
                <w:p w14:paraId="5C9F889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40.16</w:t>
                  </w:r>
                </w:p>
              </w:tc>
              <w:tc>
                <w:tcPr>
                  <w:tcW w:w="308" w:type="pct"/>
                  <w:tcBorders>
                    <w:tl2br w:val="nil"/>
                    <w:tr2bl w:val="nil"/>
                  </w:tcBorders>
                  <w:noWrap w:val="0"/>
                  <w:vAlign w:val="center"/>
                </w:tcPr>
                <w:p w14:paraId="152230F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0AD325B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2.78</w:t>
                  </w:r>
                </w:p>
              </w:tc>
              <w:tc>
                <w:tcPr>
                  <w:tcW w:w="414" w:type="pct"/>
                  <w:tcBorders>
                    <w:tl2br w:val="nil"/>
                    <w:tr2bl w:val="nil"/>
                  </w:tcBorders>
                  <w:noWrap w:val="0"/>
                  <w:vAlign w:val="center"/>
                </w:tcPr>
                <w:p w14:paraId="197A100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60.84</w:t>
                  </w:r>
                </w:p>
              </w:tc>
              <w:tc>
                <w:tcPr>
                  <w:tcW w:w="256" w:type="pct"/>
                  <w:vMerge w:val="continue"/>
                  <w:tcBorders>
                    <w:tl2br w:val="nil"/>
                    <w:tr2bl w:val="nil"/>
                  </w:tcBorders>
                  <w:noWrap w:val="0"/>
                  <w:vAlign w:val="center"/>
                </w:tcPr>
                <w:p w14:paraId="01AAA7A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3AEB43B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20005EA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40.84</w:t>
                  </w:r>
                </w:p>
              </w:tc>
              <w:tc>
                <w:tcPr>
                  <w:tcW w:w="423" w:type="pct"/>
                  <w:tcBorders>
                    <w:tl2br w:val="nil"/>
                    <w:tr2bl w:val="nil"/>
                  </w:tcBorders>
                  <w:noWrap/>
                  <w:vAlign w:val="center"/>
                </w:tcPr>
                <w:p w14:paraId="4AB7FE9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0128FE29">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18E1F62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16</w:t>
                  </w:r>
                </w:p>
              </w:tc>
              <w:tc>
                <w:tcPr>
                  <w:tcW w:w="379" w:type="pct"/>
                  <w:tcBorders>
                    <w:tl2br w:val="nil"/>
                    <w:tr2bl w:val="nil"/>
                  </w:tcBorders>
                  <w:noWrap w:val="0"/>
                  <w:vAlign w:val="center"/>
                </w:tcPr>
                <w:p w14:paraId="6585B43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成型机12</w:t>
                  </w:r>
                </w:p>
              </w:tc>
              <w:tc>
                <w:tcPr>
                  <w:tcW w:w="203" w:type="pct"/>
                  <w:tcBorders>
                    <w:tl2br w:val="nil"/>
                    <w:tr2bl w:val="nil"/>
                  </w:tcBorders>
                  <w:noWrap w:val="0"/>
                  <w:vAlign w:val="center"/>
                </w:tcPr>
                <w:p w14:paraId="7765308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50F397F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43AC3AF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327421D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40.63</w:t>
                  </w:r>
                </w:p>
              </w:tc>
              <w:tc>
                <w:tcPr>
                  <w:tcW w:w="369" w:type="pct"/>
                  <w:tcBorders>
                    <w:tl2br w:val="nil"/>
                    <w:tr2bl w:val="nil"/>
                  </w:tcBorders>
                  <w:noWrap w:val="0"/>
                  <w:vAlign w:val="center"/>
                </w:tcPr>
                <w:p w14:paraId="40FD8BF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40.16</w:t>
                  </w:r>
                </w:p>
              </w:tc>
              <w:tc>
                <w:tcPr>
                  <w:tcW w:w="308" w:type="pct"/>
                  <w:tcBorders>
                    <w:tl2br w:val="nil"/>
                    <w:tr2bl w:val="nil"/>
                  </w:tcBorders>
                  <w:noWrap w:val="0"/>
                  <w:vAlign w:val="center"/>
                </w:tcPr>
                <w:p w14:paraId="5DA0BC6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7735CA0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2.80</w:t>
                  </w:r>
                </w:p>
              </w:tc>
              <w:tc>
                <w:tcPr>
                  <w:tcW w:w="414" w:type="pct"/>
                  <w:tcBorders>
                    <w:tl2br w:val="nil"/>
                    <w:tr2bl w:val="nil"/>
                  </w:tcBorders>
                  <w:noWrap w:val="0"/>
                  <w:vAlign w:val="center"/>
                </w:tcPr>
                <w:p w14:paraId="63846CB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60.83</w:t>
                  </w:r>
                </w:p>
              </w:tc>
              <w:tc>
                <w:tcPr>
                  <w:tcW w:w="256" w:type="pct"/>
                  <w:vMerge w:val="continue"/>
                  <w:tcBorders>
                    <w:tl2br w:val="nil"/>
                    <w:tr2bl w:val="nil"/>
                  </w:tcBorders>
                  <w:noWrap w:val="0"/>
                  <w:vAlign w:val="center"/>
                </w:tcPr>
                <w:p w14:paraId="3DB74E0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09F3357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00638E3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40.83</w:t>
                  </w:r>
                </w:p>
              </w:tc>
              <w:tc>
                <w:tcPr>
                  <w:tcW w:w="423" w:type="pct"/>
                  <w:tcBorders>
                    <w:tl2br w:val="nil"/>
                    <w:tr2bl w:val="nil"/>
                  </w:tcBorders>
                  <w:noWrap/>
                  <w:vAlign w:val="center"/>
                </w:tcPr>
                <w:p w14:paraId="5D64CCF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3DFF2150">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42225C3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17</w:t>
                  </w:r>
                </w:p>
              </w:tc>
              <w:tc>
                <w:tcPr>
                  <w:tcW w:w="379" w:type="pct"/>
                  <w:tcBorders>
                    <w:tl2br w:val="nil"/>
                    <w:tr2bl w:val="nil"/>
                  </w:tcBorders>
                  <w:noWrap w:val="0"/>
                  <w:vAlign w:val="center"/>
                </w:tcPr>
                <w:p w14:paraId="301EBF3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成型机13</w:t>
                  </w:r>
                </w:p>
              </w:tc>
              <w:tc>
                <w:tcPr>
                  <w:tcW w:w="203" w:type="pct"/>
                  <w:tcBorders>
                    <w:tl2br w:val="nil"/>
                    <w:tr2bl w:val="nil"/>
                  </w:tcBorders>
                  <w:noWrap w:val="0"/>
                  <w:vAlign w:val="center"/>
                </w:tcPr>
                <w:p w14:paraId="1B4B398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53460C2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471B86A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22A9B3F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53.27</w:t>
                  </w:r>
                </w:p>
              </w:tc>
              <w:tc>
                <w:tcPr>
                  <w:tcW w:w="369" w:type="pct"/>
                  <w:tcBorders>
                    <w:tl2br w:val="nil"/>
                    <w:tr2bl w:val="nil"/>
                  </w:tcBorders>
                  <w:noWrap w:val="0"/>
                  <w:vAlign w:val="center"/>
                </w:tcPr>
                <w:p w14:paraId="376B9A8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22.71</w:t>
                  </w:r>
                </w:p>
              </w:tc>
              <w:tc>
                <w:tcPr>
                  <w:tcW w:w="308" w:type="pct"/>
                  <w:tcBorders>
                    <w:tl2br w:val="nil"/>
                    <w:tr2bl w:val="nil"/>
                  </w:tcBorders>
                  <w:noWrap w:val="0"/>
                  <w:vAlign w:val="center"/>
                </w:tcPr>
                <w:p w14:paraId="4B441A4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371238F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20.31</w:t>
                  </w:r>
                </w:p>
              </w:tc>
              <w:tc>
                <w:tcPr>
                  <w:tcW w:w="414" w:type="pct"/>
                  <w:tcBorders>
                    <w:tl2br w:val="nil"/>
                    <w:tr2bl w:val="nil"/>
                  </w:tcBorders>
                  <w:noWrap w:val="0"/>
                  <w:vAlign w:val="center"/>
                </w:tcPr>
                <w:p w14:paraId="11A576F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60.46</w:t>
                  </w:r>
                </w:p>
              </w:tc>
              <w:tc>
                <w:tcPr>
                  <w:tcW w:w="256" w:type="pct"/>
                  <w:vMerge w:val="continue"/>
                  <w:tcBorders>
                    <w:tl2br w:val="nil"/>
                    <w:tr2bl w:val="nil"/>
                  </w:tcBorders>
                  <w:noWrap w:val="0"/>
                  <w:vAlign w:val="center"/>
                </w:tcPr>
                <w:p w14:paraId="02B8E7C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7D5323A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2265FDF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40.46</w:t>
                  </w:r>
                </w:p>
              </w:tc>
              <w:tc>
                <w:tcPr>
                  <w:tcW w:w="423" w:type="pct"/>
                  <w:tcBorders>
                    <w:tl2br w:val="nil"/>
                    <w:tr2bl w:val="nil"/>
                  </w:tcBorders>
                  <w:noWrap/>
                  <w:vAlign w:val="center"/>
                </w:tcPr>
                <w:p w14:paraId="0565468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4ED6048E">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5D102F9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18</w:t>
                  </w:r>
                </w:p>
              </w:tc>
              <w:tc>
                <w:tcPr>
                  <w:tcW w:w="379" w:type="pct"/>
                  <w:tcBorders>
                    <w:tl2br w:val="nil"/>
                    <w:tr2bl w:val="nil"/>
                  </w:tcBorders>
                  <w:noWrap w:val="0"/>
                  <w:vAlign w:val="center"/>
                </w:tcPr>
                <w:p w14:paraId="7D72CCC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成型机14</w:t>
                  </w:r>
                </w:p>
              </w:tc>
              <w:tc>
                <w:tcPr>
                  <w:tcW w:w="203" w:type="pct"/>
                  <w:tcBorders>
                    <w:tl2br w:val="nil"/>
                    <w:tr2bl w:val="nil"/>
                  </w:tcBorders>
                  <w:noWrap w:val="0"/>
                  <w:vAlign w:val="center"/>
                </w:tcPr>
                <w:p w14:paraId="49A331D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06E76A1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7577D76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241AE5E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53.38</w:t>
                  </w:r>
                </w:p>
              </w:tc>
              <w:tc>
                <w:tcPr>
                  <w:tcW w:w="369" w:type="pct"/>
                  <w:tcBorders>
                    <w:tl2br w:val="nil"/>
                    <w:tr2bl w:val="nil"/>
                  </w:tcBorders>
                  <w:noWrap w:val="0"/>
                  <w:vAlign w:val="center"/>
                </w:tcPr>
                <w:p w14:paraId="7E82D7B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17.51</w:t>
                  </w:r>
                </w:p>
              </w:tc>
              <w:tc>
                <w:tcPr>
                  <w:tcW w:w="308" w:type="pct"/>
                  <w:tcBorders>
                    <w:tl2br w:val="nil"/>
                    <w:tr2bl w:val="nil"/>
                  </w:tcBorders>
                  <w:noWrap w:val="0"/>
                  <w:vAlign w:val="center"/>
                </w:tcPr>
                <w:p w14:paraId="7A5B663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437219D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18.15</w:t>
                  </w:r>
                </w:p>
              </w:tc>
              <w:tc>
                <w:tcPr>
                  <w:tcW w:w="414" w:type="pct"/>
                  <w:tcBorders>
                    <w:tl2br w:val="nil"/>
                    <w:tr2bl w:val="nil"/>
                  </w:tcBorders>
                  <w:noWrap w:val="0"/>
                  <w:vAlign w:val="center"/>
                </w:tcPr>
                <w:p w14:paraId="1B37173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60.46</w:t>
                  </w:r>
                </w:p>
              </w:tc>
              <w:tc>
                <w:tcPr>
                  <w:tcW w:w="256" w:type="pct"/>
                  <w:vMerge w:val="continue"/>
                  <w:tcBorders>
                    <w:tl2br w:val="nil"/>
                    <w:tr2bl w:val="nil"/>
                  </w:tcBorders>
                  <w:noWrap w:val="0"/>
                  <w:vAlign w:val="center"/>
                </w:tcPr>
                <w:p w14:paraId="747CF18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65D9676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38C3725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40.46</w:t>
                  </w:r>
                </w:p>
              </w:tc>
              <w:tc>
                <w:tcPr>
                  <w:tcW w:w="423" w:type="pct"/>
                  <w:tcBorders>
                    <w:tl2br w:val="nil"/>
                    <w:tr2bl w:val="nil"/>
                  </w:tcBorders>
                  <w:noWrap/>
                  <w:vAlign w:val="center"/>
                </w:tcPr>
                <w:p w14:paraId="4E6DB0C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6CEB035E">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1B69700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19</w:t>
                  </w:r>
                </w:p>
              </w:tc>
              <w:tc>
                <w:tcPr>
                  <w:tcW w:w="379" w:type="pct"/>
                  <w:tcBorders>
                    <w:tl2br w:val="nil"/>
                    <w:tr2bl w:val="nil"/>
                  </w:tcBorders>
                  <w:noWrap w:val="0"/>
                  <w:vAlign w:val="center"/>
                </w:tcPr>
                <w:p w14:paraId="502CB3F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成型机15</w:t>
                  </w:r>
                </w:p>
              </w:tc>
              <w:tc>
                <w:tcPr>
                  <w:tcW w:w="203" w:type="pct"/>
                  <w:tcBorders>
                    <w:tl2br w:val="nil"/>
                    <w:tr2bl w:val="nil"/>
                  </w:tcBorders>
                  <w:noWrap w:val="0"/>
                  <w:vAlign w:val="center"/>
                </w:tcPr>
                <w:p w14:paraId="7CEDB0D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15130DC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7567716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5AB531B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58.45</w:t>
                  </w:r>
                </w:p>
              </w:tc>
              <w:tc>
                <w:tcPr>
                  <w:tcW w:w="369" w:type="pct"/>
                  <w:tcBorders>
                    <w:tl2br w:val="nil"/>
                    <w:tr2bl w:val="nil"/>
                  </w:tcBorders>
                  <w:noWrap w:val="0"/>
                  <w:vAlign w:val="center"/>
                </w:tcPr>
                <w:p w14:paraId="603BFC7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22.52</w:t>
                  </w:r>
                </w:p>
              </w:tc>
              <w:tc>
                <w:tcPr>
                  <w:tcW w:w="308" w:type="pct"/>
                  <w:tcBorders>
                    <w:tl2br w:val="nil"/>
                    <w:tr2bl w:val="nil"/>
                  </w:tcBorders>
                  <w:noWrap w:val="0"/>
                  <w:vAlign w:val="center"/>
                </w:tcPr>
                <w:p w14:paraId="655BB0A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788EADE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20.52</w:t>
                  </w:r>
                </w:p>
              </w:tc>
              <w:tc>
                <w:tcPr>
                  <w:tcW w:w="414" w:type="pct"/>
                  <w:tcBorders>
                    <w:tl2br w:val="nil"/>
                    <w:tr2bl w:val="nil"/>
                  </w:tcBorders>
                  <w:noWrap w:val="0"/>
                  <w:vAlign w:val="center"/>
                </w:tcPr>
                <w:p w14:paraId="0AAFC1E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60.46</w:t>
                  </w:r>
                </w:p>
              </w:tc>
              <w:tc>
                <w:tcPr>
                  <w:tcW w:w="256" w:type="pct"/>
                  <w:vMerge w:val="continue"/>
                  <w:tcBorders>
                    <w:tl2br w:val="nil"/>
                    <w:tr2bl w:val="nil"/>
                  </w:tcBorders>
                  <w:noWrap w:val="0"/>
                  <w:vAlign w:val="center"/>
                </w:tcPr>
                <w:p w14:paraId="2749D5B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501A942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3C04B9F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40.46</w:t>
                  </w:r>
                </w:p>
              </w:tc>
              <w:tc>
                <w:tcPr>
                  <w:tcW w:w="423" w:type="pct"/>
                  <w:tcBorders>
                    <w:tl2br w:val="nil"/>
                    <w:tr2bl w:val="nil"/>
                  </w:tcBorders>
                  <w:noWrap/>
                  <w:vAlign w:val="center"/>
                </w:tcPr>
                <w:p w14:paraId="324FBE4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3BDDADCF">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00FAD17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20</w:t>
                  </w:r>
                </w:p>
              </w:tc>
              <w:tc>
                <w:tcPr>
                  <w:tcW w:w="379" w:type="pct"/>
                  <w:tcBorders>
                    <w:tl2br w:val="nil"/>
                    <w:tr2bl w:val="nil"/>
                  </w:tcBorders>
                  <w:noWrap w:val="0"/>
                  <w:vAlign w:val="center"/>
                </w:tcPr>
                <w:p w14:paraId="6C8E569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成型机16</w:t>
                  </w:r>
                </w:p>
              </w:tc>
              <w:tc>
                <w:tcPr>
                  <w:tcW w:w="203" w:type="pct"/>
                  <w:tcBorders>
                    <w:tl2br w:val="nil"/>
                    <w:tr2bl w:val="nil"/>
                  </w:tcBorders>
                  <w:noWrap w:val="0"/>
                  <w:vAlign w:val="center"/>
                </w:tcPr>
                <w:p w14:paraId="44F0BD1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0285849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70/1</w:t>
                  </w:r>
                </w:p>
              </w:tc>
              <w:tc>
                <w:tcPr>
                  <w:tcW w:w="346" w:type="pct"/>
                  <w:vMerge w:val="continue"/>
                  <w:tcBorders>
                    <w:tl2br w:val="nil"/>
                    <w:tr2bl w:val="nil"/>
                  </w:tcBorders>
                  <w:noWrap w:val="0"/>
                  <w:vAlign w:val="center"/>
                </w:tcPr>
                <w:p w14:paraId="0DE4588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5F35423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58.99</w:t>
                  </w:r>
                </w:p>
              </w:tc>
              <w:tc>
                <w:tcPr>
                  <w:tcW w:w="369" w:type="pct"/>
                  <w:tcBorders>
                    <w:tl2br w:val="nil"/>
                    <w:tr2bl w:val="nil"/>
                  </w:tcBorders>
                  <w:noWrap w:val="0"/>
                  <w:vAlign w:val="center"/>
                </w:tcPr>
                <w:p w14:paraId="48AA97F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17.66</w:t>
                  </w:r>
                </w:p>
              </w:tc>
              <w:tc>
                <w:tcPr>
                  <w:tcW w:w="308" w:type="pct"/>
                  <w:tcBorders>
                    <w:tl2br w:val="nil"/>
                    <w:tr2bl w:val="nil"/>
                  </w:tcBorders>
                  <w:noWrap w:val="0"/>
                  <w:vAlign w:val="center"/>
                </w:tcPr>
                <w:p w14:paraId="25A8FAE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57A439C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18.30</w:t>
                  </w:r>
                </w:p>
              </w:tc>
              <w:tc>
                <w:tcPr>
                  <w:tcW w:w="414" w:type="pct"/>
                  <w:tcBorders>
                    <w:tl2br w:val="nil"/>
                    <w:tr2bl w:val="nil"/>
                  </w:tcBorders>
                  <w:noWrap w:val="0"/>
                  <w:vAlign w:val="center"/>
                </w:tcPr>
                <w:p w14:paraId="5ECEFD5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60.46</w:t>
                  </w:r>
                </w:p>
              </w:tc>
              <w:tc>
                <w:tcPr>
                  <w:tcW w:w="256" w:type="pct"/>
                  <w:vMerge w:val="continue"/>
                  <w:tcBorders>
                    <w:tl2br w:val="nil"/>
                    <w:tr2bl w:val="nil"/>
                  </w:tcBorders>
                  <w:noWrap w:val="0"/>
                  <w:vAlign w:val="center"/>
                </w:tcPr>
                <w:p w14:paraId="18697B2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293A5B3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4B027E0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40.46</w:t>
                  </w:r>
                </w:p>
              </w:tc>
              <w:tc>
                <w:tcPr>
                  <w:tcW w:w="423" w:type="pct"/>
                  <w:tcBorders>
                    <w:tl2br w:val="nil"/>
                    <w:tr2bl w:val="nil"/>
                  </w:tcBorders>
                  <w:noWrap/>
                  <w:vAlign w:val="center"/>
                </w:tcPr>
                <w:p w14:paraId="4B9995A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189820A5">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6C38C4F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21</w:t>
                  </w:r>
                </w:p>
              </w:tc>
              <w:tc>
                <w:tcPr>
                  <w:tcW w:w="379" w:type="pct"/>
                  <w:tcBorders>
                    <w:tl2br w:val="nil"/>
                    <w:tr2bl w:val="nil"/>
                  </w:tcBorders>
                  <w:noWrap w:val="0"/>
                  <w:vAlign w:val="center"/>
                </w:tcPr>
                <w:p w14:paraId="154745D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成型机1</w:t>
                  </w:r>
                </w:p>
              </w:tc>
              <w:tc>
                <w:tcPr>
                  <w:tcW w:w="203" w:type="pct"/>
                  <w:tcBorders>
                    <w:tl2br w:val="nil"/>
                    <w:tr2bl w:val="nil"/>
                  </w:tcBorders>
                  <w:noWrap w:val="0"/>
                  <w:vAlign w:val="center"/>
                </w:tcPr>
                <w:p w14:paraId="48ADB55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03A6305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65/1</w:t>
                  </w:r>
                </w:p>
              </w:tc>
              <w:tc>
                <w:tcPr>
                  <w:tcW w:w="346" w:type="pct"/>
                  <w:vMerge w:val="continue"/>
                  <w:tcBorders>
                    <w:tl2br w:val="nil"/>
                    <w:tr2bl w:val="nil"/>
                  </w:tcBorders>
                  <w:noWrap w:val="0"/>
                  <w:vAlign w:val="center"/>
                </w:tcPr>
                <w:p w14:paraId="48F11FF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5E4431B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9.47</w:t>
                  </w:r>
                </w:p>
              </w:tc>
              <w:tc>
                <w:tcPr>
                  <w:tcW w:w="369" w:type="pct"/>
                  <w:tcBorders>
                    <w:tl2br w:val="nil"/>
                    <w:tr2bl w:val="nil"/>
                  </w:tcBorders>
                  <w:noWrap w:val="0"/>
                  <w:vAlign w:val="center"/>
                </w:tcPr>
                <w:p w14:paraId="4CE9FF8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31.83</w:t>
                  </w:r>
                </w:p>
              </w:tc>
              <w:tc>
                <w:tcPr>
                  <w:tcW w:w="308" w:type="pct"/>
                  <w:tcBorders>
                    <w:tl2br w:val="nil"/>
                    <w:tr2bl w:val="nil"/>
                  </w:tcBorders>
                  <w:noWrap w:val="0"/>
                  <w:vAlign w:val="center"/>
                </w:tcPr>
                <w:p w14:paraId="405ED4B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30C548C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1.44</w:t>
                  </w:r>
                </w:p>
              </w:tc>
              <w:tc>
                <w:tcPr>
                  <w:tcW w:w="414" w:type="pct"/>
                  <w:tcBorders>
                    <w:tl2br w:val="nil"/>
                    <w:tr2bl w:val="nil"/>
                  </w:tcBorders>
                  <w:noWrap w:val="0"/>
                  <w:vAlign w:val="center"/>
                </w:tcPr>
                <w:p w14:paraId="5EB7855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56.74</w:t>
                  </w:r>
                </w:p>
              </w:tc>
              <w:tc>
                <w:tcPr>
                  <w:tcW w:w="256" w:type="pct"/>
                  <w:vMerge w:val="continue"/>
                  <w:tcBorders>
                    <w:tl2br w:val="nil"/>
                    <w:tr2bl w:val="nil"/>
                  </w:tcBorders>
                  <w:noWrap w:val="0"/>
                  <w:vAlign w:val="center"/>
                </w:tcPr>
                <w:p w14:paraId="02FC4EC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4343559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7BC6DFD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36.74</w:t>
                  </w:r>
                </w:p>
              </w:tc>
              <w:tc>
                <w:tcPr>
                  <w:tcW w:w="423" w:type="pct"/>
                  <w:tcBorders>
                    <w:tl2br w:val="nil"/>
                    <w:tr2bl w:val="nil"/>
                  </w:tcBorders>
                  <w:noWrap/>
                  <w:vAlign w:val="center"/>
                </w:tcPr>
                <w:p w14:paraId="0B949C5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74BE28E5">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1AD1592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22</w:t>
                  </w:r>
                </w:p>
              </w:tc>
              <w:tc>
                <w:tcPr>
                  <w:tcW w:w="379" w:type="pct"/>
                  <w:tcBorders>
                    <w:tl2br w:val="nil"/>
                    <w:tr2bl w:val="nil"/>
                  </w:tcBorders>
                  <w:noWrap w:val="0"/>
                  <w:vAlign w:val="center"/>
                </w:tcPr>
                <w:p w14:paraId="644B101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成型机2</w:t>
                  </w:r>
                </w:p>
              </w:tc>
              <w:tc>
                <w:tcPr>
                  <w:tcW w:w="203" w:type="pct"/>
                  <w:tcBorders>
                    <w:tl2br w:val="nil"/>
                    <w:tr2bl w:val="nil"/>
                  </w:tcBorders>
                  <w:noWrap w:val="0"/>
                  <w:vAlign w:val="center"/>
                </w:tcPr>
                <w:p w14:paraId="0342D92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4983261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65/1</w:t>
                  </w:r>
                </w:p>
              </w:tc>
              <w:tc>
                <w:tcPr>
                  <w:tcW w:w="346" w:type="pct"/>
                  <w:vMerge w:val="continue"/>
                  <w:tcBorders>
                    <w:tl2br w:val="nil"/>
                    <w:tr2bl w:val="nil"/>
                  </w:tcBorders>
                  <w:noWrap w:val="0"/>
                  <w:vAlign w:val="center"/>
                </w:tcPr>
                <w:p w14:paraId="33579F4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29A6403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14.14</w:t>
                  </w:r>
                </w:p>
              </w:tc>
              <w:tc>
                <w:tcPr>
                  <w:tcW w:w="369" w:type="pct"/>
                  <w:tcBorders>
                    <w:tl2br w:val="nil"/>
                    <w:tr2bl w:val="nil"/>
                  </w:tcBorders>
                  <w:noWrap w:val="0"/>
                  <w:vAlign w:val="center"/>
                </w:tcPr>
                <w:p w14:paraId="700D90D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31.37</w:t>
                  </w:r>
                </w:p>
              </w:tc>
              <w:tc>
                <w:tcPr>
                  <w:tcW w:w="308" w:type="pct"/>
                  <w:tcBorders>
                    <w:tl2br w:val="nil"/>
                    <w:tr2bl w:val="nil"/>
                  </w:tcBorders>
                  <w:noWrap w:val="0"/>
                  <w:vAlign w:val="center"/>
                </w:tcPr>
                <w:p w14:paraId="14B6A93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6B53B02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3.14</w:t>
                  </w:r>
                </w:p>
              </w:tc>
              <w:tc>
                <w:tcPr>
                  <w:tcW w:w="414" w:type="pct"/>
                  <w:tcBorders>
                    <w:tl2br w:val="nil"/>
                    <w:tr2bl w:val="nil"/>
                  </w:tcBorders>
                  <w:noWrap w:val="0"/>
                  <w:vAlign w:val="center"/>
                </w:tcPr>
                <w:p w14:paraId="7AD7624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55.76</w:t>
                  </w:r>
                </w:p>
              </w:tc>
              <w:tc>
                <w:tcPr>
                  <w:tcW w:w="256" w:type="pct"/>
                  <w:vMerge w:val="continue"/>
                  <w:tcBorders>
                    <w:tl2br w:val="nil"/>
                    <w:tr2bl w:val="nil"/>
                  </w:tcBorders>
                  <w:noWrap w:val="0"/>
                  <w:vAlign w:val="center"/>
                </w:tcPr>
                <w:p w14:paraId="23CDFB8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56D036E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277F305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35.76</w:t>
                  </w:r>
                </w:p>
              </w:tc>
              <w:tc>
                <w:tcPr>
                  <w:tcW w:w="423" w:type="pct"/>
                  <w:tcBorders>
                    <w:tl2br w:val="nil"/>
                    <w:tr2bl w:val="nil"/>
                  </w:tcBorders>
                  <w:noWrap/>
                  <w:vAlign w:val="center"/>
                </w:tcPr>
                <w:p w14:paraId="0C134DA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433728B2">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7F50C8D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23</w:t>
                  </w:r>
                </w:p>
              </w:tc>
              <w:tc>
                <w:tcPr>
                  <w:tcW w:w="379" w:type="pct"/>
                  <w:tcBorders>
                    <w:tl2br w:val="nil"/>
                    <w:tr2bl w:val="nil"/>
                  </w:tcBorders>
                  <w:noWrap w:val="0"/>
                  <w:vAlign w:val="center"/>
                </w:tcPr>
                <w:p w14:paraId="08C7B73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成型机3</w:t>
                  </w:r>
                </w:p>
              </w:tc>
              <w:tc>
                <w:tcPr>
                  <w:tcW w:w="203" w:type="pct"/>
                  <w:tcBorders>
                    <w:tl2br w:val="nil"/>
                    <w:tr2bl w:val="nil"/>
                  </w:tcBorders>
                  <w:noWrap w:val="0"/>
                  <w:vAlign w:val="center"/>
                </w:tcPr>
                <w:p w14:paraId="0EFF651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5FF692E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65/1</w:t>
                  </w:r>
                </w:p>
              </w:tc>
              <w:tc>
                <w:tcPr>
                  <w:tcW w:w="346" w:type="pct"/>
                  <w:vMerge w:val="continue"/>
                  <w:tcBorders>
                    <w:tl2br w:val="nil"/>
                    <w:tr2bl w:val="nil"/>
                  </w:tcBorders>
                  <w:noWrap w:val="0"/>
                  <w:vAlign w:val="center"/>
                </w:tcPr>
                <w:p w14:paraId="7CA15DF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5F862C2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18.27</w:t>
                  </w:r>
                </w:p>
              </w:tc>
              <w:tc>
                <w:tcPr>
                  <w:tcW w:w="369" w:type="pct"/>
                  <w:tcBorders>
                    <w:tl2br w:val="nil"/>
                    <w:tr2bl w:val="nil"/>
                  </w:tcBorders>
                  <w:noWrap w:val="0"/>
                  <w:vAlign w:val="center"/>
                </w:tcPr>
                <w:p w14:paraId="16FE0DC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31.43</w:t>
                  </w:r>
                </w:p>
              </w:tc>
              <w:tc>
                <w:tcPr>
                  <w:tcW w:w="308" w:type="pct"/>
                  <w:tcBorders>
                    <w:tl2br w:val="nil"/>
                    <w:tr2bl w:val="nil"/>
                  </w:tcBorders>
                  <w:noWrap w:val="0"/>
                  <w:vAlign w:val="center"/>
                </w:tcPr>
                <w:p w14:paraId="58C87FE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010B9DE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7.04</w:t>
                  </w:r>
                </w:p>
              </w:tc>
              <w:tc>
                <w:tcPr>
                  <w:tcW w:w="414" w:type="pct"/>
                  <w:tcBorders>
                    <w:tl2br w:val="nil"/>
                    <w:tr2bl w:val="nil"/>
                  </w:tcBorders>
                  <w:noWrap w:val="0"/>
                  <w:vAlign w:val="center"/>
                </w:tcPr>
                <w:p w14:paraId="348D8B1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55.51</w:t>
                  </w:r>
                </w:p>
              </w:tc>
              <w:tc>
                <w:tcPr>
                  <w:tcW w:w="256" w:type="pct"/>
                  <w:vMerge w:val="continue"/>
                  <w:tcBorders>
                    <w:tl2br w:val="nil"/>
                    <w:tr2bl w:val="nil"/>
                  </w:tcBorders>
                  <w:noWrap w:val="0"/>
                  <w:vAlign w:val="center"/>
                </w:tcPr>
                <w:p w14:paraId="7F82DFE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50428F4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0F1972D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35.51</w:t>
                  </w:r>
                </w:p>
              </w:tc>
              <w:tc>
                <w:tcPr>
                  <w:tcW w:w="423" w:type="pct"/>
                  <w:tcBorders>
                    <w:tl2br w:val="nil"/>
                    <w:tr2bl w:val="nil"/>
                  </w:tcBorders>
                  <w:noWrap/>
                  <w:vAlign w:val="center"/>
                </w:tcPr>
                <w:p w14:paraId="5DB4E32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0897CEE3">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4F71146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24</w:t>
                  </w:r>
                </w:p>
              </w:tc>
              <w:tc>
                <w:tcPr>
                  <w:tcW w:w="379" w:type="pct"/>
                  <w:tcBorders>
                    <w:tl2br w:val="nil"/>
                    <w:tr2bl w:val="nil"/>
                  </w:tcBorders>
                  <w:noWrap w:val="0"/>
                  <w:vAlign w:val="center"/>
                </w:tcPr>
                <w:p w14:paraId="7A3A913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成型机4</w:t>
                  </w:r>
                </w:p>
              </w:tc>
              <w:tc>
                <w:tcPr>
                  <w:tcW w:w="203" w:type="pct"/>
                  <w:tcBorders>
                    <w:tl2br w:val="nil"/>
                    <w:tr2bl w:val="nil"/>
                  </w:tcBorders>
                  <w:noWrap w:val="0"/>
                  <w:vAlign w:val="center"/>
                </w:tcPr>
                <w:p w14:paraId="6193F07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68D6EDC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65/1</w:t>
                  </w:r>
                </w:p>
              </w:tc>
              <w:tc>
                <w:tcPr>
                  <w:tcW w:w="346" w:type="pct"/>
                  <w:vMerge w:val="continue"/>
                  <w:tcBorders>
                    <w:tl2br w:val="nil"/>
                    <w:tr2bl w:val="nil"/>
                  </w:tcBorders>
                  <w:noWrap w:val="0"/>
                  <w:vAlign w:val="center"/>
                </w:tcPr>
                <w:p w14:paraId="21B4BF2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7BFE9A4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21.85</w:t>
                  </w:r>
                </w:p>
              </w:tc>
              <w:tc>
                <w:tcPr>
                  <w:tcW w:w="369" w:type="pct"/>
                  <w:tcBorders>
                    <w:tl2br w:val="nil"/>
                    <w:tr2bl w:val="nil"/>
                  </w:tcBorders>
                  <w:noWrap w:val="0"/>
                  <w:vAlign w:val="center"/>
                </w:tcPr>
                <w:p w14:paraId="6713AAD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31.43</w:t>
                  </w:r>
                </w:p>
              </w:tc>
              <w:tc>
                <w:tcPr>
                  <w:tcW w:w="308" w:type="pct"/>
                  <w:tcBorders>
                    <w:tl2br w:val="nil"/>
                    <w:tr2bl w:val="nil"/>
                  </w:tcBorders>
                  <w:noWrap w:val="0"/>
                  <w:vAlign w:val="center"/>
                </w:tcPr>
                <w:p w14:paraId="6CB5467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1904B52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10.44</w:t>
                  </w:r>
                </w:p>
              </w:tc>
              <w:tc>
                <w:tcPr>
                  <w:tcW w:w="414" w:type="pct"/>
                  <w:tcBorders>
                    <w:tl2br w:val="nil"/>
                    <w:tr2bl w:val="nil"/>
                  </w:tcBorders>
                  <w:noWrap w:val="0"/>
                  <w:vAlign w:val="center"/>
                </w:tcPr>
                <w:p w14:paraId="3AB8507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55.48</w:t>
                  </w:r>
                </w:p>
              </w:tc>
              <w:tc>
                <w:tcPr>
                  <w:tcW w:w="256" w:type="pct"/>
                  <w:vMerge w:val="continue"/>
                  <w:tcBorders>
                    <w:tl2br w:val="nil"/>
                    <w:tr2bl w:val="nil"/>
                  </w:tcBorders>
                  <w:noWrap w:val="0"/>
                  <w:vAlign w:val="center"/>
                </w:tcPr>
                <w:p w14:paraId="2D8C973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49BDBC8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4F6CF37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35.48</w:t>
                  </w:r>
                </w:p>
              </w:tc>
              <w:tc>
                <w:tcPr>
                  <w:tcW w:w="423" w:type="pct"/>
                  <w:tcBorders>
                    <w:tl2br w:val="nil"/>
                    <w:tr2bl w:val="nil"/>
                  </w:tcBorders>
                  <w:noWrap/>
                  <w:vAlign w:val="center"/>
                </w:tcPr>
                <w:p w14:paraId="1ABEB07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032F489A">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627E365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25</w:t>
                  </w:r>
                </w:p>
              </w:tc>
              <w:tc>
                <w:tcPr>
                  <w:tcW w:w="379" w:type="pct"/>
                  <w:tcBorders>
                    <w:tl2br w:val="nil"/>
                    <w:tr2bl w:val="nil"/>
                  </w:tcBorders>
                  <w:noWrap w:val="0"/>
                  <w:vAlign w:val="center"/>
                </w:tcPr>
                <w:p w14:paraId="16CC00E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成型机5</w:t>
                  </w:r>
                </w:p>
              </w:tc>
              <w:tc>
                <w:tcPr>
                  <w:tcW w:w="203" w:type="pct"/>
                  <w:tcBorders>
                    <w:tl2br w:val="nil"/>
                    <w:tr2bl w:val="nil"/>
                  </w:tcBorders>
                  <w:noWrap w:val="0"/>
                  <w:vAlign w:val="center"/>
                </w:tcPr>
                <w:p w14:paraId="2D00065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4372188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65/1</w:t>
                  </w:r>
                </w:p>
              </w:tc>
              <w:tc>
                <w:tcPr>
                  <w:tcW w:w="346" w:type="pct"/>
                  <w:vMerge w:val="continue"/>
                  <w:tcBorders>
                    <w:tl2br w:val="nil"/>
                    <w:tr2bl w:val="nil"/>
                  </w:tcBorders>
                  <w:noWrap w:val="0"/>
                  <w:vAlign w:val="center"/>
                </w:tcPr>
                <w:p w14:paraId="0BAB7AD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648947A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25.15</w:t>
                  </w:r>
                </w:p>
              </w:tc>
              <w:tc>
                <w:tcPr>
                  <w:tcW w:w="369" w:type="pct"/>
                  <w:tcBorders>
                    <w:tl2br w:val="nil"/>
                    <w:tr2bl w:val="nil"/>
                  </w:tcBorders>
                  <w:noWrap w:val="0"/>
                  <w:vAlign w:val="center"/>
                </w:tcPr>
                <w:p w14:paraId="4C08EB8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31.36</w:t>
                  </w:r>
                </w:p>
              </w:tc>
              <w:tc>
                <w:tcPr>
                  <w:tcW w:w="308" w:type="pct"/>
                  <w:tcBorders>
                    <w:tl2br w:val="nil"/>
                    <w:tr2bl w:val="nil"/>
                  </w:tcBorders>
                  <w:noWrap w:val="0"/>
                  <w:vAlign w:val="center"/>
                </w:tcPr>
                <w:p w14:paraId="7CA16A4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74E6042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11.53</w:t>
                  </w:r>
                </w:p>
              </w:tc>
              <w:tc>
                <w:tcPr>
                  <w:tcW w:w="414" w:type="pct"/>
                  <w:tcBorders>
                    <w:tl2br w:val="nil"/>
                    <w:tr2bl w:val="nil"/>
                  </w:tcBorders>
                  <w:noWrap w:val="0"/>
                  <w:vAlign w:val="center"/>
                </w:tcPr>
                <w:p w14:paraId="3485F43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55.47</w:t>
                  </w:r>
                </w:p>
              </w:tc>
              <w:tc>
                <w:tcPr>
                  <w:tcW w:w="256" w:type="pct"/>
                  <w:vMerge w:val="continue"/>
                  <w:tcBorders>
                    <w:tl2br w:val="nil"/>
                    <w:tr2bl w:val="nil"/>
                  </w:tcBorders>
                  <w:noWrap w:val="0"/>
                  <w:vAlign w:val="center"/>
                </w:tcPr>
                <w:p w14:paraId="30ED2B0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627CB2A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350B881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35.47</w:t>
                  </w:r>
                </w:p>
              </w:tc>
              <w:tc>
                <w:tcPr>
                  <w:tcW w:w="423" w:type="pct"/>
                  <w:tcBorders>
                    <w:tl2br w:val="nil"/>
                    <w:tr2bl w:val="nil"/>
                  </w:tcBorders>
                  <w:noWrap/>
                  <w:vAlign w:val="center"/>
                </w:tcPr>
                <w:p w14:paraId="2D1EEB8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2727B63E">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3582352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26</w:t>
                  </w:r>
                </w:p>
              </w:tc>
              <w:tc>
                <w:tcPr>
                  <w:tcW w:w="379" w:type="pct"/>
                  <w:tcBorders>
                    <w:tl2br w:val="nil"/>
                    <w:tr2bl w:val="nil"/>
                  </w:tcBorders>
                  <w:noWrap w:val="0"/>
                  <w:vAlign w:val="center"/>
                </w:tcPr>
                <w:p w14:paraId="2672A0C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成型机6</w:t>
                  </w:r>
                </w:p>
              </w:tc>
              <w:tc>
                <w:tcPr>
                  <w:tcW w:w="203" w:type="pct"/>
                  <w:tcBorders>
                    <w:tl2br w:val="nil"/>
                    <w:tr2bl w:val="nil"/>
                  </w:tcBorders>
                  <w:noWrap w:val="0"/>
                  <w:vAlign w:val="center"/>
                </w:tcPr>
                <w:p w14:paraId="123F096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33743B3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65/1</w:t>
                  </w:r>
                </w:p>
              </w:tc>
              <w:tc>
                <w:tcPr>
                  <w:tcW w:w="346" w:type="pct"/>
                  <w:vMerge w:val="continue"/>
                  <w:tcBorders>
                    <w:tl2br w:val="nil"/>
                    <w:tr2bl w:val="nil"/>
                  </w:tcBorders>
                  <w:noWrap w:val="0"/>
                  <w:vAlign w:val="center"/>
                </w:tcPr>
                <w:p w14:paraId="2D183ED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4946475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28.65</w:t>
                  </w:r>
                </w:p>
              </w:tc>
              <w:tc>
                <w:tcPr>
                  <w:tcW w:w="369" w:type="pct"/>
                  <w:tcBorders>
                    <w:tl2br w:val="nil"/>
                    <w:tr2bl w:val="nil"/>
                  </w:tcBorders>
                  <w:noWrap w:val="0"/>
                  <w:vAlign w:val="center"/>
                </w:tcPr>
                <w:p w14:paraId="52B01A4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31.29</w:t>
                  </w:r>
                </w:p>
              </w:tc>
              <w:tc>
                <w:tcPr>
                  <w:tcW w:w="308" w:type="pct"/>
                  <w:tcBorders>
                    <w:tl2br w:val="nil"/>
                    <w:tr2bl w:val="nil"/>
                  </w:tcBorders>
                  <w:noWrap w:val="0"/>
                  <w:vAlign w:val="center"/>
                </w:tcPr>
                <w:p w14:paraId="04E1946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5B4B50B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11.61</w:t>
                  </w:r>
                </w:p>
              </w:tc>
              <w:tc>
                <w:tcPr>
                  <w:tcW w:w="414" w:type="pct"/>
                  <w:tcBorders>
                    <w:tl2br w:val="nil"/>
                    <w:tr2bl w:val="nil"/>
                  </w:tcBorders>
                  <w:noWrap w:val="0"/>
                  <w:vAlign w:val="center"/>
                </w:tcPr>
                <w:p w14:paraId="27CDCC4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55.47</w:t>
                  </w:r>
                </w:p>
              </w:tc>
              <w:tc>
                <w:tcPr>
                  <w:tcW w:w="256" w:type="pct"/>
                  <w:vMerge w:val="continue"/>
                  <w:tcBorders>
                    <w:tl2br w:val="nil"/>
                    <w:tr2bl w:val="nil"/>
                  </w:tcBorders>
                  <w:noWrap w:val="0"/>
                  <w:vAlign w:val="center"/>
                </w:tcPr>
                <w:p w14:paraId="109F45A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036D0DE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63C6788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35.47</w:t>
                  </w:r>
                </w:p>
              </w:tc>
              <w:tc>
                <w:tcPr>
                  <w:tcW w:w="423" w:type="pct"/>
                  <w:tcBorders>
                    <w:tl2br w:val="nil"/>
                    <w:tr2bl w:val="nil"/>
                  </w:tcBorders>
                  <w:noWrap/>
                  <w:vAlign w:val="center"/>
                </w:tcPr>
                <w:p w14:paraId="6495186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750C707C">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1F5F550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27</w:t>
                  </w:r>
                </w:p>
              </w:tc>
              <w:tc>
                <w:tcPr>
                  <w:tcW w:w="379" w:type="pct"/>
                  <w:tcBorders>
                    <w:tl2br w:val="nil"/>
                    <w:tr2bl w:val="nil"/>
                  </w:tcBorders>
                  <w:noWrap w:val="0"/>
                  <w:vAlign w:val="center"/>
                </w:tcPr>
                <w:p w14:paraId="3A8D31E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成型机7</w:t>
                  </w:r>
                </w:p>
              </w:tc>
              <w:tc>
                <w:tcPr>
                  <w:tcW w:w="203" w:type="pct"/>
                  <w:tcBorders>
                    <w:tl2br w:val="nil"/>
                    <w:tr2bl w:val="nil"/>
                  </w:tcBorders>
                  <w:noWrap w:val="0"/>
                  <w:vAlign w:val="center"/>
                </w:tcPr>
                <w:p w14:paraId="4E91855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1756DEA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65/1</w:t>
                  </w:r>
                </w:p>
              </w:tc>
              <w:tc>
                <w:tcPr>
                  <w:tcW w:w="346" w:type="pct"/>
                  <w:vMerge w:val="continue"/>
                  <w:tcBorders>
                    <w:tl2br w:val="nil"/>
                    <w:tr2bl w:val="nil"/>
                  </w:tcBorders>
                  <w:noWrap w:val="0"/>
                  <w:vAlign w:val="center"/>
                </w:tcPr>
                <w:p w14:paraId="6213F14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7274582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32.16</w:t>
                  </w:r>
                </w:p>
              </w:tc>
              <w:tc>
                <w:tcPr>
                  <w:tcW w:w="369" w:type="pct"/>
                  <w:tcBorders>
                    <w:tl2br w:val="nil"/>
                    <w:tr2bl w:val="nil"/>
                  </w:tcBorders>
                  <w:noWrap w:val="0"/>
                  <w:vAlign w:val="center"/>
                </w:tcPr>
                <w:p w14:paraId="21DF921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31.43</w:t>
                  </w:r>
                </w:p>
              </w:tc>
              <w:tc>
                <w:tcPr>
                  <w:tcW w:w="308" w:type="pct"/>
                  <w:tcBorders>
                    <w:tl2br w:val="nil"/>
                    <w:tr2bl w:val="nil"/>
                  </w:tcBorders>
                  <w:noWrap w:val="0"/>
                  <w:vAlign w:val="center"/>
                </w:tcPr>
                <w:p w14:paraId="5DF601D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5DE74BA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11.49</w:t>
                  </w:r>
                </w:p>
              </w:tc>
              <w:tc>
                <w:tcPr>
                  <w:tcW w:w="414" w:type="pct"/>
                  <w:tcBorders>
                    <w:tl2br w:val="nil"/>
                    <w:tr2bl w:val="nil"/>
                  </w:tcBorders>
                  <w:noWrap w:val="0"/>
                  <w:vAlign w:val="center"/>
                </w:tcPr>
                <w:p w14:paraId="190C261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55.47</w:t>
                  </w:r>
                </w:p>
              </w:tc>
              <w:tc>
                <w:tcPr>
                  <w:tcW w:w="256" w:type="pct"/>
                  <w:vMerge w:val="continue"/>
                  <w:tcBorders>
                    <w:tl2br w:val="nil"/>
                    <w:tr2bl w:val="nil"/>
                  </w:tcBorders>
                  <w:noWrap w:val="0"/>
                  <w:vAlign w:val="center"/>
                </w:tcPr>
                <w:p w14:paraId="54BFE6E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59DEEC6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6F4E9B5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35.47</w:t>
                  </w:r>
                </w:p>
              </w:tc>
              <w:tc>
                <w:tcPr>
                  <w:tcW w:w="423" w:type="pct"/>
                  <w:tcBorders>
                    <w:tl2br w:val="nil"/>
                    <w:tr2bl w:val="nil"/>
                  </w:tcBorders>
                  <w:noWrap/>
                  <w:vAlign w:val="center"/>
                </w:tcPr>
                <w:p w14:paraId="4BCCD00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24C47FC1">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071D874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28</w:t>
                  </w:r>
                </w:p>
              </w:tc>
              <w:tc>
                <w:tcPr>
                  <w:tcW w:w="379" w:type="pct"/>
                  <w:tcBorders>
                    <w:tl2br w:val="nil"/>
                    <w:tr2bl w:val="nil"/>
                  </w:tcBorders>
                  <w:noWrap w:val="0"/>
                  <w:vAlign w:val="center"/>
                </w:tcPr>
                <w:p w14:paraId="74D1918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成型机8</w:t>
                  </w:r>
                </w:p>
              </w:tc>
              <w:tc>
                <w:tcPr>
                  <w:tcW w:w="203" w:type="pct"/>
                  <w:tcBorders>
                    <w:tl2br w:val="nil"/>
                    <w:tr2bl w:val="nil"/>
                  </w:tcBorders>
                  <w:noWrap w:val="0"/>
                  <w:vAlign w:val="center"/>
                </w:tcPr>
                <w:p w14:paraId="7D3EEAB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6DAEA01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65/1</w:t>
                  </w:r>
                </w:p>
              </w:tc>
              <w:tc>
                <w:tcPr>
                  <w:tcW w:w="346" w:type="pct"/>
                  <w:vMerge w:val="continue"/>
                  <w:tcBorders>
                    <w:tl2br w:val="nil"/>
                    <w:tr2bl w:val="nil"/>
                  </w:tcBorders>
                  <w:noWrap w:val="0"/>
                  <w:vAlign w:val="center"/>
                </w:tcPr>
                <w:p w14:paraId="4335CE4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065F8B8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35.79</w:t>
                  </w:r>
                </w:p>
              </w:tc>
              <w:tc>
                <w:tcPr>
                  <w:tcW w:w="369" w:type="pct"/>
                  <w:tcBorders>
                    <w:tl2br w:val="nil"/>
                    <w:tr2bl w:val="nil"/>
                  </w:tcBorders>
                  <w:noWrap w:val="0"/>
                  <w:vAlign w:val="center"/>
                </w:tcPr>
                <w:p w14:paraId="6D89423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31.36</w:t>
                  </w:r>
                </w:p>
              </w:tc>
              <w:tc>
                <w:tcPr>
                  <w:tcW w:w="308" w:type="pct"/>
                  <w:tcBorders>
                    <w:tl2br w:val="nil"/>
                    <w:tr2bl w:val="nil"/>
                  </w:tcBorders>
                  <w:noWrap w:val="0"/>
                  <w:vAlign w:val="center"/>
                </w:tcPr>
                <w:p w14:paraId="226F456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701915F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11.57</w:t>
                  </w:r>
                </w:p>
              </w:tc>
              <w:tc>
                <w:tcPr>
                  <w:tcW w:w="414" w:type="pct"/>
                  <w:tcBorders>
                    <w:tl2br w:val="nil"/>
                    <w:tr2bl w:val="nil"/>
                  </w:tcBorders>
                  <w:noWrap w:val="0"/>
                  <w:vAlign w:val="center"/>
                </w:tcPr>
                <w:p w14:paraId="00D2C2C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55.47</w:t>
                  </w:r>
                </w:p>
              </w:tc>
              <w:tc>
                <w:tcPr>
                  <w:tcW w:w="256" w:type="pct"/>
                  <w:vMerge w:val="continue"/>
                  <w:tcBorders>
                    <w:tl2br w:val="nil"/>
                    <w:tr2bl w:val="nil"/>
                  </w:tcBorders>
                  <w:noWrap w:val="0"/>
                  <w:vAlign w:val="center"/>
                </w:tcPr>
                <w:p w14:paraId="4028BC1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5DBB018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4AA7F6E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35.47</w:t>
                  </w:r>
                </w:p>
              </w:tc>
              <w:tc>
                <w:tcPr>
                  <w:tcW w:w="423" w:type="pct"/>
                  <w:tcBorders>
                    <w:tl2br w:val="nil"/>
                    <w:tr2bl w:val="nil"/>
                  </w:tcBorders>
                  <w:noWrap/>
                  <w:vAlign w:val="center"/>
                </w:tcPr>
                <w:p w14:paraId="1B0EB5D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635A732C">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2315259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29</w:t>
                  </w:r>
                </w:p>
              </w:tc>
              <w:tc>
                <w:tcPr>
                  <w:tcW w:w="379" w:type="pct"/>
                  <w:tcBorders>
                    <w:tl2br w:val="nil"/>
                    <w:tr2bl w:val="nil"/>
                  </w:tcBorders>
                  <w:noWrap w:val="0"/>
                  <w:vAlign w:val="center"/>
                </w:tcPr>
                <w:p w14:paraId="772AFDB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成型机9</w:t>
                  </w:r>
                </w:p>
              </w:tc>
              <w:tc>
                <w:tcPr>
                  <w:tcW w:w="203" w:type="pct"/>
                  <w:tcBorders>
                    <w:tl2br w:val="nil"/>
                    <w:tr2bl w:val="nil"/>
                  </w:tcBorders>
                  <w:noWrap w:val="0"/>
                  <w:vAlign w:val="center"/>
                </w:tcPr>
                <w:p w14:paraId="40CDC31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2C2722D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65/1</w:t>
                  </w:r>
                </w:p>
              </w:tc>
              <w:tc>
                <w:tcPr>
                  <w:tcW w:w="346" w:type="pct"/>
                  <w:vMerge w:val="continue"/>
                  <w:tcBorders>
                    <w:tl2br w:val="nil"/>
                    <w:tr2bl w:val="nil"/>
                  </w:tcBorders>
                  <w:noWrap w:val="0"/>
                  <w:vAlign w:val="center"/>
                </w:tcPr>
                <w:p w14:paraId="378AB72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406F4E7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42.24</w:t>
                  </w:r>
                </w:p>
              </w:tc>
              <w:tc>
                <w:tcPr>
                  <w:tcW w:w="369" w:type="pct"/>
                  <w:tcBorders>
                    <w:tl2br w:val="nil"/>
                    <w:tr2bl w:val="nil"/>
                  </w:tcBorders>
                  <w:noWrap w:val="0"/>
                  <w:vAlign w:val="center"/>
                </w:tcPr>
                <w:p w14:paraId="245C572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31.57</w:t>
                  </w:r>
                </w:p>
              </w:tc>
              <w:tc>
                <w:tcPr>
                  <w:tcW w:w="308" w:type="pct"/>
                  <w:tcBorders>
                    <w:tl2br w:val="nil"/>
                    <w:tr2bl w:val="nil"/>
                  </w:tcBorders>
                  <w:noWrap w:val="0"/>
                  <w:vAlign w:val="center"/>
                </w:tcPr>
                <w:p w14:paraId="5696E85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45C3AFC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11.39</w:t>
                  </w:r>
                </w:p>
              </w:tc>
              <w:tc>
                <w:tcPr>
                  <w:tcW w:w="414" w:type="pct"/>
                  <w:tcBorders>
                    <w:tl2br w:val="nil"/>
                    <w:tr2bl w:val="nil"/>
                  </w:tcBorders>
                  <w:noWrap w:val="0"/>
                  <w:vAlign w:val="center"/>
                </w:tcPr>
                <w:p w14:paraId="3DF0EF9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55.48</w:t>
                  </w:r>
                </w:p>
              </w:tc>
              <w:tc>
                <w:tcPr>
                  <w:tcW w:w="256" w:type="pct"/>
                  <w:vMerge w:val="continue"/>
                  <w:tcBorders>
                    <w:tl2br w:val="nil"/>
                    <w:tr2bl w:val="nil"/>
                  </w:tcBorders>
                  <w:noWrap w:val="0"/>
                  <w:vAlign w:val="center"/>
                </w:tcPr>
                <w:p w14:paraId="3E5A253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3305EAD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20E6E36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35.48</w:t>
                  </w:r>
                </w:p>
              </w:tc>
              <w:tc>
                <w:tcPr>
                  <w:tcW w:w="423" w:type="pct"/>
                  <w:tcBorders>
                    <w:tl2br w:val="nil"/>
                    <w:tr2bl w:val="nil"/>
                  </w:tcBorders>
                  <w:noWrap/>
                  <w:vAlign w:val="center"/>
                </w:tcPr>
                <w:p w14:paraId="47F9370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666164CA">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45D2F0F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30</w:t>
                  </w:r>
                </w:p>
              </w:tc>
              <w:tc>
                <w:tcPr>
                  <w:tcW w:w="379" w:type="pct"/>
                  <w:tcBorders>
                    <w:tl2br w:val="nil"/>
                    <w:tr2bl w:val="nil"/>
                  </w:tcBorders>
                  <w:noWrap w:val="0"/>
                  <w:vAlign w:val="center"/>
                </w:tcPr>
                <w:p w14:paraId="52C1603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成型机10</w:t>
                  </w:r>
                </w:p>
              </w:tc>
              <w:tc>
                <w:tcPr>
                  <w:tcW w:w="203" w:type="pct"/>
                  <w:tcBorders>
                    <w:tl2br w:val="nil"/>
                    <w:tr2bl w:val="nil"/>
                  </w:tcBorders>
                  <w:noWrap w:val="0"/>
                  <w:vAlign w:val="center"/>
                </w:tcPr>
                <w:p w14:paraId="631ADD4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1E53085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65/1</w:t>
                  </w:r>
                </w:p>
              </w:tc>
              <w:tc>
                <w:tcPr>
                  <w:tcW w:w="346" w:type="pct"/>
                  <w:vMerge w:val="continue"/>
                  <w:tcBorders>
                    <w:tl2br w:val="nil"/>
                    <w:tr2bl w:val="nil"/>
                  </w:tcBorders>
                  <w:noWrap w:val="0"/>
                  <w:vAlign w:val="center"/>
                </w:tcPr>
                <w:p w14:paraId="7DF8FD9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23A4CF5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46.02</w:t>
                  </w:r>
                </w:p>
              </w:tc>
              <w:tc>
                <w:tcPr>
                  <w:tcW w:w="369" w:type="pct"/>
                  <w:tcBorders>
                    <w:tl2br w:val="nil"/>
                    <w:tr2bl w:val="nil"/>
                  </w:tcBorders>
                  <w:noWrap w:val="0"/>
                  <w:vAlign w:val="center"/>
                </w:tcPr>
                <w:p w14:paraId="6D00F5B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31.71</w:t>
                  </w:r>
                </w:p>
              </w:tc>
              <w:tc>
                <w:tcPr>
                  <w:tcW w:w="308" w:type="pct"/>
                  <w:tcBorders>
                    <w:tl2br w:val="nil"/>
                    <w:tr2bl w:val="nil"/>
                  </w:tcBorders>
                  <w:noWrap w:val="0"/>
                  <w:vAlign w:val="center"/>
                </w:tcPr>
                <w:p w14:paraId="6D19599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w:t>
                  </w:r>
                </w:p>
              </w:tc>
              <w:tc>
                <w:tcPr>
                  <w:tcW w:w="331" w:type="pct"/>
                  <w:tcBorders>
                    <w:tl2br w:val="nil"/>
                    <w:tr2bl w:val="nil"/>
                  </w:tcBorders>
                  <w:noWrap w:val="0"/>
                  <w:vAlign w:val="center"/>
                </w:tcPr>
                <w:p w14:paraId="4020EC9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11.27</w:t>
                  </w:r>
                </w:p>
              </w:tc>
              <w:tc>
                <w:tcPr>
                  <w:tcW w:w="414" w:type="pct"/>
                  <w:tcBorders>
                    <w:tl2br w:val="nil"/>
                    <w:tr2bl w:val="nil"/>
                  </w:tcBorders>
                  <w:noWrap w:val="0"/>
                  <w:vAlign w:val="center"/>
                </w:tcPr>
                <w:p w14:paraId="3C00144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55.48</w:t>
                  </w:r>
                </w:p>
              </w:tc>
              <w:tc>
                <w:tcPr>
                  <w:tcW w:w="256" w:type="pct"/>
                  <w:vMerge w:val="continue"/>
                  <w:tcBorders>
                    <w:tl2br w:val="nil"/>
                    <w:tr2bl w:val="nil"/>
                  </w:tcBorders>
                  <w:noWrap w:val="0"/>
                  <w:vAlign w:val="center"/>
                </w:tcPr>
                <w:p w14:paraId="3D6386E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7062681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0E0BA78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35.48</w:t>
                  </w:r>
                </w:p>
              </w:tc>
              <w:tc>
                <w:tcPr>
                  <w:tcW w:w="423" w:type="pct"/>
                  <w:tcBorders>
                    <w:tl2br w:val="nil"/>
                    <w:tr2bl w:val="nil"/>
                  </w:tcBorders>
                  <w:noWrap/>
                  <w:vAlign w:val="center"/>
                </w:tcPr>
                <w:p w14:paraId="070EDFF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530BD712">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43FEB36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w:t>
                  </w:r>
                </w:p>
              </w:tc>
              <w:tc>
                <w:tcPr>
                  <w:tcW w:w="379" w:type="pct"/>
                  <w:tcBorders>
                    <w:tl2br w:val="nil"/>
                    <w:tr2bl w:val="nil"/>
                  </w:tcBorders>
                  <w:noWrap w:val="0"/>
                  <w:vAlign w:val="center"/>
                </w:tcPr>
                <w:p w14:paraId="152FC42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切割机1</w:t>
                  </w:r>
                </w:p>
              </w:tc>
              <w:tc>
                <w:tcPr>
                  <w:tcW w:w="203" w:type="pct"/>
                  <w:tcBorders>
                    <w:tl2br w:val="nil"/>
                    <w:tr2bl w:val="nil"/>
                  </w:tcBorders>
                  <w:noWrap w:val="0"/>
                  <w:vAlign w:val="center"/>
                </w:tcPr>
                <w:p w14:paraId="02BF26F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31FD65B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65/1</w:t>
                  </w:r>
                </w:p>
              </w:tc>
              <w:tc>
                <w:tcPr>
                  <w:tcW w:w="346" w:type="pct"/>
                  <w:vMerge w:val="continue"/>
                  <w:tcBorders>
                    <w:tl2br w:val="nil"/>
                    <w:tr2bl w:val="nil"/>
                  </w:tcBorders>
                  <w:noWrap w:val="0"/>
                  <w:vAlign w:val="center"/>
                </w:tcPr>
                <w:p w14:paraId="531B3C2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0DB304A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2.14</w:t>
                  </w:r>
                </w:p>
              </w:tc>
              <w:tc>
                <w:tcPr>
                  <w:tcW w:w="369" w:type="pct"/>
                  <w:tcBorders>
                    <w:tl2br w:val="nil"/>
                    <w:tr2bl w:val="nil"/>
                  </w:tcBorders>
                  <w:noWrap w:val="0"/>
                  <w:vAlign w:val="center"/>
                </w:tcPr>
                <w:p w14:paraId="48A7BF9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2.1</w:t>
                  </w:r>
                </w:p>
              </w:tc>
              <w:tc>
                <w:tcPr>
                  <w:tcW w:w="308" w:type="pct"/>
                  <w:tcBorders>
                    <w:tl2br w:val="nil"/>
                    <w:tr2bl w:val="nil"/>
                  </w:tcBorders>
                  <w:noWrap w:val="0"/>
                  <w:vAlign w:val="center"/>
                </w:tcPr>
                <w:p w14:paraId="3D9DA3D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0.8</w:t>
                  </w:r>
                </w:p>
              </w:tc>
              <w:tc>
                <w:tcPr>
                  <w:tcW w:w="331" w:type="pct"/>
                  <w:tcBorders>
                    <w:tl2br w:val="nil"/>
                    <w:tr2bl w:val="nil"/>
                  </w:tcBorders>
                  <w:noWrap w:val="0"/>
                  <w:vAlign w:val="center"/>
                </w:tcPr>
                <w:p w14:paraId="01AB57A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1.01</w:t>
                  </w:r>
                </w:p>
              </w:tc>
              <w:tc>
                <w:tcPr>
                  <w:tcW w:w="414" w:type="pct"/>
                  <w:tcBorders>
                    <w:tl2br w:val="nil"/>
                    <w:tr2bl w:val="nil"/>
                  </w:tcBorders>
                  <w:noWrap w:val="0"/>
                  <w:vAlign w:val="center"/>
                </w:tcPr>
                <w:p w14:paraId="27FB363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61.26</w:t>
                  </w:r>
                </w:p>
              </w:tc>
              <w:tc>
                <w:tcPr>
                  <w:tcW w:w="256" w:type="pct"/>
                  <w:vMerge w:val="continue"/>
                  <w:tcBorders>
                    <w:tl2br w:val="nil"/>
                    <w:tr2bl w:val="nil"/>
                  </w:tcBorders>
                  <w:noWrap w:val="0"/>
                  <w:vAlign w:val="center"/>
                </w:tcPr>
                <w:p w14:paraId="370E2C2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20E2BB3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4F6F600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41.26</w:t>
                  </w:r>
                </w:p>
              </w:tc>
              <w:tc>
                <w:tcPr>
                  <w:tcW w:w="423" w:type="pct"/>
                  <w:tcBorders>
                    <w:tl2br w:val="nil"/>
                    <w:tr2bl w:val="nil"/>
                  </w:tcBorders>
                  <w:noWrap/>
                  <w:vAlign w:val="center"/>
                </w:tcPr>
                <w:p w14:paraId="70C66D4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4FEC15C5">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495354F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31</w:t>
                  </w:r>
                </w:p>
              </w:tc>
              <w:tc>
                <w:tcPr>
                  <w:tcW w:w="379" w:type="pct"/>
                  <w:tcBorders>
                    <w:tl2br w:val="nil"/>
                    <w:tr2bl w:val="nil"/>
                  </w:tcBorders>
                  <w:noWrap w:val="0"/>
                  <w:vAlign w:val="center"/>
                </w:tcPr>
                <w:p w14:paraId="6A6CF22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切割机2</w:t>
                  </w:r>
                </w:p>
              </w:tc>
              <w:tc>
                <w:tcPr>
                  <w:tcW w:w="203" w:type="pct"/>
                  <w:tcBorders>
                    <w:tl2br w:val="nil"/>
                    <w:tr2bl w:val="nil"/>
                  </w:tcBorders>
                  <w:noWrap w:val="0"/>
                  <w:vAlign w:val="center"/>
                </w:tcPr>
                <w:p w14:paraId="2A7CD7A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1E1609B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65/1</w:t>
                  </w:r>
                </w:p>
              </w:tc>
              <w:tc>
                <w:tcPr>
                  <w:tcW w:w="346" w:type="pct"/>
                  <w:vMerge w:val="continue"/>
                  <w:tcBorders>
                    <w:tl2br w:val="nil"/>
                    <w:tr2bl w:val="nil"/>
                  </w:tcBorders>
                  <w:noWrap w:val="0"/>
                  <w:vAlign w:val="center"/>
                </w:tcPr>
                <w:p w14:paraId="6967D7F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3BFB45E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7.71</w:t>
                  </w:r>
                </w:p>
              </w:tc>
              <w:tc>
                <w:tcPr>
                  <w:tcW w:w="369" w:type="pct"/>
                  <w:tcBorders>
                    <w:tl2br w:val="nil"/>
                    <w:tr2bl w:val="nil"/>
                  </w:tcBorders>
                  <w:noWrap w:val="0"/>
                  <w:vAlign w:val="center"/>
                </w:tcPr>
                <w:p w14:paraId="6909D69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0.62</w:t>
                  </w:r>
                </w:p>
              </w:tc>
              <w:tc>
                <w:tcPr>
                  <w:tcW w:w="308" w:type="pct"/>
                  <w:tcBorders>
                    <w:tl2br w:val="nil"/>
                    <w:tr2bl w:val="nil"/>
                  </w:tcBorders>
                  <w:noWrap w:val="0"/>
                  <w:vAlign w:val="center"/>
                </w:tcPr>
                <w:p w14:paraId="50D3BF4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0.8</w:t>
                  </w:r>
                </w:p>
              </w:tc>
              <w:tc>
                <w:tcPr>
                  <w:tcW w:w="331" w:type="pct"/>
                  <w:tcBorders>
                    <w:tl2br w:val="nil"/>
                    <w:tr2bl w:val="nil"/>
                  </w:tcBorders>
                  <w:noWrap w:val="0"/>
                  <w:vAlign w:val="center"/>
                </w:tcPr>
                <w:p w14:paraId="2170961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1.26</w:t>
                  </w:r>
                </w:p>
              </w:tc>
              <w:tc>
                <w:tcPr>
                  <w:tcW w:w="414" w:type="pct"/>
                  <w:tcBorders>
                    <w:tl2br w:val="nil"/>
                    <w:tr2bl w:val="nil"/>
                  </w:tcBorders>
                  <w:noWrap w:val="0"/>
                  <w:vAlign w:val="center"/>
                </w:tcPr>
                <w:p w14:paraId="3870875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59.93</w:t>
                  </w:r>
                </w:p>
              </w:tc>
              <w:tc>
                <w:tcPr>
                  <w:tcW w:w="256" w:type="pct"/>
                  <w:vMerge w:val="continue"/>
                  <w:tcBorders>
                    <w:tl2br w:val="nil"/>
                    <w:tr2bl w:val="nil"/>
                  </w:tcBorders>
                  <w:noWrap w:val="0"/>
                  <w:vAlign w:val="center"/>
                </w:tcPr>
                <w:p w14:paraId="5CA48E3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7A0E2BF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460A36B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39.93</w:t>
                  </w:r>
                </w:p>
              </w:tc>
              <w:tc>
                <w:tcPr>
                  <w:tcW w:w="423" w:type="pct"/>
                  <w:tcBorders>
                    <w:tl2br w:val="nil"/>
                    <w:tr2bl w:val="nil"/>
                  </w:tcBorders>
                  <w:noWrap/>
                  <w:vAlign w:val="center"/>
                </w:tcPr>
                <w:p w14:paraId="750E7D7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r>
            <w:tr w14:paraId="26AB55A0">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2955A20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32</w:t>
                  </w:r>
                </w:p>
              </w:tc>
              <w:tc>
                <w:tcPr>
                  <w:tcW w:w="379" w:type="pct"/>
                  <w:tcBorders>
                    <w:tl2br w:val="nil"/>
                    <w:tr2bl w:val="nil"/>
                  </w:tcBorders>
                  <w:noWrap w:val="0"/>
                  <w:vAlign w:val="center"/>
                </w:tcPr>
                <w:p w14:paraId="76C3ACC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切割机3</w:t>
                  </w:r>
                </w:p>
              </w:tc>
              <w:tc>
                <w:tcPr>
                  <w:tcW w:w="203" w:type="pct"/>
                  <w:tcBorders>
                    <w:tl2br w:val="nil"/>
                    <w:tr2bl w:val="nil"/>
                  </w:tcBorders>
                  <w:noWrap w:val="0"/>
                  <w:vAlign w:val="center"/>
                </w:tcPr>
                <w:p w14:paraId="050BAE3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646DD43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65/1</w:t>
                  </w:r>
                </w:p>
              </w:tc>
              <w:tc>
                <w:tcPr>
                  <w:tcW w:w="346" w:type="pct"/>
                  <w:vMerge w:val="continue"/>
                  <w:tcBorders>
                    <w:tl2br w:val="nil"/>
                    <w:tr2bl w:val="nil"/>
                  </w:tcBorders>
                  <w:noWrap w:val="0"/>
                  <w:vAlign w:val="center"/>
                </w:tcPr>
                <w:p w14:paraId="09543AC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182BAC8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3.29</w:t>
                  </w:r>
                </w:p>
              </w:tc>
              <w:tc>
                <w:tcPr>
                  <w:tcW w:w="369" w:type="pct"/>
                  <w:tcBorders>
                    <w:tl2br w:val="nil"/>
                    <w:tr2bl w:val="nil"/>
                  </w:tcBorders>
                  <w:noWrap w:val="0"/>
                  <w:vAlign w:val="center"/>
                </w:tcPr>
                <w:p w14:paraId="3F64C5C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0.57</w:t>
                  </w:r>
                </w:p>
              </w:tc>
              <w:tc>
                <w:tcPr>
                  <w:tcW w:w="308" w:type="pct"/>
                  <w:tcBorders>
                    <w:tl2br w:val="nil"/>
                    <w:tr2bl w:val="nil"/>
                  </w:tcBorders>
                  <w:noWrap w:val="0"/>
                  <w:vAlign w:val="center"/>
                </w:tcPr>
                <w:p w14:paraId="3532F56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0.8</w:t>
                  </w:r>
                </w:p>
              </w:tc>
              <w:tc>
                <w:tcPr>
                  <w:tcW w:w="331" w:type="pct"/>
                  <w:tcBorders>
                    <w:tl2br w:val="nil"/>
                    <w:tr2bl w:val="nil"/>
                  </w:tcBorders>
                  <w:noWrap w:val="0"/>
                  <w:vAlign w:val="center"/>
                </w:tcPr>
                <w:p w14:paraId="5183901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1.21</w:t>
                  </w:r>
                </w:p>
              </w:tc>
              <w:tc>
                <w:tcPr>
                  <w:tcW w:w="414" w:type="pct"/>
                  <w:tcBorders>
                    <w:tl2br w:val="nil"/>
                    <w:tr2bl w:val="nil"/>
                  </w:tcBorders>
                  <w:noWrap w:val="0"/>
                  <w:vAlign w:val="center"/>
                </w:tcPr>
                <w:p w14:paraId="45C2044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60.16</w:t>
                  </w:r>
                </w:p>
              </w:tc>
              <w:tc>
                <w:tcPr>
                  <w:tcW w:w="256" w:type="pct"/>
                  <w:vMerge w:val="continue"/>
                  <w:tcBorders>
                    <w:tl2br w:val="nil"/>
                    <w:tr2bl w:val="nil"/>
                  </w:tcBorders>
                  <w:noWrap w:val="0"/>
                  <w:vAlign w:val="center"/>
                </w:tcPr>
                <w:p w14:paraId="7579C22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1FC9304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2E40221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40.16</w:t>
                  </w:r>
                </w:p>
              </w:tc>
              <w:tc>
                <w:tcPr>
                  <w:tcW w:w="423" w:type="pct"/>
                  <w:tcBorders>
                    <w:tl2br w:val="nil"/>
                    <w:tr2bl w:val="nil"/>
                  </w:tcBorders>
                  <w:noWrap/>
                  <w:vAlign w:val="center"/>
                </w:tcPr>
                <w:p w14:paraId="6A998C5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eastAsia" w:ascii="Times New Roman" w:hAnsi="Times New Roman" w:eastAsia="宋体" w:cs="Times New Roman"/>
                      <w:i w:val="0"/>
                      <w:iCs w:val="0"/>
                      <w:color w:val="auto"/>
                      <w:spacing w:val="-17"/>
                      <w:kern w:val="0"/>
                      <w:sz w:val="21"/>
                      <w:szCs w:val="21"/>
                      <w:highlight w:val="none"/>
                      <w:u w:val="none"/>
                      <w:lang w:val="en-US" w:eastAsia="zh-CN" w:bidi="ar"/>
                    </w:rPr>
                    <w:t>1</w:t>
                  </w:r>
                </w:p>
              </w:tc>
            </w:tr>
            <w:tr w14:paraId="6785E19D">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434" w:hRule="atLeast"/>
                <w:jc w:val="center"/>
              </w:trPr>
              <w:tc>
                <w:tcPr>
                  <w:tcW w:w="5000" w:type="pct"/>
                  <w:gridSpan w:val="14"/>
                  <w:tcBorders>
                    <w:tl2br w:val="nil"/>
                    <w:tr2bl w:val="nil"/>
                  </w:tcBorders>
                  <w:noWrap w:val="0"/>
                  <w:vAlign w:val="center"/>
                </w:tcPr>
                <w:p w14:paraId="7BB0225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空压机房</w:t>
                  </w:r>
                </w:p>
              </w:tc>
            </w:tr>
            <w:tr w14:paraId="59175CCB">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42A3304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33</w:t>
                  </w:r>
                </w:p>
              </w:tc>
              <w:tc>
                <w:tcPr>
                  <w:tcW w:w="379" w:type="pct"/>
                  <w:tcBorders>
                    <w:tl2br w:val="nil"/>
                    <w:tr2bl w:val="nil"/>
                  </w:tcBorders>
                  <w:noWrap w:val="0"/>
                  <w:vAlign w:val="center"/>
                </w:tcPr>
                <w:p w14:paraId="11E02C6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bidi="ar-SA"/>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空压机1</w:t>
                  </w:r>
                </w:p>
              </w:tc>
              <w:tc>
                <w:tcPr>
                  <w:tcW w:w="203" w:type="pct"/>
                  <w:tcBorders>
                    <w:tl2br w:val="nil"/>
                    <w:tr2bl w:val="nil"/>
                  </w:tcBorders>
                  <w:noWrap w:val="0"/>
                  <w:vAlign w:val="center"/>
                </w:tcPr>
                <w:p w14:paraId="505709B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0768C2C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80/1</w:t>
                  </w:r>
                </w:p>
              </w:tc>
              <w:tc>
                <w:tcPr>
                  <w:tcW w:w="346" w:type="pct"/>
                  <w:vMerge w:val="restart"/>
                  <w:tcBorders>
                    <w:tl2br w:val="nil"/>
                    <w:tr2bl w:val="nil"/>
                  </w:tcBorders>
                  <w:noWrap w:val="0"/>
                  <w:vAlign w:val="center"/>
                </w:tcPr>
                <w:p w14:paraId="42B616E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选用低噪声设备、厂房隔声、距离衰减</w:t>
                  </w:r>
                </w:p>
              </w:tc>
              <w:tc>
                <w:tcPr>
                  <w:tcW w:w="346" w:type="pct"/>
                  <w:tcBorders>
                    <w:tl2br w:val="nil"/>
                    <w:tr2bl w:val="nil"/>
                  </w:tcBorders>
                  <w:noWrap w:val="0"/>
                  <w:vAlign w:val="center"/>
                </w:tcPr>
                <w:p w14:paraId="2D73217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48.96</w:t>
                  </w:r>
                </w:p>
              </w:tc>
              <w:tc>
                <w:tcPr>
                  <w:tcW w:w="369" w:type="pct"/>
                  <w:tcBorders>
                    <w:tl2br w:val="nil"/>
                    <w:tr2bl w:val="nil"/>
                  </w:tcBorders>
                  <w:noWrap w:val="0"/>
                  <w:vAlign w:val="center"/>
                </w:tcPr>
                <w:p w14:paraId="5F80C40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-1.49</w:t>
                  </w:r>
                </w:p>
              </w:tc>
              <w:tc>
                <w:tcPr>
                  <w:tcW w:w="308" w:type="pct"/>
                  <w:tcBorders>
                    <w:tl2br w:val="nil"/>
                    <w:tr2bl w:val="nil"/>
                  </w:tcBorders>
                  <w:noWrap w:val="0"/>
                  <w:vAlign w:val="center"/>
                </w:tcPr>
                <w:p w14:paraId="157E28B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c>
                <w:tcPr>
                  <w:tcW w:w="331" w:type="pct"/>
                  <w:tcBorders>
                    <w:tl2br w:val="nil"/>
                    <w:tr2bl w:val="nil"/>
                  </w:tcBorders>
                  <w:noWrap w:val="0"/>
                  <w:vAlign w:val="center"/>
                </w:tcPr>
                <w:p w14:paraId="15A87FD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2"/>
                      <w:sz w:val="21"/>
                      <w:szCs w:val="21"/>
                      <w:highlight w:val="none"/>
                      <w:u w:val="none"/>
                      <w:lang w:val="en-US" w:eastAsia="zh-CN" w:bidi="ar-SA"/>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1.46</w:t>
                  </w:r>
                </w:p>
              </w:tc>
              <w:tc>
                <w:tcPr>
                  <w:tcW w:w="414" w:type="pct"/>
                  <w:tcBorders>
                    <w:tl2br w:val="nil"/>
                    <w:tr2bl w:val="nil"/>
                  </w:tcBorders>
                  <w:noWrap w:val="0"/>
                  <w:vAlign w:val="center"/>
                </w:tcPr>
                <w:p w14:paraId="22AE703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75.23</w:t>
                  </w:r>
                </w:p>
              </w:tc>
              <w:tc>
                <w:tcPr>
                  <w:tcW w:w="256" w:type="pct"/>
                  <w:vMerge w:val="restart"/>
                  <w:tcBorders>
                    <w:tl2br w:val="nil"/>
                    <w:tr2bl w:val="nil"/>
                  </w:tcBorders>
                  <w:noWrap w:val="0"/>
                  <w:vAlign w:val="center"/>
                </w:tcPr>
                <w:p w14:paraId="668FB5C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eastAsia" w:ascii="Times New Roman" w:hAnsi="Times New Roman" w:eastAsia="宋体" w:cs="Times New Roman"/>
                      <w:i w:val="0"/>
                      <w:iCs w:val="0"/>
                      <w:color w:val="auto"/>
                      <w:spacing w:val="-17"/>
                      <w:kern w:val="0"/>
                      <w:sz w:val="21"/>
                      <w:szCs w:val="21"/>
                      <w:highlight w:val="none"/>
                      <w:u w:val="none"/>
                      <w:lang w:val="en-US" w:eastAsia="zh-CN" w:bidi="ar"/>
                    </w:rPr>
                    <w:t>昼间、夜间</w:t>
                  </w:r>
                </w:p>
              </w:tc>
              <w:tc>
                <w:tcPr>
                  <w:tcW w:w="421" w:type="pct"/>
                  <w:vMerge w:val="restart"/>
                  <w:tcBorders>
                    <w:tl2br w:val="nil"/>
                    <w:tr2bl w:val="nil"/>
                  </w:tcBorders>
                  <w:noWrap/>
                  <w:vAlign w:val="center"/>
                </w:tcPr>
                <w:p w14:paraId="2A321686">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26</w:t>
                  </w:r>
                </w:p>
              </w:tc>
              <w:tc>
                <w:tcPr>
                  <w:tcW w:w="504" w:type="pct"/>
                  <w:tcBorders>
                    <w:tl2br w:val="nil"/>
                    <w:tr2bl w:val="nil"/>
                  </w:tcBorders>
                  <w:noWrap/>
                  <w:vAlign w:val="center"/>
                </w:tcPr>
                <w:p w14:paraId="709A9BF5">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49.23</w:t>
                  </w:r>
                </w:p>
              </w:tc>
              <w:tc>
                <w:tcPr>
                  <w:tcW w:w="423" w:type="pct"/>
                  <w:tcBorders>
                    <w:tl2br w:val="nil"/>
                    <w:tr2bl w:val="nil"/>
                  </w:tcBorders>
                  <w:noWrap/>
                  <w:vAlign w:val="center"/>
                </w:tcPr>
                <w:p w14:paraId="1234FF1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eastAsia" w:ascii="Times New Roman" w:hAnsi="Times New Roman" w:eastAsia="宋体" w:cs="Times New Roman"/>
                      <w:i w:val="0"/>
                      <w:iCs w:val="0"/>
                      <w:color w:val="auto"/>
                      <w:spacing w:val="-17"/>
                      <w:kern w:val="0"/>
                      <w:sz w:val="21"/>
                      <w:szCs w:val="21"/>
                      <w:highlight w:val="none"/>
                      <w:u w:val="none"/>
                      <w:lang w:val="en-US" w:eastAsia="zh-CN" w:bidi="ar"/>
                    </w:rPr>
                    <w:t>1</w:t>
                  </w:r>
                </w:p>
              </w:tc>
            </w:tr>
            <w:tr w14:paraId="1CD2F781">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661E647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34</w:t>
                  </w:r>
                </w:p>
              </w:tc>
              <w:tc>
                <w:tcPr>
                  <w:tcW w:w="379" w:type="pct"/>
                  <w:tcBorders>
                    <w:tl2br w:val="nil"/>
                    <w:tr2bl w:val="nil"/>
                  </w:tcBorders>
                  <w:noWrap w:val="0"/>
                  <w:vAlign w:val="center"/>
                </w:tcPr>
                <w:p w14:paraId="49C3C4A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bidi="ar-SA"/>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空压机2</w:t>
                  </w:r>
                </w:p>
              </w:tc>
              <w:tc>
                <w:tcPr>
                  <w:tcW w:w="203" w:type="pct"/>
                  <w:tcBorders>
                    <w:tl2br w:val="nil"/>
                    <w:tr2bl w:val="nil"/>
                  </w:tcBorders>
                  <w:noWrap w:val="0"/>
                  <w:vAlign w:val="center"/>
                </w:tcPr>
                <w:p w14:paraId="1073E35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3C87797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80/1</w:t>
                  </w:r>
                </w:p>
              </w:tc>
              <w:tc>
                <w:tcPr>
                  <w:tcW w:w="346" w:type="pct"/>
                  <w:vMerge w:val="continue"/>
                  <w:tcBorders>
                    <w:tl2br w:val="nil"/>
                    <w:tr2bl w:val="nil"/>
                  </w:tcBorders>
                  <w:noWrap w:val="0"/>
                  <w:vAlign w:val="center"/>
                </w:tcPr>
                <w:p w14:paraId="73BC6C9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3857B08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49.43</w:t>
                  </w:r>
                </w:p>
              </w:tc>
              <w:tc>
                <w:tcPr>
                  <w:tcW w:w="369" w:type="pct"/>
                  <w:tcBorders>
                    <w:tl2br w:val="nil"/>
                    <w:tr2bl w:val="nil"/>
                  </w:tcBorders>
                  <w:noWrap w:val="0"/>
                  <w:vAlign w:val="center"/>
                </w:tcPr>
                <w:p w14:paraId="5A09571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-1.05</w:t>
                  </w:r>
                </w:p>
              </w:tc>
              <w:tc>
                <w:tcPr>
                  <w:tcW w:w="308" w:type="pct"/>
                  <w:tcBorders>
                    <w:tl2br w:val="nil"/>
                    <w:tr2bl w:val="nil"/>
                  </w:tcBorders>
                  <w:noWrap w:val="0"/>
                  <w:vAlign w:val="center"/>
                </w:tcPr>
                <w:p w14:paraId="097F361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0.8</w:t>
                  </w:r>
                </w:p>
              </w:tc>
              <w:tc>
                <w:tcPr>
                  <w:tcW w:w="331" w:type="pct"/>
                  <w:tcBorders>
                    <w:tl2br w:val="nil"/>
                    <w:tr2bl w:val="nil"/>
                  </w:tcBorders>
                  <w:noWrap w:val="0"/>
                  <w:vAlign w:val="center"/>
                </w:tcPr>
                <w:p w14:paraId="4D50575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0.27</w:t>
                  </w:r>
                </w:p>
              </w:tc>
              <w:tc>
                <w:tcPr>
                  <w:tcW w:w="414" w:type="pct"/>
                  <w:tcBorders>
                    <w:tl2br w:val="nil"/>
                    <w:tr2bl w:val="nil"/>
                  </w:tcBorders>
                  <w:noWrap w:val="0"/>
                  <w:vAlign w:val="center"/>
                </w:tcPr>
                <w:p w14:paraId="35DBD32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75.88</w:t>
                  </w:r>
                </w:p>
              </w:tc>
              <w:tc>
                <w:tcPr>
                  <w:tcW w:w="256" w:type="pct"/>
                  <w:vMerge w:val="continue"/>
                  <w:tcBorders>
                    <w:tl2br w:val="nil"/>
                    <w:tr2bl w:val="nil"/>
                  </w:tcBorders>
                  <w:noWrap w:val="0"/>
                  <w:vAlign w:val="center"/>
                </w:tcPr>
                <w:p w14:paraId="71ED663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184102E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49116DA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49.88</w:t>
                  </w:r>
                </w:p>
              </w:tc>
              <w:tc>
                <w:tcPr>
                  <w:tcW w:w="423" w:type="pct"/>
                  <w:tcBorders>
                    <w:tl2br w:val="nil"/>
                    <w:tr2bl w:val="nil"/>
                  </w:tcBorders>
                  <w:noWrap/>
                  <w:vAlign w:val="center"/>
                </w:tcPr>
                <w:p w14:paraId="5791407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eastAsia" w:ascii="Times New Roman" w:hAnsi="Times New Roman" w:eastAsia="宋体" w:cs="Times New Roman"/>
                      <w:i w:val="0"/>
                      <w:iCs w:val="0"/>
                      <w:color w:val="auto"/>
                      <w:spacing w:val="-17"/>
                      <w:kern w:val="0"/>
                      <w:sz w:val="21"/>
                      <w:szCs w:val="21"/>
                      <w:highlight w:val="none"/>
                      <w:u w:val="none"/>
                      <w:lang w:val="en-US" w:eastAsia="zh-CN" w:bidi="ar"/>
                    </w:rPr>
                    <w:t>1</w:t>
                  </w:r>
                </w:p>
              </w:tc>
            </w:tr>
            <w:tr w14:paraId="266A6FB3">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3FAECE8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35</w:t>
                  </w:r>
                </w:p>
              </w:tc>
              <w:tc>
                <w:tcPr>
                  <w:tcW w:w="379" w:type="pct"/>
                  <w:tcBorders>
                    <w:tl2br w:val="nil"/>
                    <w:tr2bl w:val="nil"/>
                  </w:tcBorders>
                  <w:noWrap w:val="0"/>
                  <w:vAlign w:val="center"/>
                </w:tcPr>
                <w:p w14:paraId="2415C53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bidi="ar-SA"/>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空压机3</w:t>
                  </w:r>
                </w:p>
              </w:tc>
              <w:tc>
                <w:tcPr>
                  <w:tcW w:w="203" w:type="pct"/>
                  <w:tcBorders>
                    <w:tl2br w:val="nil"/>
                    <w:tr2bl w:val="nil"/>
                  </w:tcBorders>
                  <w:noWrap w:val="0"/>
                  <w:vAlign w:val="center"/>
                </w:tcPr>
                <w:p w14:paraId="1E2ED4B1">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3E523977">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80/1</w:t>
                  </w:r>
                </w:p>
              </w:tc>
              <w:tc>
                <w:tcPr>
                  <w:tcW w:w="346" w:type="pct"/>
                  <w:vMerge w:val="continue"/>
                  <w:tcBorders>
                    <w:tl2br w:val="nil"/>
                    <w:tr2bl w:val="nil"/>
                  </w:tcBorders>
                  <w:noWrap w:val="0"/>
                  <w:vAlign w:val="center"/>
                </w:tcPr>
                <w:p w14:paraId="704A74A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25AF461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47.94</w:t>
                  </w:r>
                </w:p>
              </w:tc>
              <w:tc>
                <w:tcPr>
                  <w:tcW w:w="369" w:type="pct"/>
                  <w:tcBorders>
                    <w:tl2br w:val="nil"/>
                    <w:tr2bl w:val="nil"/>
                  </w:tcBorders>
                  <w:noWrap w:val="0"/>
                  <w:vAlign w:val="center"/>
                </w:tcPr>
                <w:p w14:paraId="332C2CC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c>
                <w:tcPr>
                  <w:tcW w:w="308" w:type="pct"/>
                  <w:tcBorders>
                    <w:tl2br w:val="nil"/>
                    <w:tr2bl w:val="nil"/>
                  </w:tcBorders>
                  <w:noWrap w:val="0"/>
                  <w:vAlign w:val="center"/>
                </w:tcPr>
                <w:p w14:paraId="1AADC144">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w:t>
                  </w:r>
                </w:p>
              </w:tc>
              <w:tc>
                <w:tcPr>
                  <w:tcW w:w="331" w:type="pct"/>
                  <w:tcBorders>
                    <w:tl2br w:val="nil"/>
                    <w:tr2bl w:val="nil"/>
                  </w:tcBorders>
                  <w:noWrap w:val="0"/>
                  <w:vAlign w:val="center"/>
                </w:tcPr>
                <w:p w14:paraId="1873B77A">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2.63</w:t>
                  </w:r>
                </w:p>
              </w:tc>
              <w:tc>
                <w:tcPr>
                  <w:tcW w:w="414" w:type="pct"/>
                  <w:tcBorders>
                    <w:tl2br w:val="nil"/>
                    <w:tr2bl w:val="nil"/>
                  </w:tcBorders>
                  <w:noWrap w:val="0"/>
                  <w:vAlign w:val="center"/>
                </w:tcPr>
                <w:p w14:paraId="13D294D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75.56</w:t>
                  </w:r>
                </w:p>
              </w:tc>
              <w:tc>
                <w:tcPr>
                  <w:tcW w:w="256" w:type="pct"/>
                  <w:vMerge w:val="continue"/>
                  <w:tcBorders>
                    <w:tl2br w:val="nil"/>
                    <w:tr2bl w:val="nil"/>
                  </w:tcBorders>
                  <w:noWrap w:val="0"/>
                  <w:vAlign w:val="center"/>
                </w:tcPr>
                <w:p w14:paraId="2DA2121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0DDF2CBF">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1FD4901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49</w:t>
                  </w:r>
                  <w:r>
                    <w:rPr>
                      <w:rFonts w:hint="eastAsia" w:ascii="Times New Roman" w:hAnsi="Times New Roman" w:eastAsia="宋体" w:cs="Times New Roman"/>
                      <w:i w:val="0"/>
                      <w:iCs w:val="0"/>
                      <w:color w:val="auto"/>
                      <w:spacing w:val="-17"/>
                      <w:kern w:val="0"/>
                      <w:sz w:val="21"/>
                      <w:szCs w:val="21"/>
                      <w:highlight w:val="none"/>
                      <w:u w:val="none"/>
                      <w:lang w:val="en-US" w:eastAsia="zh-CN" w:bidi="ar"/>
                    </w:rPr>
                    <w:t>.</w:t>
                  </w:r>
                  <w:r>
                    <w:rPr>
                      <w:rFonts w:hint="default" w:ascii="Times New Roman" w:hAnsi="Times New Roman" w:eastAsia="宋体" w:cs="Times New Roman"/>
                      <w:i w:val="0"/>
                      <w:iCs w:val="0"/>
                      <w:color w:val="auto"/>
                      <w:spacing w:val="-17"/>
                      <w:kern w:val="0"/>
                      <w:sz w:val="21"/>
                      <w:szCs w:val="21"/>
                      <w:highlight w:val="none"/>
                      <w:u w:val="none"/>
                      <w:lang w:val="en-US" w:eastAsia="zh-CN" w:bidi="ar"/>
                    </w:rPr>
                    <w:t>56</w:t>
                  </w:r>
                </w:p>
              </w:tc>
              <w:tc>
                <w:tcPr>
                  <w:tcW w:w="423" w:type="pct"/>
                  <w:tcBorders>
                    <w:tl2br w:val="nil"/>
                    <w:tr2bl w:val="nil"/>
                  </w:tcBorders>
                  <w:noWrap/>
                  <w:vAlign w:val="center"/>
                </w:tcPr>
                <w:p w14:paraId="59B05CC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eastAsia" w:ascii="Times New Roman" w:hAnsi="Times New Roman" w:eastAsia="宋体" w:cs="Times New Roman"/>
                      <w:i w:val="0"/>
                      <w:iCs w:val="0"/>
                      <w:color w:val="auto"/>
                      <w:spacing w:val="-17"/>
                      <w:kern w:val="0"/>
                      <w:sz w:val="21"/>
                      <w:szCs w:val="21"/>
                      <w:highlight w:val="none"/>
                      <w:u w:val="none"/>
                      <w:lang w:val="en-US" w:eastAsia="zh-CN" w:bidi="ar"/>
                    </w:rPr>
                    <w:t>1</w:t>
                  </w:r>
                </w:p>
              </w:tc>
            </w:tr>
            <w:tr w14:paraId="25EF0439">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81" w:type="pct"/>
                  <w:tcBorders>
                    <w:tl2br w:val="nil"/>
                    <w:tr2bl w:val="nil"/>
                  </w:tcBorders>
                  <w:noWrap w:val="0"/>
                  <w:vAlign w:val="center"/>
                </w:tcPr>
                <w:p w14:paraId="5D93E50D">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36</w:t>
                  </w:r>
                </w:p>
              </w:tc>
              <w:tc>
                <w:tcPr>
                  <w:tcW w:w="379" w:type="pct"/>
                  <w:tcBorders>
                    <w:tl2br w:val="nil"/>
                    <w:tr2bl w:val="nil"/>
                  </w:tcBorders>
                  <w:noWrap w:val="0"/>
                  <w:vAlign w:val="center"/>
                </w:tcPr>
                <w:p w14:paraId="68C90AC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b w:val="0"/>
                      <w:bCs/>
                      <w:color w:val="auto"/>
                      <w:spacing w:val="-17"/>
                      <w:kern w:val="0"/>
                      <w:sz w:val="21"/>
                      <w:szCs w:val="21"/>
                      <w:highlight w:val="none"/>
                      <w:vertAlign w:val="baseline"/>
                      <w:lang w:val="en-US" w:eastAsia="zh-CN" w:bidi="ar-SA"/>
                    </w:rPr>
                  </w:pPr>
                  <w:r>
                    <w:rPr>
                      <w:rFonts w:hint="default" w:ascii="Times New Roman" w:hAnsi="Times New Roman" w:eastAsia="宋体" w:cs="Times New Roman"/>
                      <w:b w:val="0"/>
                      <w:bCs/>
                      <w:color w:val="auto"/>
                      <w:spacing w:val="-17"/>
                      <w:kern w:val="0"/>
                      <w:sz w:val="21"/>
                      <w:szCs w:val="21"/>
                      <w:highlight w:val="none"/>
                      <w:vertAlign w:val="baseline"/>
                      <w:lang w:val="en-US" w:eastAsia="zh-CN"/>
                    </w:rPr>
                    <w:t>空压机4</w:t>
                  </w:r>
                </w:p>
              </w:tc>
              <w:tc>
                <w:tcPr>
                  <w:tcW w:w="203" w:type="pct"/>
                  <w:tcBorders>
                    <w:tl2br w:val="nil"/>
                    <w:tr2bl w:val="nil"/>
                  </w:tcBorders>
                  <w:noWrap w:val="0"/>
                  <w:vAlign w:val="center"/>
                </w:tcPr>
                <w:p w14:paraId="503164B2">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w:t>
                  </w:r>
                </w:p>
              </w:tc>
              <w:tc>
                <w:tcPr>
                  <w:tcW w:w="512" w:type="pct"/>
                  <w:tcBorders>
                    <w:tl2br w:val="nil"/>
                    <w:tr2bl w:val="nil"/>
                  </w:tcBorders>
                  <w:noWrap/>
                  <w:vAlign w:val="center"/>
                </w:tcPr>
                <w:p w14:paraId="0022CF1C">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80/1</w:t>
                  </w:r>
                </w:p>
              </w:tc>
              <w:tc>
                <w:tcPr>
                  <w:tcW w:w="346" w:type="pct"/>
                  <w:vMerge w:val="continue"/>
                  <w:tcBorders>
                    <w:tl2br w:val="nil"/>
                    <w:tr2bl w:val="nil"/>
                  </w:tcBorders>
                  <w:noWrap w:val="0"/>
                  <w:vAlign w:val="center"/>
                </w:tcPr>
                <w:p w14:paraId="3B69460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346" w:type="pct"/>
                  <w:tcBorders>
                    <w:tl2br w:val="nil"/>
                    <w:tr2bl w:val="nil"/>
                  </w:tcBorders>
                  <w:noWrap w:val="0"/>
                  <w:vAlign w:val="center"/>
                </w:tcPr>
                <w:p w14:paraId="37A3926E">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48.04</w:t>
                  </w:r>
                </w:p>
              </w:tc>
              <w:tc>
                <w:tcPr>
                  <w:tcW w:w="369" w:type="pct"/>
                  <w:tcBorders>
                    <w:tl2br w:val="nil"/>
                    <w:tr2bl w:val="nil"/>
                  </w:tcBorders>
                  <w:noWrap w:val="0"/>
                  <w:vAlign w:val="center"/>
                </w:tcPr>
                <w:p w14:paraId="4C1795F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-1.15</w:t>
                  </w:r>
                </w:p>
              </w:tc>
              <w:tc>
                <w:tcPr>
                  <w:tcW w:w="308" w:type="pct"/>
                  <w:tcBorders>
                    <w:tl2br w:val="nil"/>
                    <w:tr2bl w:val="nil"/>
                  </w:tcBorders>
                  <w:noWrap w:val="0"/>
                  <w:vAlign w:val="center"/>
                </w:tcPr>
                <w:p w14:paraId="37AE258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0.8</w:t>
                  </w:r>
                </w:p>
              </w:tc>
              <w:tc>
                <w:tcPr>
                  <w:tcW w:w="331" w:type="pct"/>
                  <w:tcBorders>
                    <w:tl2br w:val="nil"/>
                    <w:tr2bl w:val="nil"/>
                  </w:tcBorders>
                  <w:noWrap w:val="0"/>
                  <w:vAlign w:val="center"/>
                </w:tcPr>
                <w:p w14:paraId="1C4F29C8">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0.84</w:t>
                  </w:r>
                </w:p>
              </w:tc>
              <w:tc>
                <w:tcPr>
                  <w:tcW w:w="414" w:type="pct"/>
                  <w:tcBorders>
                    <w:tl2br w:val="nil"/>
                    <w:tr2bl w:val="nil"/>
                  </w:tcBorders>
                  <w:noWrap w:val="0"/>
                  <w:vAlign w:val="center"/>
                </w:tcPr>
                <w:p w14:paraId="13A47D8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75.36</w:t>
                  </w:r>
                </w:p>
              </w:tc>
              <w:tc>
                <w:tcPr>
                  <w:tcW w:w="256" w:type="pct"/>
                  <w:vMerge w:val="continue"/>
                  <w:tcBorders>
                    <w:tl2br w:val="nil"/>
                    <w:tr2bl w:val="nil"/>
                  </w:tcBorders>
                  <w:noWrap w:val="0"/>
                  <w:vAlign w:val="center"/>
                </w:tcPr>
                <w:p w14:paraId="443712C3">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421" w:type="pct"/>
                  <w:vMerge w:val="continue"/>
                  <w:tcBorders>
                    <w:tl2br w:val="nil"/>
                    <w:tr2bl w:val="nil"/>
                  </w:tcBorders>
                  <w:noWrap/>
                  <w:vAlign w:val="center"/>
                </w:tcPr>
                <w:p w14:paraId="4478500B">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p>
              </w:tc>
              <w:tc>
                <w:tcPr>
                  <w:tcW w:w="504" w:type="pct"/>
                  <w:tcBorders>
                    <w:tl2br w:val="nil"/>
                    <w:tr2bl w:val="nil"/>
                  </w:tcBorders>
                  <w:noWrap/>
                  <w:vAlign w:val="center"/>
                </w:tcPr>
                <w:p w14:paraId="53001300">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bottom"/>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default" w:ascii="Times New Roman" w:hAnsi="Times New Roman" w:eastAsia="宋体" w:cs="Times New Roman"/>
                      <w:i w:val="0"/>
                      <w:iCs w:val="0"/>
                      <w:color w:val="auto"/>
                      <w:spacing w:val="-17"/>
                      <w:kern w:val="0"/>
                      <w:sz w:val="21"/>
                      <w:szCs w:val="21"/>
                      <w:highlight w:val="none"/>
                      <w:u w:val="none"/>
                      <w:lang w:val="en-US" w:eastAsia="zh-CN" w:bidi="ar"/>
                    </w:rPr>
                    <w:t>49.36</w:t>
                  </w:r>
                </w:p>
              </w:tc>
              <w:tc>
                <w:tcPr>
                  <w:tcW w:w="423" w:type="pct"/>
                  <w:tcBorders>
                    <w:tl2br w:val="nil"/>
                    <w:tr2bl w:val="nil"/>
                  </w:tcBorders>
                  <w:noWrap/>
                  <w:vAlign w:val="center"/>
                </w:tcPr>
                <w:p w14:paraId="3DFD2409">
                  <w:pPr>
                    <w:keepNext w:val="0"/>
                    <w:keepLines w:val="0"/>
                    <w:pageBreakBefore w:val="0"/>
                    <w:widowControl w:val="0"/>
                    <w:suppressLineNumbers w:val="0"/>
                    <w:kinsoku/>
                    <w:wordWrap/>
                    <w:overflowPunct/>
                    <w:topLinePunct w:val="0"/>
                    <w:autoSpaceDE/>
                    <w:autoSpaceDN/>
                    <w:bidi w:val="0"/>
                    <w:adjustRightInd/>
                    <w:snapToGrid/>
                    <w:ind w:left="-42" w:leftChars="-20" w:right="-42" w:rightChars="-20"/>
                    <w:jc w:val="center"/>
                    <w:textAlignment w:val="center"/>
                    <w:rPr>
                      <w:rFonts w:hint="default" w:ascii="Times New Roman" w:hAnsi="Times New Roman" w:eastAsia="宋体" w:cs="Times New Roman"/>
                      <w:i w:val="0"/>
                      <w:iCs w:val="0"/>
                      <w:color w:val="auto"/>
                      <w:spacing w:val="-17"/>
                      <w:kern w:val="0"/>
                      <w:sz w:val="21"/>
                      <w:szCs w:val="21"/>
                      <w:highlight w:val="none"/>
                      <w:u w:val="none"/>
                      <w:lang w:val="en-US" w:eastAsia="zh-CN" w:bidi="ar"/>
                    </w:rPr>
                  </w:pPr>
                  <w:r>
                    <w:rPr>
                      <w:rFonts w:hint="eastAsia" w:ascii="Times New Roman" w:hAnsi="Times New Roman" w:eastAsia="宋体" w:cs="Times New Roman"/>
                      <w:i w:val="0"/>
                      <w:iCs w:val="0"/>
                      <w:color w:val="auto"/>
                      <w:spacing w:val="-17"/>
                      <w:kern w:val="0"/>
                      <w:sz w:val="21"/>
                      <w:szCs w:val="21"/>
                      <w:highlight w:val="none"/>
                      <w:u w:val="none"/>
                      <w:lang w:val="en-US" w:eastAsia="zh-CN" w:bidi="ar"/>
                    </w:rPr>
                    <w:t>1</w:t>
                  </w:r>
                </w:p>
              </w:tc>
            </w:tr>
          </w:tbl>
          <w:p w14:paraId="7EDD3B02">
            <w:pPr>
              <w:adjustRightInd w:val="0"/>
              <w:snapToGrid w:val="0"/>
              <w:spacing w:line="360" w:lineRule="auto"/>
              <w:ind w:firstLine="480"/>
              <w:rPr>
                <w:color w:val="auto"/>
                <w:sz w:val="24"/>
                <w:szCs w:val="24"/>
                <w:highlight w:val="none"/>
              </w:rPr>
            </w:pPr>
            <w:r>
              <w:rPr>
                <w:rFonts w:hint="eastAsia"/>
                <w:color w:val="auto"/>
                <w:sz w:val="24"/>
                <w:szCs w:val="24"/>
                <w:highlight w:val="none"/>
                <w:lang w:val="en-US" w:eastAsia="zh-CN"/>
              </w:rPr>
              <w:t>2.</w:t>
            </w:r>
            <w:r>
              <w:rPr>
                <w:rFonts w:hint="eastAsia"/>
                <w:color w:val="auto"/>
                <w:sz w:val="24"/>
                <w:szCs w:val="24"/>
                <w:highlight w:val="none"/>
              </w:rPr>
              <w:t>预测模式</w:t>
            </w:r>
          </w:p>
          <w:p w14:paraId="18EA2B3E">
            <w:pPr>
              <w:adjustRightInd w:val="0"/>
              <w:snapToGrid w:val="0"/>
              <w:spacing w:line="360" w:lineRule="auto"/>
              <w:ind w:firstLine="480"/>
              <w:rPr>
                <w:color w:val="auto"/>
                <w:sz w:val="24"/>
                <w:szCs w:val="24"/>
                <w:highlight w:val="none"/>
              </w:rPr>
            </w:pPr>
            <w:r>
              <w:rPr>
                <w:rFonts w:hint="eastAsia"/>
                <w:color w:val="auto"/>
                <w:sz w:val="24"/>
                <w:szCs w:val="24"/>
                <w:highlight w:val="none"/>
              </w:rPr>
              <w:t>本项目采用《环境影响评价技术导则 声环境》（HJ2.4-20</w:t>
            </w:r>
            <w:r>
              <w:rPr>
                <w:rFonts w:hint="eastAsia"/>
                <w:color w:val="auto"/>
                <w:sz w:val="24"/>
                <w:szCs w:val="24"/>
                <w:highlight w:val="none"/>
                <w:lang w:val="en-US" w:eastAsia="zh-CN"/>
              </w:rPr>
              <w:t>21</w:t>
            </w:r>
            <w:r>
              <w:rPr>
                <w:rFonts w:hint="eastAsia"/>
                <w:color w:val="auto"/>
                <w:sz w:val="24"/>
                <w:szCs w:val="24"/>
                <w:highlight w:val="none"/>
              </w:rPr>
              <w:t>）中推荐的模式进行计算。</w:t>
            </w:r>
          </w:p>
          <w:p w14:paraId="6A035F40">
            <w:pPr>
              <w:adjustRightInd w:val="0"/>
              <w:snapToGrid w:val="0"/>
              <w:spacing w:line="360" w:lineRule="auto"/>
              <w:ind w:firstLine="480"/>
              <w:rPr>
                <w:rFonts w:hint="eastAsia"/>
                <w:color w:val="auto"/>
                <w:sz w:val="24"/>
                <w:szCs w:val="24"/>
                <w:highlight w:val="none"/>
              </w:rPr>
            </w:pPr>
            <w:r>
              <w:rPr>
                <w:rFonts w:hint="eastAsia"/>
                <w:color w:val="auto"/>
                <w:sz w:val="24"/>
                <w:szCs w:val="24"/>
                <w:highlight w:val="none"/>
                <w:lang w:eastAsia="zh-CN"/>
              </w:rPr>
              <w:t>3.</w:t>
            </w:r>
            <w:r>
              <w:rPr>
                <w:rFonts w:hint="eastAsia"/>
                <w:color w:val="auto"/>
                <w:sz w:val="24"/>
                <w:szCs w:val="24"/>
                <w:highlight w:val="none"/>
              </w:rPr>
              <w:t>声环境影响预测结果</w:t>
            </w:r>
          </w:p>
          <w:p w14:paraId="7CDE35BC">
            <w:pPr>
              <w:widowControl w:val="0"/>
              <w:adjustRightInd w:val="0"/>
              <w:snapToGrid w:val="0"/>
              <w:spacing w:line="360" w:lineRule="auto"/>
              <w:ind w:firstLine="480"/>
              <w:rPr>
                <w:rFonts w:hint="default"/>
                <w:color w:val="auto"/>
                <w:sz w:val="24"/>
                <w:szCs w:val="24"/>
                <w:highlight w:val="none"/>
              </w:rPr>
            </w:pPr>
            <w:r>
              <w:rPr>
                <w:rFonts w:hint="eastAsia"/>
                <w:color w:val="auto"/>
                <w:sz w:val="24"/>
                <w:szCs w:val="24"/>
                <w:highlight w:val="none"/>
                <w:lang w:val="en-US" w:eastAsia="zh-CN"/>
              </w:rPr>
              <w:t>本评价通过预测噪声源对四周厂界噪声贡献值，分析本项目实施后对四周厂界、声环境保护目标的影响。</w:t>
            </w:r>
            <w:r>
              <w:rPr>
                <w:rFonts w:hint="default"/>
                <w:color w:val="auto"/>
                <w:sz w:val="24"/>
                <w:szCs w:val="24"/>
                <w:highlight w:val="none"/>
              </w:rPr>
              <w:t>项目噪声污染源情况见</w:t>
            </w:r>
            <w:r>
              <w:rPr>
                <w:rFonts w:hint="default"/>
                <w:color w:val="auto"/>
                <w:sz w:val="24"/>
                <w:szCs w:val="24"/>
                <w:highlight w:val="none"/>
                <w:lang w:eastAsia="zh-CN"/>
              </w:rPr>
              <w:t>下</w:t>
            </w:r>
            <w:r>
              <w:rPr>
                <w:rFonts w:hint="default"/>
                <w:color w:val="auto"/>
                <w:sz w:val="24"/>
                <w:szCs w:val="24"/>
                <w:highlight w:val="none"/>
              </w:rPr>
              <w:t>表。</w:t>
            </w:r>
          </w:p>
          <w:p w14:paraId="356FA09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color w:val="auto"/>
                <w:sz w:val="24"/>
                <w:highlight w:val="none"/>
                <w:vertAlign w:val="baseline"/>
                <w:lang w:val="en-US" w:eastAsia="zh-CN"/>
              </w:rPr>
            </w:pPr>
            <w:r>
              <w:rPr>
                <w:rFonts w:hint="eastAsia" w:ascii="Times New Roman" w:hAnsi="Times New Roman" w:eastAsia="宋体" w:cs="Times New Roman"/>
                <w:b/>
                <w:color w:val="auto"/>
                <w:sz w:val="24"/>
                <w:highlight w:val="none"/>
                <w:vertAlign w:val="baseline"/>
                <w:lang w:val="en-US" w:eastAsia="zh-CN"/>
              </w:rPr>
              <w:t>表4</w:t>
            </w:r>
            <w:r>
              <w:rPr>
                <w:rFonts w:hint="default" w:ascii="Times New Roman" w:hAnsi="Times New Roman" w:eastAsia="宋体" w:cs="Times New Roman"/>
                <w:b/>
                <w:bCs w:val="0"/>
                <w:color w:val="auto"/>
                <w:sz w:val="24"/>
                <w:highlight w:val="none"/>
                <w:vertAlign w:val="baseline"/>
                <w:lang w:val="en-US" w:eastAsia="zh-CN"/>
              </w:rPr>
              <w:t>-1</w:t>
            </w:r>
            <w:r>
              <w:rPr>
                <w:rFonts w:hint="eastAsia" w:cs="Times New Roman"/>
                <w:b/>
                <w:bCs w:val="0"/>
                <w:color w:val="auto"/>
                <w:sz w:val="24"/>
                <w:highlight w:val="none"/>
                <w:vertAlign w:val="baseline"/>
                <w:lang w:val="en-US" w:eastAsia="zh-CN"/>
              </w:rPr>
              <w:t>1</w:t>
            </w:r>
            <w:r>
              <w:rPr>
                <w:rFonts w:hint="default" w:ascii="Times New Roman" w:hAnsi="Times New Roman" w:eastAsia="宋体" w:cs="Times New Roman"/>
                <w:b/>
                <w:bCs w:val="0"/>
                <w:color w:val="auto"/>
                <w:sz w:val="24"/>
                <w:highlight w:val="none"/>
                <w:vertAlign w:val="baseline"/>
                <w:lang w:val="en-US" w:eastAsia="zh-CN"/>
              </w:rPr>
              <w:t xml:space="preserve">  噪声预测结果表  单位</w:t>
            </w:r>
            <w:r>
              <w:rPr>
                <w:rFonts w:hint="default" w:ascii="Times New Roman" w:hAnsi="Times New Roman" w:eastAsia="宋体" w:cs="Times New Roman"/>
                <w:b/>
                <w:bCs w:val="0"/>
                <w:color w:val="auto"/>
                <w:sz w:val="24"/>
                <w:szCs w:val="24"/>
                <w:highlight w:val="none"/>
              </w:rPr>
              <w:t>dB（A）</w:t>
            </w:r>
          </w:p>
          <w:tbl>
            <w:tblPr>
              <w:tblStyle w:val="34"/>
              <w:tblW w:w="4998" w:type="pct"/>
              <w:jc w:val="center"/>
              <w:tblBorders>
                <w:top w:val="single" w:color="auto" w:sz="8" w:space="0"/>
                <w:left w:val="single" w:color="auto" w:sz="8" w:space="0"/>
                <w:bottom w:val="single" w:color="auto" w:sz="4"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1327"/>
              <w:gridCol w:w="1657"/>
              <w:gridCol w:w="2058"/>
              <w:gridCol w:w="1656"/>
              <w:gridCol w:w="1761"/>
            </w:tblGrid>
            <w:tr w14:paraId="55827600">
              <w:tblPrEx>
                <w:tblBorders>
                  <w:top w:val="single" w:color="auto" w:sz="8" w:space="0"/>
                  <w:left w:val="single" w:color="auto" w:sz="8" w:space="0"/>
                  <w:bottom w:val="single" w:color="auto" w:sz="4"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784" w:type="pct"/>
                  <w:tcBorders>
                    <w:top w:val="single" w:color="auto" w:sz="4" w:space="0"/>
                    <w:left w:val="nil"/>
                  </w:tcBorders>
                  <w:noWrap w:val="0"/>
                  <w:vAlign w:val="center"/>
                </w:tcPr>
                <w:p w14:paraId="0279698E">
                  <w:pPr>
                    <w:keepNext w:val="0"/>
                    <w:adjustRightInd w:val="0"/>
                    <w:snapToGrid w:val="0"/>
                    <w:spacing w:line="240" w:lineRule="exact"/>
                    <w:ind w:firstLine="0" w:firstLineChars="0"/>
                    <w:jc w:val="center"/>
                    <w:rPr>
                      <w:rFonts w:hint="default" w:ascii="Times New Roman" w:hAnsi="Times New Roman" w:cs="Times New Roman"/>
                      <w:b/>
                      <w:bCs/>
                      <w:color w:val="auto"/>
                      <w:highlight w:val="none"/>
                      <w:lang w:eastAsia="zh-CN"/>
                    </w:rPr>
                  </w:pPr>
                  <w:r>
                    <w:rPr>
                      <w:rFonts w:hint="default" w:ascii="Times New Roman" w:hAnsi="Times New Roman" w:cs="Times New Roman"/>
                      <w:b/>
                      <w:bCs/>
                      <w:color w:val="auto"/>
                      <w:highlight w:val="none"/>
                      <w:lang w:val="en-US" w:eastAsia="zh-CN"/>
                    </w:rPr>
                    <w:t>厂界</w:t>
                  </w:r>
                </w:p>
              </w:tc>
              <w:tc>
                <w:tcPr>
                  <w:tcW w:w="979" w:type="pct"/>
                  <w:tcBorders>
                    <w:top w:val="single" w:color="auto" w:sz="4" w:space="0"/>
                  </w:tcBorders>
                  <w:noWrap w:val="0"/>
                  <w:vAlign w:val="center"/>
                </w:tcPr>
                <w:p w14:paraId="4FA33A46">
                  <w:pPr>
                    <w:keepNext w:val="0"/>
                    <w:adjustRightInd w:val="0"/>
                    <w:snapToGrid w:val="0"/>
                    <w:spacing w:line="240" w:lineRule="exact"/>
                    <w:ind w:firstLine="0" w:firstLineChars="0"/>
                    <w:jc w:val="center"/>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预测时段</w:t>
                  </w:r>
                </w:p>
              </w:tc>
              <w:tc>
                <w:tcPr>
                  <w:tcW w:w="1216" w:type="pct"/>
                  <w:tcBorders>
                    <w:top w:val="single" w:color="auto" w:sz="4" w:space="0"/>
                  </w:tcBorders>
                  <w:noWrap w:val="0"/>
                  <w:vAlign w:val="center"/>
                </w:tcPr>
                <w:p w14:paraId="1D05DCE7">
                  <w:pPr>
                    <w:keepNext w:val="0"/>
                    <w:adjustRightInd w:val="0"/>
                    <w:snapToGrid w:val="0"/>
                    <w:spacing w:line="240" w:lineRule="exact"/>
                    <w:ind w:firstLine="0" w:firstLineChars="0"/>
                    <w:jc w:val="center"/>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lang w:val="en-US" w:eastAsia="zh-CN"/>
                    </w:rPr>
                    <w:t>最大</w:t>
                  </w:r>
                  <w:r>
                    <w:rPr>
                      <w:rFonts w:hint="default" w:ascii="Times New Roman" w:hAnsi="Times New Roman" w:cs="Times New Roman"/>
                      <w:b/>
                      <w:bCs/>
                      <w:color w:val="auto"/>
                      <w:highlight w:val="none"/>
                    </w:rPr>
                    <w:t>贡献值</w:t>
                  </w:r>
                </w:p>
              </w:tc>
              <w:tc>
                <w:tcPr>
                  <w:tcW w:w="978" w:type="pct"/>
                  <w:tcBorders>
                    <w:top w:val="single" w:color="auto" w:sz="4" w:space="0"/>
                  </w:tcBorders>
                  <w:noWrap w:val="0"/>
                  <w:vAlign w:val="center"/>
                </w:tcPr>
                <w:p w14:paraId="5B82807A">
                  <w:pPr>
                    <w:keepNext w:val="0"/>
                    <w:adjustRightInd w:val="0"/>
                    <w:snapToGrid w:val="0"/>
                    <w:spacing w:line="240" w:lineRule="exact"/>
                    <w:ind w:firstLine="0" w:firstLineChars="0"/>
                    <w:jc w:val="center"/>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评价标准</w:t>
                  </w:r>
                </w:p>
              </w:tc>
              <w:tc>
                <w:tcPr>
                  <w:tcW w:w="1040" w:type="pct"/>
                  <w:tcBorders>
                    <w:top w:val="single" w:color="auto" w:sz="4" w:space="0"/>
                    <w:right w:val="nil"/>
                  </w:tcBorders>
                  <w:noWrap w:val="0"/>
                  <w:vAlign w:val="center"/>
                </w:tcPr>
                <w:p w14:paraId="7CC16EAA">
                  <w:pPr>
                    <w:keepNext w:val="0"/>
                    <w:adjustRightInd w:val="0"/>
                    <w:snapToGrid w:val="0"/>
                    <w:spacing w:line="240" w:lineRule="exact"/>
                    <w:ind w:firstLine="0" w:firstLineChars="0"/>
                    <w:jc w:val="center"/>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评价结果</w:t>
                  </w:r>
                </w:p>
              </w:tc>
            </w:tr>
            <w:tr w14:paraId="1DA285C0">
              <w:tblPrEx>
                <w:tblBorders>
                  <w:top w:val="single" w:color="auto" w:sz="8" w:space="0"/>
                  <w:left w:val="single" w:color="auto" w:sz="8" w:space="0"/>
                  <w:bottom w:val="single" w:color="auto" w:sz="4"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784" w:type="pct"/>
                  <w:tcBorders>
                    <w:left w:val="nil"/>
                  </w:tcBorders>
                  <w:noWrap w:val="0"/>
                  <w:vAlign w:val="center"/>
                </w:tcPr>
                <w:p w14:paraId="09E0A6F3">
                  <w:pPr>
                    <w:widowControl w:val="0"/>
                    <w:spacing w:line="240" w:lineRule="exact"/>
                    <w:ind w:firstLine="0" w:firstLineChars="0"/>
                    <w:jc w:val="center"/>
                    <w:rPr>
                      <w:rFonts w:hint="default" w:ascii="Times New Roman" w:hAnsi="Times New Roman" w:eastAsia="宋体" w:cs="Times New Roman"/>
                      <w:color w:val="auto"/>
                      <w:sz w:val="22"/>
                      <w:szCs w:val="20"/>
                      <w:highlight w:val="none"/>
                      <w:lang w:val="en-US" w:eastAsia="zh-CN"/>
                    </w:rPr>
                  </w:pPr>
                  <w:r>
                    <w:rPr>
                      <w:rFonts w:hint="default" w:ascii="Times New Roman" w:hAnsi="Times New Roman" w:cs="Times New Roman"/>
                      <w:color w:val="auto"/>
                      <w:sz w:val="22"/>
                      <w:szCs w:val="20"/>
                      <w:highlight w:val="none"/>
                      <w:lang w:val="en-US" w:eastAsia="zh-CN"/>
                    </w:rPr>
                    <w:t>北</w:t>
                  </w:r>
                  <w:r>
                    <w:rPr>
                      <w:rFonts w:hint="default" w:ascii="Times New Roman" w:hAnsi="Times New Roman" w:eastAsia="宋体" w:cs="Times New Roman"/>
                      <w:color w:val="auto"/>
                      <w:sz w:val="22"/>
                      <w:szCs w:val="20"/>
                      <w:highlight w:val="none"/>
                      <w:lang w:val="en-US" w:eastAsia="zh-CN"/>
                    </w:rPr>
                    <w:t>厂界</w:t>
                  </w:r>
                </w:p>
              </w:tc>
              <w:tc>
                <w:tcPr>
                  <w:tcW w:w="979" w:type="pct"/>
                  <w:vMerge w:val="restart"/>
                  <w:noWrap w:val="0"/>
                  <w:vAlign w:val="center"/>
                </w:tcPr>
                <w:p w14:paraId="3690EDE8">
                  <w:pPr>
                    <w:widowControl w:val="0"/>
                    <w:spacing w:line="240" w:lineRule="exact"/>
                    <w:ind w:firstLine="0" w:firstLineChars="0"/>
                    <w:jc w:val="center"/>
                    <w:rPr>
                      <w:rFonts w:hint="default" w:ascii="Times New Roman" w:hAnsi="Times New Roman" w:eastAsia="宋体" w:cs="Times New Roman"/>
                      <w:color w:val="auto"/>
                      <w:sz w:val="22"/>
                      <w:szCs w:val="20"/>
                      <w:highlight w:val="none"/>
                      <w:lang w:val="en-US" w:eastAsia="zh-CN"/>
                    </w:rPr>
                  </w:pPr>
                  <w:r>
                    <w:rPr>
                      <w:rFonts w:hint="default" w:ascii="Times New Roman" w:hAnsi="Times New Roman" w:cs="Times New Roman"/>
                      <w:color w:val="auto"/>
                      <w:sz w:val="22"/>
                      <w:szCs w:val="20"/>
                      <w:highlight w:val="none"/>
                    </w:rPr>
                    <w:t>昼间</w:t>
                  </w:r>
                  <w:r>
                    <w:rPr>
                      <w:rFonts w:hint="eastAsia" w:cs="Times New Roman"/>
                      <w:color w:val="auto"/>
                      <w:sz w:val="22"/>
                      <w:szCs w:val="20"/>
                      <w:highlight w:val="none"/>
                      <w:lang w:eastAsia="zh-CN"/>
                    </w:rPr>
                    <w:t>、</w:t>
                  </w:r>
                  <w:r>
                    <w:rPr>
                      <w:rFonts w:hint="eastAsia" w:cs="Times New Roman"/>
                      <w:color w:val="auto"/>
                      <w:sz w:val="22"/>
                      <w:szCs w:val="20"/>
                      <w:highlight w:val="none"/>
                      <w:lang w:val="en-US" w:eastAsia="zh-CN"/>
                    </w:rPr>
                    <w:t>夜间</w:t>
                  </w:r>
                </w:p>
              </w:tc>
              <w:tc>
                <w:tcPr>
                  <w:tcW w:w="1216" w:type="pct"/>
                  <w:noWrap w:val="0"/>
                  <w:vAlign w:val="center"/>
                </w:tcPr>
                <w:p w14:paraId="27BBE484">
                  <w:pPr>
                    <w:widowControl w:val="0"/>
                    <w:spacing w:line="240" w:lineRule="exact"/>
                    <w:ind w:firstLine="0" w:firstLineChars="0"/>
                    <w:jc w:val="center"/>
                    <w:rPr>
                      <w:rFonts w:hint="default" w:ascii="Times New Roman" w:hAnsi="Times New Roman" w:cs="Times New Roman"/>
                      <w:color w:val="auto"/>
                      <w:sz w:val="22"/>
                      <w:szCs w:val="20"/>
                      <w:highlight w:val="none"/>
                      <w:lang w:val="en-US" w:eastAsia="zh-CN"/>
                    </w:rPr>
                  </w:pPr>
                  <w:r>
                    <w:rPr>
                      <w:rFonts w:hint="eastAsia" w:cs="Times New Roman"/>
                      <w:color w:val="auto"/>
                      <w:sz w:val="22"/>
                      <w:szCs w:val="20"/>
                      <w:highlight w:val="none"/>
                      <w:lang w:val="en-US" w:eastAsia="zh-CN"/>
                    </w:rPr>
                    <w:t>47.13</w:t>
                  </w:r>
                </w:p>
              </w:tc>
              <w:tc>
                <w:tcPr>
                  <w:tcW w:w="978" w:type="pct"/>
                  <w:vMerge w:val="restart"/>
                  <w:noWrap w:val="0"/>
                  <w:vAlign w:val="center"/>
                </w:tcPr>
                <w:p w14:paraId="31213B24">
                  <w:pPr>
                    <w:widowControl w:val="0"/>
                    <w:spacing w:line="240" w:lineRule="exact"/>
                    <w:ind w:firstLine="0" w:firstLineChars="0"/>
                    <w:jc w:val="center"/>
                    <w:rPr>
                      <w:rFonts w:hint="default" w:ascii="Times New Roman" w:hAnsi="Times New Roman" w:eastAsia="宋体" w:cs="Times New Roman"/>
                      <w:color w:val="auto"/>
                      <w:sz w:val="22"/>
                      <w:szCs w:val="20"/>
                      <w:highlight w:val="none"/>
                      <w:lang w:val="en-US" w:eastAsia="zh-CN"/>
                    </w:rPr>
                  </w:pPr>
                  <w:r>
                    <w:rPr>
                      <w:rFonts w:hint="eastAsia" w:cs="Times New Roman"/>
                      <w:color w:val="auto"/>
                      <w:sz w:val="22"/>
                      <w:szCs w:val="20"/>
                      <w:highlight w:val="none"/>
                      <w:lang w:val="en-US" w:eastAsia="zh-CN"/>
                    </w:rPr>
                    <w:t>昼间≤</w:t>
                  </w:r>
                  <w:r>
                    <w:rPr>
                      <w:rFonts w:hint="default" w:ascii="Times New Roman" w:hAnsi="Times New Roman" w:eastAsia="宋体" w:cs="Times New Roman"/>
                      <w:color w:val="auto"/>
                      <w:sz w:val="22"/>
                      <w:szCs w:val="20"/>
                      <w:highlight w:val="none"/>
                      <w:lang w:val="en-US" w:eastAsia="zh-CN"/>
                    </w:rPr>
                    <w:t>65</w:t>
                  </w:r>
                  <w:r>
                    <w:rPr>
                      <w:rFonts w:hint="eastAsia" w:cs="Times New Roman"/>
                      <w:color w:val="auto"/>
                      <w:sz w:val="22"/>
                      <w:szCs w:val="20"/>
                      <w:highlight w:val="none"/>
                      <w:lang w:val="en-US" w:eastAsia="zh-CN"/>
                    </w:rPr>
                    <w:t>、夜间≤</w:t>
                  </w:r>
                  <w:r>
                    <w:rPr>
                      <w:rFonts w:hint="eastAsia" w:eastAsia="宋体" w:cs="Times New Roman"/>
                      <w:color w:val="auto"/>
                      <w:sz w:val="22"/>
                      <w:szCs w:val="20"/>
                      <w:highlight w:val="none"/>
                      <w:lang w:val="en-US" w:eastAsia="zh-CN"/>
                    </w:rPr>
                    <w:t>55</w:t>
                  </w:r>
                </w:p>
              </w:tc>
              <w:tc>
                <w:tcPr>
                  <w:tcW w:w="1040" w:type="pct"/>
                  <w:tcBorders>
                    <w:right w:val="nil"/>
                  </w:tcBorders>
                  <w:noWrap w:val="0"/>
                  <w:vAlign w:val="center"/>
                </w:tcPr>
                <w:p w14:paraId="02F5BC7F">
                  <w:pPr>
                    <w:widowControl w:val="0"/>
                    <w:spacing w:line="240" w:lineRule="exact"/>
                    <w:ind w:firstLine="0" w:firstLineChars="0"/>
                    <w:jc w:val="center"/>
                    <w:rPr>
                      <w:rFonts w:hint="default" w:ascii="Times New Roman" w:hAnsi="Times New Roman" w:cs="Times New Roman"/>
                      <w:color w:val="auto"/>
                      <w:sz w:val="22"/>
                      <w:szCs w:val="20"/>
                      <w:highlight w:val="none"/>
                    </w:rPr>
                  </w:pPr>
                  <w:r>
                    <w:rPr>
                      <w:rFonts w:hint="default" w:ascii="Times New Roman" w:hAnsi="Times New Roman" w:cs="Times New Roman"/>
                      <w:color w:val="auto"/>
                      <w:sz w:val="22"/>
                      <w:szCs w:val="20"/>
                      <w:highlight w:val="none"/>
                    </w:rPr>
                    <w:t>达标</w:t>
                  </w:r>
                </w:p>
              </w:tc>
            </w:tr>
            <w:tr w14:paraId="04F62DC1">
              <w:tblPrEx>
                <w:tblBorders>
                  <w:top w:val="single" w:color="auto" w:sz="8" w:space="0"/>
                  <w:left w:val="single" w:color="auto" w:sz="8" w:space="0"/>
                  <w:bottom w:val="single" w:color="auto" w:sz="4"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784" w:type="pct"/>
                  <w:tcBorders>
                    <w:left w:val="nil"/>
                  </w:tcBorders>
                  <w:noWrap w:val="0"/>
                  <w:vAlign w:val="center"/>
                </w:tcPr>
                <w:p w14:paraId="1843CBF9">
                  <w:pPr>
                    <w:widowControl w:val="0"/>
                    <w:spacing w:line="240" w:lineRule="exact"/>
                    <w:ind w:firstLine="0" w:firstLineChars="0"/>
                    <w:jc w:val="center"/>
                    <w:rPr>
                      <w:rFonts w:hint="default" w:ascii="Times New Roman" w:hAnsi="Times New Roman" w:eastAsia="宋体" w:cs="Times New Roman"/>
                      <w:color w:val="auto"/>
                      <w:sz w:val="22"/>
                      <w:szCs w:val="20"/>
                      <w:highlight w:val="none"/>
                      <w:lang w:val="en-US" w:eastAsia="zh-CN"/>
                    </w:rPr>
                  </w:pPr>
                  <w:r>
                    <w:rPr>
                      <w:rFonts w:hint="default" w:ascii="Times New Roman" w:hAnsi="Times New Roman" w:eastAsia="宋体" w:cs="Times New Roman"/>
                      <w:color w:val="auto"/>
                      <w:sz w:val="22"/>
                      <w:szCs w:val="20"/>
                      <w:highlight w:val="none"/>
                      <w:lang w:val="en-US" w:eastAsia="zh-CN"/>
                    </w:rPr>
                    <w:t>东厂界</w:t>
                  </w:r>
                </w:p>
              </w:tc>
              <w:tc>
                <w:tcPr>
                  <w:tcW w:w="979" w:type="pct"/>
                  <w:vMerge w:val="continue"/>
                  <w:noWrap w:val="0"/>
                  <w:vAlign w:val="center"/>
                </w:tcPr>
                <w:p w14:paraId="6FDCB275">
                  <w:pPr>
                    <w:widowControl w:val="0"/>
                    <w:spacing w:line="240" w:lineRule="exact"/>
                    <w:ind w:firstLine="0" w:firstLineChars="0"/>
                    <w:jc w:val="center"/>
                    <w:rPr>
                      <w:rFonts w:hint="default" w:ascii="Times New Roman" w:hAnsi="Times New Roman" w:cs="Times New Roman"/>
                      <w:color w:val="auto"/>
                      <w:sz w:val="22"/>
                      <w:szCs w:val="20"/>
                      <w:highlight w:val="none"/>
                    </w:rPr>
                  </w:pPr>
                </w:p>
              </w:tc>
              <w:tc>
                <w:tcPr>
                  <w:tcW w:w="1216" w:type="pct"/>
                  <w:noWrap w:val="0"/>
                  <w:vAlign w:val="center"/>
                </w:tcPr>
                <w:p w14:paraId="470500E2">
                  <w:pPr>
                    <w:widowControl w:val="0"/>
                    <w:spacing w:line="240" w:lineRule="exact"/>
                    <w:ind w:firstLine="0" w:firstLineChars="0"/>
                    <w:jc w:val="center"/>
                    <w:rPr>
                      <w:rFonts w:hint="default" w:ascii="Times New Roman" w:hAnsi="Times New Roman" w:cs="Times New Roman"/>
                      <w:color w:val="auto"/>
                      <w:highlight w:val="none"/>
                      <w:lang w:val="en-US" w:eastAsia="zh-CN"/>
                    </w:rPr>
                  </w:pPr>
                  <w:r>
                    <w:rPr>
                      <w:rFonts w:hint="eastAsia" w:cs="Times New Roman"/>
                      <w:color w:val="auto"/>
                      <w:sz w:val="22"/>
                      <w:szCs w:val="20"/>
                      <w:highlight w:val="none"/>
                      <w:lang w:val="en-US" w:eastAsia="zh-CN"/>
                    </w:rPr>
                    <w:t>46.84</w:t>
                  </w:r>
                </w:p>
              </w:tc>
              <w:tc>
                <w:tcPr>
                  <w:tcW w:w="978" w:type="pct"/>
                  <w:vMerge w:val="continue"/>
                  <w:noWrap w:val="0"/>
                  <w:vAlign w:val="center"/>
                </w:tcPr>
                <w:p w14:paraId="4F6AE552">
                  <w:pPr>
                    <w:widowControl w:val="0"/>
                    <w:spacing w:line="240" w:lineRule="exact"/>
                    <w:ind w:firstLine="0" w:firstLineChars="0"/>
                    <w:jc w:val="center"/>
                    <w:rPr>
                      <w:rFonts w:hint="default" w:ascii="Times New Roman" w:hAnsi="Times New Roman" w:cs="Times New Roman"/>
                      <w:color w:val="auto"/>
                      <w:sz w:val="22"/>
                      <w:szCs w:val="20"/>
                      <w:highlight w:val="none"/>
                    </w:rPr>
                  </w:pPr>
                </w:p>
              </w:tc>
              <w:tc>
                <w:tcPr>
                  <w:tcW w:w="1040" w:type="pct"/>
                  <w:tcBorders>
                    <w:right w:val="nil"/>
                  </w:tcBorders>
                  <w:noWrap w:val="0"/>
                  <w:vAlign w:val="center"/>
                </w:tcPr>
                <w:p w14:paraId="15C003D2">
                  <w:pPr>
                    <w:widowControl w:val="0"/>
                    <w:spacing w:line="240" w:lineRule="exact"/>
                    <w:ind w:firstLine="0" w:firstLineChars="0"/>
                    <w:jc w:val="center"/>
                    <w:rPr>
                      <w:rFonts w:hint="default" w:ascii="Times New Roman" w:hAnsi="Times New Roman" w:cs="Times New Roman"/>
                      <w:color w:val="auto"/>
                      <w:sz w:val="22"/>
                      <w:szCs w:val="20"/>
                      <w:highlight w:val="none"/>
                    </w:rPr>
                  </w:pPr>
                  <w:r>
                    <w:rPr>
                      <w:rFonts w:hint="default" w:ascii="Times New Roman" w:hAnsi="Times New Roman" w:cs="Times New Roman"/>
                      <w:color w:val="auto"/>
                      <w:sz w:val="22"/>
                      <w:szCs w:val="20"/>
                      <w:highlight w:val="none"/>
                    </w:rPr>
                    <w:t>达标</w:t>
                  </w:r>
                </w:p>
              </w:tc>
            </w:tr>
            <w:tr w14:paraId="694D986B">
              <w:tblPrEx>
                <w:tblBorders>
                  <w:top w:val="single" w:color="auto" w:sz="8" w:space="0"/>
                  <w:left w:val="single" w:color="auto" w:sz="8" w:space="0"/>
                  <w:bottom w:val="single" w:color="auto" w:sz="4"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784" w:type="pct"/>
                  <w:tcBorders>
                    <w:left w:val="nil"/>
                  </w:tcBorders>
                  <w:noWrap w:val="0"/>
                  <w:vAlign w:val="center"/>
                </w:tcPr>
                <w:p w14:paraId="5BD30C42">
                  <w:pPr>
                    <w:widowControl w:val="0"/>
                    <w:spacing w:line="240" w:lineRule="exact"/>
                    <w:ind w:firstLine="0" w:firstLineChars="0"/>
                    <w:jc w:val="center"/>
                    <w:rPr>
                      <w:rFonts w:hint="default" w:ascii="Times New Roman" w:hAnsi="Times New Roman" w:eastAsia="宋体" w:cs="Times New Roman"/>
                      <w:color w:val="auto"/>
                      <w:sz w:val="22"/>
                      <w:szCs w:val="20"/>
                      <w:highlight w:val="none"/>
                      <w:lang w:val="en-US" w:eastAsia="zh-CN"/>
                    </w:rPr>
                  </w:pPr>
                  <w:r>
                    <w:rPr>
                      <w:rFonts w:hint="default" w:ascii="Times New Roman" w:hAnsi="Times New Roman" w:eastAsia="宋体" w:cs="Times New Roman"/>
                      <w:color w:val="auto"/>
                      <w:sz w:val="22"/>
                      <w:szCs w:val="20"/>
                      <w:highlight w:val="none"/>
                      <w:lang w:val="en-US" w:eastAsia="zh-CN"/>
                    </w:rPr>
                    <w:t>西厂界</w:t>
                  </w:r>
                </w:p>
              </w:tc>
              <w:tc>
                <w:tcPr>
                  <w:tcW w:w="979" w:type="pct"/>
                  <w:vMerge w:val="continue"/>
                  <w:noWrap w:val="0"/>
                  <w:vAlign w:val="center"/>
                </w:tcPr>
                <w:p w14:paraId="59CF9A5D">
                  <w:pPr>
                    <w:widowControl w:val="0"/>
                    <w:spacing w:line="240" w:lineRule="exact"/>
                    <w:ind w:firstLine="0" w:firstLineChars="0"/>
                    <w:jc w:val="center"/>
                    <w:rPr>
                      <w:rFonts w:hint="default" w:ascii="Times New Roman" w:hAnsi="Times New Roman" w:cs="Times New Roman"/>
                      <w:color w:val="auto"/>
                      <w:sz w:val="22"/>
                      <w:szCs w:val="20"/>
                      <w:highlight w:val="none"/>
                    </w:rPr>
                  </w:pPr>
                </w:p>
              </w:tc>
              <w:tc>
                <w:tcPr>
                  <w:tcW w:w="1216" w:type="pct"/>
                  <w:noWrap w:val="0"/>
                  <w:vAlign w:val="center"/>
                </w:tcPr>
                <w:p w14:paraId="02397098">
                  <w:pPr>
                    <w:widowControl w:val="0"/>
                    <w:spacing w:line="240" w:lineRule="exact"/>
                    <w:ind w:firstLine="0" w:firstLineChars="0"/>
                    <w:jc w:val="center"/>
                    <w:rPr>
                      <w:rFonts w:hint="default" w:ascii="Times New Roman" w:hAnsi="Times New Roman" w:cs="Times New Roman"/>
                      <w:color w:val="auto"/>
                      <w:highlight w:val="none"/>
                      <w:lang w:val="en-US" w:eastAsia="zh-CN"/>
                    </w:rPr>
                  </w:pPr>
                  <w:r>
                    <w:rPr>
                      <w:rFonts w:hint="eastAsia" w:cs="Times New Roman"/>
                      <w:color w:val="auto"/>
                      <w:sz w:val="22"/>
                      <w:szCs w:val="20"/>
                      <w:highlight w:val="none"/>
                      <w:lang w:val="en-US" w:eastAsia="zh-CN"/>
                    </w:rPr>
                    <w:t>50.48</w:t>
                  </w:r>
                </w:p>
              </w:tc>
              <w:tc>
                <w:tcPr>
                  <w:tcW w:w="978" w:type="pct"/>
                  <w:vMerge w:val="continue"/>
                  <w:noWrap w:val="0"/>
                  <w:vAlign w:val="center"/>
                </w:tcPr>
                <w:p w14:paraId="5C8F58CD">
                  <w:pPr>
                    <w:widowControl w:val="0"/>
                    <w:spacing w:line="240" w:lineRule="exact"/>
                    <w:ind w:firstLine="0" w:firstLineChars="0"/>
                    <w:jc w:val="center"/>
                    <w:rPr>
                      <w:rFonts w:hint="default" w:ascii="Times New Roman" w:hAnsi="Times New Roman" w:cs="Times New Roman"/>
                      <w:color w:val="auto"/>
                      <w:sz w:val="22"/>
                      <w:szCs w:val="20"/>
                      <w:highlight w:val="none"/>
                    </w:rPr>
                  </w:pPr>
                </w:p>
              </w:tc>
              <w:tc>
                <w:tcPr>
                  <w:tcW w:w="1040" w:type="pct"/>
                  <w:tcBorders>
                    <w:right w:val="nil"/>
                  </w:tcBorders>
                  <w:noWrap w:val="0"/>
                  <w:vAlign w:val="center"/>
                </w:tcPr>
                <w:p w14:paraId="4E15B30C">
                  <w:pPr>
                    <w:widowControl w:val="0"/>
                    <w:spacing w:line="240" w:lineRule="exact"/>
                    <w:ind w:firstLine="0" w:firstLineChars="0"/>
                    <w:jc w:val="center"/>
                    <w:rPr>
                      <w:rFonts w:hint="default" w:ascii="Times New Roman" w:hAnsi="Times New Roman" w:cs="Times New Roman"/>
                      <w:color w:val="auto"/>
                      <w:sz w:val="22"/>
                      <w:szCs w:val="20"/>
                      <w:highlight w:val="none"/>
                    </w:rPr>
                  </w:pPr>
                  <w:r>
                    <w:rPr>
                      <w:rFonts w:hint="default" w:ascii="Times New Roman" w:hAnsi="Times New Roman" w:cs="Times New Roman"/>
                      <w:color w:val="auto"/>
                      <w:sz w:val="22"/>
                      <w:szCs w:val="20"/>
                      <w:highlight w:val="none"/>
                    </w:rPr>
                    <w:t>达标</w:t>
                  </w:r>
                </w:p>
              </w:tc>
            </w:tr>
            <w:tr w14:paraId="63650FAE">
              <w:tblPrEx>
                <w:tblBorders>
                  <w:top w:val="single" w:color="auto" w:sz="8" w:space="0"/>
                  <w:left w:val="single" w:color="auto" w:sz="8" w:space="0"/>
                  <w:bottom w:val="single" w:color="auto" w:sz="4"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784" w:type="pct"/>
                  <w:tcBorders>
                    <w:left w:val="nil"/>
                  </w:tcBorders>
                  <w:noWrap w:val="0"/>
                  <w:vAlign w:val="center"/>
                </w:tcPr>
                <w:p w14:paraId="1E307F32">
                  <w:pPr>
                    <w:widowControl w:val="0"/>
                    <w:spacing w:line="240" w:lineRule="exact"/>
                    <w:ind w:firstLine="0" w:firstLineChars="0"/>
                    <w:jc w:val="center"/>
                    <w:rPr>
                      <w:rFonts w:hint="default" w:ascii="Times New Roman" w:hAnsi="Times New Roman" w:eastAsia="宋体" w:cs="Times New Roman"/>
                      <w:color w:val="auto"/>
                      <w:sz w:val="22"/>
                      <w:szCs w:val="20"/>
                      <w:highlight w:val="none"/>
                      <w:lang w:val="en-US" w:eastAsia="zh-CN"/>
                    </w:rPr>
                  </w:pPr>
                  <w:r>
                    <w:rPr>
                      <w:rFonts w:hint="default" w:ascii="Times New Roman" w:hAnsi="Times New Roman" w:eastAsia="宋体" w:cs="Times New Roman"/>
                      <w:color w:val="auto"/>
                      <w:sz w:val="22"/>
                      <w:szCs w:val="20"/>
                      <w:highlight w:val="none"/>
                      <w:lang w:val="en-US" w:eastAsia="zh-CN"/>
                    </w:rPr>
                    <w:t>南厂界</w:t>
                  </w:r>
                </w:p>
              </w:tc>
              <w:tc>
                <w:tcPr>
                  <w:tcW w:w="979" w:type="pct"/>
                  <w:vMerge w:val="continue"/>
                  <w:noWrap w:val="0"/>
                  <w:vAlign w:val="center"/>
                </w:tcPr>
                <w:p w14:paraId="40A37FAB">
                  <w:pPr>
                    <w:widowControl w:val="0"/>
                    <w:spacing w:line="240" w:lineRule="exact"/>
                    <w:ind w:firstLine="0" w:firstLineChars="0"/>
                    <w:jc w:val="center"/>
                    <w:rPr>
                      <w:rFonts w:hint="default" w:ascii="Times New Roman" w:hAnsi="Times New Roman" w:cs="Times New Roman"/>
                      <w:color w:val="auto"/>
                      <w:sz w:val="22"/>
                      <w:szCs w:val="20"/>
                      <w:highlight w:val="none"/>
                    </w:rPr>
                  </w:pPr>
                </w:p>
              </w:tc>
              <w:tc>
                <w:tcPr>
                  <w:tcW w:w="1216" w:type="pct"/>
                  <w:noWrap w:val="0"/>
                  <w:vAlign w:val="center"/>
                </w:tcPr>
                <w:p w14:paraId="16C3C55C">
                  <w:pPr>
                    <w:widowControl w:val="0"/>
                    <w:spacing w:line="240" w:lineRule="exact"/>
                    <w:ind w:firstLine="0" w:firstLineChars="0"/>
                    <w:jc w:val="center"/>
                    <w:rPr>
                      <w:rFonts w:hint="default" w:ascii="Times New Roman" w:hAnsi="Times New Roman" w:cs="Times New Roman"/>
                      <w:color w:val="auto"/>
                      <w:sz w:val="22"/>
                      <w:szCs w:val="20"/>
                      <w:highlight w:val="none"/>
                      <w:lang w:val="en-US" w:eastAsia="zh-CN"/>
                    </w:rPr>
                  </w:pPr>
                  <w:r>
                    <w:rPr>
                      <w:rFonts w:hint="eastAsia" w:cs="Times New Roman"/>
                      <w:color w:val="auto"/>
                      <w:sz w:val="22"/>
                      <w:szCs w:val="20"/>
                      <w:highlight w:val="none"/>
                      <w:lang w:val="en-US" w:eastAsia="zh-CN"/>
                    </w:rPr>
                    <w:t>51.98</w:t>
                  </w:r>
                </w:p>
              </w:tc>
              <w:tc>
                <w:tcPr>
                  <w:tcW w:w="978" w:type="pct"/>
                  <w:vMerge w:val="continue"/>
                  <w:noWrap w:val="0"/>
                  <w:vAlign w:val="center"/>
                </w:tcPr>
                <w:p w14:paraId="26C845B9">
                  <w:pPr>
                    <w:widowControl w:val="0"/>
                    <w:spacing w:line="240" w:lineRule="exact"/>
                    <w:ind w:firstLine="0" w:firstLineChars="0"/>
                    <w:jc w:val="center"/>
                    <w:rPr>
                      <w:rFonts w:hint="default" w:ascii="Times New Roman" w:hAnsi="Times New Roman" w:cs="Times New Roman"/>
                      <w:color w:val="auto"/>
                      <w:sz w:val="22"/>
                      <w:szCs w:val="20"/>
                      <w:highlight w:val="none"/>
                    </w:rPr>
                  </w:pPr>
                </w:p>
              </w:tc>
              <w:tc>
                <w:tcPr>
                  <w:tcW w:w="1040" w:type="pct"/>
                  <w:tcBorders>
                    <w:right w:val="nil"/>
                  </w:tcBorders>
                  <w:noWrap w:val="0"/>
                  <w:vAlign w:val="center"/>
                </w:tcPr>
                <w:p w14:paraId="413E0F62">
                  <w:pPr>
                    <w:widowControl w:val="0"/>
                    <w:spacing w:line="240" w:lineRule="exact"/>
                    <w:ind w:firstLine="0" w:firstLineChars="0"/>
                    <w:jc w:val="center"/>
                    <w:rPr>
                      <w:rFonts w:hint="default" w:ascii="Times New Roman" w:hAnsi="Times New Roman" w:cs="Times New Roman"/>
                      <w:color w:val="auto"/>
                      <w:sz w:val="22"/>
                      <w:szCs w:val="20"/>
                      <w:highlight w:val="none"/>
                    </w:rPr>
                  </w:pPr>
                  <w:r>
                    <w:rPr>
                      <w:rFonts w:hint="default" w:ascii="Times New Roman" w:hAnsi="Times New Roman" w:cs="Times New Roman"/>
                      <w:color w:val="auto"/>
                      <w:sz w:val="22"/>
                      <w:szCs w:val="20"/>
                      <w:highlight w:val="none"/>
                    </w:rPr>
                    <w:t>达标</w:t>
                  </w:r>
                </w:p>
              </w:tc>
            </w:tr>
          </w:tbl>
          <w:p w14:paraId="6E52D702">
            <w:pPr>
              <w:adjustRightInd w:val="0"/>
              <w:snapToGrid w:val="0"/>
              <w:spacing w:line="360" w:lineRule="auto"/>
              <w:ind w:firstLine="480"/>
              <w:rPr>
                <w:rFonts w:hint="eastAsia"/>
                <w:color w:val="auto"/>
                <w:sz w:val="24"/>
                <w:szCs w:val="24"/>
                <w:highlight w:val="none"/>
              </w:rPr>
            </w:pPr>
            <w:r>
              <w:rPr>
                <w:rFonts w:hint="eastAsia"/>
                <w:color w:val="auto"/>
                <w:sz w:val="24"/>
                <w:szCs w:val="24"/>
                <w:highlight w:val="none"/>
                <w:lang w:val="en-US" w:eastAsia="zh-CN"/>
              </w:rPr>
              <w:t>综上所述</w:t>
            </w:r>
            <w:r>
              <w:rPr>
                <w:rFonts w:hint="default"/>
                <w:color w:val="auto"/>
                <w:sz w:val="24"/>
                <w:szCs w:val="24"/>
                <w:highlight w:val="none"/>
                <w:lang w:eastAsia="zh-CN"/>
              </w:rPr>
              <w:t>，</w:t>
            </w:r>
            <w:r>
              <w:rPr>
                <w:rFonts w:hint="eastAsia"/>
                <w:color w:val="auto"/>
                <w:sz w:val="24"/>
                <w:szCs w:val="24"/>
                <w:highlight w:val="none"/>
                <w:lang w:eastAsia="zh-CN"/>
              </w:rPr>
              <w:t>本项目</w:t>
            </w:r>
            <w:r>
              <w:rPr>
                <w:rFonts w:hint="default"/>
                <w:color w:val="auto"/>
                <w:sz w:val="24"/>
                <w:szCs w:val="24"/>
                <w:highlight w:val="none"/>
                <w:lang w:eastAsia="zh-CN"/>
              </w:rPr>
              <w:t>噪声经</w:t>
            </w:r>
            <w:r>
              <w:rPr>
                <w:rFonts w:hint="eastAsia"/>
                <w:color w:val="auto"/>
                <w:sz w:val="24"/>
                <w:szCs w:val="24"/>
                <w:highlight w:val="none"/>
                <w:lang w:val="en-US" w:eastAsia="zh-CN"/>
              </w:rPr>
              <w:t>采取措施</w:t>
            </w:r>
            <w:r>
              <w:rPr>
                <w:rFonts w:hint="default"/>
                <w:color w:val="auto"/>
                <w:sz w:val="24"/>
                <w:szCs w:val="24"/>
                <w:highlight w:val="none"/>
                <w:lang w:eastAsia="zh-CN"/>
              </w:rPr>
              <w:t>衰减后，</w:t>
            </w:r>
            <w:r>
              <w:rPr>
                <w:rFonts w:hint="eastAsia"/>
                <w:color w:val="auto"/>
                <w:sz w:val="24"/>
                <w:szCs w:val="24"/>
                <w:highlight w:val="none"/>
              </w:rPr>
              <w:t>厂界噪声可以满足《工业企业厂界环境噪声排放标准》（GB12348-2008）</w:t>
            </w:r>
            <w:r>
              <w:rPr>
                <w:rFonts w:hint="eastAsia"/>
                <w:color w:val="auto"/>
                <w:sz w:val="24"/>
                <w:szCs w:val="24"/>
                <w:highlight w:val="none"/>
                <w:lang w:val="en-US" w:eastAsia="zh-CN"/>
              </w:rPr>
              <w:t>3</w:t>
            </w:r>
            <w:r>
              <w:rPr>
                <w:rFonts w:hint="eastAsia"/>
                <w:color w:val="auto"/>
                <w:sz w:val="24"/>
                <w:szCs w:val="24"/>
                <w:highlight w:val="none"/>
              </w:rPr>
              <w:t>类标准限值要求</w:t>
            </w:r>
            <w:r>
              <w:rPr>
                <w:rFonts w:hint="eastAsia"/>
                <w:color w:val="auto"/>
                <w:sz w:val="24"/>
                <w:szCs w:val="24"/>
                <w:highlight w:val="none"/>
                <w:lang w:eastAsia="zh-CN"/>
              </w:rPr>
              <w:t>：</w:t>
            </w:r>
            <w:r>
              <w:rPr>
                <w:rFonts w:hint="eastAsia"/>
                <w:color w:val="auto"/>
                <w:sz w:val="24"/>
                <w:szCs w:val="24"/>
                <w:highlight w:val="none"/>
              </w:rPr>
              <w:t>昼间6</w:t>
            </w:r>
            <w:r>
              <w:rPr>
                <w:rFonts w:hint="eastAsia"/>
                <w:color w:val="auto"/>
                <w:sz w:val="24"/>
                <w:szCs w:val="24"/>
                <w:highlight w:val="none"/>
                <w:lang w:val="en-US" w:eastAsia="zh-CN"/>
              </w:rPr>
              <w:t>5</w:t>
            </w:r>
            <w:r>
              <w:rPr>
                <w:rFonts w:hint="eastAsia"/>
                <w:color w:val="auto"/>
                <w:sz w:val="24"/>
                <w:szCs w:val="24"/>
                <w:highlight w:val="none"/>
              </w:rPr>
              <w:t>dB（A）</w:t>
            </w:r>
            <w:r>
              <w:rPr>
                <w:rFonts w:hint="eastAsia"/>
                <w:color w:val="auto"/>
                <w:sz w:val="24"/>
                <w:szCs w:val="24"/>
                <w:highlight w:val="none"/>
                <w:lang w:eastAsia="zh-CN"/>
              </w:rPr>
              <w:t>、</w:t>
            </w:r>
            <w:r>
              <w:rPr>
                <w:rFonts w:hint="eastAsia" w:cs="Times New Roman"/>
                <w:color w:val="auto"/>
                <w:sz w:val="24"/>
                <w:szCs w:val="24"/>
                <w:highlight w:val="none"/>
                <w:lang w:val="en-US" w:eastAsia="zh-CN"/>
              </w:rPr>
              <w:t>夜间55dB（A）</w:t>
            </w:r>
            <w:r>
              <w:rPr>
                <w:rFonts w:hint="eastAsia"/>
                <w:color w:val="auto"/>
                <w:sz w:val="24"/>
                <w:szCs w:val="24"/>
                <w:highlight w:val="none"/>
              </w:rPr>
              <w:t>。</w:t>
            </w:r>
          </w:p>
          <w:p w14:paraId="23B08AA4">
            <w:pPr>
              <w:pStyle w:val="63"/>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0" w:leftChars="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eastAsia" w:cs="Times New Roman"/>
                <w:b w:val="0"/>
                <w:bCs w:val="0"/>
                <w:color w:val="auto"/>
                <w:kern w:val="2"/>
                <w:sz w:val="24"/>
                <w:szCs w:val="24"/>
                <w:highlight w:val="none"/>
                <w:lang w:val="en-US" w:eastAsia="zh-CN" w:bidi="ar-SA"/>
              </w:rPr>
              <w:t>4.</w:t>
            </w:r>
            <w:r>
              <w:rPr>
                <w:rFonts w:hint="default" w:ascii="Times New Roman" w:hAnsi="Times New Roman" w:eastAsia="宋体" w:cs="Times New Roman"/>
                <w:b w:val="0"/>
                <w:bCs w:val="0"/>
                <w:color w:val="auto"/>
                <w:kern w:val="2"/>
                <w:sz w:val="24"/>
                <w:szCs w:val="24"/>
                <w:highlight w:val="none"/>
                <w:lang w:val="en-US" w:eastAsia="zh-CN" w:bidi="ar-SA"/>
              </w:rPr>
              <w:t>噪声治理设施可行性分析</w:t>
            </w:r>
          </w:p>
          <w:p w14:paraId="7DF564AA">
            <w:pPr>
              <w:pStyle w:val="6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项目运营期对设备对环境噪声贡献值较低，为了进一步降低生产过程中产生的噪声，尽量避免本项目噪声对项目内员工、敏感点及周围声环境产生不良影响，本环评要求建设单位对项目产生的噪声进行治理，要求采取如下措施：</w:t>
            </w:r>
          </w:p>
          <w:p w14:paraId="731499B5">
            <w:pPr>
              <w:pStyle w:val="6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240" w:firstLineChars="1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①在设备选型上，优先选择先进的、高效节能、低噪声设备以及加强对设备的维护管理，从源头上控制噪声的产生；</w:t>
            </w:r>
          </w:p>
          <w:p w14:paraId="76C0A45B">
            <w:pPr>
              <w:pStyle w:val="6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240" w:firstLineChars="1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②选择合理的设备摆放位置，避免易</w:t>
            </w:r>
            <w:r>
              <w:rPr>
                <w:rFonts w:hint="eastAsia" w:cs="Times New Roman"/>
                <w:b w:val="0"/>
                <w:bCs w:val="0"/>
                <w:color w:val="auto"/>
                <w:kern w:val="2"/>
                <w:sz w:val="24"/>
                <w:szCs w:val="24"/>
                <w:highlight w:val="none"/>
                <w:lang w:val="en-US" w:eastAsia="zh-CN" w:bidi="ar-SA"/>
              </w:rPr>
              <w:t>振动</w:t>
            </w:r>
            <w:r>
              <w:rPr>
                <w:rFonts w:hint="default" w:ascii="Times New Roman" w:hAnsi="Times New Roman" w:eastAsia="宋体" w:cs="Times New Roman"/>
                <w:b w:val="0"/>
                <w:bCs w:val="0"/>
                <w:color w:val="auto"/>
                <w:kern w:val="2"/>
                <w:sz w:val="24"/>
                <w:szCs w:val="24"/>
                <w:highlight w:val="none"/>
                <w:lang w:val="en-US" w:eastAsia="zh-CN" w:bidi="ar-SA"/>
              </w:rPr>
              <w:t>设备直接共墙，并</w:t>
            </w:r>
            <w:r>
              <w:rPr>
                <w:rFonts w:hint="eastAsia" w:cs="Times New Roman"/>
                <w:b w:val="0"/>
                <w:bCs w:val="0"/>
                <w:color w:val="auto"/>
                <w:kern w:val="2"/>
                <w:sz w:val="24"/>
                <w:szCs w:val="24"/>
                <w:highlight w:val="none"/>
                <w:lang w:val="en-US" w:eastAsia="zh-CN" w:bidi="ar-SA"/>
              </w:rPr>
              <w:t>设置</w:t>
            </w:r>
            <w:r>
              <w:rPr>
                <w:rFonts w:hint="default" w:ascii="Times New Roman" w:hAnsi="Times New Roman" w:eastAsia="宋体" w:cs="Times New Roman"/>
                <w:b w:val="0"/>
                <w:bCs w:val="0"/>
                <w:color w:val="auto"/>
                <w:kern w:val="2"/>
                <w:sz w:val="24"/>
                <w:szCs w:val="24"/>
                <w:highlight w:val="none"/>
                <w:lang w:val="en-US" w:eastAsia="zh-CN" w:bidi="ar-SA"/>
              </w:rPr>
              <w:t>专用房间；</w:t>
            </w:r>
          </w:p>
          <w:p w14:paraId="221365CC">
            <w:pPr>
              <w:pStyle w:val="6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240" w:firstLineChars="1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③设置适当的隔声屏障；</w:t>
            </w:r>
          </w:p>
          <w:p w14:paraId="5228B304">
            <w:pPr>
              <w:pStyle w:val="6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240" w:firstLineChars="1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④生产时门窗紧闭，通过强制机械排风来加强车间通风换气，以减少噪声外传。</w:t>
            </w:r>
          </w:p>
          <w:p w14:paraId="65E422EB">
            <w:pPr>
              <w:pStyle w:val="6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240" w:firstLineChars="1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⑤维持设备处于</w:t>
            </w:r>
            <w:r>
              <w:rPr>
                <w:rFonts w:hint="eastAsia" w:cs="Times New Roman"/>
                <w:b w:val="0"/>
                <w:bCs w:val="0"/>
                <w:color w:val="auto"/>
                <w:kern w:val="2"/>
                <w:sz w:val="24"/>
                <w:szCs w:val="24"/>
                <w:highlight w:val="none"/>
                <w:lang w:val="en-US" w:eastAsia="zh-CN" w:bidi="ar-SA"/>
              </w:rPr>
              <w:t>良好</w:t>
            </w:r>
            <w:r>
              <w:rPr>
                <w:rFonts w:hint="default" w:ascii="Times New Roman" w:hAnsi="Times New Roman" w:eastAsia="宋体" w:cs="Times New Roman"/>
                <w:b w:val="0"/>
                <w:bCs w:val="0"/>
                <w:color w:val="auto"/>
                <w:kern w:val="2"/>
                <w:sz w:val="24"/>
                <w:szCs w:val="24"/>
                <w:highlight w:val="none"/>
                <w:lang w:val="en-US" w:eastAsia="zh-CN" w:bidi="ar-SA"/>
              </w:rPr>
              <w:t>运转状态，减少因零部件磨损产生的噪声；</w:t>
            </w:r>
          </w:p>
          <w:p w14:paraId="38C408BC">
            <w:pPr>
              <w:pStyle w:val="6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240" w:firstLineChars="1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⑥加强作业管理，以及加强厂区内绿化种植，利用植物辅助吸声，减少非正常噪声。</w:t>
            </w:r>
          </w:p>
          <w:p w14:paraId="786AAE27">
            <w:pPr>
              <w:pStyle w:val="6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240" w:firstLineChars="1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⑦对高噪声的机械设备设施设置减震弹簧、减震垫等减震处理，对设备设置减震基底、</w:t>
            </w:r>
            <w:r>
              <w:rPr>
                <w:rFonts w:hint="eastAsia" w:cs="Times New Roman"/>
                <w:b w:val="0"/>
                <w:bCs w:val="0"/>
                <w:color w:val="auto"/>
                <w:kern w:val="2"/>
                <w:sz w:val="24"/>
                <w:szCs w:val="24"/>
                <w:highlight w:val="none"/>
                <w:lang w:val="en-US" w:eastAsia="zh-CN" w:bidi="ar-SA"/>
              </w:rPr>
              <w:t>消声</w:t>
            </w:r>
            <w:r>
              <w:rPr>
                <w:rFonts w:hint="default" w:ascii="Times New Roman" w:hAnsi="Times New Roman" w:eastAsia="宋体" w:cs="Times New Roman"/>
                <w:b w:val="0"/>
                <w:bCs w:val="0"/>
                <w:color w:val="auto"/>
                <w:kern w:val="2"/>
                <w:sz w:val="24"/>
                <w:szCs w:val="24"/>
                <w:highlight w:val="none"/>
                <w:lang w:val="en-US" w:eastAsia="zh-CN" w:bidi="ar-SA"/>
              </w:rPr>
              <w:t>处理、阻尼材料减震及墙壁阻隔等措施，并加强管理，加强设备的检修保养，防止不良工况的故障噪声产生，保证设备正常运行。以上噪声治理措施容易实施，技术成熟可靠，投资费用较少，在经济上是可行的。</w:t>
            </w:r>
          </w:p>
          <w:p w14:paraId="0B1E1627">
            <w:pPr>
              <w:pStyle w:val="6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根据调查项目选址50m范围内</w:t>
            </w:r>
            <w:r>
              <w:rPr>
                <w:rFonts w:hint="eastAsia" w:cs="Times New Roman"/>
                <w:b w:val="0"/>
                <w:bCs w:val="0"/>
                <w:color w:val="auto"/>
                <w:kern w:val="2"/>
                <w:sz w:val="24"/>
                <w:szCs w:val="24"/>
                <w:highlight w:val="none"/>
                <w:lang w:val="en-US" w:eastAsia="zh-CN" w:bidi="ar-SA"/>
              </w:rPr>
              <w:t>无声环境保护目标，最近敏感点为东北侧429米的</w:t>
            </w:r>
            <w:r>
              <w:rPr>
                <w:rFonts w:hint="default" w:ascii="Times New Roman" w:hAnsi="Times New Roman" w:eastAsia="宋体" w:cs="Times New Roman"/>
                <w:b w:val="0"/>
                <w:bCs w:val="0"/>
                <w:color w:val="auto"/>
                <w:kern w:val="2"/>
                <w:sz w:val="24"/>
                <w:szCs w:val="24"/>
                <w:highlight w:val="none"/>
                <w:lang w:val="en-US" w:eastAsia="zh-CN" w:bidi="ar-SA"/>
              </w:rPr>
              <w:t>岳霍口村</w:t>
            </w:r>
            <w:r>
              <w:rPr>
                <w:rFonts w:hint="eastAsia" w:cs="Times New Roman"/>
                <w:b w:val="0"/>
                <w:bCs w:val="0"/>
                <w:color w:val="auto"/>
                <w:kern w:val="2"/>
                <w:sz w:val="24"/>
                <w:szCs w:val="24"/>
                <w:highlight w:val="none"/>
                <w:lang w:val="en-US" w:eastAsia="zh-CN" w:bidi="ar-SA"/>
              </w:rPr>
              <w:t>，</w:t>
            </w:r>
            <w:r>
              <w:rPr>
                <w:rFonts w:hint="default" w:ascii="Times New Roman" w:hAnsi="Times New Roman" w:eastAsia="宋体" w:cs="Times New Roman"/>
                <w:b w:val="0"/>
                <w:bCs w:val="0"/>
                <w:color w:val="auto"/>
                <w:kern w:val="2"/>
                <w:sz w:val="24"/>
                <w:szCs w:val="24"/>
                <w:highlight w:val="none"/>
                <w:lang w:val="en-US" w:eastAsia="zh-CN" w:bidi="ar-SA"/>
              </w:rPr>
              <w:t>经采取上述选用低噪声设备、减震基底、定期维护设备及墙体隔声等</w:t>
            </w:r>
            <w:r>
              <w:rPr>
                <w:rFonts w:hint="eastAsia" w:cs="Times New Roman"/>
                <w:b w:val="0"/>
                <w:bCs w:val="0"/>
                <w:color w:val="auto"/>
                <w:kern w:val="2"/>
                <w:sz w:val="24"/>
                <w:szCs w:val="24"/>
                <w:highlight w:val="none"/>
                <w:lang w:val="en-US" w:eastAsia="zh-CN" w:bidi="ar-SA"/>
              </w:rPr>
              <w:t>厂界</w:t>
            </w:r>
            <w:r>
              <w:rPr>
                <w:rFonts w:hint="default" w:ascii="Times New Roman" w:hAnsi="Times New Roman" w:eastAsia="宋体" w:cs="Times New Roman"/>
                <w:b w:val="0"/>
                <w:bCs w:val="0"/>
                <w:color w:val="auto"/>
                <w:kern w:val="2"/>
                <w:sz w:val="24"/>
                <w:szCs w:val="24"/>
                <w:highlight w:val="none"/>
                <w:lang w:val="en-US" w:eastAsia="zh-CN" w:bidi="ar-SA"/>
              </w:rPr>
              <w:t>可满足《工业企业厂界环境噪声排放标准》</w:t>
            </w:r>
            <w:r>
              <w:rPr>
                <w:rFonts w:hint="eastAsia" w:cs="Times New Roman"/>
                <w:b w:val="0"/>
                <w:bCs w:val="0"/>
                <w:color w:val="auto"/>
                <w:kern w:val="2"/>
                <w:sz w:val="24"/>
                <w:szCs w:val="24"/>
                <w:highlight w:val="none"/>
                <w:lang w:val="en-US" w:eastAsia="zh-CN" w:bidi="ar-SA"/>
              </w:rPr>
              <w:t>（</w:t>
            </w:r>
            <w:r>
              <w:rPr>
                <w:rFonts w:hint="default" w:ascii="Times New Roman" w:hAnsi="Times New Roman" w:eastAsia="宋体" w:cs="Times New Roman"/>
                <w:b w:val="0"/>
                <w:bCs w:val="0"/>
                <w:color w:val="auto"/>
                <w:kern w:val="2"/>
                <w:sz w:val="24"/>
                <w:szCs w:val="24"/>
                <w:highlight w:val="none"/>
                <w:lang w:val="en-US" w:eastAsia="zh-CN" w:bidi="ar-SA"/>
              </w:rPr>
              <w:t>GB12348-2008</w:t>
            </w:r>
            <w:r>
              <w:rPr>
                <w:rFonts w:hint="eastAsia" w:cs="Times New Roman"/>
                <w:b w:val="0"/>
                <w:bCs w:val="0"/>
                <w:color w:val="auto"/>
                <w:kern w:val="2"/>
                <w:sz w:val="24"/>
                <w:szCs w:val="24"/>
                <w:highlight w:val="none"/>
                <w:lang w:val="en-US" w:eastAsia="zh-CN" w:bidi="ar-SA"/>
              </w:rPr>
              <w:t>）3</w:t>
            </w:r>
            <w:r>
              <w:rPr>
                <w:rFonts w:hint="default" w:ascii="Times New Roman" w:hAnsi="Times New Roman" w:eastAsia="宋体" w:cs="Times New Roman"/>
                <w:b w:val="0"/>
                <w:bCs w:val="0"/>
                <w:color w:val="auto"/>
                <w:kern w:val="2"/>
                <w:sz w:val="24"/>
                <w:szCs w:val="24"/>
                <w:highlight w:val="none"/>
                <w:lang w:val="en-US" w:eastAsia="zh-CN" w:bidi="ar-SA"/>
              </w:rPr>
              <w:t>类标准限值要求。</w:t>
            </w:r>
          </w:p>
          <w:p w14:paraId="39888C81">
            <w:pPr>
              <w:pStyle w:val="6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color w:val="auto"/>
                <w:highlight w:val="none"/>
              </w:rPr>
            </w:pPr>
            <w:r>
              <w:rPr>
                <w:rFonts w:hint="default" w:ascii="Times New Roman" w:hAnsi="Times New Roman" w:eastAsia="宋体" w:cs="Times New Roman"/>
                <w:b w:val="0"/>
                <w:bCs w:val="0"/>
                <w:color w:val="auto"/>
                <w:kern w:val="2"/>
                <w:sz w:val="24"/>
                <w:szCs w:val="24"/>
                <w:highlight w:val="none"/>
                <w:lang w:val="en-US" w:eastAsia="zh-CN" w:bidi="ar-SA"/>
              </w:rPr>
              <w:t>综合分析，只要建设单位落实好各类设备的减噪措施，本项目建成运营产生的噪声对周围环境影响不大。</w:t>
            </w:r>
          </w:p>
          <w:p w14:paraId="785CFA05">
            <w:pPr>
              <w:widowControl w:val="0"/>
              <w:adjustRightInd w:val="0"/>
              <w:snapToGrid w:val="0"/>
              <w:spacing w:line="360" w:lineRule="auto"/>
              <w:ind w:firstLine="480" w:firstLineChars="200"/>
              <w:rPr>
                <w:b w:val="0"/>
                <w:bCs w:val="0"/>
                <w:color w:val="auto"/>
                <w:sz w:val="24"/>
                <w:highlight w:val="none"/>
              </w:rPr>
            </w:pPr>
            <w:r>
              <w:rPr>
                <w:rFonts w:hint="eastAsia"/>
                <w:b w:val="0"/>
                <w:bCs w:val="0"/>
                <w:color w:val="auto"/>
                <w:sz w:val="24"/>
                <w:highlight w:val="none"/>
                <w:lang w:val="en-US" w:eastAsia="zh-CN"/>
              </w:rPr>
              <w:t>5.</w:t>
            </w:r>
            <w:r>
              <w:rPr>
                <w:b w:val="0"/>
                <w:bCs w:val="0"/>
                <w:color w:val="auto"/>
                <w:sz w:val="24"/>
                <w:highlight w:val="none"/>
              </w:rPr>
              <w:t>监测计划</w:t>
            </w:r>
          </w:p>
          <w:p w14:paraId="4F003A0C">
            <w:pPr>
              <w:adjustRightInd w:val="0"/>
              <w:snapToGrid w:val="0"/>
              <w:spacing w:line="360" w:lineRule="auto"/>
              <w:ind w:firstLine="480" w:firstLineChars="200"/>
              <w:rPr>
                <w:b/>
                <w:bCs/>
                <w:color w:val="auto"/>
                <w:sz w:val="24"/>
                <w:highlight w:val="none"/>
              </w:rPr>
            </w:pPr>
            <w:r>
              <w:rPr>
                <w:color w:val="auto"/>
                <w:sz w:val="24"/>
                <w:highlight w:val="none"/>
              </w:rPr>
              <w:t>本企业</w:t>
            </w:r>
            <w:r>
              <w:rPr>
                <w:rFonts w:hint="eastAsia"/>
                <w:color w:val="auto"/>
                <w:sz w:val="24"/>
                <w:highlight w:val="none"/>
              </w:rPr>
              <w:t>为</w:t>
            </w:r>
            <w:r>
              <w:rPr>
                <w:color w:val="auto"/>
                <w:sz w:val="24"/>
                <w:highlight w:val="none"/>
              </w:rPr>
              <w:t>非重点排污单位</w:t>
            </w:r>
            <w:r>
              <w:rPr>
                <w:rFonts w:hint="eastAsia"/>
                <w:color w:val="auto"/>
                <w:sz w:val="24"/>
                <w:highlight w:val="none"/>
                <w:lang w:eastAsia="zh-CN"/>
              </w:rPr>
              <w:t>，</w:t>
            </w:r>
            <w:r>
              <w:rPr>
                <w:rFonts w:hint="eastAsia"/>
                <w:bCs/>
                <w:color w:val="auto"/>
                <w:kern w:val="0"/>
                <w:sz w:val="24"/>
                <w:highlight w:val="none"/>
              </w:rPr>
              <w:t>项目</w:t>
            </w:r>
            <w:r>
              <w:rPr>
                <w:bCs/>
                <w:color w:val="auto"/>
                <w:kern w:val="0"/>
                <w:sz w:val="24"/>
                <w:highlight w:val="none"/>
              </w:rPr>
              <w:t>噪声监测计划见</w:t>
            </w:r>
            <w:r>
              <w:rPr>
                <w:rFonts w:hint="eastAsia"/>
                <w:bCs/>
                <w:color w:val="auto"/>
                <w:kern w:val="0"/>
                <w:sz w:val="24"/>
                <w:highlight w:val="none"/>
                <w:lang w:val="en-US" w:eastAsia="zh-CN"/>
              </w:rPr>
              <w:t>下</w:t>
            </w:r>
            <w:r>
              <w:rPr>
                <w:bCs/>
                <w:color w:val="auto"/>
                <w:kern w:val="0"/>
                <w:sz w:val="24"/>
                <w:highlight w:val="none"/>
              </w:rPr>
              <w:t>表。</w:t>
            </w:r>
          </w:p>
          <w:p w14:paraId="7DD1EF1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
                <w:color w:val="auto"/>
                <w:sz w:val="24"/>
                <w:highlight w:val="none"/>
                <w:vertAlign w:val="baseline"/>
                <w:lang w:val="en-US" w:eastAsia="zh-CN"/>
              </w:rPr>
            </w:pPr>
            <w:r>
              <w:rPr>
                <w:rFonts w:hint="eastAsia" w:ascii="Times New Roman" w:hAnsi="Times New Roman" w:eastAsia="宋体" w:cs="Times New Roman"/>
                <w:b/>
                <w:color w:val="auto"/>
                <w:sz w:val="24"/>
                <w:highlight w:val="none"/>
                <w:vertAlign w:val="baseline"/>
                <w:lang w:val="en-US" w:eastAsia="zh-CN"/>
              </w:rPr>
              <w:t>表4-1</w:t>
            </w:r>
            <w:r>
              <w:rPr>
                <w:rFonts w:hint="eastAsia" w:cs="Times New Roman"/>
                <w:b/>
                <w:color w:val="auto"/>
                <w:sz w:val="24"/>
                <w:highlight w:val="none"/>
                <w:vertAlign w:val="baseline"/>
                <w:lang w:val="en-US" w:eastAsia="zh-CN"/>
              </w:rPr>
              <w:t>2</w:t>
            </w:r>
            <w:r>
              <w:rPr>
                <w:rFonts w:hint="eastAsia" w:ascii="Times New Roman" w:hAnsi="Times New Roman" w:eastAsia="宋体" w:cs="Times New Roman"/>
                <w:b/>
                <w:color w:val="auto"/>
                <w:sz w:val="24"/>
                <w:highlight w:val="none"/>
                <w:vertAlign w:val="baseline"/>
                <w:lang w:val="en-US" w:eastAsia="zh-CN"/>
              </w:rPr>
              <w:t>项目噪声监测方案</w:t>
            </w:r>
          </w:p>
          <w:tbl>
            <w:tblPr>
              <w:tblStyle w:val="34"/>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777"/>
              <w:gridCol w:w="1323"/>
              <w:gridCol w:w="1511"/>
              <w:gridCol w:w="1283"/>
              <w:gridCol w:w="3585"/>
            </w:tblGrid>
            <w:tr w14:paraId="05C0A82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458" w:type="pct"/>
                  <w:noWrap w:val="0"/>
                  <w:vAlign w:val="center"/>
                </w:tcPr>
                <w:p w14:paraId="18FF5577">
                  <w:pPr>
                    <w:autoSpaceDE/>
                    <w:autoSpaceDN/>
                    <w:snapToGrid w:val="0"/>
                    <w:spacing w:line="240" w:lineRule="exact"/>
                    <w:ind w:firstLine="0" w:firstLineChars="0"/>
                    <w:rPr>
                      <w:rFonts w:ascii="Times New Roman" w:hAnsi="Times New Roman" w:cs="Times New Roman"/>
                      <w:b/>
                      <w:bCs/>
                      <w:color w:val="auto"/>
                      <w:sz w:val="21"/>
                      <w:szCs w:val="21"/>
                      <w:highlight w:val="none"/>
                    </w:rPr>
                  </w:pPr>
                  <w:r>
                    <w:rPr>
                      <w:rFonts w:ascii="Times New Roman" w:hAnsi="Times New Roman" w:cs="Times New Roman"/>
                      <w:b/>
                      <w:bCs/>
                      <w:color w:val="auto"/>
                      <w:sz w:val="21"/>
                      <w:szCs w:val="21"/>
                      <w:highlight w:val="none"/>
                    </w:rPr>
                    <w:t>类别</w:t>
                  </w:r>
                </w:p>
              </w:tc>
              <w:tc>
                <w:tcPr>
                  <w:tcW w:w="780" w:type="pct"/>
                  <w:noWrap w:val="0"/>
                  <w:vAlign w:val="center"/>
                </w:tcPr>
                <w:p w14:paraId="1AEC5318">
                  <w:pPr>
                    <w:autoSpaceDE/>
                    <w:autoSpaceDN/>
                    <w:snapToGrid w:val="0"/>
                    <w:spacing w:line="240" w:lineRule="exact"/>
                    <w:ind w:firstLine="0" w:firstLineChars="0"/>
                    <w:rPr>
                      <w:rFonts w:ascii="Times New Roman" w:hAnsi="Times New Roman" w:cs="Times New Roman"/>
                      <w:b/>
                      <w:bCs/>
                      <w:color w:val="auto"/>
                      <w:sz w:val="21"/>
                      <w:szCs w:val="21"/>
                      <w:highlight w:val="none"/>
                    </w:rPr>
                  </w:pPr>
                  <w:r>
                    <w:rPr>
                      <w:rFonts w:ascii="Times New Roman" w:hAnsi="Times New Roman" w:cs="Times New Roman"/>
                      <w:b/>
                      <w:bCs/>
                      <w:color w:val="auto"/>
                      <w:sz w:val="21"/>
                      <w:szCs w:val="21"/>
                      <w:highlight w:val="none"/>
                    </w:rPr>
                    <w:t>监测点位</w:t>
                  </w:r>
                </w:p>
              </w:tc>
              <w:tc>
                <w:tcPr>
                  <w:tcW w:w="891" w:type="pct"/>
                  <w:noWrap w:val="0"/>
                  <w:vAlign w:val="center"/>
                </w:tcPr>
                <w:p w14:paraId="51701A70">
                  <w:pPr>
                    <w:autoSpaceDE/>
                    <w:autoSpaceDN/>
                    <w:snapToGrid w:val="0"/>
                    <w:spacing w:line="240" w:lineRule="exact"/>
                    <w:ind w:firstLine="0" w:firstLineChars="0"/>
                    <w:rPr>
                      <w:rFonts w:ascii="Times New Roman" w:hAnsi="Times New Roman" w:cs="Times New Roman"/>
                      <w:b/>
                      <w:bCs/>
                      <w:color w:val="auto"/>
                      <w:sz w:val="21"/>
                      <w:szCs w:val="21"/>
                      <w:highlight w:val="none"/>
                    </w:rPr>
                  </w:pPr>
                  <w:r>
                    <w:rPr>
                      <w:rFonts w:ascii="Times New Roman" w:hAnsi="Times New Roman" w:cs="Times New Roman"/>
                      <w:b/>
                      <w:bCs/>
                      <w:color w:val="auto"/>
                      <w:sz w:val="21"/>
                      <w:szCs w:val="21"/>
                      <w:highlight w:val="none"/>
                    </w:rPr>
                    <w:t>监测指标</w:t>
                  </w:r>
                </w:p>
              </w:tc>
              <w:tc>
                <w:tcPr>
                  <w:tcW w:w="756" w:type="pct"/>
                  <w:noWrap w:val="0"/>
                  <w:vAlign w:val="center"/>
                </w:tcPr>
                <w:p w14:paraId="4F50785F">
                  <w:pPr>
                    <w:autoSpaceDE/>
                    <w:autoSpaceDN/>
                    <w:snapToGrid w:val="0"/>
                    <w:spacing w:line="240" w:lineRule="exact"/>
                    <w:ind w:firstLine="0" w:firstLineChars="0"/>
                    <w:rPr>
                      <w:rFonts w:ascii="Times New Roman" w:hAnsi="Times New Roman" w:cs="Times New Roman"/>
                      <w:b/>
                      <w:bCs/>
                      <w:color w:val="auto"/>
                      <w:sz w:val="21"/>
                      <w:szCs w:val="21"/>
                      <w:highlight w:val="none"/>
                    </w:rPr>
                  </w:pPr>
                  <w:r>
                    <w:rPr>
                      <w:rFonts w:ascii="Times New Roman" w:hAnsi="Times New Roman" w:cs="Times New Roman"/>
                      <w:b/>
                      <w:bCs/>
                      <w:color w:val="auto"/>
                      <w:sz w:val="21"/>
                      <w:szCs w:val="21"/>
                      <w:highlight w:val="none"/>
                    </w:rPr>
                    <w:t>监测频次</w:t>
                  </w:r>
                </w:p>
              </w:tc>
              <w:tc>
                <w:tcPr>
                  <w:tcW w:w="2113" w:type="pct"/>
                  <w:noWrap w:val="0"/>
                  <w:vAlign w:val="center"/>
                </w:tcPr>
                <w:p w14:paraId="41FB524F">
                  <w:pPr>
                    <w:autoSpaceDE/>
                    <w:autoSpaceDN/>
                    <w:snapToGrid w:val="0"/>
                    <w:spacing w:line="240" w:lineRule="exact"/>
                    <w:ind w:firstLine="0" w:firstLineChars="0"/>
                    <w:rPr>
                      <w:rFonts w:ascii="Times New Roman" w:hAnsi="Times New Roman" w:cs="Times New Roman"/>
                      <w:b/>
                      <w:bCs/>
                      <w:color w:val="auto"/>
                      <w:sz w:val="21"/>
                      <w:szCs w:val="21"/>
                      <w:highlight w:val="none"/>
                    </w:rPr>
                  </w:pPr>
                  <w:r>
                    <w:rPr>
                      <w:rFonts w:ascii="Times New Roman" w:hAnsi="Times New Roman" w:cs="Times New Roman"/>
                      <w:b/>
                      <w:bCs/>
                      <w:color w:val="auto"/>
                      <w:sz w:val="21"/>
                      <w:szCs w:val="21"/>
                      <w:highlight w:val="none"/>
                    </w:rPr>
                    <w:t>执行标准</w:t>
                  </w:r>
                </w:p>
              </w:tc>
            </w:tr>
            <w:tr w14:paraId="707E876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58" w:type="pct"/>
                  <w:noWrap w:val="0"/>
                  <w:vAlign w:val="center"/>
                </w:tcPr>
                <w:p w14:paraId="37290489">
                  <w:pPr>
                    <w:autoSpaceDE/>
                    <w:autoSpaceDN/>
                    <w:snapToGrid w:val="0"/>
                    <w:spacing w:line="240" w:lineRule="exact"/>
                    <w:ind w:firstLine="0" w:firstLineChars="0"/>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噪声</w:t>
                  </w:r>
                </w:p>
              </w:tc>
              <w:tc>
                <w:tcPr>
                  <w:tcW w:w="780" w:type="pct"/>
                  <w:noWrap w:val="0"/>
                  <w:vAlign w:val="center"/>
                </w:tcPr>
                <w:p w14:paraId="4B7E5BDC">
                  <w:pPr>
                    <w:autoSpaceDE/>
                    <w:autoSpaceDN/>
                    <w:snapToGrid w:val="0"/>
                    <w:spacing w:line="240" w:lineRule="exact"/>
                    <w:ind w:firstLine="0" w:firstLineChars="0"/>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厂界外1米</w:t>
                  </w:r>
                </w:p>
              </w:tc>
              <w:tc>
                <w:tcPr>
                  <w:tcW w:w="891" w:type="pct"/>
                  <w:noWrap w:val="0"/>
                  <w:vAlign w:val="center"/>
                </w:tcPr>
                <w:p w14:paraId="69F7B3DA">
                  <w:pPr>
                    <w:autoSpaceDE/>
                    <w:autoSpaceDN/>
                    <w:snapToGrid w:val="0"/>
                    <w:spacing w:line="240" w:lineRule="exact"/>
                    <w:ind w:firstLine="0" w:firstLineChars="0"/>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等效连续A声级</w:t>
                  </w:r>
                </w:p>
              </w:tc>
              <w:tc>
                <w:tcPr>
                  <w:tcW w:w="756" w:type="pct"/>
                  <w:noWrap w:val="0"/>
                  <w:vAlign w:val="center"/>
                </w:tcPr>
                <w:p w14:paraId="14ED0B3A">
                  <w:pPr>
                    <w:autoSpaceDE/>
                    <w:autoSpaceDN/>
                    <w:snapToGrid w:val="0"/>
                    <w:spacing w:line="240" w:lineRule="exact"/>
                    <w:ind w:firstLine="0" w:firstLineChars="0"/>
                    <w:rPr>
                      <w:rFonts w:hint="eastAsia"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1</w:t>
                  </w:r>
                  <w:r>
                    <w:rPr>
                      <w:rFonts w:ascii="Times New Roman" w:hAnsi="Times New Roman" w:cs="Times New Roman"/>
                      <w:color w:val="auto"/>
                      <w:sz w:val="21"/>
                      <w:szCs w:val="21"/>
                      <w:highlight w:val="none"/>
                    </w:rPr>
                    <w:t>次</w:t>
                  </w:r>
                  <w:r>
                    <w:rPr>
                      <w:rFonts w:hint="eastAsia" w:ascii="Times New Roman" w:hAnsi="Times New Roman" w:cs="Times New Roman"/>
                      <w:color w:val="auto"/>
                      <w:sz w:val="21"/>
                      <w:szCs w:val="21"/>
                      <w:highlight w:val="none"/>
                    </w:rPr>
                    <w:t>/</w:t>
                  </w:r>
                  <w:r>
                    <w:rPr>
                      <w:rFonts w:ascii="Times New Roman" w:hAnsi="Times New Roman" w:cs="Times New Roman"/>
                      <w:color w:val="auto"/>
                      <w:sz w:val="21"/>
                      <w:szCs w:val="21"/>
                      <w:highlight w:val="none"/>
                    </w:rPr>
                    <w:t>季</w:t>
                  </w:r>
                </w:p>
              </w:tc>
              <w:tc>
                <w:tcPr>
                  <w:tcW w:w="2113" w:type="pct"/>
                  <w:noWrap w:val="0"/>
                  <w:vAlign w:val="center"/>
                </w:tcPr>
                <w:p w14:paraId="22ED7019">
                  <w:pPr>
                    <w:autoSpaceDE/>
                    <w:autoSpaceDN/>
                    <w:snapToGrid w:val="0"/>
                    <w:spacing w:line="240" w:lineRule="exact"/>
                    <w:ind w:firstLine="0" w:firstLineChars="0"/>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《工业企业厂界环境噪声排放标准》（GB12348-2008）中</w:t>
                  </w:r>
                  <w:r>
                    <w:rPr>
                      <w:rFonts w:hint="eastAsia" w:ascii="Times New Roman" w:hAnsi="Times New Roman" w:cs="Times New Roman"/>
                      <w:color w:val="auto"/>
                      <w:sz w:val="21"/>
                      <w:szCs w:val="21"/>
                      <w:highlight w:val="none"/>
                      <w:lang w:val="en-US" w:eastAsia="zh-CN"/>
                    </w:rPr>
                    <w:t>3</w:t>
                  </w:r>
                  <w:r>
                    <w:rPr>
                      <w:rFonts w:ascii="Times New Roman" w:hAnsi="Times New Roman" w:cs="Times New Roman"/>
                      <w:color w:val="auto"/>
                      <w:sz w:val="21"/>
                      <w:szCs w:val="21"/>
                      <w:highlight w:val="none"/>
                    </w:rPr>
                    <w:t>类标准</w:t>
                  </w:r>
                </w:p>
              </w:tc>
            </w:tr>
          </w:tbl>
          <w:p w14:paraId="141E7FD8">
            <w:pPr>
              <w:pStyle w:val="43"/>
              <w:spacing w:line="360" w:lineRule="auto"/>
              <w:ind w:firstLine="482"/>
              <w:rPr>
                <w:rFonts w:hint="eastAsia" w:ascii="Times New Roman" w:hAnsi="Times New Roman" w:eastAsia="宋体" w:cs="Times New Roman"/>
                <w:b/>
                <w:bCs/>
                <w:color w:val="auto"/>
                <w:highlight w:val="none"/>
                <w:lang w:eastAsia="zh-CN"/>
              </w:rPr>
            </w:pPr>
            <w:r>
              <w:rPr>
                <w:rFonts w:hint="eastAsia" w:ascii="Times New Roman" w:hAnsi="Times New Roman" w:cs="Times New Roman"/>
                <w:b/>
                <w:bCs/>
                <w:color w:val="auto"/>
                <w:highlight w:val="none"/>
              </w:rPr>
              <w:t>四、</w:t>
            </w:r>
            <w:r>
              <w:rPr>
                <w:rFonts w:hint="eastAsia" w:ascii="Times New Roman" w:hAnsi="Times New Roman" w:cs="Times New Roman"/>
                <w:b/>
                <w:bCs/>
                <w:color w:val="auto"/>
                <w:highlight w:val="none"/>
                <w:lang w:eastAsia="zh-CN"/>
              </w:rPr>
              <w:t>固体废物</w:t>
            </w:r>
          </w:p>
          <w:p w14:paraId="18CA51DE">
            <w:pPr>
              <w:pStyle w:val="120"/>
              <w:widowControl w:val="0"/>
              <w:spacing w:before="0" w:beforeLines="0" w:after="0" w:afterLines="0" w:line="360" w:lineRule="auto"/>
              <w:ind w:firstLine="48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eastAsia="zh-CN"/>
              </w:rPr>
              <w:t>1.</w:t>
            </w:r>
            <w:r>
              <w:rPr>
                <w:rFonts w:hint="default" w:ascii="Times New Roman" w:hAnsi="Times New Roman" w:cs="Times New Roman"/>
                <w:color w:val="auto"/>
                <w:sz w:val="24"/>
                <w:szCs w:val="24"/>
                <w:highlight w:val="none"/>
              </w:rPr>
              <w:t>固体废物产生、处置情况</w:t>
            </w:r>
          </w:p>
          <w:p w14:paraId="05C2829C">
            <w:pPr>
              <w:pStyle w:val="120"/>
              <w:widowControl w:val="0"/>
              <w:spacing w:before="0" w:beforeLines="0" w:after="0" w:afterLines="0" w:line="360" w:lineRule="auto"/>
              <w:ind w:firstLine="48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本项目固体废物包括生产</w:t>
            </w:r>
            <w:r>
              <w:rPr>
                <w:rFonts w:hint="default" w:ascii="Times New Roman" w:hAnsi="Times New Roman" w:cs="Times New Roman"/>
                <w:color w:val="auto"/>
                <w:sz w:val="24"/>
                <w:szCs w:val="24"/>
                <w:highlight w:val="none"/>
                <w:lang w:val="en-US" w:eastAsia="zh-CN"/>
              </w:rPr>
              <w:t>一般</w:t>
            </w:r>
            <w:r>
              <w:rPr>
                <w:rFonts w:hint="default" w:ascii="Times New Roman" w:hAnsi="Times New Roman" w:cs="Times New Roman"/>
                <w:color w:val="auto"/>
                <w:sz w:val="24"/>
                <w:szCs w:val="24"/>
                <w:highlight w:val="none"/>
              </w:rPr>
              <w:t>固废</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危险废物</w:t>
            </w:r>
            <w:r>
              <w:rPr>
                <w:rFonts w:hint="default" w:ascii="Times New Roman" w:hAnsi="Times New Roman" w:cs="Times New Roman"/>
                <w:color w:val="auto"/>
                <w:sz w:val="24"/>
                <w:szCs w:val="24"/>
                <w:highlight w:val="none"/>
              </w:rPr>
              <w:t>和职工生活垃圾。</w:t>
            </w:r>
          </w:p>
          <w:p w14:paraId="79CF814D">
            <w:pPr>
              <w:pStyle w:val="120"/>
              <w:widowControl w:val="0"/>
              <w:spacing w:before="0" w:beforeLines="0" w:after="0" w:afterLines="0" w:line="360" w:lineRule="auto"/>
              <w:ind w:firstLine="48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（1）一般固废产生、处置情况</w:t>
            </w:r>
          </w:p>
          <w:p w14:paraId="67D68433">
            <w:pPr>
              <w:pStyle w:val="120"/>
              <w:widowControl w:val="0"/>
              <w:spacing w:before="0" w:beforeLines="0" w:after="0" w:afterLines="0" w:line="360" w:lineRule="auto"/>
              <w:ind w:firstLine="48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可发性聚苯乙烯原料包装：采用25kg/袋</w:t>
            </w:r>
            <w:r>
              <w:rPr>
                <w:rFonts w:hint="default" w:ascii="Times New Roman" w:hAnsi="Times New Roman" w:eastAsia="宋体" w:cs="Times New Roman"/>
                <w:color w:val="auto"/>
                <w:sz w:val="24"/>
                <w:szCs w:val="24"/>
                <w:highlight w:val="none"/>
              </w:rPr>
              <w:t>PP编织袋（含PE内衬）</w:t>
            </w:r>
            <w:r>
              <w:rPr>
                <w:rFonts w:hint="default" w:ascii="Times New Roman" w:hAnsi="Times New Roman" w:eastAsia="宋体" w:cs="Times New Roman"/>
                <w:color w:val="auto"/>
                <w:sz w:val="24"/>
                <w:szCs w:val="24"/>
                <w:highlight w:val="none"/>
                <w:lang w:val="en-US" w:eastAsia="zh-CN"/>
              </w:rPr>
              <w:t>包装，项目产生</w:t>
            </w:r>
            <w:r>
              <w:rPr>
                <w:rFonts w:hint="eastAsia" w:cs="Times New Roman"/>
                <w:color w:val="auto"/>
                <w:sz w:val="24"/>
                <w:szCs w:val="24"/>
                <w:highlight w:val="none"/>
                <w:lang w:val="en-US" w:eastAsia="zh-CN"/>
              </w:rPr>
              <w:t>废</w:t>
            </w:r>
            <w:r>
              <w:rPr>
                <w:rFonts w:hint="default" w:ascii="Times New Roman" w:hAnsi="Times New Roman" w:eastAsia="宋体" w:cs="Times New Roman"/>
                <w:color w:val="auto"/>
                <w:sz w:val="24"/>
                <w:szCs w:val="24"/>
                <w:highlight w:val="none"/>
                <w:lang w:val="en-US" w:eastAsia="zh-CN"/>
              </w:rPr>
              <w:t>包装32个，单个废包装重量为150g</w:t>
            </w:r>
            <w:r>
              <w:rPr>
                <w:rFonts w:hint="eastAsia"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则废包装产生量为4.8t/a。</w:t>
            </w:r>
          </w:p>
          <w:p w14:paraId="25B213DD">
            <w:pPr>
              <w:pStyle w:val="120"/>
              <w:widowControl w:val="0"/>
              <w:spacing w:before="0" w:beforeLines="0" w:after="0" w:afterLines="0" w:line="360" w:lineRule="auto"/>
              <w:ind w:firstLine="48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不合格产品产生量占原料用量0.</w:t>
            </w:r>
            <w:r>
              <w:rPr>
                <w:rFonts w:hint="default" w:ascii="Times New Roman" w:hAnsi="Times New Roman"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rPr>
              <w:t>%</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为1.6</w:t>
            </w:r>
            <w:r>
              <w:rPr>
                <w:rFonts w:hint="default" w:ascii="Times New Roman" w:hAnsi="Times New Roman" w:eastAsia="宋体" w:cs="Times New Roman"/>
                <w:color w:val="auto"/>
                <w:sz w:val="24"/>
                <w:szCs w:val="24"/>
                <w:highlight w:val="none"/>
                <w:lang w:val="en-US" w:eastAsia="zh-CN"/>
              </w:rPr>
              <w:t>t/a</w:t>
            </w:r>
            <w:r>
              <w:rPr>
                <w:rFonts w:hint="default" w:ascii="Times New Roman" w:hAnsi="Times New Roman" w:cs="Times New Roman"/>
                <w:color w:val="auto"/>
                <w:sz w:val="24"/>
                <w:szCs w:val="24"/>
                <w:highlight w:val="none"/>
                <w:lang w:val="en-US" w:eastAsia="zh-CN"/>
              </w:rPr>
              <w:t>.</w:t>
            </w:r>
          </w:p>
          <w:p w14:paraId="058BE611">
            <w:pPr>
              <w:pStyle w:val="120"/>
              <w:widowControl w:val="0"/>
              <w:spacing w:before="0" w:beforeLines="0" w:after="0" w:afterLines="0" w:line="360" w:lineRule="auto"/>
              <w:ind w:firstLine="48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边角料产生量</w:t>
            </w:r>
            <w:r>
              <w:rPr>
                <w:rFonts w:hint="eastAsia" w:cs="Times New Roman"/>
                <w:color w:val="auto"/>
                <w:sz w:val="24"/>
                <w:szCs w:val="24"/>
                <w:highlight w:val="none"/>
                <w:lang w:eastAsia="zh-CN"/>
              </w:rPr>
              <w:t>约</w:t>
            </w:r>
            <w:r>
              <w:rPr>
                <w:rFonts w:hint="default" w:ascii="Times New Roman" w:hAnsi="Times New Roman" w:eastAsia="宋体" w:cs="Times New Roman"/>
                <w:color w:val="auto"/>
                <w:sz w:val="24"/>
                <w:szCs w:val="24"/>
                <w:highlight w:val="none"/>
              </w:rPr>
              <w:t>占原料用量</w:t>
            </w:r>
            <w:r>
              <w:rPr>
                <w:rFonts w:hint="default" w:ascii="Times New Roman" w:hAnsi="Times New Roman" w:cs="Times New Roman"/>
                <w:color w:val="auto"/>
                <w:sz w:val="24"/>
                <w:szCs w:val="24"/>
                <w:highlight w:val="none"/>
                <w:lang w:val="en-US" w:eastAsia="zh-CN"/>
              </w:rPr>
              <w:t>0.5</w:t>
            </w:r>
            <w:r>
              <w:rPr>
                <w:rFonts w:hint="default" w:ascii="Times New Roman" w:hAnsi="Times New Roman" w:eastAsia="宋体" w:cs="Times New Roman"/>
                <w:color w:val="auto"/>
                <w:sz w:val="24"/>
                <w:szCs w:val="24"/>
                <w:highlight w:val="none"/>
              </w:rPr>
              <w:t>%</w:t>
            </w:r>
            <w:r>
              <w:rPr>
                <w:rFonts w:hint="eastAsia"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为4</w:t>
            </w:r>
            <w:r>
              <w:rPr>
                <w:rFonts w:hint="default" w:ascii="Times New Roman" w:hAnsi="Times New Roman" w:eastAsia="宋体" w:cs="Times New Roman"/>
                <w:color w:val="auto"/>
                <w:sz w:val="24"/>
                <w:szCs w:val="24"/>
                <w:highlight w:val="none"/>
                <w:lang w:val="en-US" w:eastAsia="zh-CN"/>
              </w:rPr>
              <w:t>t/a</w:t>
            </w:r>
            <w:r>
              <w:rPr>
                <w:rFonts w:hint="eastAsia" w:ascii="Times New Roman" w:hAnsi="Times New Roman" w:cs="Times New Roman"/>
                <w:color w:val="auto"/>
                <w:sz w:val="24"/>
                <w:szCs w:val="24"/>
                <w:highlight w:val="none"/>
                <w:lang w:val="en-US" w:eastAsia="zh-CN"/>
              </w:rPr>
              <w:t>。</w:t>
            </w:r>
          </w:p>
          <w:p w14:paraId="45D15C0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
                <w:color w:val="auto"/>
                <w:sz w:val="24"/>
                <w:highlight w:val="none"/>
                <w:vertAlign w:val="baseline"/>
                <w:lang w:val="en-US" w:eastAsia="zh-CN"/>
              </w:rPr>
            </w:pPr>
            <w:r>
              <w:rPr>
                <w:rFonts w:hint="eastAsia" w:ascii="Times New Roman" w:hAnsi="Times New Roman" w:eastAsia="宋体" w:cs="Times New Roman"/>
                <w:b/>
                <w:color w:val="auto"/>
                <w:sz w:val="24"/>
                <w:highlight w:val="none"/>
                <w:vertAlign w:val="baseline"/>
                <w:lang w:val="en-US" w:eastAsia="zh-CN"/>
              </w:rPr>
              <w:t>表4-1</w:t>
            </w:r>
            <w:r>
              <w:rPr>
                <w:rFonts w:hint="eastAsia" w:cs="Times New Roman"/>
                <w:b/>
                <w:color w:val="auto"/>
                <w:sz w:val="24"/>
                <w:highlight w:val="none"/>
                <w:vertAlign w:val="baseline"/>
                <w:lang w:val="en-US" w:eastAsia="zh-CN"/>
              </w:rPr>
              <w:t>3</w:t>
            </w:r>
            <w:r>
              <w:rPr>
                <w:rFonts w:hint="eastAsia" w:ascii="Times New Roman" w:hAnsi="Times New Roman" w:eastAsia="宋体" w:cs="Times New Roman"/>
                <w:b/>
                <w:color w:val="auto"/>
                <w:sz w:val="24"/>
                <w:highlight w:val="none"/>
                <w:vertAlign w:val="baseline"/>
                <w:lang w:val="en-US" w:eastAsia="zh-CN"/>
              </w:rPr>
              <w:t xml:space="preserve">   一般固废产生情况</w:t>
            </w:r>
          </w:p>
          <w:tbl>
            <w:tblPr>
              <w:tblStyle w:val="34"/>
              <w:tblW w:w="4996"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1571"/>
              <w:gridCol w:w="1081"/>
              <w:gridCol w:w="992"/>
              <w:gridCol w:w="1796"/>
              <w:gridCol w:w="953"/>
              <w:gridCol w:w="835"/>
              <w:gridCol w:w="1247"/>
            </w:tblGrid>
            <w:tr w14:paraId="3F16EF0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926" w:type="pct"/>
                  <w:noWrap w:val="0"/>
                  <w:vAlign w:val="center"/>
                </w:tcPr>
                <w:p w14:paraId="34DB3630">
                  <w:pPr>
                    <w:pStyle w:val="110"/>
                    <w:spacing w:before="0" w:beforeLines="0" w:after="0" w:afterLines="0" w:line="240" w:lineRule="exact"/>
                    <w:rPr>
                      <w:rFonts w:hint="default"/>
                      <w:color w:val="auto"/>
                      <w:highlight w:val="none"/>
                    </w:rPr>
                  </w:pPr>
                  <w:r>
                    <w:rPr>
                      <w:color w:val="auto"/>
                      <w:highlight w:val="none"/>
                    </w:rPr>
                    <w:t>产生工序/装置</w:t>
                  </w:r>
                </w:p>
              </w:tc>
              <w:tc>
                <w:tcPr>
                  <w:tcW w:w="637" w:type="pct"/>
                  <w:noWrap w:val="0"/>
                  <w:vAlign w:val="center"/>
                </w:tcPr>
                <w:p w14:paraId="0F295413">
                  <w:pPr>
                    <w:pStyle w:val="110"/>
                    <w:spacing w:before="0" w:beforeLines="0" w:after="0" w:afterLines="0" w:line="240" w:lineRule="exact"/>
                    <w:rPr>
                      <w:rFonts w:hint="default"/>
                      <w:color w:val="auto"/>
                      <w:highlight w:val="none"/>
                    </w:rPr>
                  </w:pPr>
                  <w:r>
                    <w:rPr>
                      <w:color w:val="auto"/>
                      <w:highlight w:val="none"/>
                    </w:rPr>
                    <w:t>固体废物名称</w:t>
                  </w:r>
                </w:p>
              </w:tc>
              <w:tc>
                <w:tcPr>
                  <w:tcW w:w="585" w:type="pct"/>
                  <w:noWrap w:val="0"/>
                  <w:vAlign w:val="center"/>
                </w:tcPr>
                <w:p w14:paraId="7329E761">
                  <w:pPr>
                    <w:pStyle w:val="110"/>
                    <w:spacing w:before="0" w:beforeLines="0" w:after="0" w:afterLines="0" w:line="240" w:lineRule="exact"/>
                    <w:rPr>
                      <w:rFonts w:hint="default"/>
                      <w:color w:val="auto"/>
                      <w:highlight w:val="none"/>
                    </w:rPr>
                  </w:pPr>
                  <w:r>
                    <w:rPr>
                      <w:color w:val="auto"/>
                      <w:highlight w:val="none"/>
                    </w:rPr>
                    <w:t>分类</w:t>
                  </w:r>
                </w:p>
              </w:tc>
              <w:tc>
                <w:tcPr>
                  <w:tcW w:w="1059" w:type="pct"/>
                  <w:noWrap w:val="0"/>
                  <w:vAlign w:val="center"/>
                </w:tcPr>
                <w:p w14:paraId="49F4ABEC">
                  <w:pPr>
                    <w:pStyle w:val="110"/>
                    <w:spacing w:before="0" w:beforeLines="0" w:after="0" w:afterLines="0" w:line="240" w:lineRule="exact"/>
                    <w:rPr>
                      <w:rFonts w:hint="default"/>
                      <w:color w:val="auto"/>
                      <w:highlight w:val="none"/>
                    </w:rPr>
                  </w:pPr>
                  <w:r>
                    <w:rPr>
                      <w:color w:val="auto"/>
                      <w:highlight w:val="none"/>
                    </w:rPr>
                    <w:t>分类代码</w:t>
                  </w:r>
                </w:p>
              </w:tc>
              <w:tc>
                <w:tcPr>
                  <w:tcW w:w="562" w:type="pct"/>
                  <w:noWrap w:val="0"/>
                  <w:vAlign w:val="center"/>
                </w:tcPr>
                <w:p w14:paraId="2267E23D">
                  <w:pPr>
                    <w:pStyle w:val="110"/>
                    <w:spacing w:before="0" w:beforeLines="0" w:after="0" w:afterLines="0" w:line="240" w:lineRule="exact"/>
                    <w:rPr>
                      <w:color w:val="auto"/>
                      <w:highlight w:val="none"/>
                    </w:rPr>
                  </w:pPr>
                  <w:r>
                    <w:rPr>
                      <w:color w:val="auto"/>
                      <w:highlight w:val="none"/>
                    </w:rPr>
                    <w:t>产生量</w:t>
                  </w:r>
                </w:p>
                <w:p w14:paraId="0335AF4D">
                  <w:pPr>
                    <w:pStyle w:val="110"/>
                    <w:spacing w:before="0" w:beforeLines="0" w:after="0" w:afterLines="0" w:line="240" w:lineRule="exact"/>
                    <w:rPr>
                      <w:rFonts w:hint="default"/>
                      <w:color w:val="auto"/>
                      <w:highlight w:val="none"/>
                    </w:rPr>
                  </w:pPr>
                  <w:r>
                    <w:rPr>
                      <w:color w:val="auto"/>
                      <w:highlight w:val="none"/>
                    </w:rPr>
                    <w:t>t/a</w:t>
                  </w:r>
                </w:p>
              </w:tc>
              <w:tc>
                <w:tcPr>
                  <w:tcW w:w="492" w:type="pct"/>
                  <w:noWrap w:val="0"/>
                  <w:vAlign w:val="center"/>
                </w:tcPr>
                <w:p w14:paraId="10E16D8B">
                  <w:pPr>
                    <w:pStyle w:val="110"/>
                    <w:spacing w:before="0" w:beforeLines="0" w:after="0" w:afterLines="0" w:line="240" w:lineRule="exact"/>
                    <w:rPr>
                      <w:rFonts w:hint="default"/>
                      <w:color w:val="auto"/>
                      <w:highlight w:val="none"/>
                    </w:rPr>
                  </w:pPr>
                  <w:r>
                    <w:rPr>
                      <w:color w:val="auto"/>
                      <w:highlight w:val="none"/>
                    </w:rPr>
                    <w:t>贮存方式</w:t>
                  </w:r>
                </w:p>
              </w:tc>
              <w:tc>
                <w:tcPr>
                  <w:tcW w:w="735" w:type="pct"/>
                  <w:noWrap w:val="0"/>
                  <w:vAlign w:val="center"/>
                </w:tcPr>
                <w:p w14:paraId="2F28800E">
                  <w:pPr>
                    <w:pStyle w:val="110"/>
                    <w:spacing w:before="0" w:beforeLines="0" w:after="0" w:afterLines="0" w:line="240" w:lineRule="exact"/>
                    <w:rPr>
                      <w:rFonts w:hint="default"/>
                      <w:color w:val="auto"/>
                      <w:highlight w:val="none"/>
                    </w:rPr>
                  </w:pPr>
                  <w:r>
                    <w:rPr>
                      <w:color w:val="auto"/>
                      <w:highlight w:val="none"/>
                    </w:rPr>
                    <w:t>最终去向</w:t>
                  </w:r>
                </w:p>
              </w:tc>
            </w:tr>
            <w:tr w14:paraId="65A7261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31" w:hRule="atLeast"/>
                <w:jc w:val="center"/>
              </w:trPr>
              <w:tc>
                <w:tcPr>
                  <w:tcW w:w="926" w:type="pct"/>
                  <w:noWrap w:val="0"/>
                  <w:vAlign w:val="center"/>
                </w:tcPr>
                <w:p w14:paraId="036029F5">
                  <w:pPr>
                    <w:snapToGrid w:val="0"/>
                    <w:spacing w:line="240" w:lineRule="atLeast"/>
                    <w:jc w:val="center"/>
                    <w:rPr>
                      <w:rFonts w:hint="default"/>
                      <w:color w:val="auto"/>
                      <w:highlight w:val="none"/>
                      <w:lang w:val="en-US"/>
                    </w:rPr>
                  </w:pPr>
                  <w:r>
                    <w:rPr>
                      <w:rFonts w:hint="eastAsia"/>
                      <w:color w:val="auto"/>
                      <w:szCs w:val="21"/>
                      <w:highlight w:val="none"/>
                      <w:lang w:val="en-US" w:eastAsia="zh-CN"/>
                    </w:rPr>
                    <w:t>可发性聚苯乙烯原料包装</w:t>
                  </w:r>
                </w:p>
              </w:tc>
              <w:tc>
                <w:tcPr>
                  <w:tcW w:w="637" w:type="pct"/>
                  <w:noWrap w:val="0"/>
                  <w:vAlign w:val="center"/>
                </w:tcPr>
                <w:p w14:paraId="515E5DCC">
                  <w:pPr>
                    <w:pStyle w:val="111"/>
                    <w:wordWrap/>
                    <w:spacing w:before="0" w:beforeLines="0" w:after="0" w:afterLines="0" w:line="240" w:lineRule="exact"/>
                    <w:ind w:left="21" w:right="21"/>
                    <w:rPr>
                      <w:rFonts w:hint="default"/>
                      <w:color w:val="auto"/>
                      <w:highlight w:val="none"/>
                    </w:rPr>
                  </w:pPr>
                  <w:r>
                    <w:rPr>
                      <w:color w:val="auto"/>
                      <w:highlight w:val="none"/>
                    </w:rPr>
                    <w:t>废包装</w:t>
                  </w:r>
                </w:p>
              </w:tc>
              <w:tc>
                <w:tcPr>
                  <w:tcW w:w="585" w:type="pct"/>
                  <w:noWrap w:val="0"/>
                  <w:vAlign w:val="center"/>
                </w:tcPr>
                <w:p w14:paraId="6B7D0D07">
                  <w:pPr>
                    <w:pStyle w:val="111"/>
                    <w:wordWrap/>
                    <w:spacing w:before="0" w:beforeLines="0" w:after="0" w:afterLines="0" w:line="240" w:lineRule="exact"/>
                    <w:ind w:left="21" w:right="21"/>
                    <w:rPr>
                      <w:rFonts w:hint="default"/>
                      <w:color w:val="auto"/>
                      <w:highlight w:val="none"/>
                    </w:rPr>
                  </w:pPr>
                  <w:r>
                    <w:rPr>
                      <w:color w:val="auto"/>
                      <w:highlight w:val="none"/>
                    </w:rPr>
                    <w:t>废塑料制品</w:t>
                  </w:r>
                </w:p>
              </w:tc>
              <w:tc>
                <w:tcPr>
                  <w:tcW w:w="1059" w:type="pct"/>
                  <w:vMerge w:val="restart"/>
                  <w:noWrap w:val="0"/>
                  <w:vAlign w:val="center"/>
                </w:tcPr>
                <w:p w14:paraId="461BE263">
                  <w:pPr>
                    <w:pStyle w:val="111"/>
                    <w:wordWrap/>
                    <w:spacing w:before="0" w:beforeLines="0" w:after="0" w:afterLines="0" w:line="240" w:lineRule="exact"/>
                    <w:ind w:left="21" w:right="21"/>
                    <w:rPr>
                      <w:rFonts w:hint="default"/>
                      <w:color w:val="auto"/>
                      <w:highlight w:val="none"/>
                    </w:rPr>
                  </w:pPr>
                  <w:r>
                    <w:rPr>
                      <w:rFonts w:hint="eastAsia"/>
                      <w:color w:val="auto"/>
                      <w:highlight w:val="none"/>
                      <w:lang w:val="en-US" w:eastAsia="zh-CN"/>
                    </w:rPr>
                    <w:t>S17 900-003-S17废塑料。工业生产活动中产生的塑料废弃边角料、废弃塑料包装等废物</w:t>
                  </w:r>
                </w:p>
              </w:tc>
              <w:tc>
                <w:tcPr>
                  <w:tcW w:w="562" w:type="pct"/>
                  <w:noWrap w:val="0"/>
                  <w:vAlign w:val="center"/>
                </w:tcPr>
                <w:p w14:paraId="2D61610E">
                  <w:pPr>
                    <w:widowControl/>
                    <w:jc w:val="center"/>
                    <w:textAlignment w:val="center"/>
                    <w:rPr>
                      <w:rFonts w:hint="default" w:eastAsia="宋体"/>
                      <w:color w:val="auto"/>
                      <w:highlight w:val="none"/>
                      <w:lang w:val="en-US" w:eastAsia="zh-CN"/>
                    </w:rPr>
                  </w:pPr>
                  <w:r>
                    <w:rPr>
                      <w:rFonts w:hint="eastAsia"/>
                      <w:color w:val="auto"/>
                      <w:highlight w:val="none"/>
                      <w:lang w:val="en-US" w:eastAsia="zh-CN"/>
                    </w:rPr>
                    <w:t>4.8</w:t>
                  </w:r>
                </w:p>
              </w:tc>
              <w:tc>
                <w:tcPr>
                  <w:tcW w:w="492" w:type="pct"/>
                  <w:vMerge w:val="restart"/>
                  <w:noWrap w:val="0"/>
                  <w:vAlign w:val="center"/>
                </w:tcPr>
                <w:p w14:paraId="22984779">
                  <w:pPr>
                    <w:pStyle w:val="111"/>
                    <w:wordWrap/>
                    <w:spacing w:before="0" w:beforeLines="0" w:after="0" w:afterLines="0" w:line="240" w:lineRule="exact"/>
                    <w:ind w:left="21" w:right="21"/>
                    <w:rPr>
                      <w:rFonts w:hint="eastAsia" w:eastAsia="宋体"/>
                      <w:color w:val="auto"/>
                      <w:highlight w:val="none"/>
                      <w:lang w:eastAsia="zh-CN"/>
                    </w:rPr>
                  </w:pPr>
                  <w:r>
                    <w:rPr>
                      <w:color w:val="auto"/>
                      <w:highlight w:val="none"/>
                    </w:rPr>
                    <w:t>一般固废</w:t>
                  </w:r>
                  <w:r>
                    <w:rPr>
                      <w:rFonts w:hint="eastAsia"/>
                      <w:color w:val="auto"/>
                      <w:highlight w:val="none"/>
                      <w:lang w:val="en-US" w:eastAsia="zh-CN"/>
                    </w:rPr>
                    <w:t>区</w:t>
                  </w:r>
                </w:p>
                <w:p w14:paraId="50D03957">
                  <w:pPr>
                    <w:pStyle w:val="111"/>
                    <w:wordWrap/>
                    <w:spacing w:before="0" w:beforeLines="0" w:after="0" w:afterLines="0" w:line="240" w:lineRule="exact"/>
                    <w:ind w:left="21" w:right="21"/>
                    <w:rPr>
                      <w:rFonts w:hint="eastAsia" w:eastAsia="宋体"/>
                      <w:color w:val="auto"/>
                      <w:highlight w:val="none"/>
                      <w:lang w:val="en-US" w:eastAsia="zh-CN"/>
                    </w:rPr>
                  </w:pPr>
                </w:p>
              </w:tc>
              <w:tc>
                <w:tcPr>
                  <w:tcW w:w="735" w:type="pct"/>
                  <w:vMerge w:val="restart"/>
                  <w:noWrap w:val="0"/>
                  <w:vAlign w:val="center"/>
                </w:tcPr>
                <w:p w14:paraId="64B9ECC7">
                  <w:pPr>
                    <w:pStyle w:val="111"/>
                    <w:wordWrap/>
                    <w:spacing w:before="0" w:beforeLines="0" w:after="0" w:afterLines="0" w:line="240" w:lineRule="exact"/>
                    <w:ind w:left="21" w:right="21"/>
                    <w:rPr>
                      <w:rFonts w:hint="eastAsia"/>
                      <w:color w:val="auto"/>
                      <w:szCs w:val="21"/>
                      <w:highlight w:val="none"/>
                      <w:lang w:val="en-US" w:eastAsia="zh-CN"/>
                    </w:rPr>
                  </w:pPr>
                  <w:r>
                    <w:rPr>
                      <w:rFonts w:hint="eastAsia"/>
                      <w:color w:val="auto"/>
                      <w:szCs w:val="21"/>
                      <w:highlight w:val="none"/>
                      <w:lang w:val="en-US" w:eastAsia="zh-CN"/>
                    </w:rPr>
                    <w:t>统一收集，外卖废品收购站</w:t>
                  </w:r>
                </w:p>
                <w:p w14:paraId="3EF854ED">
                  <w:pPr>
                    <w:pStyle w:val="111"/>
                    <w:wordWrap/>
                    <w:spacing w:before="0" w:beforeLines="0" w:after="0" w:afterLines="0" w:line="240" w:lineRule="exact"/>
                    <w:ind w:left="21" w:right="21"/>
                    <w:rPr>
                      <w:rFonts w:hint="default"/>
                      <w:color w:val="auto"/>
                      <w:highlight w:val="none"/>
                    </w:rPr>
                  </w:pPr>
                </w:p>
              </w:tc>
            </w:tr>
            <w:tr w14:paraId="35410DD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26" w:type="pct"/>
                  <w:tcBorders>
                    <w:bottom w:val="single" w:color="000000" w:sz="4" w:space="0"/>
                  </w:tcBorders>
                  <w:noWrap w:val="0"/>
                  <w:vAlign w:val="center"/>
                </w:tcPr>
                <w:p w14:paraId="408353F1">
                  <w:pPr>
                    <w:snapToGrid w:val="0"/>
                    <w:spacing w:line="240" w:lineRule="atLeast"/>
                    <w:jc w:val="center"/>
                    <w:rPr>
                      <w:rFonts w:hint="eastAsia"/>
                      <w:color w:val="auto"/>
                      <w:kern w:val="0"/>
                      <w:sz w:val="21"/>
                      <w:szCs w:val="20"/>
                      <w:highlight w:val="none"/>
                    </w:rPr>
                  </w:pPr>
                  <w:r>
                    <w:rPr>
                      <w:rFonts w:hint="eastAsia"/>
                      <w:color w:val="auto"/>
                      <w:szCs w:val="21"/>
                      <w:highlight w:val="none"/>
                      <w:lang w:val="en-US" w:eastAsia="zh-CN"/>
                    </w:rPr>
                    <w:t>成型</w:t>
                  </w:r>
                </w:p>
              </w:tc>
              <w:tc>
                <w:tcPr>
                  <w:tcW w:w="637" w:type="pct"/>
                  <w:tcBorders>
                    <w:bottom w:val="single" w:color="000000" w:sz="4" w:space="0"/>
                  </w:tcBorders>
                  <w:noWrap w:val="0"/>
                  <w:vAlign w:val="center"/>
                </w:tcPr>
                <w:p w14:paraId="5B21A38C">
                  <w:pPr>
                    <w:pStyle w:val="111"/>
                    <w:wordWrap/>
                    <w:spacing w:before="0" w:beforeLines="0" w:after="0" w:afterLines="0" w:line="240" w:lineRule="exact"/>
                    <w:ind w:left="21" w:right="21"/>
                    <w:rPr>
                      <w:rFonts w:hint="default" w:eastAsia="宋体"/>
                      <w:color w:val="auto"/>
                      <w:highlight w:val="none"/>
                      <w:lang w:val="en-US" w:eastAsia="zh-CN"/>
                    </w:rPr>
                  </w:pPr>
                  <w:r>
                    <w:rPr>
                      <w:rFonts w:hint="eastAsia"/>
                      <w:color w:val="auto"/>
                      <w:szCs w:val="21"/>
                      <w:highlight w:val="none"/>
                      <w:lang w:val="en-US" w:eastAsia="zh-CN"/>
                    </w:rPr>
                    <w:t>不合格产品</w:t>
                  </w:r>
                </w:p>
              </w:tc>
              <w:tc>
                <w:tcPr>
                  <w:tcW w:w="585" w:type="pct"/>
                  <w:tcBorders>
                    <w:bottom w:val="single" w:color="000000" w:sz="4" w:space="0"/>
                  </w:tcBorders>
                  <w:noWrap w:val="0"/>
                  <w:vAlign w:val="center"/>
                </w:tcPr>
                <w:p w14:paraId="1E694D57">
                  <w:pPr>
                    <w:pStyle w:val="111"/>
                    <w:wordWrap/>
                    <w:spacing w:before="0" w:beforeLines="0" w:after="0" w:afterLines="0" w:line="240" w:lineRule="exact"/>
                    <w:ind w:left="21" w:right="21"/>
                    <w:rPr>
                      <w:rFonts w:hint="eastAsia" w:eastAsia="宋体"/>
                      <w:color w:val="auto"/>
                      <w:highlight w:val="none"/>
                      <w:lang w:val="en-US" w:eastAsia="zh-CN"/>
                    </w:rPr>
                  </w:pPr>
                  <w:r>
                    <w:rPr>
                      <w:rFonts w:hint="eastAsia"/>
                      <w:color w:val="auto"/>
                      <w:highlight w:val="none"/>
                      <w:lang w:val="en-US" w:eastAsia="zh-CN"/>
                    </w:rPr>
                    <w:t>废塑料</w:t>
                  </w:r>
                </w:p>
              </w:tc>
              <w:tc>
                <w:tcPr>
                  <w:tcW w:w="1059" w:type="pct"/>
                  <w:vMerge w:val="continue"/>
                  <w:noWrap w:val="0"/>
                  <w:vAlign w:val="center"/>
                </w:tcPr>
                <w:p w14:paraId="2E5171BD">
                  <w:pPr>
                    <w:pStyle w:val="111"/>
                    <w:wordWrap/>
                    <w:spacing w:before="0" w:beforeLines="0" w:after="0" w:afterLines="0" w:line="240" w:lineRule="exact"/>
                    <w:ind w:left="21" w:right="21"/>
                    <w:rPr>
                      <w:rFonts w:hint="eastAsia" w:eastAsia="宋体"/>
                      <w:color w:val="auto"/>
                      <w:highlight w:val="none"/>
                      <w:lang w:eastAsia="zh-CN"/>
                    </w:rPr>
                  </w:pPr>
                </w:p>
              </w:tc>
              <w:tc>
                <w:tcPr>
                  <w:tcW w:w="562" w:type="pct"/>
                  <w:tcBorders>
                    <w:bottom w:val="single" w:color="000000" w:sz="4" w:space="0"/>
                  </w:tcBorders>
                  <w:noWrap w:val="0"/>
                  <w:vAlign w:val="center"/>
                </w:tcPr>
                <w:p w14:paraId="044E1775">
                  <w:pPr>
                    <w:widowControl/>
                    <w:jc w:val="center"/>
                    <w:textAlignment w:val="center"/>
                    <w:rPr>
                      <w:rFonts w:hint="default" w:eastAsia="宋体"/>
                      <w:color w:val="auto"/>
                      <w:kern w:val="0"/>
                      <w:szCs w:val="20"/>
                      <w:highlight w:val="none"/>
                      <w:lang w:val="en-US" w:eastAsia="zh-CN"/>
                    </w:rPr>
                  </w:pPr>
                  <w:r>
                    <w:rPr>
                      <w:rFonts w:hint="eastAsia"/>
                      <w:color w:val="auto"/>
                      <w:kern w:val="0"/>
                      <w:szCs w:val="21"/>
                      <w:highlight w:val="none"/>
                      <w:lang w:val="en-US" w:eastAsia="zh-CN" w:bidi="ar"/>
                    </w:rPr>
                    <w:t>1.6</w:t>
                  </w:r>
                </w:p>
              </w:tc>
              <w:tc>
                <w:tcPr>
                  <w:tcW w:w="492" w:type="pct"/>
                  <w:vMerge w:val="continue"/>
                  <w:noWrap w:val="0"/>
                  <w:vAlign w:val="center"/>
                </w:tcPr>
                <w:p w14:paraId="2EA23959">
                  <w:pPr>
                    <w:pStyle w:val="111"/>
                    <w:wordWrap/>
                    <w:spacing w:before="0" w:beforeLines="0" w:after="0" w:afterLines="0" w:line="240" w:lineRule="exact"/>
                    <w:ind w:left="21" w:right="21"/>
                    <w:rPr>
                      <w:color w:val="auto"/>
                      <w:highlight w:val="none"/>
                    </w:rPr>
                  </w:pPr>
                </w:p>
              </w:tc>
              <w:tc>
                <w:tcPr>
                  <w:tcW w:w="735" w:type="pct"/>
                  <w:vMerge w:val="continue"/>
                  <w:noWrap w:val="0"/>
                  <w:vAlign w:val="center"/>
                </w:tcPr>
                <w:p w14:paraId="1CDC1001">
                  <w:pPr>
                    <w:pStyle w:val="111"/>
                    <w:wordWrap/>
                    <w:spacing w:before="0" w:beforeLines="0" w:after="0" w:afterLines="0" w:line="240" w:lineRule="exact"/>
                    <w:ind w:left="21" w:right="21"/>
                    <w:rPr>
                      <w:rFonts w:hint="default"/>
                      <w:color w:val="auto"/>
                      <w:highlight w:val="none"/>
                    </w:rPr>
                  </w:pPr>
                </w:p>
              </w:tc>
            </w:tr>
            <w:tr w14:paraId="646D429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926" w:type="pct"/>
                  <w:noWrap w:val="0"/>
                  <w:vAlign w:val="center"/>
                </w:tcPr>
                <w:p w14:paraId="663BB20C">
                  <w:pPr>
                    <w:snapToGrid w:val="0"/>
                    <w:spacing w:line="240" w:lineRule="atLeast"/>
                    <w:jc w:val="center"/>
                    <w:rPr>
                      <w:rFonts w:hint="default"/>
                      <w:color w:val="auto"/>
                      <w:highlight w:val="none"/>
                    </w:rPr>
                  </w:pPr>
                  <w:r>
                    <w:rPr>
                      <w:rFonts w:hint="eastAsia"/>
                      <w:color w:val="auto"/>
                      <w:szCs w:val="21"/>
                      <w:highlight w:val="none"/>
                      <w:lang w:val="en-US" w:eastAsia="zh-CN"/>
                    </w:rPr>
                    <w:t>切割</w:t>
                  </w:r>
                </w:p>
              </w:tc>
              <w:tc>
                <w:tcPr>
                  <w:tcW w:w="637" w:type="pct"/>
                  <w:noWrap w:val="0"/>
                  <w:vAlign w:val="center"/>
                </w:tcPr>
                <w:p w14:paraId="4486529B">
                  <w:pPr>
                    <w:pStyle w:val="111"/>
                    <w:wordWrap/>
                    <w:spacing w:before="0" w:beforeLines="0" w:after="0" w:afterLines="0" w:line="240" w:lineRule="exact"/>
                    <w:ind w:left="21" w:right="21"/>
                    <w:rPr>
                      <w:rFonts w:hint="default" w:eastAsia="宋体"/>
                      <w:color w:val="auto"/>
                      <w:highlight w:val="none"/>
                      <w:lang w:val="en-US" w:eastAsia="zh-CN"/>
                    </w:rPr>
                  </w:pPr>
                  <w:r>
                    <w:rPr>
                      <w:rFonts w:hint="eastAsia"/>
                      <w:color w:val="auto"/>
                      <w:highlight w:val="none"/>
                      <w:lang w:val="en-US" w:eastAsia="zh-CN"/>
                    </w:rPr>
                    <w:t>边角料</w:t>
                  </w:r>
                </w:p>
              </w:tc>
              <w:tc>
                <w:tcPr>
                  <w:tcW w:w="585" w:type="pct"/>
                  <w:noWrap w:val="0"/>
                  <w:vAlign w:val="center"/>
                </w:tcPr>
                <w:p w14:paraId="2101D53A">
                  <w:pPr>
                    <w:pStyle w:val="111"/>
                    <w:wordWrap/>
                    <w:spacing w:before="0" w:beforeLines="0" w:after="0" w:afterLines="0" w:line="240" w:lineRule="exact"/>
                    <w:ind w:left="21" w:right="21"/>
                    <w:rPr>
                      <w:rFonts w:hint="eastAsia" w:eastAsia="宋体"/>
                      <w:color w:val="auto"/>
                      <w:highlight w:val="none"/>
                      <w:lang w:val="en-US" w:eastAsia="zh-CN"/>
                    </w:rPr>
                  </w:pPr>
                  <w:r>
                    <w:rPr>
                      <w:rFonts w:hint="eastAsia"/>
                      <w:color w:val="auto"/>
                      <w:highlight w:val="none"/>
                      <w:lang w:val="en-US" w:eastAsia="zh-CN"/>
                    </w:rPr>
                    <w:t>废塑料</w:t>
                  </w:r>
                </w:p>
              </w:tc>
              <w:tc>
                <w:tcPr>
                  <w:tcW w:w="1059" w:type="pct"/>
                  <w:vMerge w:val="continue"/>
                  <w:noWrap w:val="0"/>
                  <w:vAlign w:val="center"/>
                </w:tcPr>
                <w:p w14:paraId="369956B6">
                  <w:pPr>
                    <w:pStyle w:val="111"/>
                    <w:wordWrap/>
                    <w:spacing w:before="0" w:beforeLines="0" w:after="0" w:afterLines="0" w:line="240" w:lineRule="exact"/>
                    <w:ind w:left="21" w:right="21"/>
                    <w:rPr>
                      <w:rFonts w:hint="default"/>
                      <w:color w:val="auto"/>
                      <w:highlight w:val="none"/>
                    </w:rPr>
                  </w:pPr>
                </w:p>
              </w:tc>
              <w:tc>
                <w:tcPr>
                  <w:tcW w:w="562" w:type="pct"/>
                  <w:noWrap w:val="0"/>
                  <w:vAlign w:val="center"/>
                </w:tcPr>
                <w:p w14:paraId="5FE3AB72">
                  <w:pPr>
                    <w:widowControl/>
                    <w:jc w:val="center"/>
                    <w:textAlignment w:val="center"/>
                    <w:rPr>
                      <w:color w:val="auto"/>
                      <w:highlight w:val="none"/>
                    </w:rPr>
                  </w:pPr>
                  <w:r>
                    <w:rPr>
                      <w:rFonts w:hint="eastAsia"/>
                      <w:color w:val="auto"/>
                      <w:highlight w:val="none"/>
                      <w:lang w:val="en-US" w:eastAsia="zh-CN"/>
                    </w:rPr>
                    <w:t>4</w:t>
                  </w:r>
                </w:p>
              </w:tc>
              <w:tc>
                <w:tcPr>
                  <w:tcW w:w="492" w:type="pct"/>
                  <w:vMerge w:val="continue"/>
                  <w:noWrap w:val="0"/>
                  <w:vAlign w:val="center"/>
                </w:tcPr>
                <w:p w14:paraId="0AF2BFCC">
                  <w:pPr>
                    <w:pStyle w:val="111"/>
                    <w:wordWrap/>
                    <w:spacing w:before="0" w:beforeLines="0" w:after="0" w:afterLines="0" w:line="240" w:lineRule="exact"/>
                    <w:ind w:left="21" w:right="21"/>
                    <w:rPr>
                      <w:rFonts w:hint="default"/>
                      <w:color w:val="auto"/>
                      <w:highlight w:val="none"/>
                    </w:rPr>
                  </w:pPr>
                </w:p>
              </w:tc>
              <w:tc>
                <w:tcPr>
                  <w:tcW w:w="735" w:type="pct"/>
                  <w:vMerge w:val="continue"/>
                  <w:noWrap w:val="0"/>
                  <w:vAlign w:val="center"/>
                </w:tcPr>
                <w:p w14:paraId="7D28EAE2">
                  <w:pPr>
                    <w:pStyle w:val="111"/>
                    <w:wordWrap/>
                    <w:spacing w:before="0" w:beforeLines="0" w:after="0" w:afterLines="0" w:line="240" w:lineRule="exact"/>
                    <w:ind w:left="21" w:right="21"/>
                    <w:rPr>
                      <w:rFonts w:hint="default" w:eastAsia="宋体"/>
                      <w:color w:val="auto"/>
                      <w:highlight w:val="none"/>
                      <w:lang w:val="en-US" w:eastAsia="zh-CN"/>
                    </w:rPr>
                  </w:pPr>
                </w:p>
              </w:tc>
            </w:tr>
          </w:tbl>
          <w:p w14:paraId="39ADD111">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left="0" w:leftChars="0" w:firstLine="480" w:firstLineChars="200"/>
              <w:textAlignment w:val="auto"/>
              <w:rPr>
                <w:rFonts w:hint="default" w:eastAsia="宋体"/>
                <w:color w:val="auto"/>
                <w:sz w:val="24"/>
                <w:szCs w:val="24"/>
                <w:highlight w:val="none"/>
                <w:lang w:val="en-US" w:eastAsia="zh-CN"/>
              </w:rPr>
            </w:pPr>
            <w:r>
              <w:rPr>
                <w:color w:val="auto"/>
                <w:sz w:val="24"/>
                <w:szCs w:val="24"/>
                <w:highlight w:val="none"/>
              </w:rPr>
              <w:t>（2）</w:t>
            </w:r>
            <w:r>
              <w:rPr>
                <w:rFonts w:hint="eastAsia"/>
                <w:color w:val="auto"/>
                <w:sz w:val="24"/>
                <w:szCs w:val="24"/>
                <w:highlight w:val="none"/>
                <w:lang w:val="en-US" w:eastAsia="zh-CN"/>
              </w:rPr>
              <w:t>职工生活垃圾</w:t>
            </w:r>
          </w:p>
          <w:p w14:paraId="0C0952F8">
            <w:pPr>
              <w:pStyle w:val="120"/>
              <w:pageBreakBefore w:val="0"/>
              <w:widowControl w:val="0"/>
              <w:kinsoku/>
              <w:wordWrap/>
              <w:overflowPunct/>
              <w:topLinePunct w:val="0"/>
              <w:autoSpaceDE/>
              <w:autoSpaceDN/>
              <w:bidi w:val="0"/>
              <w:adjustRightInd/>
              <w:snapToGrid/>
              <w:spacing w:before="0" w:beforeLines="0" w:after="0" w:afterLines="0" w:line="360" w:lineRule="auto"/>
              <w:ind w:left="0" w:leftChars="0" w:firstLine="480"/>
              <w:textAlignment w:val="auto"/>
              <w:rPr>
                <w:rFonts w:hint="default"/>
                <w:color w:val="auto"/>
                <w:sz w:val="24"/>
                <w:szCs w:val="24"/>
                <w:highlight w:val="none"/>
              </w:rPr>
            </w:pPr>
            <w:r>
              <w:rPr>
                <w:rFonts w:hint="eastAsia" w:cs="Times New Roman"/>
                <w:color w:val="auto"/>
                <w:sz w:val="24"/>
                <w:szCs w:val="24"/>
                <w:highlight w:val="none"/>
                <w:lang w:val="en-US" w:eastAsia="zh-CN"/>
              </w:rPr>
              <w:t>项目</w:t>
            </w:r>
            <w:r>
              <w:rPr>
                <w:rFonts w:hint="default" w:ascii="Times New Roman" w:hAnsi="Times New Roman" w:cs="Times New Roman"/>
                <w:color w:val="auto"/>
                <w:sz w:val="24"/>
                <w:szCs w:val="24"/>
                <w:highlight w:val="none"/>
                <w:lang w:val="en-US" w:eastAsia="zh-CN"/>
              </w:rPr>
              <w:t>劳动定员</w:t>
            </w:r>
            <w:r>
              <w:rPr>
                <w:rFonts w:hint="eastAsia"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0人，工作时间</w:t>
            </w:r>
            <w:r>
              <w:rPr>
                <w:rFonts w:hint="eastAsia" w:cs="Times New Roman"/>
                <w:color w:val="auto"/>
                <w:sz w:val="24"/>
                <w:szCs w:val="24"/>
                <w:highlight w:val="none"/>
                <w:lang w:val="en-US" w:eastAsia="zh-CN"/>
              </w:rPr>
              <w:t>300</w:t>
            </w:r>
            <w:r>
              <w:rPr>
                <w:rFonts w:hint="default" w:ascii="Times New Roman" w:hAnsi="Times New Roman" w:cs="Times New Roman"/>
                <w:color w:val="auto"/>
                <w:sz w:val="24"/>
                <w:szCs w:val="24"/>
                <w:highlight w:val="none"/>
                <w:lang w:val="en-US" w:eastAsia="zh-CN"/>
              </w:rPr>
              <w:t>d/a。生活垃圾产生系数0.5kg/d</w:t>
            </w:r>
            <w:r>
              <w:rPr>
                <w:rFonts w:hint="default" w:ascii="Times New Roman" w:hAnsi="Times New Roman" w:eastAsia="宋体" w:cs="Times New Roman"/>
                <w:color w:val="auto"/>
                <w:sz w:val="24"/>
                <w:szCs w:val="24"/>
                <w:highlight w:val="none"/>
                <w:lang w:val="en-US" w:eastAsia="zh-CN"/>
              </w:rPr>
              <w:t>·人，共产生</w:t>
            </w:r>
            <w:r>
              <w:rPr>
                <w:rFonts w:hint="eastAsia"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en-US" w:eastAsia="zh-CN"/>
              </w:rPr>
              <w:t>t/a，主要成分纸、塑料。统一收集，交环卫部门处理。</w:t>
            </w:r>
          </w:p>
          <w:p w14:paraId="2A807621">
            <w:pPr>
              <w:pStyle w:val="120"/>
              <w:pageBreakBefore w:val="0"/>
              <w:widowControl w:val="0"/>
              <w:kinsoku/>
              <w:wordWrap/>
              <w:overflowPunct/>
              <w:topLinePunct w:val="0"/>
              <w:autoSpaceDE/>
              <w:autoSpaceDN/>
              <w:bidi w:val="0"/>
              <w:adjustRightInd/>
              <w:snapToGrid/>
              <w:spacing w:before="0" w:beforeLines="0" w:after="0" w:afterLines="0" w:line="360" w:lineRule="auto"/>
              <w:ind w:left="0" w:leftChars="0" w:firstLine="480"/>
              <w:textAlignment w:val="auto"/>
              <w:rPr>
                <w:rFonts w:hint="default"/>
                <w:color w:val="auto"/>
                <w:sz w:val="24"/>
                <w:szCs w:val="24"/>
                <w:highlight w:val="none"/>
              </w:rPr>
            </w:pPr>
            <w:r>
              <w:rPr>
                <w:rFonts w:hint="default"/>
                <w:color w:val="auto"/>
                <w:sz w:val="24"/>
                <w:szCs w:val="24"/>
                <w:highlight w:val="none"/>
              </w:rPr>
              <w:t>（</w:t>
            </w:r>
            <w:r>
              <w:rPr>
                <w:color w:val="auto"/>
                <w:sz w:val="24"/>
                <w:szCs w:val="24"/>
                <w:highlight w:val="none"/>
              </w:rPr>
              <w:t>3</w:t>
            </w:r>
            <w:r>
              <w:rPr>
                <w:rFonts w:hint="default"/>
                <w:color w:val="auto"/>
                <w:sz w:val="24"/>
                <w:szCs w:val="24"/>
                <w:highlight w:val="none"/>
              </w:rPr>
              <w:t>）危险废物产生、处置情况</w:t>
            </w:r>
          </w:p>
          <w:p w14:paraId="0FFEF202">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both"/>
              <w:textAlignment w:val="auto"/>
              <w:rPr>
                <w:rFonts w:hint="default" w:cs="Times New Roman"/>
                <w:color w:val="auto"/>
                <w:sz w:val="24"/>
                <w:szCs w:val="24"/>
                <w:highlight w:val="none"/>
                <w:lang w:val="en-US" w:eastAsia="zh-CN"/>
              </w:rPr>
            </w:pPr>
            <w:r>
              <w:rPr>
                <w:rFonts w:hint="eastAsia" w:cs="Times New Roman"/>
                <w:color w:val="auto"/>
                <w:sz w:val="24"/>
                <w:szCs w:val="24"/>
                <w:highlight w:val="none"/>
                <w:lang w:val="en-US" w:eastAsia="zh-CN"/>
              </w:rPr>
              <w:t>1）废活性炭</w:t>
            </w:r>
          </w:p>
          <w:p w14:paraId="1D9D9C11">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both"/>
              <w:textAlignment w:val="auto"/>
              <w:rPr>
                <w:rFonts w:hint="eastAsia" w:ascii="Times New Roman" w:hAnsi="Times New Roman" w:eastAsia="宋体" w:cs="Times New Roman"/>
                <w:bCs w:val="0"/>
                <w:color w:val="auto"/>
                <w:kern w:val="0"/>
                <w:sz w:val="24"/>
                <w:szCs w:val="24"/>
                <w:highlight w:val="none"/>
                <w:lang w:val="en-US" w:eastAsia="zh-CN" w:bidi="ar-SA"/>
              </w:rPr>
            </w:pPr>
            <w:r>
              <w:rPr>
                <w:rFonts w:hint="eastAsia" w:ascii="Times New Roman" w:hAnsi="Times New Roman" w:eastAsia="宋体" w:cs="Times New Roman"/>
                <w:color w:val="auto"/>
                <w:sz w:val="24"/>
                <w:szCs w:val="24"/>
                <w:highlight w:val="none"/>
                <w:lang w:val="en-US" w:eastAsia="zh-CN"/>
              </w:rPr>
              <w:t>依据《石家庄市涉VOCs企业活性炭吸附脱附</w:t>
            </w:r>
            <w:r>
              <w:rPr>
                <w:rFonts w:hint="default" w:ascii="Times New Roman" w:hAnsi="Times New Roman" w:eastAsia="宋体" w:cs="Times New Roman"/>
                <w:color w:val="auto"/>
                <w:sz w:val="24"/>
                <w:szCs w:val="24"/>
                <w:highlight w:val="none"/>
                <w:lang w:val="en-US" w:eastAsia="zh-CN"/>
              </w:rPr>
              <w:t>技术指南</w:t>
            </w:r>
            <w:r>
              <w:rPr>
                <w:rFonts w:hint="eastAsia" w:ascii="Times New Roman" w:hAnsi="Times New Roman" w:eastAsia="宋体" w:cs="Times New Roman"/>
                <w:color w:val="auto"/>
                <w:sz w:val="24"/>
                <w:szCs w:val="24"/>
                <w:highlight w:val="none"/>
                <w:lang w:val="en-US" w:eastAsia="zh-CN"/>
              </w:rPr>
              <w:t>》，活性炭填充量与每小时处理废气量体积之比应不小于</w:t>
            </w:r>
            <w:r>
              <w:rPr>
                <w:rFonts w:hint="default" w:ascii="Times New Roman" w:hAnsi="Times New Roman" w:eastAsia="宋体" w:cs="Times New Roman"/>
                <w:color w:val="auto"/>
                <w:sz w:val="24"/>
                <w:szCs w:val="24"/>
                <w:highlight w:val="none"/>
                <w:lang w:val="en-US" w:eastAsia="zh-CN"/>
              </w:rPr>
              <w:t>1:5000</w:t>
            </w:r>
            <w:r>
              <w:rPr>
                <w:rFonts w:hint="eastAsia" w:ascii="Times New Roman" w:hAnsi="Times New Roman" w:eastAsia="宋体" w:cs="Times New Roman"/>
                <w:color w:val="auto"/>
                <w:sz w:val="24"/>
                <w:szCs w:val="24"/>
                <w:highlight w:val="none"/>
                <w:lang w:val="en-US" w:eastAsia="zh-CN"/>
              </w:rPr>
              <w:t>，项目“活性炭吸附”设备风量为</w:t>
            </w:r>
            <w:r>
              <w:rPr>
                <w:rFonts w:hint="eastAsia" w:cs="Times New Roman"/>
                <w:color w:val="auto"/>
                <w:sz w:val="24"/>
                <w:szCs w:val="24"/>
                <w:highlight w:val="none"/>
                <w:lang w:val="en-US" w:eastAsia="zh-CN"/>
              </w:rPr>
              <w:t>3</w:t>
            </w:r>
            <w:r>
              <w:rPr>
                <w:rFonts w:hint="eastAsia" w:ascii="Times New Roman" w:hAnsi="Times New Roman" w:eastAsia="宋体" w:cs="Times New Roman"/>
                <w:color w:val="auto"/>
                <w:sz w:val="24"/>
                <w:szCs w:val="24"/>
                <w:highlight w:val="none"/>
                <w:lang w:val="en-US" w:eastAsia="zh-CN"/>
              </w:rPr>
              <w:t>00</w:t>
            </w:r>
            <w:r>
              <w:rPr>
                <w:rFonts w:hint="eastAsia" w:cs="Times New Roman"/>
                <w:color w:val="auto"/>
                <w:sz w:val="24"/>
                <w:szCs w:val="24"/>
                <w:highlight w:val="none"/>
                <w:lang w:val="en-US" w:eastAsia="zh-CN"/>
              </w:rPr>
              <w:t>0</w:t>
            </w:r>
            <w:r>
              <w:rPr>
                <w:rFonts w:hint="eastAsia" w:ascii="Times New Roman" w:hAnsi="Times New Roman" w:eastAsia="宋体" w:cs="Times New Roman"/>
                <w:color w:val="auto"/>
                <w:sz w:val="24"/>
                <w:szCs w:val="24"/>
                <w:highlight w:val="none"/>
                <w:lang w:val="en-US" w:eastAsia="zh-CN"/>
              </w:rPr>
              <w:t>0m</w:t>
            </w:r>
            <w:r>
              <w:rPr>
                <w:rFonts w:hint="eastAsia" w:ascii="Times New Roman" w:hAnsi="Times New Roman" w:eastAsia="宋体" w:cs="Times New Roman"/>
                <w:color w:val="auto"/>
                <w:sz w:val="24"/>
                <w:szCs w:val="24"/>
                <w:highlight w:val="none"/>
                <w:vertAlign w:val="superscript"/>
                <w:lang w:val="en-US" w:eastAsia="zh-CN"/>
              </w:rPr>
              <w:t>3</w:t>
            </w:r>
            <w:r>
              <w:rPr>
                <w:rFonts w:hint="eastAsia" w:ascii="Times New Roman" w:hAnsi="Times New Roman" w:eastAsia="宋体" w:cs="Times New Roman"/>
                <w:color w:val="auto"/>
                <w:sz w:val="24"/>
                <w:szCs w:val="24"/>
                <w:highlight w:val="none"/>
                <w:lang w:val="en-US" w:eastAsia="zh-CN"/>
              </w:rPr>
              <w:t>/h，活性炭填装量为</w:t>
            </w:r>
            <w:r>
              <w:rPr>
                <w:rFonts w:hint="eastAsia" w:cs="Times New Roman"/>
                <w:color w:val="auto"/>
                <w:sz w:val="24"/>
                <w:szCs w:val="24"/>
                <w:highlight w:val="none"/>
                <w:lang w:val="en-US" w:eastAsia="zh-CN"/>
              </w:rPr>
              <w:t>6</w:t>
            </w:r>
            <w:r>
              <w:rPr>
                <w:rFonts w:hint="eastAsia" w:ascii="Times New Roman" w:hAnsi="Times New Roman" w:eastAsia="宋体" w:cs="Times New Roman"/>
                <w:color w:val="auto"/>
                <w:sz w:val="24"/>
                <w:szCs w:val="24"/>
                <w:highlight w:val="none"/>
                <w:lang w:val="en-US" w:eastAsia="zh-CN"/>
              </w:rPr>
              <w:t>m</w:t>
            </w:r>
            <w:r>
              <w:rPr>
                <w:rFonts w:hint="eastAsia" w:ascii="Times New Roman" w:hAnsi="Times New Roman" w:eastAsia="宋体" w:cs="Times New Roman"/>
                <w:color w:val="auto"/>
                <w:sz w:val="24"/>
                <w:szCs w:val="24"/>
                <w:highlight w:val="none"/>
                <w:vertAlign w:val="superscript"/>
                <w:lang w:val="en-US" w:eastAsia="zh-CN"/>
              </w:rPr>
              <w:t>3</w:t>
            </w:r>
            <w:r>
              <w:rPr>
                <w:rFonts w:hint="eastAsia" w:ascii="Times New Roman" w:hAnsi="Times New Roman" w:eastAsia="宋体" w:cs="Times New Roman"/>
                <w:color w:val="auto"/>
                <w:sz w:val="24"/>
                <w:szCs w:val="24"/>
                <w:highlight w:val="none"/>
                <w:vertAlign w:val="baseline"/>
                <w:lang w:val="en-US" w:eastAsia="zh-CN"/>
              </w:rPr>
              <w:t>。蜂窝活性炭的质量一般为0.45</w:t>
            </w:r>
            <w:r>
              <w:rPr>
                <w:rFonts w:hint="eastAsia" w:cs="Times New Roman"/>
                <w:color w:val="auto"/>
                <w:sz w:val="24"/>
                <w:szCs w:val="24"/>
                <w:highlight w:val="none"/>
                <w:vertAlign w:val="baseline"/>
                <w:lang w:val="en-US" w:eastAsia="zh-CN"/>
              </w:rPr>
              <w:t>～</w:t>
            </w:r>
            <w:r>
              <w:rPr>
                <w:rFonts w:hint="eastAsia" w:ascii="Times New Roman" w:hAnsi="Times New Roman" w:eastAsia="宋体" w:cs="Times New Roman"/>
                <w:color w:val="auto"/>
                <w:sz w:val="24"/>
                <w:szCs w:val="24"/>
                <w:highlight w:val="none"/>
                <w:vertAlign w:val="baseline"/>
                <w:lang w:val="en-US" w:eastAsia="zh-CN"/>
              </w:rPr>
              <w:t>0.65t/</w:t>
            </w:r>
            <w:r>
              <w:rPr>
                <w:rFonts w:hint="eastAsia" w:ascii="Times New Roman" w:hAnsi="Times New Roman" w:eastAsia="宋体" w:cs="Times New Roman"/>
                <w:color w:val="auto"/>
                <w:sz w:val="24"/>
                <w:szCs w:val="24"/>
                <w:highlight w:val="none"/>
                <w:lang w:val="en-US" w:eastAsia="zh-CN"/>
              </w:rPr>
              <w:t>m</w:t>
            </w:r>
            <w:r>
              <w:rPr>
                <w:rFonts w:hint="eastAsia" w:ascii="Times New Roman" w:hAnsi="Times New Roman" w:eastAsia="宋体" w:cs="Times New Roman"/>
                <w:color w:val="auto"/>
                <w:sz w:val="24"/>
                <w:szCs w:val="24"/>
                <w:highlight w:val="none"/>
                <w:vertAlign w:val="superscript"/>
                <w:lang w:val="en-US" w:eastAsia="zh-CN"/>
              </w:rPr>
              <w:t>3</w:t>
            </w:r>
            <w:r>
              <w:rPr>
                <w:rFonts w:hint="eastAsia" w:ascii="Times New Roman" w:hAnsi="Times New Roman" w:eastAsia="宋体" w:cs="Times New Roman"/>
                <w:color w:val="auto"/>
                <w:sz w:val="24"/>
                <w:szCs w:val="24"/>
                <w:highlight w:val="none"/>
                <w:lang w:val="en-US" w:eastAsia="zh-CN"/>
              </w:rPr>
              <w:t>，本次估算按0.5</w:t>
            </w:r>
            <w:r>
              <w:rPr>
                <w:rFonts w:hint="eastAsia" w:ascii="Times New Roman" w:hAnsi="Times New Roman" w:eastAsia="宋体" w:cs="Times New Roman"/>
                <w:color w:val="auto"/>
                <w:sz w:val="24"/>
                <w:szCs w:val="24"/>
                <w:highlight w:val="none"/>
                <w:vertAlign w:val="baseline"/>
                <w:lang w:val="en-US" w:eastAsia="zh-CN"/>
              </w:rPr>
              <w:t>t/</w:t>
            </w:r>
            <w:r>
              <w:rPr>
                <w:rFonts w:hint="eastAsia" w:ascii="Times New Roman" w:hAnsi="Times New Roman" w:eastAsia="宋体" w:cs="Times New Roman"/>
                <w:color w:val="auto"/>
                <w:sz w:val="24"/>
                <w:szCs w:val="24"/>
                <w:highlight w:val="none"/>
                <w:lang w:val="en-US" w:eastAsia="zh-CN"/>
              </w:rPr>
              <w:t>m</w:t>
            </w:r>
            <w:r>
              <w:rPr>
                <w:rFonts w:hint="eastAsia" w:ascii="Times New Roman" w:hAnsi="Times New Roman" w:eastAsia="宋体" w:cs="Times New Roman"/>
                <w:color w:val="auto"/>
                <w:sz w:val="24"/>
                <w:szCs w:val="24"/>
                <w:highlight w:val="none"/>
                <w:vertAlign w:val="superscript"/>
                <w:lang w:val="en-US" w:eastAsia="zh-CN"/>
              </w:rPr>
              <w:t>3</w:t>
            </w:r>
            <w:r>
              <w:rPr>
                <w:rFonts w:hint="eastAsia" w:ascii="Times New Roman" w:hAnsi="Times New Roman" w:eastAsia="宋体" w:cs="Times New Roman"/>
                <w:color w:val="auto"/>
                <w:sz w:val="24"/>
                <w:szCs w:val="24"/>
                <w:highlight w:val="none"/>
                <w:vertAlign w:val="baseline"/>
                <w:lang w:val="en-US" w:eastAsia="zh-CN"/>
              </w:rPr>
              <w:t>计算，需</w:t>
            </w:r>
            <w:r>
              <w:rPr>
                <w:rFonts w:hint="eastAsia" w:ascii="Times New Roman" w:hAnsi="Times New Roman" w:eastAsia="宋体" w:cs="Times New Roman"/>
                <w:bCs w:val="0"/>
                <w:color w:val="auto"/>
                <w:kern w:val="0"/>
                <w:sz w:val="24"/>
                <w:szCs w:val="24"/>
                <w:highlight w:val="none"/>
                <w:lang w:val="en-US" w:eastAsia="zh-CN" w:bidi="ar-SA"/>
              </w:rPr>
              <w:t>填装活性炭</w:t>
            </w:r>
            <w:r>
              <w:rPr>
                <w:rFonts w:hint="eastAsia" w:cs="Times New Roman"/>
                <w:bCs w:val="0"/>
                <w:color w:val="auto"/>
                <w:kern w:val="0"/>
                <w:sz w:val="24"/>
                <w:szCs w:val="24"/>
                <w:highlight w:val="none"/>
                <w:lang w:val="en-US" w:eastAsia="zh-CN" w:bidi="ar-SA"/>
              </w:rPr>
              <w:t>3t</w:t>
            </w:r>
            <w:r>
              <w:rPr>
                <w:rFonts w:hint="eastAsia" w:ascii="Times New Roman" w:hAnsi="Times New Roman" w:eastAsia="宋体" w:cs="Times New Roman"/>
                <w:bCs w:val="0"/>
                <w:color w:val="auto"/>
                <w:kern w:val="0"/>
                <w:sz w:val="24"/>
                <w:szCs w:val="24"/>
                <w:highlight w:val="none"/>
                <w:lang w:val="en-US" w:eastAsia="zh-CN" w:bidi="ar-SA"/>
              </w:rPr>
              <w:t>。</w:t>
            </w:r>
            <w:r>
              <w:rPr>
                <w:rFonts w:hint="eastAsia" w:cs="Times New Roman"/>
                <w:bCs w:val="0"/>
                <w:color w:val="auto"/>
                <w:kern w:val="0"/>
                <w:sz w:val="24"/>
                <w:szCs w:val="24"/>
                <w:highlight w:val="none"/>
                <w:lang w:val="en-US" w:eastAsia="zh-CN" w:bidi="ar-SA"/>
              </w:rPr>
              <w:t>根据废气源强核算章节，</w:t>
            </w:r>
            <w:r>
              <w:rPr>
                <w:rFonts w:hint="eastAsia" w:ascii="Times New Roman" w:hAnsi="Times New Roman" w:eastAsia="宋体" w:cs="Times New Roman"/>
                <w:color w:val="auto"/>
                <w:sz w:val="24"/>
                <w:szCs w:val="24"/>
                <w:highlight w:val="none"/>
                <w:lang w:val="en-US" w:eastAsia="zh-CN"/>
              </w:rPr>
              <w:t>活性炭</w:t>
            </w:r>
            <w:r>
              <w:rPr>
                <w:rFonts w:hint="eastAsia" w:ascii="Times New Roman" w:hAnsi="Times New Roman" w:cs="Times New Roman"/>
                <w:color w:val="auto"/>
                <w:sz w:val="24"/>
                <w:szCs w:val="24"/>
                <w:highlight w:val="none"/>
                <w:lang w:val="en-US" w:eastAsia="zh-CN"/>
              </w:rPr>
              <w:t>的年再生为48次，本次环评要求建设单位活性</w:t>
            </w:r>
            <w:r>
              <w:rPr>
                <w:rFonts w:hint="eastAsia" w:ascii="Times New Roman" w:hAnsi="Times New Roman" w:eastAsia="宋体" w:cs="Times New Roman"/>
                <w:color w:val="auto"/>
                <w:sz w:val="24"/>
                <w:szCs w:val="24"/>
                <w:highlight w:val="none"/>
                <w:lang w:val="en-US" w:eastAsia="zh-CN"/>
              </w:rPr>
              <w:t>炭</w:t>
            </w:r>
            <w:r>
              <w:rPr>
                <w:rFonts w:hint="eastAsia" w:ascii="Times New Roman" w:hAnsi="Times New Roman" w:cs="Times New Roman"/>
                <w:color w:val="auto"/>
                <w:sz w:val="24"/>
                <w:szCs w:val="24"/>
                <w:highlight w:val="none"/>
                <w:lang w:val="en-US" w:eastAsia="zh-CN"/>
              </w:rPr>
              <w:t>再生</w:t>
            </w:r>
            <w:r>
              <w:rPr>
                <w:rFonts w:hint="eastAsia" w:cs="Times New Roman"/>
                <w:color w:val="auto"/>
                <w:sz w:val="24"/>
                <w:szCs w:val="24"/>
                <w:highlight w:val="none"/>
                <w:lang w:val="en-US" w:eastAsia="zh-CN"/>
              </w:rPr>
              <w:t>72</w:t>
            </w:r>
            <w:r>
              <w:rPr>
                <w:rFonts w:hint="eastAsia" w:ascii="Times New Roman" w:hAnsi="Times New Roman" w:cs="Times New Roman"/>
                <w:color w:val="auto"/>
                <w:sz w:val="24"/>
                <w:szCs w:val="24"/>
                <w:highlight w:val="none"/>
                <w:lang w:val="en-US" w:eastAsia="zh-CN"/>
              </w:rPr>
              <w:t>次时更换活性炭，则更换时废活性产生量为3+0.3=3.3</w:t>
            </w:r>
            <w:r>
              <w:rPr>
                <w:rFonts w:hint="eastAsia" w:cs="Times New Roman"/>
                <w:color w:val="auto"/>
                <w:sz w:val="24"/>
                <w:szCs w:val="24"/>
                <w:highlight w:val="none"/>
                <w:vertAlign w:val="baseline"/>
                <w:lang w:val="en-US" w:eastAsia="zh-CN"/>
              </w:rPr>
              <w:t>吨/1.5年（2.2</w:t>
            </w:r>
            <w:r>
              <w:rPr>
                <w:rFonts w:hint="eastAsia" w:ascii="Times New Roman" w:hAnsi="Times New Roman" w:eastAsia="宋体" w:cs="Times New Roman"/>
                <w:color w:val="auto"/>
                <w:sz w:val="24"/>
                <w:szCs w:val="24"/>
                <w:highlight w:val="none"/>
                <w:vertAlign w:val="baseline"/>
                <w:lang w:val="en-US" w:eastAsia="zh-CN"/>
              </w:rPr>
              <w:t>t</w:t>
            </w:r>
            <w:r>
              <w:rPr>
                <w:rFonts w:hint="eastAsia" w:cs="Times New Roman"/>
                <w:color w:val="auto"/>
                <w:sz w:val="24"/>
                <w:szCs w:val="24"/>
                <w:highlight w:val="none"/>
                <w:vertAlign w:val="baseline"/>
                <w:lang w:val="en-US" w:eastAsia="zh-CN"/>
              </w:rPr>
              <w:t>/a）</w:t>
            </w:r>
            <w:r>
              <w:rPr>
                <w:rFonts w:hint="eastAsia" w:ascii="Times New Roman" w:hAnsi="Times New Roman" w:cs="Times New Roman"/>
                <w:color w:val="auto"/>
                <w:sz w:val="24"/>
                <w:szCs w:val="24"/>
                <w:highlight w:val="none"/>
                <w:vertAlign w:val="baseline"/>
                <w:lang w:val="en-US" w:eastAsia="zh-CN"/>
              </w:rPr>
              <w:t>，</w:t>
            </w:r>
          </w:p>
          <w:p w14:paraId="2822598E">
            <w:pPr>
              <w:pStyle w:val="120"/>
              <w:pageBreakBefore w:val="0"/>
              <w:widowControl w:val="0"/>
              <w:kinsoku/>
              <w:wordWrap/>
              <w:overflowPunct/>
              <w:topLinePunct w:val="0"/>
              <w:autoSpaceDE/>
              <w:autoSpaceDN/>
              <w:bidi w:val="0"/>
              <w:adjustRightInd/>
              <w:snapToGrid/>
              <w:spacing w:before="0" w:beforeLines="0" w:after="0" w:afterLines="0" w:line="360" w:lineRule="auto"/>
              <w:ind w:left="0" w:leftChars="0"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根据《国家危险废物名录》（202</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年版），</w:t>
            </w:r>
            <w:r>
              <w:rPr>
                <w:rFonts w:hint="eastAsia" w:ascii="Times New Roman" w:hAnsi="Times New Roman" w:eastAsia="宋体" w:cs="Times New Roman"/>
                <w:color w:val="auto"/>
                <w:sz w:val="24"/>
                <w:szCs w:val="24"/>
                <w:highlight w:val="none"/>
                <w:lang w:val="en-US" w:eastAsia="zh-CN"/>
              </w:rPr>
              <w:t>项目</w:t>
            </w:r>
            <w:r>
              <w:rPr>
                <w:rFonts w:hint="default" w:ascii="Times New Roman" w:hAnsi="Times New Roman" w:eastAsia="宋体" w:cs="Times New Roman"/>
                <w:color w:val="auto"/>
                <w:sz w:val="24"/>
                <w:szCs w:val="24"/>
                <w:highlight w:val="none"/>
                <w:lang w:val="en-US" w:eastAsia="zh-CN"/>
              </w:rPr>
              <w:t>废气治理设施产生的废活性炭。废活性炭属于</w:t>
            </w:r>
            <w:r>
              <w:rPr>
                <w:rFonts w:hint="eastAsia"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HW49 其他废物</w:t>
            </w:r>
            <w:r>
              <w:rPr>
                <w:rFonts w:hint="eastAsia"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中</w:t>
            </w:r>
            <w:r>
              <w:rPr>
                <w:rFonts w:hint="eastAsia"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900-039-49烟气、VOCs治理过程（不包括餐饮行业油烟治理过程）产生的废活性炭</w:t>
            </w:r>
            <w:r>
              <w:rPr>
                <w:rFonts w:hint="eastAsia"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，危险特性表现为毒性</w:t>
            </w:r>
            <w:r>
              <w:rPr>
                <w:rFonts w:hint="eastAsia"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暂存于</w:t>
            </w:r>
            <w:r>
              <w:rPr>
                <w:rFonts w:hint="eastAsia" w:ascii="Times New Roman" w:hAnsi="Times New Roman" w:eastAsia="宋体" w:cs="Times New Roman"/>
                <w:color w:val="auto"/>
                <w:sz w:val="24"/>
                <w:szCs w:val="24"/>
                <w:highlight w:val="none"/>
                <w:lang w:val="en-US" w:eastAsia="zh-CN"/>
              </w:rPr>
              <w:t>危险废物暂存</w:t>
            </w:r>
            <w:r>
              <w:rPr>
                <w:rFonts w:hint="eastAsia" w:cs="Times New Roman"/>
                <w:color w:val="auto"/>
                <w:sz w:val="24"/>
                <w:szCs w:val="24"/>
                <w:highlight w:val="none"/>
                <w:lang w:val="en-US" w:eastAsia="zh-CN"/>
              </w:rPr>
              <w:t>间</w:t>
            </w:r>
            <w:r>
              <w:rPr>
                <w:rFonts w:hint="default" w:ascii="Times New Roman" w:hAnsi="Times New Roman" w:eastAsia="宋体" w:cs="Times New Roman"/>
                <w:color w:val="auto"/>
                <w:sz w:val="24"/>
                <w:szCs w:val="24"/>
                <w:highlight w:val="none"/>
                <w:lang w:val="en-US" w:eastAsia="zh-CN"/>
              </w:rPr>
              <w:t>内，定期委托有资质单位合理处置。</w:t>
            </w:r>
          </w:p>
          <w:p w14:paraId="568410BE">
            <w:pPr>
              <w:pStyle w:val="120"/>
              <w:pageBreakBefore w:val="0"/>
              <w:widowControl w:val="0"/>
              <w:numPr>
                <w:ilvl w:val="0"/>
                <w:numId w:val="23"/>
              </w:numPr>
              <w:kinsoku/>
              <w:wordWrap/>
              <w:overflowPunct/>
              <w:topLinePunct w:val="0"/>
              <w:autoSpaceDE/>
              <w:autoSpaceDN/>
              <w:bidi w:val="0"/>
              <w:adjustRightInd/>
              <w:snapToGrid/>
              <w:spacing w:before="0" w:beforeLines="0" w:after="0" w:afterLines="0" w:line="360" w:lineRule="auto"/>
              <w:ind w:left="0" w:leftChars="0" w:firstLine="480"/>
              <w:textAlignment w:val="auto"/>
              <w:rPr>
                <w:rFonts w:hint="eastAsia"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废催化剂</w:t>
            </w:r>
          </w:p>
          <w:p w14:paraId="6B37B2D4">
            <w:pPr>
              <w:pStyle w:val="12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项目废气治理设施催化燃烧装置的催化剂采用贵金属铂催化剂，3年需更换一次，催化剂填充量0.1t，项目设1套催化燃烧装置，则废催化剂产生量为0.1t/3a。废催化剂属于“HW50废催化剂”</w:t>
            </w:r>
            <w:r>
              <w:rPr>
                <w:rFonts w:hint="eastAsia" w:ascii="Times New Roman" w:hAnsi="Times New Roman" w:cs="Times New Roman"/>
                <w:color w:val="auto"/>
                <w:sz w:val="24"/>
                <w:szCs w:val="24"/>
                <w:highlight w:val="none"/>
                <w:lang w:val="en-US" w:eastAsia="zh-CN"/>
              </w:rPr>
              <w:t>中非特定行业</w:t>
            </w:r>
            <w:r>
              <w:rPr>
                <w:rFonts w:hint="default" w:ascii="Times New Roman" w:hAnsi="Times New Roman" w:cs="Times New Roman"/>
                <w:color w:val="auto"/>
                <w:sz w:val="24"/>
                <w:szCs w:val="24"/>
                <w:highlight w:val="none"/>
                <w:lang w:val="en-US" w:eastAsia="zh-CN"/>
              </w:rPr>
              <w:t>“900-049-50机动车和非道路移动机械尾气净化废催化剂”，</w:t>
            </w:r>
            <w:r>
              <w:rPr>
                <w:rFonts w:hint="default" w:ascii="Times New Roman" w:hAnsi="Times New Roman" w:eastAsia="宋体" w:cs="Times New Roman"/>
                <w:color w:val="auto"/>
                <w:sz w:val="24"/>
                <w:szCs w:val="24"/>
                <w:highlight w:val="none"/>
                <w:lang w:val="en-US" w:eastAsia="zh-CN"/>
              </w:rPr>
              <w:t>危险特性表现为毒性</w:t>
            </w:r>
            <w:r>
              <w:rPr>
                <w:rFonts w:hint="eastAsia"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暂存危废间，定期交由有资质单位进行处理。</w:t>
            </w:r>
          </w:p>
          <w:p w14:paraId="70AF98BC">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jc w:val="both"/>
              <w:textAlignment w:val="auto"/>
              <w:rPr>
                <w:rFonts w:hint="default"/>
                <w:color w:val="auto"/>
                <w:sz w:val="24"/>
                <w:szCs w:val="24"/>
                <w:highlight w:val="none"/>
              </w:rPr>
            </w:pPr>
            <w:r>
              <w:rPr>
                <w:rFonts w:hint="eastAsia" w:ascii="Times New Roman" w:hAnsi="Times New Roman" w:eastAsia="宋体" w:cs="Times New Roman"/>
                <w:color w:val="auto"/>
                <w:sz w:val="24"/>
                <w:szCs w:val="24"/>
                <w:highlight w:val="none"/>
                <w:lang w:val="en-US" w:eastAsia="zh-CN"/>
              </w:rPr>
              <w:t xml:space="preserve"> </w:t>
            </w:r>
            <w:r>
              <w:rPr>
                <w:rFonts w:hint="default"/>
                <w:color w:val="auto"/>
                <w:sz w:val="24"/>
                <w:szCs w:val="24"/>
                <w:highlight w:val="none"/>
              </w:rPr>
              <w:t>本项目建成后全</w:t>
            </w:r>
            <w:r>
              <w:rPr>
                <w:rFonts w:hint="eastAsia"/>
                <w:color w:val="auto"/>
                <w:sz w:val="24"/>
                <w:szCs w:val="24"/>
                <w:highlight w:val="none"/>
                <w:lang w:eastAsia="zh-CN"/>
              </w:rPr>
              <w:t>厂危</w:t>
            </w:r>
            <w:r>
              <w:rPr>
                <w:rFonts w:hint="default"/>
                <w:color w:val="auto"/>
                <w:sz w:val="24"/>
                <w:szCs w:val="24"/>
                <w:highlight w:val="none"/>
              </w:rPr>
              <w:t>险废物基本情况见表4</w:t>
            </w:r>
            <w:r>
              <w:rPr>
                <w:rFonts w:hint="eastAsia"/>
                <w:color w:val="auto"/>
                <w:sz w:val="24"/>
                <w:szCs w:val="24"/>
                <w:highlight w:val="none"/>
                <w:lang w:val="en-US" w:eastAsia="zh-CN"/>
              </w:rPr>
              <w:t>-</w:t>
            </w:r>
            <w:r>
              <w:rPr>
                <w:rFonts w:hint="default"/>
                <w:color w:val="auto"/>
                <w:sz w:val="24"/>
                <w:szCs w:val="24"/>
                <w:highlight w:val="none"/>
              </w:rPr>
              <w:t>1</w:t>
            </w:r>
            <w:r>
              <w:rPr>
                <w:rFonts w:hint="eastAsia"/>
                <w:color w:val="auto"/>
                <w:sz w:val="24"/>
                <w:szCs w:val="24"/>
                <w:highlight w:val="none"/>
                <w:lang w:val="en-US" w:eastAsia="zh-CN"/>
              </w:rPr>
              <w:t>4</w:t>
            </w:r>
            <w:r>
              <w:rPr>
                <w:rFonts w:hint="default"/>
                <w:color w:val="auto"/>
                <w:sz w:val="24"/>
                <w:szCs w:val="24"/>
                <w:highlight w:val="none"/>
              </w:rPr>
              <w:t>，危险废物贮存场所（设施）基本情况见表4</w:t>
            </w:r>
            <w:r>
              <w:rPr>
                <w:rFonts w:hint="eastAsia"/>
                <w:color w:val="auto"/>
                <w:sz w:val="24"/>
                <w:szCs w:val="24"/>
                <w:highlight w:val="none"/>
                <w:lang w:val="en-US" w:eastAsia="zh-CN"/>
              </w:rPr>
              <w:t>-</w:t>
            </w:r>
            <w:r>
              <w:rPr>
                <w:rFonts w:hint="default"/>
                <w:color w:val="auto"/>
                <w:sz w:val="24"/>
                <w:szCs w:val="24"/>
                <w:highlight w:val="none"/>
              </w:rPr>
              <w:t>1</w:t>
            </w:r>
            <w:r>
              <w:rPr>
                <w:rFonts w:hint="eastAsia"/>
                <w:color w:val="auto"/>
                <w:sz w:val="24"/>
                <w:szCs w:val="24"/>
                <w:highlight w:val="none"/>
                <w:lang w:val="en-US" w:eastAsia="zh-CN"/>
              </w:rPr>
              <w:t>5</w:t>
            </w:r>
            <w:r>
              <w:rPr>
                <w:rFonts w:hint="default"/>
                <w:color w:val="auto"/>
                <w:sz w:val="24"/>
                <w:szCs w:val="24"/>
                <w:highlight w:val="none"/>
              </w:rPr>
              <w:t>。</w:t>
            </w:r>
          </w:p>
          <w:p w14:paraId="0CF609A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
                <w:color w:val="auto"/>
                <w:sz w:val="24"/>
                <w:highlight w:val="none"/>
                <w:vertAlign w:val="baseline"/>
                <w:lang w:val="en-US" w:eastAsia="zh-CN"/>
              </w:rPr>
            </w:pPr>
          </w:p>
          <w:p w14:paraId="17A3C13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
                <w:color w:val="auto"/>
                <w:sz w:val="24"/>
                <w:highlight w:val="none"/>
                <w:vertAlign w:val="baseline"/>
                <w:lang w:val="en-US" w:eastAsia="zh-CN"/>
              </w:rPr>
            </w:pPr>
          </w:p>
          <w:p w14:paraId="61B4D00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
                <w:color w:val="auto"/>
                <w:sz w:val="24"/>
                <w:highlight w:val="none"/>
                <w:vertAlign w:val="baseline"/>
                <w:lang w:val="en-US" w:eastAsia="zh-CN"/>
              </w:rPr>
            </w:pPr>
            <w:r>
              <w:rPr>
                <w:rFonts w:hint="eastAsia" w:ascii="Times New Roman" w:hAnsi="Times New Roman" w:eastAsia="宋体" w:cs="Times New Roman"/>
                <w:b/>
                <w:color w:val="auto"/>
                <w:sz w:val="24"/>
                <w:highlight w:val="none"/>
                <w:vertAlign w:val="baseline"/>
                <w:lang w:val="en-US" w:eastAsia="zh-CN"/>
              </w:rPr>
              <w:t>表4-1</w:t>
            </w:r>
            <w:r>
              <w:rPr>
                <w:rFonts w:hint="eastAsia" w:cs="Times New Roman"/>
                <w:b/>
                <w:color w:val="auto"/>
                <w:sz w:val="24"/>
                <w:highlight w:val="none"/>
                <w:vertAlign w:val="baseline"/>
                <w:lang w:val="en-US" w:eastAsia="zh-CN"/>
              </w:rPr>
              <w:t>4</w:t>
            </w:r>
            <w:r>
              <w:rPr>
                <w:rFonts w:hint="eastAsia" w:ascii="Times New Roman" w:hAnsi="Times New Roman" w:eastAsia="宋体" w:cs="Times New Roman"/>
                <w:b/>
                <w:color w:val="auto"/>
                <w:sz w:val="24"/>
                <w:highlight w:val="none"/>
                <w:vertAlign w:val="baseline"/>
                <w:lang w:val="en-US" w:eastAsia="zh-CN"/>
              </w:rPr>
              <w:t xml:space="preserve">   危险废物汇总表</w:t>
            </w:r>
          </w:p>
          <w:tbl>
            <w:tblPr>
              <w:tblStyle w:val="34"/>
              <w:tblW w:w="4980"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921"/>
              <w:gridCol w:w="1285"/>
              <w:gridCol w:w="801"/>
              <w:gridCol w:w="929"/>
              <w:gridCol w:w="515"/>
              <w:gridCol w:w="1080"/>
              <w:gridCol w:w="984"/>
              <w:gridCol w:w="720"/>
              <w:gridCol w:w="1213"/>
            </w:tblGrid>
            <w:tr w14:paraId="11C532A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912" w:type="dxa"/>
                  <w:noWrap w:val="0"/>
                  <w:vAlign w:val="center"/>
                </w:tcPr>
                <w:p w14:paraId="7B34FD4B">
                  <w:pPr>
                    <w:pStyle w:val="110"/>
                    <w:spacing w:before="0" w:beforeLines="0" w:after="0" w:afterLines="0" w:line="240" w:lineRule="exact"/>
                    <w:rPr>
                      <w:color w:val="auto"/>
                      <w:highlight w:val="none"/>
                    </w:rPr>
                  </w:pPr>
                  <w:r>
                    <w:rPr>
                      <w:color w:val="auto"/>
                      <w:highlight w:val="none"/>
                    </w:rPr>
                    <w:t>危险废物名称</w:t>
                  </w:r>
                </w:p>
              </w:tc>
              <w:tc>
                <w:tcPr>
                  <w:tcW w:w="1273" w:type="dxa"/>
                  <w:noWrap w:val="0"/>
                  <w:vAlign w:val="center"/>
                </w:tcPr>
                <w:p w14:paraId="263F09DA">
                  <w:pPr>
                    <w:pStyle w:val="110"/>
                    <w:spacing w:before="0" w:beforeLines="0" w:after="0" w:afterLines="0" w:line="240" w:lineRule="exact"/>
                    <w:rPr>
                      <w:color w:val="auto"/>
                      <w:highlight w:val="none"/>
                    </w:rPr>
                  </w:pPr>
                  <w:r>
                    <w:rPr>
                      <w:color w:val="auto"/>
                      <w:highlight w:val="none"/>
                    </w:rPr>
                    <w:t>危险废物</w:t>
                  </w:r>
                </w:p>
                <w:p w14:paraId="1C7DAED0">
                  <w:pPr>
                    <w:pStyle w:val="110"/>
                    <w:spacing w:before="0" w:beforeLines="0" w:after="0" w:afterLines="0" w:line="240" w:lineRule="exact"/>
                    <w:rPr>
                      <w:color w:val="auto"/>
                      <w:highlight w:val="none"/>
                    </w:rPr>
                  </w:pPr>
                  <w:r>
                    <w:rPr>
                      <w:color w:val="auto"/>
                      <w:highlight w:val="none"/>
                    </w:rPr>
                    <w:t>代码</w:t>
                  </w:r>
                </w:p>
              </w:tc>
              <w:tc>
                <w:tcPr>
                  <w:tcW w:w="687" w:type="dxa"/>
                  <w:noWrap w:val="0"/>
                  <w:vAlign w:val="center"/>
                </w:tcPr>
                <w:p w14:paraId="62220AA1">
                  <w:pPr>
                    <w:pStyle w:val="110"/>
                    <w:spacing w:before="0" w:beforeLines="0" w:after="0" w:afterLines="0" w:line="240" w:lineRule="exact"/>
                    <w:rPr>
                      <w:color w:val="auto"/>
                      <w:highlight w:val="none"/>
                    </w:rPr>
                  </w:pPr>
                  <w:r>
                    <w:rPr>
                      <w:color w:val="auto"/>
                      <w:highlight w:val="none"/>
                    </w:rPr>
                    <w:t>产生量</w:t>
                  </w:r>
                </w:p>
              </w:tc>
              <w:tc>
                <w:tcPr>
                  <w:tcW w:w="920" w:type="dxa"/>
                  <w:noWrap w:val="0"/>
                  <w:vAlign w:val="center"/>
                </w:tcPr>
                <w:p w14:paraId="5A670311">
                  <w:pPr>
                    <w:pStyle w:val="110"/>
                    <w:spacing w:before="0" w:beforeLines="0" w:after="0" w:afterLines="0" w:line="240" w:lineRule="exact"/>
                    <w:rPr>
                      <w:color w:val="auto"/>
                      <w:highlight w:val="none"/>
                    </w:rPr>
                  </w:pPr>
                  <w:r>
                    <w:rPr>
                      <w:color w:val="auto"/>
                      <w:highlight w:val="none"/>
                    </w:rPr>
                    <w:t>产生工序/装置</w:t>
                  </w:r>
                </w:p>
              </w:tc>
              <w:tc>
                <w:tcPr>
                  <w:tcW w:w="510" w:type="dxa"/>
                  <w:noWrap w:val="0"/>
                  <w:vAlign w:val="center"/>
                </w:tcPr>
                <w:p w14:paraId="7C1E59E1">
                  <w:pPr>
                    <w:pStyle w:val="110"/>
                    <w:spacing w:before="0" w:beforeLines="0" w:after="0" w:afterLines="0" w:line="240" w:lineRule="exact"/>
                    <w:rPr>
                      <w:rFonts w:hint="default"/>
                      <w:color w:val="auto"/>
                      <w:highlight w:val="none"/>
                    </w:rPr>
                  </w:pPr>
                  <w:r>
                    <w:rPr>
                      <w:color w:val="auto"/>
                      <w:highlight w:val="none"/>
                    </w:rPr>
                    <w:t>形态</w:t>
                  </w:r>
                </w:p>
              </w:tc>
              <w:tc>
                <w:tcPr>
                  <w:tcW w:w="1070" w:type="dxa"/>
                  <w:noWrap w:val="0"/>
                  <w:vAlign w:val="center"/>
                </w:tcPr>
                <w:p w14:paraId="7F34C977">
                  <w:pPr>
                    <w:pStyle w:val="110"/>
                    <w:spacing w:before="0" w:beforeLines="0" w:after="0" w:afterLines="0" w:line="240" w:lineRule="exact"/>
                    <w:rPr>
                      <w:color w:val="auto"/>
                      <w:highlight w:val="none"/>
                    </w:rPr>
                  </w:pPr>
                  <w:r>
                    <w:rPr>
                      <w:color w:val="auto"/>
                      <w:highlight w:val="none"/>
                    </w:rPr>
                    <w:t>有害</w:t>
                  </w:r>
                </w:p>
                <w:p w14:paraId="167C3126">
                  <w:pPr>
                    <w:pStyle w:val="110"/>
                    <w:spacing w:before="0" w:beforeLines="0" w:after="0" w:afterLines="0" w:line="240" w:lineRule="exact"/>
                    <w:rPr>
                      <w:color w:val="auto"/>
                      <w:highlight w:val="none"/>
                    </w:rPr>
                  </w:pPr>
                  <w:r>
                    <w:rPr>
                      <w:rFonts w:hint="eastAsia"/>
                      <w:color w:val="auto"/>
                      <w:highlight w:val="none"/>
                      <w:lang w:eastAsia="zh-CN"/>
                    </w:rPr>
                    <w:t>成分</w:t>
                  </w:r>
                </w:p>
              </w:tc>
              <w:tc>
                <w:tcPr>
                  <w:tcW w:w="975" w:type="dxa"/>
                  <w:noWrap w:val="0"/>
                  <w:vAlign w:val="center"/>
                </w:tcPr>
                <w:p w14:paraId="6DD44D52">
                  <w:pPr>
                    <w:pStyle w:val="110"/>
                    <w:spacing w:before="0" w:beforeLines="0" w:after="0" w:afterLines="0" w:line="240" w:lineRule="exact"/>
                    <w:rPr>
                      <w:color w:val="auto"/>
                      <w:highlight w:val="none"/>
                    </w:rPr>
                  </w:pPr>
                  <w:r>
                    <w:rPr>
                      <w:color w:val="auto"/>
                      <w:highlight w:val="none"/>
                    </w:rPr>
                    <w:t>产废</w:t>
                  </w:r>
                </w:p>
                <w:p w14:paraId="1001B411">
                  <w:pPr>
                    <w:pStyle w:val="110"/>
                    <w:spacing w:before="0" w:beforeLines="0" w:after="0" w:afterLines="0" w:line="240" w:lineRule="exact"/>
                    <w:rPr>
                      <w:color w:val="auto"/>
                      <w:highlight w:val="none"/>
                    </w:rPr>
                  </w:pPr>
                  <w:r>
                    <w:rPr>
                      <w:color w:val="auto"/>
                      <w:highlight w:val="none"/>
                    </w:rPr>
                    <w:t>周期</w:t>
                  </w:r>
                </w:p>
              </w:tc>
              <w:tc>
                <w:tcPr>
                  <w:tcW w:w="713" w:type="dxa"/>
                  <w:noWrap w:val="0"/>
                  <w:vAlign w:val="center"/>
                </w:tcPr>
                <w:p w14:paraId="49D86846">
                  <w:pPr>
                    <w:pStyle w:val="110"/>
                    <w:spacing w:before="0" w:beforeLines="0" w:after="0" w:afterLines="0" w:line="240" w:lineRule="exact"/>
                    <w:rPr>
                      <w:color w:val="auto"/>
                      <w:highlight w:val="none"/>
                    </w:rPr>
                  </w:pPr>
                  <w:r>
                    <w:rPr>
                      <w:color w:val="auto"/>
                      <w:highlight w:val="none"/>
                    </w:rPr>
                    <w:t>危险</w:t>
                  </w:r>
                </w:p>
                <w:p w14:paraId="23714083">
                  <w:pPr>
                    <w:pStyle w:val="110"/>
                    <w:spacing w:before="0" w:beforeLines="0" w:after="0" w:afterLines="0" w:line="240" w:lineRule="exact"/>
                    <w:rPr>
                      <w:color w:val="auto"/>
                      <w:highlight w:val="none"/>
                    </w:rPr>
                  </w:pPr>
                  <w:r>
                    <w:rPr>
                      <w:color w:val="auto"/>
                      <w:highlight w:val="none"/>
                    </w:rPr>
                    <w:t>特性</w:t>
                  </w:r>
                </w:p>
              </w:tc>
              <w:tc>
                <w:tcPr>
                  <w:tcW w:w="1202" w:type="dxa"/>
                  <w:noWrap w:val="0"/>
                  <w:vAlign w:val="center"/>
                </w:tcPr>
                <w:p w14:paraId="2814E7E7">
                  <w:pPr>
                    <w:pStyle w:val="110"/>
                    <w:spacing w:before="0" w:beforeLines="0" w:after="0" w:afterLines="0" w:line="240" w:lineRule="exact"/>
                    <w:rPr>
                      <w:color w:val="auto"/>
                      <w:highlight w:val="none"/>
                    </w:rPr>
                  </w:pPr>
                  <w:r>
                    <w:rPr>
                      <w:color w:val="auto"/>
                      <w:highlight w:val="none"/>
                    </w:rPr>
                    <w:t>污染防治措施</w:t>
                  </w:r>
                </w:p>
              </w:tc>
            </w:tr>
            <w:tr w14:paraId="6FCBB40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912" w:type="dxa"/>
                  <w:noWrap w:val="0"/>
                  <w:vAlign w:val="center"/>
                </w:tcPr>
                <w:p w14:paraId="2B69A4BE">
                  <w:pPr>
                    <w:pStyle w:val="111"/>
                    <w:spacing w:before="0" w:beforeLines="0" w:after="0" w:afterLines="0" w:line="240" w:lineRule="exact"/>
                    <w:ind w:left="0" w:leftChars="0" w:right="0" w:rightChars="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废活</w:t>
                  </w:r>
                </w:p>
                <w:p w14:paraId="6B628527">
                  <w:pPr>
                    <w:pStyle w:val="111"/>
                    <w:spacing w:before="0" w:beforeLines="0" w:after="0" w:afterLines="0" w:line="240" w:lineRule="exact"/>
                    <w:ind w:left="0" w:leftChars="0" w:right="0" w:rightChars="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性炭</w:t>
                  </w:r>
                </w:p>
              </w:tc>
              <w:tc>
                <w:tcPr>
                  <w:tcW w:w="1273" w:type="dxa"/>
                  <w:noWrap w:val="0"/>
                  <w:vAlign w:val="center"/>
                </w:tcPr>
                <w:p w14:paraId="7A9EA546">
                  <w:pPr>
                    <w:pStyle w:val="111"/>
                    <w:spacing w:before="0" w:beforeLines="0" w:after="0" w:afterLines="0" w:line="240" w:lineRule="exact"/>
                    <w:ind w:left="0" w:leftChars="0" w:right="0" w:rightChars="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HW49</w:t>
                  </w:r>
                </w:p>
                <w:p w14:paraId="04887C1D">
                  <w:pPr>
                    <w:pStyle w:val="111"/>
                    <w:spacing w:before="0" w:beforeLines="0" w:after="0" w:afterLines="0" w:line="240" w:lineRule="exact"/>
                    <w:ind w:left="0" w:leftChars="0" w:right="0" w:rightChars="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900-039-49</w:t>
                  </w:r>
                </w:p>
              </w:tc>
              <w:tc>
                <w:tcPr>
                  <w:tcW w:w="687" w:type="dxa"/>
                  <w:noWrap w:val="0"/>
                  <w:vAlign w:val="center"/>
                </w:tcPr>
                <w:p w14:paraId="7BC90292">
                  <w:pPr>
                    <w:widowControl/>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2.2</w:t>
                  </w:r>
                  <w:r>
                    <w:rPr>
                      <w:rFonts w:hint="default" w:ascii="Times New Roman" w:hAnsi="Times New Roman" w:eastAsia="宋体" w:cs="Times New Roman"/>
                      <w:color w:val="auto"/>
                      <w:sz w:val="21"/>
                      <w:szCs w:val="21"/>
                      <w:highlight w:val="none"/>
                    </w:rPr>
                    <w:t>t/a</w:t>
                  </w:r>
                </w:p>
              </w:tc>
              <w:tc>
                <w:tcPr>
                  <w:tcW w:w="920" w:type="dxa"/>
                  <w:vMerge w:val="restart"/>
                  <w:noWrap w:val="0"/>
                  <w:vAlign w:val="center"/>
                </w:tcPr>
                <w:p w14:paraId="2F316DCF">
                  <w:pPr>
                    <w:pStyle w:val="111"/>
                    <w:spacing w:before="0" w:beforeLines="0" w:after="0" w:afterLines="0" w:line="240" w:lineRule="exact"/>
                    <w:ind w:left="0" w:leftChars="0" w:right="0" w:rightChars="0"/>
                    <w:rPr>
                      <w:rFonts w:hint="default"/>
                      <w:color w:val="auto"/>
                      <w:highlight w:val="none"/>
                    </w:rPr>
                  </w:pPr>
                  <w:r>
                    <w:rPr>
                      <w:color w:val="auto"/>
                      <w:highlight w:val="none"/>
                    </w:rPr>
                    <w:t>VOC废气处理</w:t>
                  </w:r>
                </w:p>
              </w:tc>
              <w:tc>
                <w:tcPr>
                  <w:tcW w:w="510" w:type="dxa"/>
                  <w:vMerge w:val="restart"/>
                  <w:noWrap w:val="0"/>
                  <w:vAlign w:val="center"/>
                </w:tcPr>
                <w:p w14:paraId="1CE7CB85">
                  <w:pPr>
                    <w:pStyle w:val="111"/>
                    <w:spacing w:before="0" w:beforeLines="0" w:after="0" w:afterLines="0" w:line="240" w:lineRule="exact"/>
                    <w:ind w:left="0" w:leftChars="0" w:right="0" w:rightChars="0"/>
                    <w:rPr>
                      <w:rFonts w:hint="default"/>
                      <w:color w:val="auto"/>
                      <w:highlight w:val="none"/>
                    </w:rPr>
                  </w:pPr>
                  <w:r>
                    <w:rPr>
                      <w:color w:val="auto"/>
                      <w:highlight w:val="none"/>
                    </w:rPr>
                    <w:t>固</w:t>
                  </w:r>
                </w:p>
              </w:tc>
              <w:tc>
                <w:tcPr>
                  <w:tcW w:w="1070" w:type="dxa"/>
                  <w:noWrap w:val="0"/>
                  <w:vAlign w:val="center"/>
                </w:tcPr>
                <w:p w14:paraId="28C003F0">
                  <w:pPr>
                    <w:spacing w:before="0" w:beforeLines="0" w:after="0" w:afterLines="0" w:line="240" w:lineRule="exact"/>
                    <w:ind w:left="0" w:leftChars="0" w:right="0" w:rightChars="0"/>
                    <w:rPr>
                      <w:rFonts w:hint="default"/>
                      <w:color w:val="auto"/>
                      <w:highlight w:val="none"/>
                    </w:rPr>
                  </w:pPr>
                  <w:r>
                    <w:rPr>
                      <w:color w:val="auto"/>
                      <w:highlight w:val="none"/>
                    </w:rPr>
                    <w:t>非甲烷总烃</w:t>
                  </w:r>
                  <w:r>
                    <w:rPr>
                      <w:rFonts w:hint="eastAsia"/>
                      <w:color w:val="auto"/>
                      <w:highlight w:val="none"/>
                      <w:lang w:eastAsia="zh-CN"/>
                    </w:rPr>
                    <w:t>、</w:t>
                  </w:r>
                  <w:r>
                    <w:rPr>
                      <w:rFonts w:hint="eastAsia"/>
                      <w:color w:val="auto"/>
                      <w:highlight w:val="none"/>
                      <w:lang w:val="en-US" w:eastAsia="zh-CN"/>
                    </w:rPr>
                    <w:t>苯乙烯</w:t>
                  </w:r>
                </w:p>
              </w:tc>
              <w:tc>
                <w:tcPr>
                  <w:tcW w:w="975" w:type="dxa"/>
                  <w:noWrap w:val="0"/>
                  <w:vAlign w:val="center"/>
                </w:tcPr>
                <w:p w14:paraId="45F9DB49">
                  <w:pPr>
                    <w:pStyle w:val="111"/>
                    <w:spacing w:before="0" w:beforeLines="0" w:after="0" w:afterLines="0" w:line="240" w:lineRule="exact"/>
                    <w:ind w:left="0" w:leftChars="0" w:right="0" w:rightChars="0"/>
                    <w:rPr>
                      <w:rFonts w:hint="default" w:eastAsia="宋体"/>
                      <w:color w:val="auto"/>
                      <w:highlight w:val="none"/>
                      <w:lang w:val="en-US" w:eastAsia="zh-CN"/>
                    </w:rPr>
                  </w:pPr>
                  <w:r>
                    <w:rPr>
                      <w:color w:val="auto"/>
                      <w:highlight w:val="none"/>
                    </w:rPr>
                    <w:t>1次/</w:t>
                  </w:r>
                  <w:r>
                    <w:rPr>
                      <w:rFonts w:hint="eastAsia"/>
                      <w:color w:val="auto"/>
                      <w:highlight w:val="none"/>
                      <w:lang w:val="en-US" w:eastAsia="zh-CN"/>
                    </w:rPr>
                    <w:t>72次再生</w:t>
                  </w:r>
                </w:p>
              </w:tc>
              <w:tc>
                <w:tcPr>
                  <w:tcW w:w="713" w:type="dxa"/>
                  <w:noWrap w:val="0"/>
                  <w:vAlign w:val="center"/>
                </w:tcPr>
                <w:p w14:paraId="63D6A1A0">
                  <w:pPr>
                    <w:pStyle w:val="111"/>
                    <w:spacing w:before="0" w:beforeLines="0" w:after="0" w:afterLines="0" w:line="240" w:lineRule="exact"/>
                    <w:ind w:left="0" w:leftChars="0" w:right="0" w:rightChars="0"/>
                    <w:rPr>
                      <w:color w:val="auto"/>
                      <w:highlight w:val="none"/>
                    </w:rPr>
                  </w:pPr>
                  <w:r>
                    <w:rPr>
                      <w:color w:val="auto"/>
                      <w:highlight w:val="none"/>
                    </w:rPr>
                    <w:t>T</w:t>
                  </w:r>
                </w:p>
              </w:tc>
              <w:tc>
                <w:tcPr>
                  <w:tcW w:w="1202" w:type="dxa"/>
                  <w:vMerge w:val="restart"/>
                  <w:noWrap w:val="0"/>
                  <w:vAlign w:val="center"/>
                </w:tcPr>
                <w:p w14:paraId="105E0E50">
                  <w:pPr>
                    <w:pStyle w:val="111"/>
                    <w:spacing w:before="0" w:beforeLines="0" w:after="0" w:afterLines="0" w:line="240" w:lineRule="exact"/>
                    <w:ind w:left="0" w:leftChars="0" w:right="0" w:rightChars="0"/>
                    <w:rPr>
                      <w:rFonts w:hint="default"/>
                      <w:color w:val="auto"/>
                      <w:highlight w:val="none"/>
                    </w:rPr>
                  </w:pPr>
                  <w:r>
                    <w:rPr>
                      <w:color w:val="auto"/>
                      <w:highlight w:val="none"/>
                    </w:rPr>
                    <w:t>暂存</w:t>
                  </w:r>
                  <w:r>
                    <w:rPr>
                      <w:rFonts w:hint="eastAsia"/>
                      <w:color w:val="auto"/>
                      <w:highlight w:val="none"/>
                      <w:lang w:eastAsia="zh-CN"/>
                    </w:rPr>
                    <w:t>危险废物暂存间</w:t>
                  </w:r>
                  <w:r>
                    <w:rPr>
                      <w:color w:val="auto"/>
                      <w:highlight w:val="none"/>
                    </w:rPr>
                    <w:t>，定期交由有资质单位处置</w:t>
                  </w:r>
                </w:p>
              </w:tc>
            </w:tr>
            <w:tr w14:paraId="7167D37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12" w:type="dxa"/>
                  <w:noWrap w:val="0"/>
                  <w:vAlign w:val="center"/>
                </w:tcPr>
                <w:p w14:paraId="25F7B329">
                  <w:pPr>
                    <w:pStyle w:val="111"/>
                    <w:spacing w:before="0" w:beforeLines="0" w:after="0" w:afterLines="0" w:line="240" w:lineRule="exact"/>
                    <w:ind w:left="0" w:leftChars="0" w:right="0" w:rightChars="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废催化剂</w:t>
                  </w:r>
                </w:p>
              </w:tc>
              <w:tc>
                <w:tcPr>
                  <w:tcW w:w="1273" w:type="dxa"/>
                  <w:noWrap w:val="0"/>
                  <w:vAlign w:val="center"/>
                </w:tcPr>
                <w:p w14:paraId="7500B8C0">
                  <w:pPr>
                    <w:pStyle w:val="111"/>
                    <w:spacing w:before="0" w:beforeLines="0" w:after="0" w:afterLines="0" w:line="240" w:lineRule="exact"/>
                    <w:ind w:left="0" w:leftChars="0" w:right="0" w:rightChars="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HW50</w:t>
                  </w:r>
                </w:p>
                <w:p w14:paraId="68584036">
                  <w:pPr>
                    <w:pStyle w:val="111"/>
                    <w:spacing w:before="0" w:beforeLines="0" w:after="0" w:afterLines="0" w:line="240" w:lineRule="exact"/>
                    <w:ind w:left="0" w:leftChars="0" w:right="0" w:rightChars="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900-049-50</w:t>
                  </w:r>
                </w:p>
              </w:tc>
              <w:tc>
                <w:tcPr>
                  <w:tcW w:w="687" w:type="dxa"/>
                  <w:noWrap w:val="0"/>
                  <w:vAlign w:val="center"/>
                </w:tcPr>
                <w:p w14:paraId="574B7CED">
                  <w:pPr>
                    <w:widowControl/>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0.1t/3a</w:t>
                  </w:r>
                </w:p>
              </w:tc>
              <w:tc>
                <w:tcPr>
                  <w:tcW w:w="920" w:type="dxa"/>
                  <w:vMerge w:val="continue"/>
                  <w:noWrap w:val="0"/>
                  <w:vAlign w:val="center"/>
                </w:tcPr>
                <w:p w14:paraId="59CD32B7">
                  <w:pPr>
                    <w:pStyle w:val="111"/>
                    <w:spacing w:before="0" w:beforeLines="0" w:after="0" w:afterLines="0" w:line="240" w:lineRule="exact"/>
                    <w:ind w:left="0" w:leftChars="0" w:right="0" w:rightChars="0"/>
                    <w:rPr>
                      <w:color w:val="auto"/>
                      <w:highlight w:val="none"/>
                    </w:rPr>
                  </w:pPr>
                </w:p>
              </w:tc>
              <w:tc>
                <w:tcPr>
                  <w:tcW w:w="510" w:type="dxa"/>
                  <w:vMerge w:val="continue"/>
                  <w:noWrap w:val="0"/>
                  <w:vAlign w:val="center"/>
                </w:tcPr>
                <w:p w14:paraId="1DB60582">
                  <w:pPr>
                    <w:pStyle w:val="111"/>
                    <w:spacing w:before="0" w:beforeLines="0" w:after="0" w:afterLines="0" w:line="240" w:lineRule="exact"/>
                    <w:ind w:left="0" w:leftChars="0" w:right="0" w:rightChars="0"/>
                    <w:rPr>
                      <w:color w:val="auto"/>
                      <w:highlight w:val="none"/>
                    </w:rPr>
                  </w:pPr>
                </w:p>
              </w:tc>
              <w:tc>
                <w:tcPr>
                  <w:tcW w:w="1070" w:type="dxa"/>
                  <w:noWrap w:val="0"/>
                  <w:vAlign w:val="center"/>
                </w:tcPr>
                <w:p w14:paraId="41FAA911">
                  <w:pPr>
                    <w:spacing w:before="0" w:beforeLines="0" w:after="0" w:afterLines="0" w:line="240" w:lineRule="exact"/>
                    <w:ind w:left="0" w:leftChars="0" w:right="0" w:rightChars="0"/>
                    <w:rPr>
                      <w:rFonts w:hint="default" w:eastAsia="宋体"/>
                      <w:color w:val="auto"/>
                      <w:highlight w:val="none"/>
                      <w:lang w:val="en-US" w:eastAsia="zh-CN"/>
                    </w:rPr>
                  </w:pPr>
                  <w:r>
                    <w:rPr>
                      <w:rFonts w:hint="eastAsia"/>
                      <w:color w:val="auto"/>
                      <w:highlight w:val="none"/>
                      <w:lang w:val="en-US" w:eastAsia="zh-CN"/>
                    </w:rPr>
                    <w:t>贵金属</w:t>
                  </w:r>
                </w:p>
              </w:tc>
              <w:tc>
                <w:tcPr>
                  <w:tcW w:w="975" w:type="dxa"/>
                  <w:noWrap w:val="0"/>
                  <w:vAlign w:val="center"/>
                </w:tcPr>
                <w:p w14:paraId="5AB4C35B">
                  <w:pPr>
                    <w:pStyle w:val="111"/>
                    <w:spacing w:before="0" w:beforeLines="0" w:after="0" w:afterLines="0" w:line="240" w:lineRule="exact"/>
                    <w:ind w:left="0" w:leftChars="0" w:right="0" w:rightChars="0"/>
                    <w:rPr>
                      <w:rFonts w:hint="default" w:eastAsia="宋体"/>
                      <w:color w:val="auto"/>
                      <w:highlight w:val="none"/>
                      <w:lang w:val="en-US" w:eastAsia="zh-CN"/>
                    </w:rPr>
                  </w:pPr>
                  <w:r>
                    <w:rPr>
                      <w:color w:val="auto"/>
                      <w:highlight w:val="none"/>
                    </w:rPr>
                    <w:t>1次/</w:t>
                  </w:r>
                  <w:r>
                    <w:rPr>
                      <w:rFonts w:hint="eastAsia"/>
                      <w:color w:val="auto"/>
                      <w:highlight w:val="none"/>
                      <w:lang w:val="en-US" w:eastAsia="zh-CN"/>
                    </w:rPr>
                    <w:t>3a</w:t>
                  </w:r>
                </w:p>
              </w:tc>
              <w:tc>
                <w:tcPr>
                  <w:tcW w:w="713" w:type="dxa"/>
                  <w:noWrap w:val="0"/>
                  <w:vAlign w:val="center"/>
                </w:tcPr>
                <w:p w14:paraId="4D140E23">
                  <w:pPr>
                    <w:pStyle w:val="111"/>
                    <w:spacing w:before="0" w:beforeLines="0" w:after="0" w:afterLines="0" w:line="240" w:lineRule="exact"/>
                    <w:ind w:left="0" w:leftChars="0" w:right="0" w:rightChars="0"/>
                    <w:rPr>
                      <w:color w:val="auto"/>
                      <w:highlight w:val="none"/>
                    </w:rPr>
                  </w:pPr>
                  <w:r>
                    <w:rPr>
                      <w:color w:val="auto"/>
                      <w:highlight w:val="none"/>
                    </w:rPr>
                    <w:t>T</w:t>
                  </w:r>
                </w:p>
              </w:tc>
              <w:tc>
                <w:tcPr>
                  <w:tcW w:w="1202" w:type="dxa"/>
                  <w:vMerge w:val="continue"/>
                  <w:noWrap w:val="0"/>
                  <w:vAlign w:val="center"/>
                </w:tcPr>
                <w:p w14:paraId="614D2406">
                  <w:pPr>
                    <w:pStyle w:val="111"/>
                    <w:spacing w:before="0" w:beforeLines="0" w:after="0" w:afterLines="0" w:line="240" w:lineRule="exact"/>
                    <w:ind w:left="0" w:leftChars="0" w:right="0" w:rightChars="0"/>
                    <w:rPr>
                      <w:color w:val="auto"/>
                      <w:highlight w:val="none"/>
                    </w:rPr>
                  </w:pPr>
                </w:p>
              </w:tc>
            </w:tr>
            <w:tr w14:paraId="7230B27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8262" w:type="dxa"/>
                  <w:gridSpan w:val="9"/>
                  <w:noWrap w:val="0"/>
                  <w:vAlign w:val="center"/>
                </w:tcPr>
                <w:p w14:paraId="002EEE2E">
                  <w:pPr>
                    <w:pStyle w:val="111"/>
                    <w:spacing w:before="0" w:beforeLines="0" w:after="0" w:afterLines="0" w:line="240" w:lineRule="exact"/>
                    <w:ind w:left="0" w:leftChars="0" w:right="0" w:rightChars="0"/>
                    <w:jc w:val="left"/>
                    <w:rPr>
                      <w:color w:val="auto"/>
                      <w:highlight w:val="none"/>
                    </w:rPr>
                  </w:pPr>
                  <w:r>
                    <w:rPr>
                      <w:color w:val="auto"/>
                      <w:highlight w:val="none"/>
                    </w:rPr>
                    <w:t>注：T：毒性；C：腐蚀性；I：易燃性；R：反应性；In：感染性。</w:t>
                  </w:r>
                </w:p>
              </w:tc>
            </w:tr>
          </w:tbl>
          <w:p w14:paraId="09A0EC93">
            <w:pPr>
              <w:pStyle w:val="99"/>
              <w:keepLines w:val="0"/>
              <w:numPr>
                <w:ilvl w:val="0"/>
                <w:numId w:val="0"/>
              </w:numPr>
              <w:spacing w:before="120" w:after="24"/>
              <w:jc w:val="center"/>
              <w:rPr>
                <w:rFonts w:hint="eastAsia"/>
                <w:color w:val="auto"/>
                <w:highlight w:val="none"/>
              </w:rPr>
            </w:pPr>
            <w:r>
              <w:rPr>
                <w:rFonts w:hint="eastAsia"/>
                <w:color w:val="auto"/>
                <w:highlight w:val="none"/>
              </w:rPr>
              <w:t>表4</w:t>
            </w:r>
            <w:r>
              <w:rPr>
                <w:rFonts w:hint="eastAsia"/>
                <w:color w:val="auto"/>
                <w:highlight w:val="none"/>
                <w:lang w:val="en-US" w:eastAsia="zh-CN"/>
              </w:rPr>
              <w:t>-</w:t>
            </w:r>
            <w:r>
              <w:rPr>
                <w:rFonts w:hint="eastAsia"/>
                <w:color w:val="auto"/>
                <w:highlight w:val="none"/>
              </w:rPr>
              <w:t>1</w:t>
            </w:r>
            <w:r>
              <w:rPr>
                <w:rFonts w:hint="eastAsia"/>
                <w:color w:val="auto"/>
                <w:highlight w:val="none"/>
                <w:lang w:val="en-US" w:eastAsia="zh-CN"/>
              </w:rPr>
              <w:t>5</w:t>
            </w:r>
            <w:r>
              <w:rPr>
                <w:rFonts w:hint="eastAsia"/>
                <w:color w:val="auto"/>
                <w:highlight w:val="none"/>
              </w:rPr>
              <w:t xml:space="preserve"> 危险废物贮存场所基本情况一览表</w:t>
            </w:r>
          </w:p>
          <w:tbl>
            <w:tblPr>
              <w:tblStyle w:val="34"/>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1069"/>
              <w:gridCol w:w="1085"/>
              <w:gridCol w:w="1588"/>
              <w:gridCol w:w="1214"/>
              <w:gridCol w:w="837"/>
              <w:gridCol w:w="1168"/>
              <w:gridCol w:w="742"/>
              <w:gridCol w:w="776"/>
            </w:tblGrid>
            <w:tr w14:paraId="6644676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045" w:type="dxa"/>
                  <w:noWrap w:val="0"/>
                  <w:vAlign w:val="center"/>
                </w:tcPr>
                <w:p w14:paraId="3D437658">
                  <w:pPr>
                    <w:pStyle w:val="110"/>
                    <w:spacing w:before="0" w:beforeLines="0" w:after="0" w:afterLines="0" w:line="240" w:lineRule="exact"/>
                    <w:rPr>
                      <w:rFonts w:hint="default"/>
                      <w:color w:val="auto"/>
                      <w:highlight w:val="none"/>
                    </w:rPr>
                  </w:pPr>
                  <w:r>
                    <w:rPr>
                      <w:color w:val="auto"/>
                      <w:highlight w:val="none"/>
                    </w:rPr>
                    <w:t>贮存场所名称</w:t>
                  </w:r>
                </w:p>
              </w:tc>
              <w:tc>
                <w:tcPr>
                  <w:tcW w:w="1061" w:type="dxa"/>
                  <w:noWrap w:val="0"/>
                  <w:vAlign w:val="center"/>
                </w:tcPr>
                <w:p w14:paraId="44DE1151">
                  <w:pPr>
                    <w:pStyle w:val="110"/>
                    <w:spacing w:before="0" w:beforeLines="0" w:after="0" w:afterLines="0" w:line="240" w:lineRule="exact"/>
                    <w:rPr>
                      <w:color w:val="auto"/>
                      <w:highlight w:val="none"/>
                    </w:rPr>
                  </w:pPr>
                  <w:r>
                    <w:rPr>
                      <w:color w:val="auto"/>
                      <w:highlight w:val="none"/>
                    </w:rPr>
                    <w:t>危险废物</w:t>
                  </w:r>
                </w:p>
                <w:p w14:paraId="58A34B6A">
                  <w:pPr>
                    <w:pStyle w:val="110"/>
                    <w:spacing w:before="0" w:beforeLines="0" w:after="0" w:afterLines="0" w:line="240" w:lineRule="exact"/>
                    <w:rPr>
                      <w:rFonts w:hint="default"/>
                      <w:color w:val="auto"/>
                      <w:highlight w:val="none"/>
                    </w:rPr>
                  </w:pPr>
                  <w:r>
                    <w:rPr>
                      <w:color w:val="auto"/>
                      <w:highlight w:val="none"/>
                    </w:rPr>
                    <w:t>名称</w:t>
                  </w:r>
                </w:p>
              </w:tc>
              <w:tc>
                <w:tcPr>
                  <w:tcW w:w="1553" w:type="dxa"/>
                  <w:noWrap w:val="0"/>
                  <w:vAlign w:val="center"/>
                </w:tcPr>
                <w:p w14:paraId="311F02AE">
                  <w:pPr>
                    <w:pStyle w:val="110"/>
                    <w:spacing w:before="0" w:beforeLines="0" w:after="0" w:afterLines="0" w:line="240" w:lineRule="exact"/>
                    <w:rPr>
                      <w:rFonts w:hint="default"/>
                      <w:color w:val="auto"/>
                      <w:highlight w:val="none"/>
                    </w:rPr>
                  </w:pPr>
                  <w:r>
                    <w:rPr>
                      <w:color w:val="auto"/>
                      <w:highlight w:val="none"/>
                    </w:rPr>
                    <w:t>危险废物代码</w:t>
                  </w:r>
                </w:p>
              </w:tc>
              <w:tc>
                <w:tcPr>
                  <w:tcW w:w="1187" w:type="dxa"/>
                  <w:noWrap w:val="0"/>
                  <w:vAlign w:val="center"/>
                </w:tcPr>
                <w:p w14:paraId="0B2F5E4A">
                  <w:pPr>
                    <w:pStyle w:val="110"/>
                    <w:spacing w:before="0" w:beforeLines="0" w:after="0" w:afterLines="0" w:line="240" w:lineRule="exact"/>
                    <w:rPr>
                      <w:color w:val="auto"/>
                      <w:highlight w:val="none"/>
                    </w:rPr>
                  </w:pPr>
                  <w:r>
                    <w:rPr>
                      <w:color w:val="auto"/>
                      <w:highlight w:val="none"/>
                    </w:rPr>
                    <w:t>贮存</w:t>
                  </w:r>
                </w:p>
                <w:p w14:paraId="3A2F7712">
                  <w:pPr>
                    <w:pStyle w:val="110"/>
                    <w:spacing w:before="0" w:beforeLines="0" w:after="0" w:afterLines="0" w:line="240" w:lineRule="exact"/>
                    <w:rPr>
                      <w:rFonts w:hint="default"/>
                      <w:color w:val="auto"/>
                      <w:highlight w:val="none"/>
                    </w:rPr>
                  </w:pPr>
                  <w:r>
                    <w:rPr>
                      <w:color w:val="auto"/>
                      <w:highlight w:val="none"/>
                    </w:rPr>
                    <w:t>位置</w:t>
                  </w:r>
                </w:p>
              </w:tc>
              <w:tc>
                <w:tcPr>
                  <w:tcW w:w="818" w:type="dxa"/>
                  <w:noWrap w:val="0"/>
                  <w:vAlign w:val="center"/>
                </w:tcPr>
                <w:p w14:paraId="1CA05EBA">
                  <w:pPr>
                    <w:pStyle w:val="110"/>
                    <w:spacing w:before="0" w:beforeLines="0" w:after="0" w:afterLines="0" w:line="240" w:lineRule="exact"/>
                    <w:rPr>
                      <w:color w:val="auto"/>
                      <w:highlight w:val="none"/>
                    </w:rPr>
                  </w:pPr>
                  <w:r>
                    <w:rPr>
                      <w:color w:val="auto"/>
                      <w:highlight w:val="none"/>
                    </w:rPr>
                    <w:t>占地</w:t>
                  </w:r>
                </w:p>
                <w:p w14:paraId="3068517B">
                  <w:pPr>
                    <w:pStyle w:val="110"/>
                    <w:spacing w:before="0" w:beforeLines="0" w:after="0" w:afterLines="0" w:line="240" w:lineRule="exact"/>
                    <w:rPr>
                      <w:rFonts w:hint="default"/>
                      <w:color w:val="auto"/>
                      <w:highlight w:val="none"/>
                    </w:rPr>
                  </w:pPr>
                  <w:r>
                    <w:rPr>
                      <w:color w:val="auto"/>
                      <w:highlight w:val="none"/>
                    </w:rPr>
                    <w:t>面积</w:t>
                  </w:r>
                </w:p>
              </w:tc>
              <w:tc>
                <w:tcPr>
                  <w:tcW w:w="1142" w:type="dxa"/>
                  <w:noWrap w:val="0"/>
                  <w:vAlign w:val="center"/>
                </w:tcPr>
                <w:p w14:paraId="666E151B">
                  <w:pPr>
                    <w:pStyle w:val="110"/>
                    <w:spacing w:before="0" w:beforeLines="0" w:after="0" w:afterLines="0" w:line="240" w:lineRule="exact"/>
                    <w:rPr>
                      <w:color w:val="auto"/>
                      <w:highlight w:val="none"/>
                    </w:rPr>
                  </w:pPr>
                  <w:r>
                    <w:rPr>
                      <w:color w:val="auto"/>
                      <w:highlight w:val="none"/>
                    </w:rPr>
                    <w:t>贮存</w:t>
                  </w:r>
                </w:p>
                <w:p w14:paraId="50D359B6">
                  <w:pPr>
                    <w:pStyle w:val="110"/>
                    <w:spacing w:before="0" w:beforeLines="0" w:after="0" w:afterLines="0" w:line="240" w:lineRule="exact"/>
                    <w:rPr>
                      <w:rFonts w:hint="default"/>
                      <w:color w:val="auto"/>
                      <w:highlight w:val="none"/>
                    </w:rPr>
                  </w:pPr>
                  <w:r>
                    <w:rPr>
                      <w:color w:val="auto"/>
                      <w:highlight w:val="none"/>
                    </w:rPr>
                    <w:t>方式</w:t>
                  </w:r>
                </w:p>
              </w:tc>
              <w:tc>
                <w:tcPr>
                  <w:tcW w:w="726" w:type="dxa"/>
                  <w:noWrap w:val="0"/>
                  <w:vAlign w:val="center"/>
                </w:tcPr>
                <w:p w14:paraId="00D06B70">
                  <w:pPr>
                    <w:pStyle w:val="110"/>
                    <w:spacing w:before="0" w:beforeLines="0" w:after="0" w:afterLines="0" w:line="240" w:lineRule="exact"/>
                    <w:rPr>
                      <w:color w:val="auto"/>
                      <w:highlight w:val="none"/>
                    </w:rPr>
                  </w:pPr>
                  <w:r>
                    <w:rPr>
                      <w:color w:val="auto"/>
                      <w:highlight w:val="none"/>
                    </w:rPr>
                    <w:t>贮存</w:t>
                  </w:r>
                </w:p>
                <w:p w14:paraId="1C5D6931">
                  <w:pPr>
                    <w:pStyle w:val="110"/>
                    <w:spacing w:before="0" w:beforeLines="0" w:after="0" w:afterLines="0" w:line="240" w:lineRule="exact"/>
                    <w:rPr>
                      <w:rFonts w:hint="default"/>
                      <w:color w:val="auto"/>
                      <w:highlight w:val="none"/>
                    </w:rPr>
                  </w:pPr>
                  <w:r>
                    <w:rPr>
                      <w:color w:val="auto"/>
                      <w:highlight w:val="none"/>
                    </w:rPr>
                    <w:t>能力</w:t>
                  </w:r>
                </w:p>
              </w:tc>
              <w:tc>
                <w:tcPr>
                  <w:tcW w:w="759" w:type="dxa"/>
                  <w:noWrap w:val="0"/>
                  <w:vAlign w:val="center"/>
                </w:tcPr>
                <w:p w14:paraId="2F376C5D">
                  <w:pPr>
                    <w:pStyle w:val="110"/>
                    <w:spacing w:before="0" w:beforeLines="0" w:after="0" w:afterLines="0" w:line="240" w:lineRule="exact"/>
                    <w:rPr>
                      <w:color w:val="auto"/>
                      <w:highlight w:val="none"/>
                    </w:rPr>
                  </w:pPr>
                  <w:r>
                    <w:rPr>
                      <w:color w:val="auto"/>
                      <w:highlight w:val="none"/>
                    </w:rPr>
                    <w:t>贮存</w:t>
                  </w:r>
                </w:p>
                <w:p w14:paraId="7C085B7B">
                  <w:pPr>
                    <w:pStyle w:val="110"/>
                    <w:spacing w:before="0" w:beforeLines="0" w:after="0" w:afterLines="0" w:line="240" w:lineRule="exact"/>
                    <w:rPr>
                      <w:rFonts w:hint="default"/>
                      <w:color w:val="auto"/>
                      <w:highlight w:val="none"/>
                    </w:rPr>
                  </w:pPr>
                  <w:r>
                    <w:rPr>
                      <w:color w:val="auto"/>
                      <w:highlight w:val="none"/>
                    </w:rPr>
                    <w:t>周期</w:t>
                  </w:r>
                </w:p>
              </w:tc>
            </w:tr>
            <w:tr w14:paraId="242F50B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045" w:type="dxa"/>
                  <w:vMerge w:val="restart"/>
                  <w:noWrap w:val="0"/>
                  <w:vAlign w:val="center"/>
                </w:tcPr>
                <w:p w14:paraId="29EC303B">
                  <w:pPr>
                    <w:pStyle w:val="111"/>
                    <w:spacing w:before="0" w:beforeLines="0" w:after="0" w:afterLines="0" w:line="240" w:lineRule="exact"/>
                    <w:ind w:left="0" w:leftChars="0" w:right="0" w:rightChars="0"/>
                    <w:rPr>
                      <w:rFonts w:hint="eastAsia" w:eastAsia="宋体"/>
                      <w:color w:val="auto"/>
                      <w:highlight w:val="none"/>
                      <w:lang w:eastAsia="zh-CN"/>
                    </w:rPr>
                  </w:pPr>
                  <w:r>
                    <w:rPr>
                      <w:rFonts w:hint="eastAsia"/>
                      <w:color w:val="auto"/>
                      <w:highlight w:val="none"/>
                      <w:lang w:eastAsia="zh-CN"/>
                    </w:rPr>
                    <w:t>危险废物暂存</w:t>
                  </w:r>
                  <w:r>
                    <w:rPr>
                      <w:rFonts w:hint="eastAsia"/>
                      <w:color w:val="auto"/>
                      <w:highlight w:val="none"/>
                      <w:lang w:val="en-US" w:eastAsia="zh-CN"/>
                    </w:rPr>
                    <w:t>间</w:t>
                  </w:r>
                </w:p>
              </w:tc>
              <w:tc>
                <w:tcPr>
                  <w:tcW w:w="1061" w:type="dxa"/>
                  <w:noWrap w:val="0"/>
                  <w:vAlign w:val="center"/>
                </w:tcPr>
                <w:p w14:paraId="02491513">
                  <w:pPr>
                    <w:pStyle w:val="111"/>
                    <w:spacing w:before="0" w:beforeLines="0" w:after="0" w:afterLines="0" w:line="240" w:lineRule="exact"/>
                    <w:ind w:left="0" w:leftChars="0" w:right="0" w:rightChars="0"/>
                    <w:rPr>
                      <w:color w:val="auto"/>
                      <w:highlight w:val="none"/>
                    </w:rPr>
                  </w:pPr>
                  <w:r>
                    <w:rPr>
                      <w:color w:val="auto"/>
                      <w:highlight w:val="none"/>
                    </w:rPr>
                    <w:t>废活性炭</w:t>
                  </w:r>
                </w:p>
              </w:tc>
              <w:tc>
                <w:tcPr>
                  <w:tcW w:w="1553" w:type="dxa"/>
                  <w:noWrap w:val="0"/>
                  <w:vAlign w:val="center"/>
                </w:tcPr>
                <w:p w14:paraId="16B017D7">
                  <w:pPr>
                    <w:pStyle w:val="111"/>
                    <w:spacing w:before="0" w:beforeLines="0" w:after="0" w:afterLines="0" w:line="240" w:lineRule="exact"/>
                    <w:ind w:left="0" w:leftChars="0" w:right="0" w:rightChars="0"/>
                    <w:rPr>
                      <w:color w:val="auto"/>
                      <w:highlight w:val="none"/>
                    </w:rPr>
                  </w:pPr>
                  <w:r>
                    <w:rPr>
                      <w:color w:val="auto"/>
                      <w:highlight w:val="none"/>
                    </w:rPr>
                    <w:t>HW49</w:t>
                  </w:r>
                </w:p>
                <w:p w14:paraId="64FB15C6">
                  <w:pPr>
                    <w:pStyle w:val="111"/>
                    <w:spacing w:before="0" w:beforeLines="0" w:after="0" w:afterLines="0" w:line="240" w:lineRule="exact"/>
                    <w:ind w:left="0" w:leftChars="0" w:right="0" w:rightChars="0"/>
                    <w:rPr>
                      <w:color w:val="auto"/>
                      <w:highlight w:val="none"/>
                    </w:rPr>
                  </w:pPr>
                  <w:r>
                    <w:rPr>
                      <w:color w:val="auto"/>
                      <w:highlight w:val="none"/>
                    </w:rPr>
                    <w:t>900-039-49</w:t>
                  </w:r>
                </w:p>
              </w:tc>
              <w:tc>
                <w:tcPr>
                  <w:tcW w:w="1187" w:type="dxa"/>
                  <w:vMerge w:val="restart"/>
                  <w:noWrap w:val="0"/>
                  <w:vAlign w:val="center"/>
                </w:tcPr>
                <w:p w14:paraId="0D54AE82">
                  <w:pPr>
                    <w:pStyle w:val="111"/>
                    <w:spacing w:before="0" w:beforeLines="0" w:after="0" w:afterLines="0" w:line="240" w:lineRule="exact"/>
                    <w:ind w:left="0" w:leftChars="0" w:right="0" w:rightChars="0"/>
                    <w:rPr>
                      <w:rFonts w:hint="default" w:eastAsia="宋体"/>
                      <w:color w:val="auto"/>
                      <w:highlight w:val="none"/>
                      <w:lang w:val="en-US" w:eastAsia="zh-CN"/>
                    </w:rPr>
                  </w:pPr>
                  <w:r>
                    <w:rPr>
                      <w:rFonts w:hint="eastAsia"/>
                      <w:color w:val="auto"/>
                      <w:highlight w:val="none"/>
                      <w:lang w:val="en-US" w:eastAsia="zh-CN"/>
                    </w:rPr>
                    <w:t>生产车间外西北角</w:t>
                  </w:r>
                </w:p>
              </w:tc>
              <w:tc>
                <w:tcPr>
                  <w:tcW w:w="818" w:type="dxa"/>
                  <w:vMerge w:val="restart"/>
                  <w:noWrap w:val="0"/>
                  <w:vAlign w:val="center"/>
                </w:tcPr>
                <w:p w14:paraId="7711928F">
                  <w:pPr>
                    <w:pStyle w:val="111"/>
                    <w:spacing w:before="0" w:beforeLines="0" w:after="0" w:afterLines="0" w:line="240" w:lineRule="exact"/>
                    <w:ind w:left="0" w:leftChars="0" w:right="0" w:rightChars="0"/>
                    <w:rPr>
                      <w:rFonts w:hint="default"/>
                      <w:color w:val="auto"/>
                      <w:highlight w:val="none"/>
                    </w:rPr>
                  </w:pPr>
                  <w:r>
                    <w:rPr>
                      <w:rFonts w:hint="eastAsia"/>
                      <w:color w:val="auto"/>
                      <w:highlight w:val="none"/>
                      <w:lang w:val="en-US" w:eastAsia="zh-CN"/>
                    </w:rPr>
                    <w:t>20</w:t>
                  </w:r>
                  <w:r>
                    <w:rPr>
                      <w:color w:val="auto"/>
                      <w:highlight w:val="none"/>
                    </w:rPr>
                    <w:t>m</w:t>
                  </w:r>
                  <w:r>
                    <w:rPr>
                      <w:color w:val="auto"/>
                      <w:highlight w:val="none"/>
                      <w:vertAlign w:val="superscript"/>
                    </w:rPr>
                    <w:t>2</w:t>
                  </w:r>
                </w:p>
              </w:tc>
              <w:tc>
                <w:tcPr>
                  <w:tcW w:w="1142" w:type="dxa"/>
                  <w:vMerge w:val="restart"/>
                  <w:noWrap w:val="0"/>
                  <w:vAlign w:val="center"/>
                </w:tcPr>
                <w:p w14:paraId="71CD0B51">
                  <w:pPr>
                    <w:pStyle w:val="111"/>
                    <w:spacing w:before="0" w:beforeLines="0" w:after="0" w:afterLines="0" w:line="240" w:lineRule="exact"/>
                    <w:ind w:left="0" w:leftChars="0" w:right="0" w:rightChars="0"/>
                    <w:rPr>
                      <w:color w:val="auto"/>
                      <w:highlight w:val="none"/>
                    </w:rPr>
                  </w:pPr>
                  <w:r>
                    <w:rPr>
                      <w:color w:val="auto"/>
                      <w:highlight w:val="none"/>
                    </w:rPr>
                    <w:t>密封袋装</w:t>
                  </w:r>
                </w:p>
              </w:tc>
              <w:tc>
                <w:tcPr>
                  <w:tcW w:w="726" w:type="dxa"/>
                  <w:vMerge w:val="restart"/>
                  <w:noWrap w:val="0"/>
                  <w:vAlign w:val="center"/>
                </w:tcPr>
                <w:p w14:paraId="109EEA88">
                  <w:pPr>
                    <w:pStyle w:val="111"/>
                    <w:spacing w:before="0" w:beforeLines="0" w:after="0" w:afterLines="0" w:line="240" w:lineRule="exact"/>
                    <w:ind w:left="0" w:leftChars="0" w:right="0" w:rightChars="0"/>
                    <w:rPr>
                      <w:rFonts w:hint="default"/>
                      <w:color w:val="auto"/>
                      <w:highlight w:val="none"/>
                    </w:rPr>
                  </w:pPr>
                  <w:r>
                    <w:rPr>
                      <w:rFonts w:hint="eastAsia"/>
                      <w:color w:val="auto"/>
                      <w:highlight w:val="none"/>
                      <w:lang w:val="en-US" w:eastAsia="zh-CN"/>
                    </w:rPr>
                    <w:t>10</w:t>
                  </w:r>
                  <w:r>
                    <w:rPr>
                      <w:color w:val="auto"/>
                      <w:highlight w:val="none"/>
                    </w:rPr>
                    <w:t>t</w:t>
                  </w:r>
                </w:p>
              </w:tc>
              <w:tc>
                <w:tcPr>
                  <w:tcW w:w="759" w:type="dxa"/>
                  <w:vMerge w:val="restart"/>
                  <w:noWrap w:val="0"/>
                  <w:vAlign w:val="center"/>
                </w:tcPr>
                <w:p w14:paraId="15FAD440">
                  <w:pPr>
                    <w:pStyle w:val="111"/>
                    <w:spacing w:before="0" w:beforeLines="0" w:after="0" w:afterLines="0" w:line="240" w:lineRule="exact"/>
                    <w:ind w:left="0" w:leftChars="0" w:right="0" w:rightChars="0"/>
                    <w:rPr>
                      <w:rFonts w:hint="eastAsia" w:eastAsia="宋体"/>
                      <w:color w:val="auto"/>
                      <w:highlight w:val="none"/>
                      <w:lang w:val="en-US" w:eastAsia="zh-CN"/>
                    </w:rPr>
                  </w:pPr>
                  <w:r>
                    <w:rPr>
                      <w:rFonts w:hint="eastAsia"/>
                      <w:color w:val="auto"/>
                      <w:highlight w:val="none"/>
                      <w:lang w:val="en-US" w:eastAsia="zh-CN"/>
                    </w:rPr>
                    <w:t>1个月</w:t>
                  </w:r>
                </w:p>
              </w:tc>
            </w:tr>
            <w:tr w14:paraId="6651388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045" w:type="dxa"/>
                  <w:vMerge w:val="continue"/>
                  <w:noWrap w:val="0"/>
                  <w:vAlign w:val="center"/>
                </w:tcPr>
                <w:p w14:paraId="7EF7E223">
                  <w:pPr>
                    <w:pStyle w:val="111"/>
                    <w:spacing w:before="0" w:beforeLines="0" w:after="0" w:afterLines="0" w:line="240" w:lineRule="exact"/>
                    <w:ind w:left="0" w:leftChars="0" w:right="0" w:rightChars="0"/>
                    <w:rPr>
                      <w:rFonts w:hint="eastAsia"/>
                      <w:color w:val="auto"/>
                      <w:highlight w:val="none"/>
                      <w:lang w:eastAsia="zh-CN"/>
                    </w:rPr>
                  </w:pPr>
                </w:p>
              </w:tc>
              <w:tc>
                <w:tcPr>
                  <w:tcW w:w="1061" w:type="dxa"/>
                  <w:noWrap w:val="0"/>
                  <w:vAlign w:val="center"/>
                </w:tcPr>
                <w:p w14:paraId="7E2754BA">
                  <w:pPr>
                    <w:pStyle w:val="111"/>
                    <w:spacing w:before="0" w:beforeLines="0" w:after="0" w:afterLines="0" w:line="240" w:lineRule="exact"/>
                    <w:ind w:left="0" w:leftChars="0" w:right="0" w:rightChars="0"/>
                    <w:rPr>
                      <w:color w:val="auto"/>
                      <w:highlight w:val="none"/>
                    </w:rPr>
                  </w:pPr>
                  <w:r>
                    <w:rPr>
                      <w:rFonts w:hint="default" w:ascii="Times New Roman" w:hAnsi="Times New Roman" w:eastAsia="宋体" w:cs="Times New Roman"/>
                      <w:color w:val="auto"/>
                      <w:sz w:val="21"/>
                      <w:szCs w:val="21"/>
                      <w:highlight w:val="none"/>
                      <w:lang w:val="en-US" w:eastAsia="zh-CN"/>
                    </w:rPr>
                    <w:t>废催化剂</w:t>
                  </w:r>
                </w:p>
              </w:tc>
              <w:tc>
                <w:tcPr>
                  <w:tcW w:w="1553" w:type="dxa"/>
                  <w:noWrap w:val="0"/>
                  <w:vAlign w:val="center"/>
                </w:tcPr>
                <w:p w14:paraId="61A106EB">
                  <w:pPr>
                    <w:pStyle w:val="111"/>
                    <w:spacing w:before="0" w:beforeLines="0" w:after="0" w:afterLines="0" w:line="240" w:lineRule="exact"/>
                    <w:ind w:left="0" w:leftChars="0" w:right="0" w:rightChars="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HW50</w:t>
                  </w:r>
                </w:p>
                <w:p w14:paraId="3A7FB202">
                  <w:pPr>
                    <w:pStyle w:val="111"/>
                    <w:spacing w:before="0" w:beforeLines="0" w:after="0" w:afterLines="0" w:line="240" w:lineRule="exact"/>
                    <w:ind w:left="0" w:leftChars="0" w:right="0" w:rightChars="0"/>
                    <w:rPr>
                      <w:color w:val="auto"/>
                      <w:highlight w:val="none"/>
                    </w:rPr>
                  </w:pPr>
                  <w:r>
                    <w:rPr>
                      <w:rFonts w:hint="default" w:ascii="Times New Roman" w:hAnsi="Times New Roman" w:eastAsia="宋体" w:cs="Times New Roman"/>
                      <w:color w:val="auto"/>
                      <w:sz w:val="21"/>
                      <w:szCs w:val="21"/>
                      <w:highlight w:val="none"/>
                      <w:lang w:val="en-US" w:eastAsia="zh-CN"/>
                    </w:rPr>
                    <w:t>900-049-50</w:t>
                  </w:r>
                </w:p>
              </w:tc>
              <w:tc>
                <w:tcPr>
                  <w:tcW w:w="1187" w:type="dxa"/>
                  <w:vMerge w:val="continue"/>
                  <w:noWrap w:val="0"/>
                  <w:vAlign w:val="center"/>
                </w:tcPr>
                <w:p w14:paraId="47439B67">
                  <w:pPr>
                    <w:pStyle w:val="111"/>
                    <w:spacing w:before="0" w:beforeLines="0" w:after="0" w:afterLines="0" w:line="240" w:lineRule="exact"/>
                    <w:ind w:left="0" w:leftChars="0" w:right="0" w:rightChars="0"/>
                    <w:rPr>
                      <w:rFonts w:hint="eastAsia"/>
                      <w:color w:val="auto"/>
                      <w:highlight w:val="none"/>
                      <w:lang w:val="en-US" w:eastAsia="zh-CN"/>
                    </w:rPr>
                  </w:pPr>
                </w:p>
              </w:tc>
              <w:tc>
                <w:tcPr>
                  <w:tcW w:w="818" w:type="dxa"/>
                  <w:vMerge w:val="continue"/>
                  <w:noWrap w:val="0"/>
                  <w:vAlign w:val="center"/>
                </w:tcPr>
                <w:p w14:paraId="2110E48C">
                  <w:pPr>
                    <w:pStyle w:val="111"/>
                    <w:spacing w:before="0" w:beforeLines="0" w:after="0" w:afterLines="0" w:line="240" w:lineRule="exact"/>
                    <w:ind w:left="0" w:leftChars="0" w:right="0" w:rightChars="0"/>
                    <w:rPr>
                      <w:rFonts w:hint="eastAsia"/>
                      <w:color w:val="auto"/>
                      <w:highlight w:val="none"/>
                      <w:lang w:val="en-US" w:eastAsia="zh-CN"/>
                    </w:rPr>
                  </w:pPr>
                </w:p>
              </w:tc>
              <w:tc>
                <w:tcPr>
                  <w:tcW w:w="1142" w:type="dxa"/>
                  <w:vMerge w:val="continue"/>
                  <w:noWrap w:val="0"/>
                  <w:vAlign w:val="center"/>
                </w:tcPr>
                <w:p w14:paraId="326EBE1E">
                  <w:pPr>
                    <w:pStyle w:val="111"/>
                    <w:spacing w:before="0" w:beforeLines="0" w:after="0" w:afterLines="0" w:line="240" w:lineRule="exact"/>
                    <w:ind w:left="0" w:leftChars="0" w:right="0" w:rightChars="0"/>
                    <w:rPr>
                      <w:color w:val="auto"/>
                      <w:highlight w:val="none"/>
                    </w:rPr>
                  </w:pPr>
                </w:p>
              </w:tc>
              <w:tc>
                <w:tcPr>
                  <w:tcW w:w="726" w:type="dxa"/>
                  <w:vMerge w:val="continue"/>
                  <w:noWrap w:val="0"/>
                  <w:vAlign w:val="center"/>
                </w:tcPr>
                <w:p w14:paraId="64AB24EC">
                  <w:pPr>
                    <w:pStyle w:val="111"/>
                    <w:spacing w:before="0" w:beforeLines="0" w:after="0" w:afterLines="0" w:line="240" w:lineRule="exact"/>
                    <w:ind w:left="0" w:leftChars="0" w:right="0" w:rightChars="0"/>
                    <w:rPr>
                      <w:rFonts w:hint="eastAsia"/>
                      <w:color w:val="auto"/>
                      <w:highlight w:val="none"/>
                      <w:lang w:val="en-US" w:eastAsia="zh-CN"/>
                    </w:rPr>
                  </w:pPr>
                </w:p>
              </w:tc>
              <w:tc>
                <w:tcPr>
                  <w:tcW w:w="759" w:type="dxa"/>
                  <w:vMerge w:val="continue"/>
                  <w:noWrap w:val="0"/>
                  <w:vAlign w:val="center"/>
                </w:tcPr>
                <w:p w14:paraId="6991A14F">
                  <w:pPr>
                    <w:pStyle w:val="111"/>
                    <w:spacing w:before="0" w:beforeLines="0" w:after="0" w:afterLines="0" w:line="240" w:lineRule="exact"/>
                    <w:ind w:left="0" w:leftChars="0" w:right="0" w:rightChars="0"/>
                    <w:rPr>
                      <w:rFonts w:hint="eastAsia"/>
                      <w:color w:val="auto"/>
                      <w:highlight w:val="none"/>
                      <w:lang w:val="en-US" w:eastAsia="zh-CN"/>
                    </w:rPr>
                  </w:pPr>
                </w:p>
              </w:tc>
            </w:tr>
          </w:tbl>
          <w:p w14:paraId="4BF7DA3B">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hint="default"/>
                <w:color w:val="auto"/>
                <w:sz w:val="24"/>
                <w:szCs w:val="24"/>
                <w:highlight w:val="none"/>
              </w:rPr>
            </w:pPr>
            <w:r>
              <w:rPr>
                <w:rFonts w:hint="eastAsia"/>
                <w:color w:val="auto"/>
                <w:sz w:val="24"/>
                <w:szCs w:val="24"/>
                <w:highlight w:val="none"/>
                <w:lang w:eastAsia="zh-CN"/>
              </w:rPr>
              <w:t>2.</w:t>
            </w:r>
            <w:r>
              <w:rPr>
                <w:rFonts w:hint="default"/>
                <w:color w:val="auto"/>
                <w:sz w:val="24"/>
                <w:szCs w:val="24"/>
                <w:highlight w:val="none"/>
              </w:rPr>
              <w:t>固体废物管理要求</w:t>
            </w:r>
          </w:p>
          <w:p w14:paraId="42109EE4">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hint="default"/>
                <w:color w:val="auto"/>
                <w:sz w:val="24"/>
                <w:szCs w:val="24"/>
                <w:highlight w:val="none"/>
              </w:rPr>
            </w:pPr>
            <w:r>
              <w:rPr>
                <w:rFonts w:hint="default"/>
                <w:color w:val="auto"/>
                <w:sz w:val="24"/>
                <w:szCs w:val="24"/>
                <w:highlight w:val="none"/>
              </w:rPr>
              <w:t>根据《中华人民共和国固体废物污染环境防治法》（第二次修订）及《危险废物贮存污染控制标准》（GB18597-20</w:t>
            </w:r>
            <w:r>
              <w:rPr>
                <w:rFonts w:hint="eastAsia"/>
                <w:color w:val="auto"/>
                <w:sz w:val="24"/>
                <w:szCs w:val="24"/>
                <w:highlight w:val="none"/>
                <w:lang w:val="en-US" w:eastAsia="zh-CN"/>
              </w:rPr>
              <w:t>23</w:t>
            </w:r>
            <w:r>
              <w:rPr>
                <w:rFonts w:hint="default"/>
                <w:color w:val="auto"/>
                <w:sz w:val="24"/>
                <w:szCs w:val="24"/>
                <w:highlight w:val="none"/>
              </w:rPr>
              <w:t>）等文件，提出以下要求：</w:t>
            </w:r>
          </w:p>
          <w:p w14:paraId="0F0AA1F3">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hint="default"/>
                <w:color w:val="auto"/>
                <w:sz w:val="24"/>
                <w:szCs w:val="24"/>
                <w:highlight w:val="none"/>
              </w:rPr>
            </w:pPr>
            <w:r>
              <w:rPr>
                <w:rFonts w:hint="default"/>
                <w:color w:val="auto"/>
                <w:sz w:val="24"/>
                <w:szCs w:val="24"/>
                <w:highlight w:val="none"/>
              </w:rPr>
              <w:t>①建设产生、贮存、利用、处置固体废物的项目，应当依法进行环境影响评价，并遵守国家有关建设项目环境保护管理的规定。产生、收集、贮存、利用、处置固体废物的单位和其他生产经营者，应当采取</w:t>
            </w:r>
            <w:r>
              <w:rPr>
                <w:rFonts w:hint="eastAsia"/>
                <w:color w:val="auto"/>
                <w:sz w:val="24"/>
                <w:szCs w:val="24"/>
                <w:highlight w:val="none"/>
                <w:lang w:eastAsia="zh-CN"/>
              </w:rPr>
              <w:t>防</w:t>
            </w:r>
            <w:r>
              <w:rPr>
                <w:rFonts w:hint="default"/>
                <w:color w:val="auto"/>
                <w:sz w:val="24"/>
                <w:szCs w:val="24"/>
                <w:highlight w:val="none"/>
              </w:rPr>
              <w:t>扬散、防流失、防渗漏或其他防止污染环境的措施，不得擅自倾倒、堆放、丢弃、遗撒固体废物。禁止任何单位或个人向江河、湖泊、运河、渠道、水库及其最高水位线以下的滩地和岸坡以及法律法规规定的其他地点倾倒、堆放、贮存固体废物。</w:t>
            </w:r>
          </w:p>
          <w:p w14:paraId="1E812087">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hint="default"/>
                <w:color w:val="auto"/>
                <w:sz w:val="24"/>
                <w:szCs w:val="24"/>
                <w:highlight w:val="none"/>
              </w:rPr>
            </w:pPr>
            <w:r>
              <w:rPr>
                <w:rFonts w:hint="default"/>
                <w:color w:val="auto"/>
                <w:sz w:val="24"/>
                <w:szCs w:val="24"/>
                <w:highlight w:val="none"/>
              </w:rPr>
              <w:t>②本项目在</w:t>
            </w:r>
            <w:r>
              <w:rPr>
                <w:rFonts w:hint="eastAsia"/>
                <w:color w:val="auto"/>
                <w:sz w:val="24"/>
                <w:szCs w:val="24"/>
                <w:highlight w:val="none"/>
                <w:lang w:eastAsia="zh-CN"/>
              </w:rPr>
              <w:t>危</w:t>
            </w:r>
            <w:r>
              <w:rPr>
                <w:rFonts w:hint="default"/>
                <w:color w:val="auto"/>
                <w:sz w:val="24"/>
                <w:szCs w:val="24"/>
                <w:highlight w:val="none"/>
              </w:rPr>
              <w:t>一般固废储存</w:t>
            </w:r>
            <w:r>
              <w:rPr>
                <w:rFonts w:hint="eastAsia"/>
                <w:color w:val="auto"/>
                <w:sz w:val="24"/>
                <w:szCs w:val="24"/>
                <w:highlight w:val="none"/>
                <w:lang w:val="en-US" w:eastAsia="zh-CN"/>
              </w:rPr>
              <w:t>区位于生产车间内</w:t>
            </w:r>
            <w:r>
              <w:rPr>
                <w:rFonts w:hint="default"/>
                <w:color w:val="auto"/>
                <w:sz w:val="24"/>
                <w:szCs w:val="24"/>
                <w:highlight w:val="none"/>
              </w:rPr>
              <w:t>，主要储存生产过程中的各种一般固体废物。项目一般工业固废不会产生渗滤液，一般固废间地面硬化，防止雨水径流进入贮存、处置场内，场内悬挂标识，分区存放，储存区设置满足《一般工业固体废物贮存和填埋污染控制标准》（GB18599-2020）中标准要求。生活垃圾在场内设置密闭桶收集，及时清运。</w:t>
            </w:r>
          </w:p>
          <w:p w14:paraId="0D43E414">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hint="default"/>
                <w:color w:val="auto"/>
                <w:sz w:val="24"/>
                <w:szCs w:val="24"/>
                <w:highlight w:val="none"/>
              </w:rPr>
            </w:pPr>
            <w:r>
              <w:rPr>
                <w:rFonts w:hint="default"/>
                <w:color w:val="auto"/>
                <w:sz w:val="24"/>
                <w:szCs w:val="24"/>
                <w:highlight w:val="none"/>
              </w:rPr>
              <w:t>③本项目</w:t>
            </w:r>
            <w:r>
              <w:rPr>
                <w:rFonts w:hint="eastAsia"/>
                <w:color w:val="auto"/>
                <w:sz w:val="24"/>
                <w:szCs w:val="24"/>
                <w:highlight w:val="none"/>
                <w:lang w:val="en-US" w:eastAsia="zh-CN"/>
              </w:rPr>
              <w:t>生产车间西北角建设</w:t>
            </w:r>
            <w:r>
              <w:rPr>
                <w:rFonts w:hint="default"/>
                <w:color w:val="auto"/>
                <w:sz w:val="24"/>
                <w:szCs w:val="24"/>
                <w:highlight w:val="none"/>
              </w:rPr>
              <w:t>1座</w:t>
            </w:r>
            <w:r>
              <w:rPr>
                <w:rFonts w:hint="eastAsia"/>
                <w:color w:val="auto"/>
                <w:sz w:val="24"/>
                <w:szCs w:val="24"/>
                <w:highlight w:val="none"/>
                <w:lang w:val="en-US" w:eastAsia="zh-CN"/>
              </w:rPr>
              <w:t>20</w:t>
            </w:r>
            <w:r>
              <w:rPr>
                <w:rFonts w:hint="default"/>
                <w:color w:val="auto"/>
                <w:sz w:val="24"/>
                <w:szCs w:val="24"/>
                <w:highlight w:val="none"/>
              </w:rPr>
              <w:t>m</w:t>
            </w:r>
            <w:r>
              <w:rPr>
                <w:rFonts w:hint="default"/>
                <w:color w:val="auto"/>
                <w:sz w:val="24"/>
                <w:szCs w:val="24"/>
                <w:highlight w:val="none"/>
                <w:vertAlign w:val="superscript"/>
              </w:rPr>
              <w:t>2</w:t>
            </w:r>
            <w:r>
              <w:rPr>
                <w:rFonts w:hint="eastAsia"/>
                <w:color w:val="auto"/>
                <w:sz w:val="24"/>
                <w:szCs w:val="24"/>
                <w:highlight w:val="none"/>
                <w:lang w:eastAsia="zh-CN"/>
              </w:rPr>
              <w:t>危险废物暂存</w:t>
            </w:r>
            <w:r>
              <w:rPr>
                <w:rFonts w:hint="eastAsia"/>
                <w:color w:val="auto"/>
                <w:sz w:val="24"/>
                <w:szCs w:val="24"/>
                <w:highlight w:val="none"/>
                <w:lang w:val="en-US" w:eastAsia="zh-CN"/>
              </w:rPr>
              <w:t>间</w:t>
            </w:r>
            <w:r>
              <w:rPr>
                <w:rFonts w:hint="default"/>
                <w:color w:val="auto"/>
                <w:sz w:val="24"/>
                <w:szCs w:val="24"/>
                <w:highlight w:val="none"/>
              </w:rPr>
              <w:t>，危险废物在</w:t>
            </w:r>
            <w:r>
              <w:rPr>
                <w:rFonts w:hint="eastAsia"/>
                <w:color w:val="auto"/>
                <w:sz w:val="24"/>
                <w:szCs w:val="24"/>
                <w:highlight w:val="none"/>
                <w:lang w:eastAsia="zh-CN"/>
              </w:rPr>
              <w:t>危险废物暂存</w:t>
            </w:r>
            <w:r>
              <w:rPr>
                <w:rFonts w:hint="eastAsia"/>
                <w:color w:val="auto"/>
                <w:sz w:val="24"/>
                <w:szCs w:val="24"/>
                <w:highlight w:val="none"/>
                <w:lang w:val="en-US" w:eastAsia="zh-CN"/>
              </w:rPr>
              <w:t>间</w:t>
            </w:r>
            <w:r>
              <w:rPr>
                <w:rFonts w:hint="default"/>
                <w:color w:val="auto"/>
                <w:sz w:val="24"/>
                <w:szCs w:val="24"/>
                <w:highlight w:val="none"/>
              </w:rPr>
              <w:t>储存过程中，不同种类危险废物应分区存放，墙上张贴危废名称，危废包装需完好无破损并</w:t>
            </w:r>
            <w:r>
              <w:rPr>
                <w:rFonts w:hint="eastAsia"/>
                <w:color w:val="auto"/>
                <w:sz w:val="24"/>
                <w:szCs w:val="24"/>
                <w:highlight w:val="none"/>
                <w:lang w:eastAsia="zh-CN"/>
              </w:rPr>
              <w:t>悬挂</w:t>
            </w:r>
            <w:r>
              <w:rPr>
                <w:rFonts w:hint="default"/>
                <w:color w:val="auto"/>
                <w:sz w:val="24"/>
                <w:szCs w:val="24"/>
                <w:highlight w:val="none"/>
              </w:rPr>
              <w:t>危险废物标签，并按照要求填写。</w:t>
            </w:r>
          </w:p>
          <w:p w14:paraId="2ED3FDC8">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hint="default"/>
                <w:color w:val="auto"/>
                <w:sz w:val="24"/>
                <w:szCs w:val="24"/>
                <w:highlight w:val="none"/>
              </w:rPr>
            </w:pPr>
            <w:r>
              <w:rPr>
                <w:rFonts w:hint="eastAsia"/>
                <w:color w:val="auto"/>
                <w:sz w:val="24"/>
                <w:szCs w:val="24"/>
                <w:highlight w:val="none"/>
                <w:lang w:eastAsia="zh-CN"/>
              </w:rPr>
              <w:t>危险废物暂存</w:t>
            </w:r>
            <w:r>
              <w:rPr>
                <w:rFonts w:hint="eastAsia"/>
                <w:color w:val="auto"/>
                <w:sz w:val="24"/>
                <w:szCs w:val="24"/>
                <w:highlight w:val="none"/>
                <w:lang w:val="en-US" w:eastAsia="zh-CN"/>
              </w:rPr>
              <w:t>间</w:t>
            </w:r>
            <w:r>
              <w:rPr>
                <w:rFonts w:hint="default"/>
                <w:color w:val="auto"/>
                <w:sz w:val="24"/>
                <w:szCs w:val="24"/>
                <w:highlight w:val="none"/>
              </w:rPr>
              <w:t>设置警示标识，并设立危险废物贮存管理台账，规范危险废物出入库情况交接记录，记录上须注明危险废物的名称、来源、数量、特性和包装容器的类别、入库日期、存放库位、废物出库日期及接收单位名称，交由具有危险废物处置资质的单位处置。项目</w:t>
            </w:r>
            <w:r>
              <w:rPr>
                <w:rFonts w:hint="eastAsia"/>
                <w:color w:val="auto"/>
                <w:sz w:val="24"/>
                <w:szCs w:val="24"/>
                <w:highlight w:val="none"/>
                <w:lang w:eastAsia="zh-CN"/>
              </w:rPr>
              <w:t>危险废物暂存</w:t>
            </w:r>
            <w:r>
              <w:rPr>
                <w:rFonts w:hint="eastAsia"/>
                <w:color w:val="auto"/>
                <w:sz w:val="24"/>
                <w:szCs w:val="24"/>
                <w:highlight w:val="none"/>
                <w:lang w:val="en-US" w:eastAsia="zh-CN"/>
              </w:rPr>
              <w:t>间</w:t>
            </w:r>
            <w:r>
              <w:rPr>
                <w:rFonts w:hint="default"/>
                <w:color w:val="auto"/>
                <w:sz w:val="24"/>
                <w:szCs w:val="24"/>
                <w:highlight w:val="none"/>
              </w:rPr>
              <w:t>严格按照《危险废物贮存污染控制标准》（GB18597-20</w:t>
            </w:r>
            <w:r>
              <w:rPr>
                <w:rFonts w:hint="eastAsia"/>
                <w:color w:val="auto"/>
                <w:sz w:val="24"/>
                <w:szCs w:val="24"/>
                <w:highlight w:val="none"/>
                <w:lang w:val="en-US" w:eastAsia="zh-CN"/>
              </w:rPr>
              <w:t>23</w:t>
            </w:r>
            <w:r>
              <w:rPr>
                <w:rFonts w:hint="default"/>
                <w:color w:val="auto"/>
                <w:sz w:val="24"/>
                <w:szCs w:val="24"/>
                <w:highlight w:val="none"/>
              </w:rPr>
              <w:t>）中相关要求建设，做到防风、防雨、防晒，基础必须防渗，设计堵截</w:t>
            </w:r>
            <w:r>
              <w:rPr>
                <w:color w:val="auto"/>
                <w:sz w:val="24"/>
                <w:szCs w:val="24"/>
                <w:highlight w:val="none"/>
              </w:rPr>
              <w:t>泄漏</w:t>
            </w:r>
            <w:r>
              <w:rPr>
                <w:rFonts w:hint="default"/>
                <w:color w:val="auto"/>
                <w:sz w:val="24"/>
                <w:szCs w:val="24"/>
                <w:highlight w:val="none"/>
              </w:rPr>
              <w:t>的裙角，地面做耐腐蚀、防渗漏处理，要求渗透系数小于1×10</w:t>
            </w:r>
            <w:r>
              <w:rPr>
                <w:rFonts w:hint="default"/>
                <w:color w:val="auto"/>
                <w:sz w:val="24"/>
                <w:szCs w:val="24"/>
                <w:highlight w:val="none"/>
                <w:vertAlign w:val="superscript"/>
              </w:rPr>
              <w:t>-10</w:t>
            </w:r>
            <w:r>
              <w:rPr>
                <w:rFonts w:hint="default"/>
                <w:color w:val="auto"/>
                <w:sz w:val="24"/>
                <w:szCs w:val="24"/>
                <w:highlight w:val="none"/>
              </w:rPr>
              <w:t>cm/s。</w:t>
            </w:r>
          </w:p>
          <w:p w14:paraId="1E7D8441">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hint="default"/>
                <w:color w:val="auto"/>
                <w:sz w:val="24"/>
                <w:szCs w:val="24"/>
                <w:highlight w:val="none"/>
              </w:rPr>
            </w:pPr>
            <w:r>
              <w:rPr>
                <w:rFonts w:hint="default"/>
                <w:color w:val="auto"/>
                <w:sz w:val="24"/>
                <w:szCs w:val="24"/>
                <w:highlight w:val="none"/>
              </w:rPr>
              <w:t>④危险废物运输过程中环境管理要求</w:t>
            </w:r>
          </w:p>
          <w:p w14:paraId="0A00FF41">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hint="default"/>
                <w:color w:val="auto"/>
                <w:sz w:val="24"/>
                <w:szCs w:val="24"/>
                <w:highlight w:val="none"/>
              </w:rPr>
            </w:pPr>
            <w:r>
              <w:rPr>
                <w:rFonts w:hint="eastAsia"/>
                <w:color w:val="auto"/>
                <w:sz w:val="24"/>
                <w:szCs w:val="24"/>
                <w:highlight w:val="none"/>
                <w:lang w:eastAsia="zh-CN"/>
              </w:rPr>
              <w:t>危险废物暂存</w:t>
            </w:r>
            <w:r>
              <w:rPr>
                <w:rFonts w:hint="eastAsia"/>
                <w:color w:val="auto"/>
                <w:sz w:val="24"/>
                <w:szCs w:val="24"/>
                <w:highlight w:val="none"/>
                <w:lang w:val="en-US" w:eastAsia="zh-CN"/>
              </w:rPr>
              <w:t>间</w:t>
            </w:r>
            <w:r>
              <w:rPr>
                <w:rFonts w:hint="default"/>
                <w:color w:val="auto"/>
                <w:sz w:val="24"/>
                <w:szCs w:val="24"/>
                <w:highlight w:val="none"/>
              </w:rPr>
              <w:t>的危废定期由有资质的单位进行收集处置，届时有资质的危险废物处置单位会采用专门的危险废物运输车进厂进行收集装车运输至指定场所处置，场外运输车辆由有资质的单位车辆进行运输。</w:t>
            </w:r>
          </w:p>
          <w:p w14:paraId="002539C6">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hint="default"/>
                <w:color w:val="auto"/>
                <w:sz w:val="24"/>
                <w:szCs w:val="24"/>
                <w:highlight w:val="none"/>
              </w:rPr>
            </w:pPr>
            <w:r>
              <w:rPr>
                <w:rFonts w:hint="default"/>
                <w:color w:val="auto"/>
                <w:sz w:val="24"/>
                <w:szCs w:val="24"/>
                <w:highlight w:val="none"/>
              </w:rPr>
              <w:t>⑤危险废物暂存要求</w:t>
            </w:r>
          </w:p>
          <w:p w14:paraId="737D527E">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hint="default"/>
                <w:color w:val="auto"/>
                <w:sz w:val="24"/>
                <w:szCs w:val="24"/>
                <w:highlight w:val="none"/>
              </w:rPr>
            </w:pPr>
            <w:r>
              <w:rPr>
                <w:rFonts w:hint="default"/>
                <w:color w:val="auto"/>
                <w:sz w:val="24"/>
                <w:szCs w:val="24"/>
                <w:highlight w:val="none"/>
              </w:rPr>
              <w:t>本项目新建</w:t>
            </w:r>
            <w:r>
              <w:rPr>
                <w:rFonts w:hint="eastAsia"/>
                <w:color w:val="auto"/>
                <w:sz w:val="24"/>
                <w:szCs w:val="24"/>
                <w:highlight w:val="none"/>
                <w:lang w:eastAsia="zh-CN"/>
              </w:rPr>
              <w:t>危险废物暂存</w:t>
            </w:r>
            <w:r>
              <w:rPr>
                <w:rFonts w:hint="eastAsia"/>
                <w:color w:val="auto"/>
                <w:sz w:val="24"/>
                <w:szCs w:val="24"/>
                <w:highlight w:val="none"/>
                <w:lang w:val="en-US" w:eastAsia="zh-CN"/>
              </w:rPr>
              <w:t>间</w:t>
            </w:r>
            <w:r>
              <w:rPr>
                <w:rFonts w:hint="default"/>
                <w:color w:val="auto"/>
                <w:sz w:val="24"/>
                <w:szCs w:val="24"/>
                <w:highlight w:val="none"/>
              </w:rPr>
              <w:t>1座，</w:t>
            </w:r>
            <w:r>
              <w:rPr>
                <w:rFonts w:hint="eastAsia"/>
                <w:color w:val="auto"/>
                <w:sz w:val="24"/>
                <w:szCs w:val="24"/>
                <w:highlight w:val="none"/>
                <w:lang w:eastAsia="zh-CN"/>
              </w:rPr>
              <w:t>危险废物暂存间</w:t>
            </w:r>
            <w:r>
              <w:rPr>
                <w:rFonts w:hint="default"/>
                <w:color w:val="auto"/>
                <w:sz w:val="24"/>
                <w:szCs w:val="24"/>
                <w:highlight w:val="none"/>
              </w:rPr>
              <w:t>占地面积</w:t>
            </w:r>
            <w:r>
              <w:rPr>
                <w:rFonts w:hint="eastAsia"/>
                <w:color w:val="auto"/>
                <w:sz w:val="24"/>
                <w:szCs w:val="24"/>
                <w:highlight w:val="none"/>
                <w:lang w:val="en-US" w:eastAsia="zh-CN"/>
              </w:rPr>
              <w:t>20</w:t>
            </w:r>
            <w:r>
              <w:rPr>
                <w:rFonts w:hint="default"/>
                <w:color w:val="auto"/>
                <w:sz w:val="24"/>
                <w:szCs w:val="24"/>
                <w:highlight w:val="none"/>
              </w:rPr>
              <w:t>m</w:t>
            </w:r>
            <w:r>
              <w:rPr>
                <w:rFonts w:hint="default"/>
                <w:color w:val="auto"/>
                <w:sz w:val="24"/>
                <w:szCs w:val="24"/>
                <w:highlight w:val="none"/>
                <w:vertAlign w:val="superscript"/>
              </w:rPr>
              <w:t>2</w:t>
            </w:r>
            <w:r>
              <w:rPr>
                <w:rFonts w:hint="default"/>
                <w:color w:val="auto"/>
                <w:sz w:val="24"/>
                <w:szCs w:val="24"/>
                <w:highlight w:val="none"/>
              </w:rPr>
              <w:t>，用于危险废物暂存。</w:t>
            </w:r>
            <w:r>
              <w:rPr>
                <w:rFonts w:hint="eastAsia"/>
                <w:color w:val="auto"/>
                <w:sz w:val="24"/>
                <w:szCs w:val="24"/>
                <w:highlight w:val="none"/>
                <w:lang w:eastAsia="zh-CN"/>
              </w:rPr>
              <w:t>危险废物暂存</w:t>
            </w:r>
            <w:r>
              <w:rPr>
                <w:rFonts w:hint="eastAsia"/>
                <w:color w:val="auto"/>
                <w:sz w:val="24"/>
                <w:szCs w:val="24"/>
                <w:highlight w:val="none"/>
                <w:lang w:val="en-US" w:eastAsia="zh-CN"/>
              </w:rPr>
              <w:t>间</w:t>
            </w:r>
            <w:r>
              <w:rPr>
                <w:rFonts w:hint="default"/>
                <w:color w:val="auto"/>
                <w:sz w:val="24"/>
                <w:szCs w:val="24"/>
                <w:highlight w:val="none"/>
              </w:rPr>
              <w:t>属于重点防渗区，采取</w:t>
            </w:r>
            <w:r>
              <w:rPr>
                <w:color w:val="auto"/>
                <w:sz w:val="24"/>
                <w:szCs w:val="24"/>
                <w:highlight w:val="none"/>
              </w:rPr>
              <w:t>“</w:t>
            </w:r>
            <w:r>
              <w:rPr>
                <w:rFonts w:hint="default"/>
                <w:color w:val="auto"/>
                <w:sz w:val="24"/>
                <w:szCs w:val="24"/>
                <w:highlight w:val="none"/>
              </w:rPr>
              <w:t>三合土+水泥+环氧树脂</w:t>
            </w:r>
            <w:r>
              <w:rPr>
                <w:color w:val="auto"/>
                <w:sz w:val="24"/>
                <w:szCs w:val="24"/>
                <w:highlight w:val="none"/>
              </w:rPr>
              <w:t>”</w:t>
            </w:r>
            <w:r>
              <w:rPr>
                <w:rFonts w:hint="default"/>
                <w:color w:val="auto"/>
                <w:sz w:val="24"/>
                <w:szCs w:val="24"/>
                <w:highlight w:val="none"/>
              </w:rPr>
              <w:t>防渗措施，渗透系数小于1×10</w:t>
            </w:r>
            <w:r>
              <w:rPr>
                <w:rFonts w:hint="default"/>
                <w:color w:val="auto"/>
                <w:sz w:val="24"/>
                <w:szCs w:val="24"/>
                <w:highlight w:val="none"/>
                <w:vertAlign w:val="superscript"/>
              </w:rPr>
              <w:t>-10</w:t>
            </w:r>
            <w:r>
              <w:rPr>
                <w:rFonts w:hint="default"/>
                <w:color w:val="auto"/>
                <w:sz w:val="24"/>
                <w:szCs w:val="24"/>
                <w:highlight w:val="none"/>
              </w:rPr>
              <w:t>cm/s；</w:t>
            </w:r>
            <w:r>
              <w:rPr>
                <w:rFonts w:hint="eastAsia"/>
                <w:color w:val="auto"/>
                <w:sz w:val="24"/>
                <w:szCs w:val="24"/>
                <w:highlight w:val="none"/>
                <w:lang w:eastAsia="zh-CN"/>
              </w:rPr>
              <w:t>危险废物暂存</w:t>
            </w:r>
            <w:r>
              <w:rPr>
                <w:rFonts w:hint="eastAsia"/>
                <w:color w:val="auto"/>
                <w:sz w:val="24"/>
                <w:szCs w:val="24"/>
                <w:highlight w:val="none"/>
                <w:lang w:val="en-US" w:eastAsia="zh-CN"/>
              </w:rPr>
              <w:t>间</w:t>
            </w:r>
            <w:r>
              <w:rPr>
                <w:rFonts w:hint="default"/>
                <w:color w:val="auto"/>
                <w:sz w:val="24"/>
                <w:szCs w:val="24"/>
                <w:highlight w:val="none"/>
              </w:rPr>
              <w:t>密闭。</w:t>
            </w:r>
            <w:r>
              <w:rPr>
                <w:rFonts w:hint="eastAsia"/>
                <w:color w:val="auto"/>
                <w:sz w:val="24"/>
                <w:szCs w:val="24"/>
                <w:highlight w:val="none"/>
                <w:lang w:eastAsia="zh-CN"/>
              </w:rPr>
              <w:t>危险废物暂存</w:t>
            </w:r>
            <w:r>
              <w:rPr>
                <w:rFonts w:hint="eastAsia"/>
                <w:color w:val="auto"/>
                <w:sz w:val="24"/>
                <w:szCs w:val="24"/>
                <w:highlight w:val="none"/>
                <w:lang w:val="en-US" w:eastAsia="zh-CN"/>
              </w:rPr>
              <w:t>间</w:t>
            </w:r>
            <w:r>
              <w:rPr>
                <w:rFonts w:hint="default"/>
                <w:color w:val="auto"/>
                <w:sz w:val="24"/>
                <w:szCs w:val="24"/>
                <w:highlight w:val="none"/>
              </w:rPr>
              <w:t>设立危险废物警示标志，由专人进行管理，做好危险废物产生量及处置记录。</w:t>
            </w:r>
            <w:r>
              <w:rPr>
                <w:rFonts w:hint="eastAsia"/>
                <w:color w:val="auto"/>
                <w:sz w:val="24"/>
                <w:szCs w:val="24"/>
                <w:highlight w:val="none"/>
                <w:lang w:eastAsia="zh-CN"/>
              </w:rPr>
              <w:t>危险废物暂存</w:t>
            </w:r>
            <w:r>
              <w:rPr>
                <w:rFonts w:hint="eastAsia"/>
                <w:color w:val="auto"/>
                <w:sz w:val="24"/>
                <w:szCs w:val="24"/>
                <w:highlight w:val="none"/>
                <w:lang w:val="en-US" w:eastAsia="zh-CN"/>
              </w:rPr>
              <w:t>间</w:t>
            </w:r>
            <w:r>
              <w:rPr>
                <w:rFonts w:hint="default"/>
                <w:color w:val="auto"/>
                <w:sz w:val="24"/>
                <w:szCs w:val="24"/>
                <w:highlight w:val="none"/>
              </w:rPr>
              <w:t>贮存能力可以满足本项目危险废物贮存要求。</w:t>
            </w:r>
          </w:p>
          <w:p w14:paraId="32C692AD">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hint="default"/>
                <w:color w:val="auto"/>
                <w:sz w:val="24"/>
                <w:szCs w:val="24"/>
                <w:highlight w:val="none"/>
              </w:rPr>
            </w:pPr>
            <w:r>
              <w:rPr>
                <w:rFonts w:hint="default"/>
                <w:color w:val="auto"/>
                <w:sz w:val="24"/>
                <w:szCs w:val="24"/>
                <w:highlight w:val="none"/>
              </w:rPr>
              <w:t>本项目建成后产生的固体废物均采取了可行的处置措施，对周边环境保护目标影响较小，不会造成二次污染。</w:t>
            </w:r>
          </w:p>
          <w:p w14:paraId="3408BEE0">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hint="default"/>
                <w:color w:val="auto"/>
                <w:sz w:val="24"/>
                <w:szCs w:val="24"/>
                <w:highlight w:val="none"/>
              </w:rPr>
            </w:pPr>
            <w:r>
              <w:rPr>
                <w:rFonts w:hint="default"/>
                <w:color w:val="auto"/>
                <w:sz w:val="24"/>
                <w:szCs w:val="24"/>
                <w:highlight w:val="none"/>
              </w:rPr>
              <w:t>（4）结论</w:t>
            </w:r>
          </w:p>
          <w:p w14:paraId="6F17C7C8">
            <w:pPr>
              <w:pStyle w:val="30"/>
              <w:keepNext w:val="0"/>
              <w:keepLines w:val="0"/>
              <w:pageBreakBefore w:val="0"/>
              <w:kinsoku/>
              <w:wordWrap/>
              <w:overflowPunct/>
              <w:topLinePunct w:val="0"/>
              <w:autoSpaceDE/>
              <w:autoSpaceDN/>
              <w:bidi w:val="0"/>
              <w:adjustRightInd/>
              <w:snapToGrid/>
              <w:spacing w:before="0" w:beforeAutospacing="0" w:after="0" w:afterAutospacing="0" w:line="360" w:lineRule="auto"/>
              <w:ind w:firstLine="480" w:firstLineChars="200"/>
              <w:textAlignment w:val="auto"/>
              <w:outlineLvl w:val="0"/>
              <w:rPr>
                <w:rFonts w:hint="eastAsia" w:ascii="黑体" w:hAnsi="黑体" w:eastAsia="黑体"/>
                <w:snapToGrid w:val="0"/>
                <w:color w:val="auto"/>
                <w:szCs w:val="24"/>
                <w:highlight w:val="none"/>
              </w:rPr>
            </w:pPr>
            <w:bookmarkStart w:id="49" w:name="_Toc28403"/>
            <w:r>
              <w:rPr>
                <w:color w:val="auto"/>
                <w:szCs w:val="24"/>
                <w:highlight w:val="none"/>
              </w:rPr>
              <w:t>在严格按照固体废物管理办法，确保固体废物在中转、运输和综合利用的过程中不造成二次污染的情况下，加强生产管理。项目各种固体废物均得到了妥善处置和综合利用，不会对周围环境产生不良影响。</w:t>
            </w:r>
            <w:bookmarkEnd w:id="49"/>
          </w:p>
          <w:p w14:paraId="7E48BCAD">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bCs/>
                <w:i w:val="0"/>
                <w:iCs w:val="0"/>
                <w:color w:val="auto"/>
                <w:sz w:val="24"/>
                <w:szCs w:val="24"/>
                <w:highlight w:val="none"/>
                <w:lang w:val="en-US" w:eastAsia="zh-CN"/>
              </w:rPr>
            </w:pPr>
            <w:r>
              <w:rPr>
                <w:rFonts w:hint="default" w:ascii="Times New Roman" w:hAnsi="Times New Roman" w:eastAsia="宋体" w:cs="Times New Roman"/>
                <w:b/>
                <w:bCs/>
                <w:i w:val="0"/>
                <w:iCs w:val="0"/>
                <w:color w:val="auto"/>
                <w:sz w:val="24"/>
                <w:szCs w:val="24"/>
                <w:highlight w:val="none"/>
                <w:lang w:val="en-US" w:eastAsia="zh-CN"/>
              </w:rPr>
              <w:t>五、地下水、土壤</w:t>
            </w:r>
          </w:p>
          <w:p w14:paraId="114E8C30">
            <w:pPr>
              <w:numPr>
                <w:ilvl w:val="0"/>
                <w:numId w:val="0"/>
              </w:numPr>
              <w:adjustRightInd w:val="0"/>
              <w:snapToGrid w:val="0"/>
              <w:spacing w:line="360" w:lineRule="auto"/>
              <w:ind w:firstLine="480" w:firstLineChars="200"/>
              <w:jc w:val="left"/>
              <w:rPr>
                <w:rFonts w:hint="default" w:ascii="Times New Roman" w:hAnsi="Times New Roman" w:eastAsia="宋体" w:cs="Times New Roman"/>
                <w:b w:val="0"/>
                <w:bCs w:val="0"/>
                <w:color w:val="auto"/>
                <w:kern w:val="2"/>
                <w:sz w:val="24"/>
                <w:szCs w:val="24"/>
                <w:highlight w:val="none"/>
                <w:lang w:val="en-US" w:eastAsia="zh-CN" w:bidi="ar"/>
              </w:rPr>
            </w:pPr>
            <w:r>
              <w:rPr>
                <w:rFonts w:hint="default" w:ascii="Times New Roman" w:hAnsi="Times New Roman" w:eastAsia="宋体" w:cs="Times New Roman"/>
                <w:b w:val="0"/>
                <w:bCs w:val="0"/>
                <w:color w:val="auto"/>
                <w:kern w:val="2"/>
                <w:sz w:val="24"/>
                <w:szCs w:val="24"/>
                <w:highlight w:val="none"/>
                <w:lang w:val="en-US" w:eastAsia="zh-CN" w:bidi="ar"/>
              </w:rPr>
              <w:t>正常情况下，项目无地下水、土壤污染环境</w:t>
            </w:r>
            <w:r>
              <w:rPr>
                <w:rFonts w:hint="eastAsia" w:cs="Times New Roman"/>
                <w:b w:val="0"/>
                <w:bCs w:val="0"/>
                <w:color w:val="auto"/>
                <w:kern w:val="2"/>
                <w:sz w:val="24"/>
                <w:szCs w:val="24"/>
                <w:highlight w:val="none"/>
                <w:lang w:val="en-US" w:eastAsia="zh-CN" w:bidi="ar"/>
              </w:rPr>
              <w:t>途径。危险废物泄漏后可能</w:t>
            </w:r>
            <w:r>
              <w:rPr>
                <w:rFonts w:hint="default" w:ascii="Times New Roman" w:hAnsi="Times New Roman" w:eastAsia="宋体" w:cs="Times New Roman"/>
                <w:b w:val="0"/>
                <w:bCs w:val="0"/>
                <w:color w:val="auto"/>
                <w:kern w:val="2"/>
                <w:sz w:val="24"/>
                <w:szCs w:val="24"/>
                <w:highlight w:val="none"/>
                <w:lang w:val="en-US" w:eastAsia="zh-CN" w:bidi="ar"/>
              </w:rPr>
              <w:t>污染地下水和土壤</w:t>
            </w:r>
            <w:r>
              <w:rPr>
                <w:rFonts w:hint="eastAsia" w:cs="Times New Roman"/>
                <w:b w:val="0"/>
                <w:bCs w:val="0"/>
                <w:color w:val="auto"/>
                <w:kern w:val="2"/>
                <w:sz w:val="24"/>
                <w:szCs w:val="24"/>
                <w:highlight w:val="none"/>
                <w:lang w:val="en-US" w:eastAsia="zh-CN" w:bidi="ar"/>
              </w:rPr>
              <w:t>。</w:t>
            </w:r>
            <w:r>
              <w:rPr>
                <w:rFonts w:hint="default" w:ascii="Times New Roman" w:hAnsi="Times New Roman" w:eastAsia="宋体" w:cs="Times New Roman"/>
                <w:b w:val="0"/>
                <w:bCs w:val="0"/>
                <w:color w:val="auto"/>
                <w:kern w:val="2"/>
                <w:sz w:val="24"/>
                <w:szCs w:val="24"/>
                <w:highlight w:val="none"/>
                <w:lang w:val="en-US" w:eastAsia="zh-CN" w:bidi="ar"/>
              </w:rPr>
              <w:t>采取以下措施：</w:t>
            </w:r>
          </w:p>
          <w:p w14:paraId="65C62C26">
            <w:pPr>
              <w:pStyle w:val="120"/>
              <w:keepNext w:val="0"/>
              <w:keepLines w:val="0"/>
              <w:pageBreakBefore w:val="0"/>
              <w:widowControl w:val="0"/>
              <w:numPr>
                <w:ilvl w:val="0"/>
                <w:numId w:val="24"/>
              </w:numPr>
              <w:kinsoku/>
              <w:wordWrap/>
              <w:overflowPunct/>
              <w:topLinePunct w:val="0"/>
              <w:autoSpaceDE/>
              <w:autoSpaceDN/>
              <w:bidi w:val="0"/>
              <w:adjustRightInd/>
              <w:snapToGrid/>
              <w:spacing w:before="0" w:beforeLines="0" w:after="0" w:afterLines="0" w:line="360" w:lineRule="auto"/>
              <w:ind w:left="0" w:leftChars="0" w:firstLine="480" w:firstLineChars="200"/>
              <w:jc w:val="both"/>
              <w:textAlignment w:val="auto"/>
              <w:rPr>
                <w:rFonts w:hint="eastAsia" w:cs="Times New Roman"/>
                <w:b w:val="0"/>
                <w:bCs w:val="0"/>
                <w:color w:val="auto"/>
                <w:kern w:val="2"/>
                <w:sz w:val="24"/>
                <w:szCs w:val="24"/>
                <w:highlight w:val="none"/>
                <w:lang w:val="en-US" w:eastAsia="zh-CN" w:bidi="ar"/>
              </w:rPr>
            </w:pPr>
            <w:r>
              <w:rPr>
                <w:rFonts w:hint="eastAsia" w:cs="Times New Roman"/>
                <w:b w:val="0"/>
                <w:bCs w:val="0"/>
                <w:color w:val="auto"/>
                <w:kern w:val="2"/>
                <w:sz w:val="24"/>
                <w:szCs w:val="24"/>
                <w:highlight w:val="none"/>
                <w:lang w:val="en-US" w:eastAsia="zh-CN" w:bidi="ar"/>
              </w:rPr>
              <w:t>分区</w:t>
            </w:r>
            <w:r>
              <w:rPr>
                <w:rFonts w:hint="default" w:ascii="Times New Roman" w:hAnsi="Times New Roman" w:eastAsia="宋体" w:cs="Times New Roman"/>
                <w:b w:val="0"/>
                <w:bCs w:val="0"/>
                <w:color w:val="auto"/>
                <w:kern w:val="2"/>
                <w:sz w:val="24"/>
                <w:szCs w:val="24"/>
                <w:highlight w:val="none"/>
                <w:lang w:val="en-US" w:eastAsia="zh-CN" w:bidi="ar"/>
              </w:rPr>
              <w:t>防渗</w:t>
            </w:r>
            <w:r>
              <w:rPr>
                <w:rFonts w:hint="eastAsia" w:cs="Times New Roman"/>
                <w:b w:val="0"/>
                <w:bCs w:val="0"/>
                <w:color w:val="auto"/>
                <w:kern w:val="2"/>
                <w:sz w:val="24"/>
                <w:szCs w:val="24"/>
                <w:highlight w:val="none"/>
                <w:lang w:val="en-US" w:eastAsia="zh-CN" w:bidi="ar"/>
              </w:rPr>
              <w:t>：</w:t>
            </w:r>
          </w:p>
          <w:p w14:paraId="38CF1B4F">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left="0" w:firstLine="480" w:firstLineChars="200"/>
              <w:jc w:val="both"/>
              <w:textAlignment w:val="auto"/>
              <w:rPr>
                <w:rFonts w:hint="eastAsia"/>
                <w:color w:val="auto"/>
                <w:sz w:val="24"/>
                <w:szCs w:val="24"/>
                <w:highlight w:val="none"/>
                <w:lang w:eastAsia="zh-CN"/>
              </w:rPr>
            </w:pPr>
            <w:r>
              <w:rPr>
                <w:rFonts w:hint="default"/>
                <w:color w:val="auto"/>
                <w:sz w:val="24"/>
                <w:szCs w:val="24"/>
                <w:highlight w:val="none"/>
              </w:rPr>
              <w:t>重点防渗区：</w:t>
            </w:r>
            <w:r>
              <w:rPr>
                <w:rFonts w:hint="eastAsia"/>
                <w:color w:val="auto"/>
                <w:sz w:val="24"/>
                <w:szCs w:val="24"/>
                <w:highlight w:val="none"/>
                <w:lang w:eastAsia="zh-CN"/>
              </w:rPr>
              <w:t>危险废物暂存</w:t>
            </w:r>
            <w:r>
              <w:rPr>
                <w:rFonts w:hint="eastAsia"/>
                <w:color w:val="auto"/>
                <w:sz w:val="24"/>
                <w:szCs w:val="24"/>
                <w:highlight w:val="none"/>
                <w:lang w:val="en-US" w:eastAsia="zh-CN"/>
              </w:rPr>
              <w:t>间</w:t>
            </w:r>
            <w:r>
              <w:rPr>
                <w:rFonts w:hint="eastAsia"/>
                <w:color w:val="auto"/>
                <w:sz w:val="24"/>
                <w:szCs w:val="24"/>
                <w:highlight w:val="none"/>
                <w:lang w:eastAsia="zh-CN"/>
              </w:rPr>
              <w:t>、</w:t>
            </w:r>
            <w:r>
              <w:rPr>
                <w:rFonts w:hint="eastAsia"/>
                <w:color w:val="auto"/>
                <w:sz w:val="24"/>
                <w:szCs w:val="24"/>
                <w:highlight w:val="none"/>
                <w:lang w:val="en-US" w:eastAsia="zh-CN"/>
              </w:rPr>
              <w:t>冷却塔及其循环水池</w:t>
            </w:r>
            <w:r>
              <w:rPr>
                <w:color w:val="auto"/>
                <w:sz w:val="24"/>
                <w:szCs w:val="24"/>
                <w:highlight w:val="none"/>
              </w:rPr>
              <w:t>，</w:t>
            </w:r>
            <w:r>
              <w:rPr>
                <w:rFonts w:hint="default"/>
                <w:color w:val="auto"/>
                <w:sz w:val="24"/>
                <w:szCs w:val="24"/>
                <w:highlight w:val="none"/>
              </w:rPr>
              <w:t>参照《危险废物贮存污染控制标准》（GB18597-20</w:t>
            </w:r>
            <w:r>
              <w:rPr>
                <w:rFonts w:hint="eastAsia"/>
                <w:color w:val="auto"/>
                <w:sz w:val="24"/>
                <w:szCs w:val="24"/>
                <w:highlight w:val="none"/>
                <w:lang w:val="en-US" w:eastAsia="zh-CN"/>
              </w:rPr>
              <w:t>23</w:t>
            </w:r>
            <w:r>
              <w:rPr>
                <w:rFonts w:hint="default"/>
                <w:color w:val="auto"/>
                <w:sz w:val="24"/>
                <w:szCs w:val="24"/>
                <w:highlight w:val="none"/>
              </w:rPr>
              <w:t>）及修改单中相关要求执行，防渗系数K≤1×10</w:t>
            </w:r>
            <w:r>
              <w:rPr>
                <w:rFonts w:hint="default"/>
                <w:color w:val="auto"/>
                <w:sz w:val="24"/>
                <w:szCs w:val="24"/>
                <w:highlight w:val="none"/>
                <w:vertAlign w:val="superscript"/>
              </w:rPr>
              <w:t>-10</w:t>
            </w:r>
            <w:r>
              <w:rPr>
                <w:rFonts w:hint="default"/>
                <w:color w:val="auto"/>
                <w:sz w:val="24"/>
                <w:szCs w:val="24"/>
                <w:highlight w:val="none"/>
              </w:rPr>
              <w:t>cm/s</w:t>
            </w:r>
            <w:r>
              <w:rPr>
                <w:rFonts w:hint="eastAsia"/>
                <w:color w:val="auto"/>
                <w:sz w:val="24"/>
                <w:szCs w:val="24"/>
                <w:highlight w:val="none"/>
                <w:lang w:eastAsia="zh-CN"/>
              </w:rPr>
              <w:t>。</w:t>
            </w:r>
          </w:p>
          <w:p w14:paraId="6263D2CD">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left="0" w:firstLine="480" w:firstLineChars="200"/>
              <w:jc w:val="both"/>
              <w:textAlignment w:val="auto"/>
              <w:rPr>
                <w:rFonts w:hint="default"/>
                <w:color w:val="auto"/>
                <w:sz w:val="24"/>
                <w:szCs w:val="24"/>
                <w:highlight w:val="none"/>
              </w:rPr>
            </w:pPr>
            <w:r>
              <w:rPr>
                <w:rFonts w:hint="default"/>
                <w:color w:val="auto"/>
                <w:sz w:val="24"/>
                <w:szCs w:val="24"/>
                <w:highlight w:val="none"/>
              </w:rPr>
              <w:t>一般防渗区：</w:t>
            </w:r>
            <w:r>
              <w:rPr>
                <w:color w:val="auto"/>
                <w:sz w:val="24"/>
                <w:szCs w:val="24"/>
                <w:highlight w:val="none"/>
              </w:rPr>
              <w:t>防渗旱厕</w:t>
            </w:r>
            <w:r>
              <w:rPr>
                <w:rFonts w:hint="default"/>
                <w:color w:val="auto"/>
                <w:sz w:val="24"/>
                <w:szCs w:val="24"/>
                <w:highlight w:val="none"/>
              </w:rPr>
              <w:t>、生产车间等效黏土防渗层Mb≥1.50m，K≤1×10</w:t>
            </w:r>
            <w:r>
              <w:rPr>
                <w:rFonts w:hint="default"/>
                <w:color w:val="auto"/>
                <w:sz w:val="24"/>
                <w:szCs w:val="24"/>
                <w:highlight w:val="none"/>
                <w:vertAlign w:val="superscript"/>
              </w:rPr>
              <w:t>-7</w:t>
            </w:r>
            <w:r>
              <w:rPr>
                <w:rFonts w:hint="default"/>
                <w:color w:val="auto"/>
                <w:sz w:val="24"/>
                <w:szCs w:val="24"/>
                <w:highlight w:val="none"/>
              </w:rPr>
              <w:t>cm/s；或参照GB16889执行；</w:t>
            </w:r>
          </w:p>
          <w:p w14:paraId="76D66676">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left="0" w:firstLine="480" w:firstLineChars="200"/>
              <w:jc w:val="both"/>
              <w:textAlignment w:val="auto"/>
              <w:rPr>
                <w:rFonts w:hint="default"/>
                <w:color w:val="auto"/>
                <w:sz w:val="24"/>
                <w:szCs w:val="24"/>
                <w:highlight w:val="none"/>
              </w:rPr>
            </w:pPr>
            <w:r>
              <w:rPr>
                <w:rFonts w:hint="default"/>
                <w:color w:val="auto"/>
                <w:sz w:val="24"/>
                <w:szCs w:val="24"/>
                <w:highlight w:val="none"/>
              </w:rPr>
              <w:t>简单防渗区：其他非污染区除绿化用地外进行一般地面硬化。</w:t>
            </w:r>
          </w:p>
          <w:p w14:paraId="5876DCD3">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left="0" w:firstLine="480" w:firstLineChars="200"/>
              <w:jc w:val="both"/>
              <w:textAlignment w:val="auto"/>
              <w:rPr>
                <w:rFonts w:hint="default"/>
                <w:color w:val="auto"/>
                <w:sz w:val="24"/>
                <w:szCs w:val="24"/>
                <w:highlight w:val="none"/>
              </w:rPr>
            </w:pPr>
            <w:r>
              <w:rPr>
                <w:rFonts w:hint="default"/>
                <w:color w:val="auto"/>
                <w:sz w:val="24"/>
                <w:szCs w:val="24"/>
                <w:highlight w:val="none"/>
              </w:rPr>
              <w:t>综上所述，采取上述措施后，不会对厂区地下水、土壤环境造成影响。</w:t>
            </w:r>
          </w:p>
          <w:p w14:paraId="06BB0A35">
            <w:pPr>
              <w:keepNext w:val="0"/>
              <w:keepLines w:val="0"/>
              <w:adjustRightInd w:val="0"/>
              <w:snapToGrid w:val="0"/>
              <w:spacing w:line="360" w:lineRule="auto"/>
              <w:ind w:firstLine="482" w:firstLineChars="200"/>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六、生态</w:t>
            </w:r>
          </w:p>
          <w:p w14:paraId="23F670E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项目位于河北行唐经济开发区</w:t>
            </w:r>
            <w:r>
              <w:rPr>
                <w:rFonts w:hint="eastAsia" w:cs="Times New Roman"/>
                <w:color w:val="auto"/>
                <w:kern w:val="0"/>
                <w:sz w:val="24"/>
                <w:szCs w:val="24"/>
                <w:highlight w:val="none"/>
                <w:lang w:val="en-US" w:eastAsia="zh-CN" w:bidi="ar-SA"/>
              </w:rPr>
              <w:t>，且项目租赁现有企业现有厂房进行建设，</w:t>
            </w:r>
            <w:r>
              <w:rPr>
                <w:rFonts w:hint="default" w:ascii="Times New Roman" w:hAnsi="Times New Roman" w:eastAsia="宋体" w:cs="Times New Roman"/>
                <w:color w:val="auto"/>
                <w:kern w:val="0"/>
                <w:sz w:val="24"/>
                <w:szCs w:val="24"/>
                <w:highlight w:val="none"/>
                <w:lang w:val="en-US" w:eastAsia="zh-CN" w:bidi="ar-SA"/>
              </w:rPr>
              <w:t>区域内没有国家规定的珍稀、濒危保护植物，且该区域也非国家规定的特殊生态环境保护区，现状为区域生态系统类型以农业生态系统为主，植被类型主要为玉米、小麦等农作物。该区域受人类活动干扰较大，野生动物种类较少，没有大型野生哺乳动物，现有的野生动物多为一些常见的鸟类及啮齿类等，无大型哺乳类动物及国家、地方重点保护的珍稀濒危动物天然集中分布区。项目需要在空地上进行施工建设厂房，属于永久占地，对陆生生物是持久性影响，但不会影响附近的生态系统结构和功能，附近的农业生态系统和城镇生态系统的主导地位没有动摇。在运营期对厂区进行绿化，对陆地生态系统的影响是有利的，其生态效应将可得到适当的补偿。</w:t>
            </w:r>
          </w:p>
          <w:p w14:paraId="0B313AA4">
            <w:pPr>
              <w:adjustRightInd w:val="0"/>
              <w:snapToGrid w:val="0"/>
              <w:spacing w:line="360" w:lineRule="auto"/>
              <w:ind w:firstLine="482" w:firstLineChars="200"/>
              <w:rPr>
                <w:rFonts w:hint="default" w:ascii="Times New Roman" w:hAnsi="Times New Roman" w:eastAsia="宋体" w:cs="Times New Roman"/>
                <w:bCs/>
                <w:color w:val="auto"/>
                <w:spacing w:val="-10"/>
                <w:sz w:val="24"/>
                <w:szCs w:val="24"/>
                <w:highlight w:val="none"/>
                <w:lang w:eastAsia="zh-CN"/>
              </w:rPr>
            </w:pPr>
            <w:r>
              <w:rPr>
                <w:rFonts w:hint="default" w:ascii="Times New Roman" w:hAnsi="Times New Roman" w:cs="Times New Roman"/>
                <w:b/>
                <w:bCs/>
                <w:color w:val="auto"/>
                <w:sz w:val="24"/>
                <w:szCs w:val="24"/>
                <w:highlight w:val="none"/>
                <w:lang w:eastAsia="zh-CN"/>
              </w:rPr>
              <w:t>七、环境风险</w:t>
            </w:r>
          </w:p>
          <w:p w14:paraId="14F05E5D">
            <w:pPr>
              <w:pStyle w:val="120"/>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hint="default" w:ascii="Times New Roman" w:hAnsi="Times New Roman" w:eastAsia="宋体" w:cs="Times New Roman"/>
                <w:color w:val="auto"/>
                <w:sz w:val="24"/>
                <w:szCs w:val="24"/>
                <w:highlight w:val="none"/>
                <w:lang w:val="en-US"/>
              </w:rPr>
            </w:pPr>
            <w:r>
              <w:rPr>
                <w:rFonts w:hint="eastAsia" w:cs="Times New Roman"/>
                <w:b w:val="0"/>
                <w:bCs w:val="0"/>
                <w:color w:val="auto"/>
                <w:sz w:val="24"/>
                <w:szCs w:val="24"/>
                <w:highlight w:val="none"/>
                <w:lang w:val="en-US" w:eastAsia="zh-CN"/>
              </w:rPr>
              <w:t>1.风险物质识别</w:t>
            </w:r>
          </w:p>
          <w:p w14:paraId="5D8694E5">
            <w:pPr>
              <w:spacing w:line="360" w:lineRule="auto"/>
              <w:ind w:firstLine="480" w:firstLineChars="200"/>
              <w:rPr>
                <w:rFonts w:hint="eastAsia"/>
                <w:color w:val="auto"/>
                <w:sz w:val="24"/>
                <w:highlight w:val="none"/>
              </w:rPr>
            </w:pPr>
            <w:r>
              <w:rPr>
                <w:rFonts w:hint="eastAsia"/>
                <w:color w:val="auto"/>
                <w:sz w:val="24"/>
                <w:highlight w:val="none"/>
              </w:rPr>
              <w:t>风险识别范围包括生产设施风险识别和生产过程所涉及的物质风险识别。生产设施风险识别范围：主要生产装置、贮运系统、公用工程系统、工程环保设施及辅助生产设施等。物质风险识别范围：主要原材料及辅助材料、中间产品、最终产品以及生产过</w:t>
            </w:r>
            <w:r>
              <w:rPr>
                <w:rFonts w:hint="eastAsia"/>
                <w:color w:val="auto"/>
                <w:sz w:val="24"/>
                <w:highlight w:val="none"/>
                <w:lang w:eastAsia="zh-CN"/>
              </w:rPr>
              <w:t>程中</w:t>
            </w:r>
            <w:r>
              <w:rPr>
                <w:rFonts w:hint="eastAsia"/>
                <w:color w:val="auto"/>
                <w:sz w:val="24"/>
                <w:highlight w:val="none"/>
              </w:rPr>
              <w:t>排放的“三废”污染物等。</w:t>
            </w:r>
          </w:p>
          <w:p w14:paraId="405D62DC">
            <w:pPr>
              <w:spacing w:line="360" w:lineRule="auto"/>
              <w:ind w:firstLine="480" w:firstLineChars="200"/>
              <w:rPr>
                <w:rFonts w:hint="eastAsia" w:ascii="Times New Roman" w:hAnsi="Times New Roman" w:eastAsia="宋体" w:cs="Times New Roman"/>
                <w:b/>
                <w:color w:val="auto"/>
                <w:sz w:val="24"/>
                <w:highlight w:val="none"/>
                <w:vertAlign w:val="baseline"/>
                <w:lang w:val="en-US" w:eastAsia="zh-CN"/>
              </w:rPr>
            </w:pPr>
            <w:r>
              <w:rPr>
                <w:rFonts w:hint="eastAsia"/>
                <w:color w:val="auto"/>
                <w:sz w:val="24"/>
                <w:highlight w:val="none"/>
              </w:rPr>
              <w:t>对照《建设项目环境风险评价技术导则》（HJ169-2018）附录B</w:t>
            </w:r>
            <w:r>
              <w:rPr>
                <w:rFonts w:hint="eastAsia"/>
                <w:color w:val="auto"/>
                <w:sz w:val="24"/>
                <w:highlight w:val="none"/>
                <w:lang w:val="en-US" w:eastAsia="zh-CN"/>
              </w:rPr>
              <w:t>及《企业突发环境事件风险分级方法》附录A</w:t>
            </w:r>
            <w:r>
              <w:rPr>
                <w:rFonts w:hint="eastAsia"/>
                <w:color w:val="auto"/>
                <w:sz w:val="24"/>
                <w:highlight w:val="none"/>
              </w:rPr>
              <w:t>，本项目</w:t>
            </w:r>
            <w:r>
              <w:rPr>
                <w:rFonts w:hint="eastAsia"/>
                <w:color w:val="auto"/>
                <w:sz w:val="24"/>
                <w:highlight w:val="none"/>
                <w:lang w:eastAsia="zh-CN"/>
              </w:rPr>
              <w:t>涉及</w:t>
            </w:r>
            <w:r>
              <w:rPr>
                <w:rFonts w:hint="eastAsia"/>
                <w:color w:val="auto"/>
                <w:sz w:val="24"/>
                <w:highlight w:val="none"/>
              </w:rPr>
              <w:t>的</w:t>
            </w:r>
            <w:r>
              <w:rPr>
                <w:rFonts w:hint="eastAsia"/>
                <w:color w:val="auto"/>
                <w:sz w:val="24"/>
                <w:highlight w:val="none"/>
                <w:lang w:eastAsia="zh-CN"/>
              </w:rPr>
              <w:t>危险</w:t>
            </w:r>
            <w:r>
              <w:rPr>
                <w:rFonts w:hint="eastAsia"/>
                <w:color w:val="auto"/>
                <w:sz w:val="24"/>
                <w:highlight w:val="none"/>
              </w:rPr>
              <w:t>物质主要为废活性炭</w:t>
            </w:r>
            <w:r>
              <w:rPr>
                <w:rFonts w:hint="eastAsia"/>
                <w:color w:val="auto"/>
                <w:sz w:val="24"/>
                <w:highlight w:val="none"/>
                <w:lang w:eastAsia="zh-CN"/>
              </w:rPr>
              <w:t>、</w:t>
            </w:r>
            <w:r>
              <w:rPr>
                <w:rFonts w:hint="eastAsia"/>
                <w:color w:val="auto"/>
                <w:sz w:val="24"/>
                <w:highlight w:val="none"/>
                <w:lang w:val="en-US" w:eastAsia="zh-CN"/>
              </w:rPr>
              <w:t>废催化剂</w:t>
            </w:r>
            <w:r>
              <w:rPr>
                <w:rFonts w:hint="eastAsia"/>
                <w:color w:val="auto"/>
                <w:sz w:val="24"/>
                <w:szCs w:val="24"/>
                <w:highlight w:val="none"/>
                <w:lang w:val="en-US" w:eastAsia="zh-CN"/>
              </w:rPr>
              <w:t>（健康危险急性毒性物质（类别2，类别3））</w:t>
            </w:r>
            <w:r>
              <w:rPr>
                <w:rFonts w:hint="eastAsia"/>
                <w:color w:val="auto"/>
                <w:sz w:val="24"/>
                <w:highlight w:val="none"/>
              </w:rPr>
              <w:t>，在贮存及运输过程中存在一定危险有害性。</w:t>
            </w:r>
          </w:p>
          <w:p w14:paraId="187C923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color w:val="auto"/>
                <w:sz w:val="24"/>
                <w:highlight w:val="none"/>
                <w:vertAlign w:val="baseline"/>
                <w:lang w:val="en-US" w:eastAsia="zh-CN"/>
              </w:rPr>
            </w:pPr>
            <w:r>
              <w:rPr>
                <w:rFonts w:hint="eastAsia" w:ascii="Times New Roman" w:hAnsi="Times New Roman" w:eastAsia="宋体" w:cs="Times New Roman"/>
                <w:b/>
                <w:color w:val="auto"/>
                <w:sz w:val="24"/>
                <w:highlight w:val="none"/>
                <w:vertAlign w:val="baseline"/>
                <w:lang w:val="en-US" w:eastAsia="zh-CN"/>
              </w:rPr>
              <w:t>表4-</w:t>
            </w:r>
            <w:r>
              <w:rPr>
                <w:rFonts w:hint="eastAsia" w:cs="Times New Roman"/>
                <w:b/>
                <w:color w:val="auto"/>
                <w:sz w:val="24"/>
                <w:highlight w:val="none"/>
                <w:vertAlign w:val="baseline"/>
                <w:lang w:val="en-US" w:eastAsia="zh-CN"/>
              </w:rPr>
              <w:t>16</w:t>
            </w:r>
            <w:r>
              <w:rPr>
                <w:rFonts w:hint="default" w:ascii="Times New Roman" w:hAnsi="Times New Roman" w:eastAsia="宋体" w:cs="Times New Roman"/>
                <w:b/>
                <w:color w:val="auto"/>
                <w:sz w:val="24"/>
                <w:highlight w:val="none"/>
                <w:vertAlign w:val="baseline"/>
                <w:lang w:val="en-US" w:eastAsia="zh-CN"/>
              </w:rPr>
              <w:t>环境风险物质</w:t>
            </w:r>
            <w:r>
              <w:rPr>
                <w:rFonts w:hint="eastAsia" w:ascii="Times New Roman" w:hAnsi="Times New Roman" w:eastAsia="宋体" w:cs="Times New Roman"/>
                <w:b/>
                <w:color w:val="auto"/>
                <w:sz w:val="24"/>
                <w:highlight w:val="none"/>
                <w:vertAlign w:val="baseline"/>
                <w:lang w:val="en-US" w:eastAsia="zh-CN"/>
              </w:rPr>
              <w:t>Q值计算</w:t>
            </w:r>
          </w:p>
          <w:tbl>
            <w:tblPr>
              <w:tblStyle w:val="34"/>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830"/>
              <w:gridCol w:w="1803"/>
              <w:gridCol w:w="2134"/>
              <w:gridCol w:w="1432"/>
              <w:gridCol w:w="1277"/>
              <w:gridCol w:w="1003"/>
            </w:tblGrid>
            <w:tr w14:paraId="122999C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489" w:type="pct"/>
                  <w:noWrap w:val="0"/>
                  <w:vAlign w:val="center"/>
                </w:tcPr>
                <w:p w14:paraId="1E1D4ACD">
                  <w:pPr>
                    <w:pStyle w:val="110"/>
                    <w:spacing w:before="24" w:after="24"/>
                    <w:jc w:val="center"/>
                    <w:rPr>
                      <w:color w:val="auto"/>
                      <w:szCs w:val="21"/>
                      <w:highlight w:val="none"/>
                    </w:rPr>
                  </w:pPr>
                  <w:r>
                    <w:rPr>
                      <w:color w:val="auto"/>
                      <w:szCs w:val="21"/>
                      <w:highlight w:val="none"/>
                    </w:rPr>
                    <w:t>序号</w:t>
                  </w:r>
                </w:p>
              </w:tc>
              <w:tc>
                <w:tcPr>
                  <w:tcW w:w="1063" w:type="pct"/>
                  <w:noWrap w:val="0"/>
                  <w:vAlign w:val="center"/>
                </w:tcPr>
                <w:p w14:paraId="4996FBEA">
                  <w:pPr>
                    <w:pStyle w:val="110"/>
                    <w:spacing w:before="24" w:after="24"/>
                    <w:jc w:val="center"/>
                    <w:rPr>
                      <w:color w:val="auto"/>
                      <w:szCs w:val="21"/>
                      <w:highlight w:val="none"/>
                    </w:rPr>
                  </w:pPr>
                  <w:r>
                    <w:rPr>
                      <w:color w:val="auto"/>
                      <w:szCs w:val="21"/>
                      <w:highlight w:val="none"/>
                    </w:rPr>
                    <w:t>危险物质名称</w:t>
                  </w:r>
                </w:p>
              </w:tc>
              <w:tc>
                <w:tcPr>
                  <w:tcW w:w="1258" w:type="pct"/>
                  <w:noWrap w:val="0"/>
                  <w:vAlign w:val="center"/>
                </w:tcPr>
                <w:p w14:paraId="688F616F">
                  <w:pPr>
                    <w:pStyle w:val="110"/>
                    <w:spacing w:before="24" w:after="24"/>
                    <w:jc w:val="center"/>
                    <w:rPr>
                      <w:color w:val="auto"/>
                      <w:szCs w:val="21"/>
                      <w:highlight w:val="none"/>
                    </w:rPr>
                  </w:pPr>
                  <w:r>
                    <w:rPr>
                      <w:color w:val="auto"/>
                      <w:szCs w:val="21"/>
                      <w:highlight w:val="none"/>
                    </w:rPr>
                    <w:t>最大存在总量qn/t</w:t>
                  </w:r>
                </w:p>
              </w:tc>
              <w:tc>
                <w:tcPr>
                  <w:tcW w:w="844" w:type="pct"/>
                  <w:noWrap w:val="0"/>
                  <w:vAlign w:val="center"/>
                </w:tcPr>
                <w:p w14:paraId="0589E74B">
                  <w:pPr>
                    <w:pStyle w:val="110"/>
                    <w:spacing w:before="24" w:after="24"/>
                    <w:jc w:val="center"/>
                    <w:rPr>
                      <w:color w:val="auto"/>
                      <w:szCs w:val="21"/>
                      <w:highlight w:val="none"/>
                    </w:rPr>
                  </w:pPr>
                  <w:r>
                    <w:rPr>
                      <w:color w:val="auto"/>
                      <w:szCs w:val="21"/>
                      <w:highlight w:val="none"/>
                    </w:rPr>
                    <w:t>临界量Qn/t</w:t>
                  </w:r>
                </w:p>
              </w:tc>
              <w:tc>
                <w:tcPr>
                  <w:tcW w:w="753" w:type="pct"/>
                  <w:noWrap w:val="0"/>
                  <w:vAlign w:val="center"/>
                </w:tcPr>
                <w:p w14:paraId="771703EA">
                  <w:pPr>
                    <w:pStyle w:val="110"/>
                    <w:spacing w:before="24" w:after="24"/>
                    <w:jc w:val="center"/>
                    <w:rPr>
                      <w:color w:val="auto"/>
                      <w:szCs w:val="21"/>
                      <w:highlight w:val="none"/>
                    </w:rPr>
                  </w:pPr>
                  <w:r>
                    <w:rPr>
                      <w:color w:val="auto"/>
                      <w:szCs w:val="21"/>
                      <w:highlight w:val="none"/>
                    </w:rPr>
                    <w:t>q/Q值</w:t>
                  </w:r>
                </w:p>
              </w:tc>
              <w:tc>
                <w:tcPr>
                  <w:tcW w:w="591" w:type="pct"/>
                  <w:noWrap w:val="0"/>
                  <w:vAlign w:val="center"/>
                </w:tcPr>
                <w:p w14:paraId="40F0EA50">
                  <w:pPr>
                    <w:pStyle w:val="110"/>
                    <w:spacing w:before="24" w:after="24"/>
                    <w:rPr>
                      <w:color w:val="auto"/>
                      <w:szCs w:val="21"/>
                      <w:highlight w:val="none"/>
                    </w:rPr>
                  </w:pPr>
                  <w:r>
                    <w:rPr>
                      <w:color w:val="auto"/>
                      <w:szCs w:val="21"/>
                      <w:highlight w:val="none"/>
                    </w:rPr>
                    <w:t>Q值</w:t>
                  </w:r>
                </w:p>
              </w:tc>
            </w:tr>
            <w:tr w14:paraId="453EBF1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489" w:type="pct"/>
                  <w:noWrap w:val="0"/>
                  <w:vAlign w:val="center"/>
                </w:tcPr>
                <w:p w14:paraId="51FA4762">
                  <w:pPr>
                    <w:pStyle w:val="111"/>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1</w:t>
                  </w:r>
                </w:p>
              </w:tc>
              <w:tc>
                <w:tcPr>
                  <w:tcW w:w="1063" w:type="pct"/>
                  <w:noWrap w:val="0"/>
                  <w:vAlign w:val="center"/>
                </w:tcPr>
                <w:p w14:paraId="33707475">
                  <w:pPr>
                    <w:pStyle w:val="111"/>
                    <w:keepLines w:val="0"/>
                    <w:pageBreakBefore w:val="0"/>
                    <w:widowControl w:val="0"/>
                    <w:kinsoku/>
                    <w:overflowPunct/>
                    <w:topLinePunct w:val="0"/>
                    <w:autoSpaceDE/>
                    <w:autoSpaceDN/>
                    <w:bidi w:val="0"/>
                    <w:spacing w:before="0" w:beforeLines="0" w:after="0" w:afterLines="0" w:line="240" w:lineRule="exact"/>
                    <w:ind w:left="0" w:leftChars="0" w:right="0" w:rightChars="0"/>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highlight w:val="none"/>
                      <w:lang w:val="en-US" w:eastAsia="zh-CN"/>
                    </w:rPr>
                    <w:t>废活性炭</w:t>
                  </w:r>
                </w:p>
              </w:tc>
              <w:tc>
                <w:tcPr>
                  <w:tcW w:w="1258" w:type="pct"/>
                  <w:noWrap w:val="0"/>
                  <w:vAlign w:val="center"/>
                </w:tcPr>
                <w:p w14:paraId="6CF26424">
                  <w:pPr>
                    <w:widowControl/>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0"/>
                      <w:sz w:val="21"/>
                      <w:szCs w:val="21"/>
                      <w:highlight w:val="none"/>
                      <w:lang w:val="en-US" w:eastAsia="zh-CN" w:bidi="ar"/>
                    </w:rPr>
                    <w:t>3.3</w:t>
                  </w:r>
                </w:p>
              </w:tc>
              <w:tc>
                <w:tcPr>
                  <w:tcW w:w="844" w:type="pct"/>
                  <w:noWrap w:val="0"/>
                  <w:vAlign w:val="center"/>
                </w:tcPr>
                <w:p w14:paraId="4AFC440F">
                  <w:pPr>
                    <w:pStyle w:val="111"/>
                    <w:jc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50</w:t>
                  </w:r>
                </w:p>
              </w:tc>
              <w:tc>
                <w:tcPr>
                  <w:tcW w:w="753" w:type="pct"/>
                  <w:noWrap w:val="0"/>
                  <w:vAlign w:val="center"/>
                </w:tcPr>
                <w:p w14:paraId="33A84EAA">
                  <w:pPr>
                    <w:keepNext w:val="0"/>
                    <w:keepLines w:val="0"/>
                    <w:widowControl/>
                    <w:suppressLineNumbers w:val="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0.066</w:t>
                  </w:r>
                </w:p>
              </w:tc>
              <w:tc>
                <w:tcPr>
                  <w:tcW w:w="591" w:type="pct"/>
                  <w:vMerge w:val="restart"/>
                  <w:noWrap w:val="0"/>
                  <w:vAlign w:val="center"/>
                </w:tcPr>
                <w:p w14:paraId="78A7D339">
                  <w:pPr>
                    <w:keepNext w:val="0"/>
                    <w:keepLines w:val="0"/>
                    <w:widowControl/>
                    <w:suppressLineNumbers w:val="0"/>
                    <w:jc w:val="right"/>
                    <w:textAlignment w:val="center"/>
                    <w:rPr>
                      <w:rFonts w:hint="default" w:ascii="宋体" w:hAnsi="宋体" w:eastAsia="宋体" w:cs="宋体"/>
                      <w:i w:val="0"/>
                      <w:iCs w:val="0"/>
                      <w:color w:val="auto"/>
                      <w:kern w:val="2"/>
                      <w:sz w:val="22"/>
                      <w:szCs w:val="22"/>
                      <w:highlight w:val="none"/>
                      <w:u w:val="none"/>
                      <w:lang w:val="en-US" w:eastAsia="zh-CN" w:bidi="ar-SA"/>
                    </w:rPr>
                  </w:pPr>
                  <w:r>
                    <w:rPr>
                      <w:rFonts w:hint="eastAsia" w:cs="Times New Roman"/>
                      <w:color w:val="auto"/>
                      <w:kern w:val="0"/>
                      <w:sz w:val="21"/>
                      <w:szCs w:val="21"/>
                      <w:highlight w:val="none"/>
                      <w:lang w:val="en-US" w:eastAsia="zh-CN" w:bidi="ar"/>
                    </w:rPr>
                    <w:t>0.068</w:t>
                  </w:r>
                </w:p>
              </w:tc>
            </w:tr>
            <w:tr w14:paraId="0639078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489" w:type="pct"/>
                  <w:noWrap w:val="0"/>
                  <w:vAlign w:val="center"/>
                </w:tcPr>
                <w:p w14:paraId="2615D930">
                  <w:pPr>
                    <w:pStyle w:val="111"/>
                    <w:jc w:val="center"/>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2</w:t>
                  </w:r>
                </w:p>
              </w:tc>
              <w:tc>
                <w:tcPr>
                  <w:tcW w:w="1063" w:type="pct"/>
                  <w:noWrap w:val="0"/>
                  <w:vAlign w:val="center"/>
                </w:tcPr>
                <w:p w14:paraId="3CF45263">
                  <w:pPr>
                    <w:pStyle w:val="111"/>
                    <w:keepLines w:val="0"/>
                    <w:pageBreakBefore w:val="0"/>
                    <w:widowControl w:val="0"/>
                    <w:kinsoku/>
                    <w:overflowPunct/>
                    <w:topLinePunct w:val="0"/>
                    <w:autoSpaceDE/>
                    <w:autoSpaceDN/>
                    <w:bidi w:val="0"/>
                    <w:spacing w:before="0" w:beforeLines="0" w:after="0" w:afterLines="0" w:line="240" w:lineRule="exact"/>
                    <w:ind w:left="0" w:leftChars="0" w:right="0" w:rightChars="0"/>
                    <w:jc w:val="center"/>
                    <w:textAlignment w:val="auto"/>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废催化剂</w:t>
                  </w:r>
                </w:p>
              </w:tc>
              <w:tc>
                <w:tcPr>
                  <w:tcW w:w="1258" w:type="pct"/>
                  <w:noWrap w:val="0"/>
                  <w:vAlign w:val="center"/>
                </w:tcPr>
                <w:p w14:paraId="5C412058">
                  <w:pPr>
                    <w:widowControl/>
                    <w:jc w:val="center"/>
                    <w:textAlignment w:val="center"/>
                    <w:rPr>
                      <w:rFonts w:hint="default"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0.1</w:t>
                  </w:r>
                </w:p>
              </w:tc>
              <w:tc>
                <w:tcPr>
                  <w:tcW w:w="844" w:type="pct"/>
                  <w:noWrap w:val="0"/>
                  <w:vAlign w:val="center"/>
                </w:tcPr>
                <w:p w14:paraId="5BC60FB7">
                  <w:pPr>
                    <w:pStyle w:val="111"/>
                    <w:jc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50</w:t>
                  </w:r>
                </w:p>
              </w:tc>
              <w:tc>
                <w:tcPr>
                  <w:tcW w:w="753" w:type="pct"/>
                  <w:noWrap w:val="0"/>
                  <w:vAlign w:val="center"/>
                </w:tcPr>
                <w:p w14:paraId="75D8C57D">
                  <w:pPr>
                    <w:keepNext w:val="0"/>
                    <w:keepLines w:val="0"/>
                    <w:widowControl/>
                    <w:suppressLineNumbers w:val="0"/>
                    <w:jc w:val="center"/>
                    <w:textAlignment w:val="center"/>
                    <w:rPr>
                      <w:rFonts w:hint="default"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0.002</w:t>
                  </w:r>
                </w:p>
              </w:tc>
              <w:tc>
                <w:tcPr>
                  <w:tcW w:w="591" w:type="pct"/>
                  <w:vMerge w:val="continue"/>
                  <w:noWrap w:val="0"/>
                  <w:vAlign w:val="center"/>
                </w:tcPr>
                <w:p w14:paraId="28AB5C81">
                  <w:pPr>
                    <w:keepNext w:val="0"/>
                    <w:keepLines w:val="0"/>
                    <w:widowControl/>
                    <w:suppressLineNumbers w:val="0"/>
                    <w:jc w:val="right"/>
                    <w:textAlignment w:val="center"/>
                    <w:rPr>
                      <w:rFonts w:hint="eastAsia" w:cs="Times New Roman"/>
                      <w:color w:val="auto"/>
                      <w:kern w:val="0"/>
                      <w:sz w:val="21"/>
                      <w:szCs w:val="21"/>
                      <w:highlight w:val="none"/>
                      <w:lang w:val="en-US" w:eastAsia="zh-CN" w:bidi="ar"/>
                    </w:rPr>
                  </w:pPr>
                </w:p>
              </w:tc>
            </w:tr>
          </w:tbl>
          <w:p w14:paraId="1B649F57">
            <w:pPr>
              <w:pStyle w:val="134"/>
              <w:keepNext w:val="0"/>
              <w:keepLines w:val="0"/>
              <w:pageBreakBefore w:val="0"/>
              <w:widowControl w:val="0"/>
              <w:tabs>
                <w:tab w:val="left" w:pos="282"/>
                <w:tab w:val="left" w:pos="327"/>
                <w:tab w:val="left" w:pos="507"/>
                <w:tab w:val="left" w:pos="577"/>
                <w:tab w:val="right" w:pos="8913"/>
              </w:tabs>
              <w:kinsoku/>
              <w:wordWrap/>
              <w:overflowPunct/>
              <w:topLinePunct w:val="0"/>
              <w:autoSpaceDE/>
              <w:autoSpaceDN/>
              <w:bidi w:val="0"/>
              <w:adjustRightInd/>
              <w:snapToGrid/>
              <w:spacing w:line="360" w:lineRule="auto"/>
              <w:jc w:val="left"/>
              <w:textAlignment w:val="auto"/>
              <w:rPr>
                <w:rFonts w:ascii="Times New Roman" w:hAnsi="Times New Roman" w:eastAsia="宋体" w:cs="Times New Roman"/>
                <w:bCs/>
                <w:color w:val="auto"/>
                <w:sz w:val="24"/>
                <w:szCs w:val="24"/>
                <w:highlight w:val="none"/>
              </w:rPr>
            </w:pPr>
            <w:r>
              <w:rPr>
                <w:rFonts w:hint="default" w:ascii="Times New Roman" w:hAnsi="Times New Roman" w:cs="Times New Roman"/>
                <w:color w:val="auto"/>
                <w:sz w:val="24"/>
                <w:szCs w:val="24"/>
                <w:highlight w:val="none"/>
              </w:rPr>
              <w:t>本项目危险物质最大储存量与临界量的比值Q=</w:t>
            </w:r>
            <w:r>
              <w:rPr>
                <w:rFonts w:hint="eastAsia" w:cs="Times New Roman"/>
                <w:color w:val="auto"/>
                <w:sz w:val="24"/>
                <w:szCs w:val="24"/>
                <w:highlight w:val="none"/>
                <w:lang w:val="en-US" w:eastAsia="zh-CN"/>
              </w:rPr>
              <w:t>0.068</w:t>
            </w:r>
            <w:r>
              <w:rPr>
                <w:rFonts w:hint="default" w:ascii="Times New Roman" w:hAnsi="Times New Roman" w:cs="Times New Roman"/>
                <w:color w:val="auto"/>
                <w:sz w:val="24"/>
                <w:szCs w:val="24"/>
                <w:highlight w:val="none"/>
              </w:rPr>
              <w:t>＜1，因此，本项目风险</w:t>
            </w:r>
            <w:r>
              <w:rPr>
                <w:rFonts w:hint="default"/>
                <w:color w:val="auto"/>
                <w:sz w:val="24"/>
                <w:szCs w:val="24"/>
                <w:highlight w:val="none"/>
              </w:rPr>
              <w:t>潜势为Ⅰ</w:t>
            </w:r>
            <w:r>
              <w:rPr>
                <w:rFonts w:hint="eastAsia"/>
                <w:color w:val="auto"/>
                <w:sz w:val="24"/>
                <w:szCs w:val="24"/>
                <w:highlight w:val="none"/>
                <w:lang w:eastAsia="zh-CN"/>
              </w:rPr>
              <w:t>，</w:t>
            </w:r>
            <w:r>
              <w:rPr>
                <w:rFonts w:ascii="Times New Roman" w:hAnsi="Times New Roman" w:eastAsia="宋体" w:cs="Times New Roman"/>
                <w:bCs/>
                <w:color w:val="auto"/>
                <w:sz w:val="24"/>
                <w:szCs w:val="24"/>
                <w:highlight w:val="none"/>
              </w:rPr>
              <w:t>本项目风险评价等级为简单分析，不需要设置环境风险专项评价。</w:t>
            </w:r>
          </w:p>
          <w:p w14:paraId="388738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val="0"/>
                <w:color w:val="auto"/>
                <w:sz w:val="24"/>
                <w:highlight w:val="none"/>
                <w:lang w:val="en-US" w:eastAsia="zh-CN"/>
              </w:rPr>
            </w:pPr>
            <w:r>
              <w:rPr>
                <w:rFonts w:hint="eastAsia" w:eastAsia="宋体" w:cs="Times New Roman"/>
                <w:b w:val="0"/>
                <w:bCs w:val="0"/>
                <w:color w:val="auto"/>
                <w:sz w:val="24"/>
                <w:highlight w:val="none"/>
                <w:lang w:val="en-US" w:eastAsia="zh-CN"/>
              </w:rPr>
              <w:t>2.</w:t>
            </w:r>
            <w:r>
              <w:rPr>
                <w:rFonts w:hint="eastAsia" w:ascii="Times New Roman" w:hAnsi="Times New Roman" w:eastAsia="宋体" w:cs="Times New Roman"/>
                <w:b w:val="0"/>
                <w:bCs w:val="0"/>
                <w:color w:val="auto"/>
                <w:sz w:val="24"/>
                <w:highlight w:val="none"/>
                <w:lang w:val="en-US" w:eastAsia="zh-CN"/>
              </w:rPr>
              <w:t>风险物质向环境转移途径</w:t>
            </w:r>
          </w:p>
          <w:p w14:paraId="62C575D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color w:val="auto"/>
                <w:sz w:val="24"/>
                <w:highlight w:val="none"/>
                <w:lang w:val="en-US" w:eastAsia="zh-CN"/>
              </w:rPr>
            </w:pPr>
            <w:r>
              <w:rPr>
                <w:rFonts w:hint="eastAsia" w:ascii="Times New Roman" w:hAnsi="Times New Roman" w:eastAsia="宋体" w:cs="Times New Roman"/>
                <w:b w:val="0"/>
                <w:bCs/>
                <w:color w:val="auto"/>
                <w:sz w:val="24"/>
                <w:highlight w:val="none"/>
              </w:rPr>
              <w:t>本项目涉及的主要危险物质为</w:t>
            </w:r>
            <w:r>
              <w:rPr>
                <w:rFonts w:hint="eastAsia"/>
                <w:color w:val="auto"/>
                <w:sz w:val="24"/>
                <w:highlight w:val="none"/>
              </w:rPr>
              <w:t>废活性炭</w:t>
            </w:r>
            <w:r>
              <w:rPr>
                <w:rFonts w:hint="eastAsia"/>
                <w:color w:val="auto"/>
                <w:sz w:val="24"/>
                <w:highlight w:val="none"/>
                <w:lang w:eastAsia="zh-CN"/>
              </w:rPr>
              <w:t>、</w:t>
            </w:r>
            <w:r>
              <w:rPr>
                <w:rFonts w:hint="eastAsia"/>
                <w:color w:val="auto"/>
                <w:sz w:val="24"/>
                <w:highlight w:val="none"/>
                <w:lang w:val="en-US" w:eastAsia="zh-CN"/>
              </w:rPr>
              <w:t>废催化剂</w:t>
            </w:r>
            <w:r>
              <w:rPr>
                <w:rFonts w:hint="eastAsia"/>
                <w:color w:val="auto"/>
                <w:sz w:val="24"/>
                <w:szCs w:val="24"/>
                <w:highlight w:val="none"/>
                <w:lang w:val="en-US" w:eastAsia="zh-CN"/>
              </w:rPr>
              <w:t>（健康危险急性毒性物质（类别2，类别3））</w:t>
            </w:r>
            <w:r>
              <w:rPr>
                <w:rFonts w:hint="eastAsia" w:ascii="Times New Roman" w:hAnsi="Times New Roman" w:eastAsia="宋体" w:cs="Times New Roman"/>
                <w:b w:val="0"/>
                <w:bCs/>
                <w:color w:val="auto"/>
                <w:sz w:val="24"/>
                <w:highlight w:val="none"/>
              </w:rPr>
              <w:t>。向环境的主要转移途径为</w:t>
            </w:r>
            <w:r>
              <w:rPr>
                <w:rFonts w:hint="eastAsia" w:ascii="Times New Roman" w:hAnsi="Times New Roman" w:eastAsia="宋体" w:cs="Times New Roman"/>
                <w:b w:val="0"/>
                <w:bCs/>
                <w:color w:val="auto"/>
                <w:sz w:val="24"/>
                <w:highlight w:val="none"/>
                <w:lang w:val="en-US" w:eastAsia="zh-CN"/>
              </w:rPr>
              <w:t>风险物质遗撒或</w:t>
            </w:r>
            <w:r>
              <w:rPr>
                <w:rFonts w:hint="eastAsia" w:eastAsia="宋体" w:cs="Times New Roman"/>
                <w:b w:val="0"/>
                <w:bCs/>
                <w:color w:val="auto"/>
                <w:sz w:val="24"/>
                <w:highlight w:val="none"/>
                <w:lang w:val="en-US" w:eastAsia="zh-CN"/>
              </w:rPr>
              <w:t>泄漏</w:t>
            </w:r>
            <w:r>
              <w:rPr>
                <w:rFonts w:hint="eastAsia" w:ascii="Times New Roman" w:hAnsi="Times New Roman" w:eastAsia="宋体" w:cs="Times New Roman"/>
                <w:b w:val="0"/>
                <w:bCs/>
                <w:color w:val="auto"/>
                <w:sz w:val="24"/>
                <w:highlight w:val="none"/>
              </w:rPr>
              <w:t>造成土壤环境和地下水环境污染。</w:t>
            </w:r>
          </w:p>
          <w:p w14:paraId="5EE57E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3</w:t>
            </w:r>
            <w:r>
              <w:rPr>
                <w:rFonts w:hint="eastAsia" w:cs="Times New Roman"/>
                <w:b w:val="0"/>
                <w:bCs w:val="0"/>
                <w:color w:val="auto"/>
                <w:sz w:val="24"/>
                <w:highlight w:val="none"/>
                <w:lang w:val="en-US" w:eastAsia="zh-CN"/>
              </w:rPr>
              <w:t>.</w:t>
            </w:r>
            <w:r>
              <w:rPr>
                <w:rFonts w:hint="eastAsia" w:ascii="Times New Roman" w:hAnsi="Times New Roman" w:eastAsia="宋体" w:cs="Times New Roman"/>
                <w:b w:val="0"/>
                <w:bCs w:val="0"/>
                <w:color w:val="auto"/>
                <w:sz w:val="24"/>
                <w:highlight w:val="none"/>
                <w:lang w:val="en-US" w:eastAsia="zh-CN"/>
              </w:rPr>
              <w:t>环境风险分析</w:t>
            </w:r>
          </w:p>
          <w:p w14:paraId="49A52C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①大气环境风险分析</w:t>
            </w:r>
          </w:p>
          <w:p w14:paraId="18219D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废活性炭遇明火容易发生火灾事故，从而造成有毒有害气体在大气中扩散，对周边居住区产生一定影响。</w:t>
            </w:r>
          </w:p>
          <w:p w14:paraId="4D6A1E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②地表水环境风险分析</w:t>
            </w:r>
          </w:p>
          <w:p w14:paraId="73B08BD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废活性炭遇明火容易发生火灾事故，灭火过</w:t>
            </w:r>
            <w:r>
              <w:rPr>
                <w:rFonts w:hint="eastAsia" w:eastAsia="宋体" w:cs="Times New Roman"/>
                <w:b w:val="0"/>
                <w:bCs w:val="0"/>
                <w:color w:val="auto"/>
                <w:sz w:val="24"/>
                <w:highlight w:val="none"/>
                <w:lang w:val="en-US" w:eastAsia="zh-CN"/>
              </w:rPr>
              <w:t>程中</w:t>
            </w:r>
            <w:r>
              <w:rPr>
                <w:rFonts w:hint="eastAsia" w:ascii="Times New Roman" w:hAnsi="Times New Roman" w:eastAsia="宋体" w:cs="Times New Roman"/>
                <w:b w:val="0"/>
                <w:bCs w:val="0"/>
                <w:color w:val="auto"/>
                <w:sz w:val="24"/>
                <w:highlight w:val="none"/>
                <w:lang w:val="en-US" w:eastAsia="zh-CN"/>
              </w:rPr>
              <w:t>产生含有毒有害物质的消防废水，若直接排入环境会产生一定影响。</w:t>
            </w:r>
          </w:p>
          <w:p w14:paraId="352B02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③土壤、地下水环境风险分析</w:t>
            </w:r>
          </w:p>
          <w:p w14:paraId="601C9E21">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szCs w:val="24"/>
                <w:highlight w:val="none"/>
              </w:rPr>
            </w:pPr>
            <w:r>
              <w:rPr>
                <w:rFonts w:hint="eastAsia" w:ascii="Times New Roman" w:hAnsi="Times New Roman" w:eastAsia="宋体" w:cs="Times New Roman"/>
                <w:b w:val="0"/>
                <w:bCs w:val="0"/>
                <w:color w:val="auto"/>
                <w:sz w:val="24"/>
                <w:highlight w:val="none"/>
                <w:lang w:val="en-US" w:eastAsia="zh-CN"/>
              </w:rPr>
              <w:t>废活性炭遇明火容易发生火灾事故，灭火过</w:t>
            </w:r>
            <w:r>
              <w:rPr>
                <w:rFonts w:hint="eastAsia" w:eastAsia="宋体" w:cs="Times New Roman"/>
                <w:b w:val="0"/>
                <w:bCs w:val="0"/>
                <w:color w:val="auto"/>
                <w:sz w:val="24"/>
                <w:highlight w:val="none"/>
                <w:lang w:val="en-US" w:eastAsia="zh-CN"/>
              </w:rPr>
              <w:t>程中</w:t>
            </w:r>
            <w:r>
              <w:rPr>
                <w:rFonts w:hint="eastAsia" w:ascii="Times New Roman" w:hAnsi="Times New Roman" w:eastAsia="宋体" w:cs="Times New Roman"/>
                <w:b w:val="0"/>
                <w:bCs w:val="0"/>
                <w:color w:val="auto"/>
                <w:sz w:val="24"/>
                <w:highlight w:val="none"/>
                <w:lang w:val="en-US" w:eastAsia="zh-CN"/>
              </w:rPr>
              <w:t>产生含有毒有害物质的消防废水，</w:t>
            </w:r>
            <w:r>
              <w:rPr>
                <w:rFonts w:hint="eastAsia" w:cs="Times New Roman"/>
                <w:b w:val="0"/>
                <w:bCs w:val="0"/>
                <w:color w:val="auto"/>
                <w:kern w:val="2"/>
                <w:sz w:val="24"/>
                <w:szCs w:val="24"/>
                <w:highlight w:val="none"/>
                <w:lang w:val="en-US" w:eastAsia="zh-CN" w:bidi="ar"/>
              </w:rPr>
              <w:t>消防废水处理达标后</w:t>
            </w:r>
            <w:r>
              <w:rPr>
                <w:rFonts w:hint="default" w:ascii="Times New Roman" w:hAnsi="Times New Roman" w:eastAsia="宋体" w:cs="Times New Roman"/>
                <w:b w:val="0"/>
                <w:bCs w:val="0"/>
                <w:color w:val="auto"/>
                <w:kern w:val="2"/>
                <w:sz w:val="24"/>
                <w:szCs w:val="24"/>
                <w:highlight w:val="none"/>
                <w:lang w:val="en-US" w:eastAsia="zh-CN" w:bidi="ar"/>
              </w:rPr>
              <w:t>排至行唐县第二污水处理厂</w:t>
            </w:r>
            <w:r>
              <w:rPr>
                <w:rFonts w:hint="default" w:ascii="Times New Roman" w:hAnsi="Times New Roman" w:eastAsia="宋体" w:cs="Times New Roman"/>
                <w:color w:val="auto"/>
                <w:sz w:val="24"/>
                <w:szCs w:val="24"/>
                <w:highlight w:val="none"/>
              </w:rPr>
              <w:t>。</w:t>
            </w:r>
          </w:p>
          <w:p w14:paraId="564AB2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val="0"/>
                <w:color w:val="auto"/>
                <w:sz w:val="24"/>
                <w:highlight w:val="none"/>
                <w:lang w:val="en-US" w:eastAsia="zh-CN"/>
              </w:rPr>
            </w:pPr>
            <w:r>
              <w:rPr>
                <w:rFonts w:hint="eastAsia" w:cs="Times New Roman"/>
                <w:b w:val="0"/>
                <w:bCs w:val="0"/>
                <w:color w:val="auto"/>
                <w:sz w:val="24"/>
                <w:highlight w:val="none"/>
                <w:lang w:val="en-US" w:eastAsia="zh-CN"/>
              </w:rPr>
              <w:t>4.</w:t>
            </w:r>
            <w:r>
              <w:rPr>
                <w:rFonts w:hint="eastAsia" w:ascii="Times New Roman" w:hAnsi="Times New Roman" w:eastAsia="宋体" w:cs="Times New Roman"/>
                <w:b w:val="0"/>
                <w:bCs w:val="0"/>
                <w:color w:val="auto"/>
                <w:sz w:val="24"/>
                <w:highlight w:val="none"/>
                <w:lang w:val="en-US" w:eastAsia="zh-CN"/>
              </w:rPr>
              <w:t>环境风险防范措施</w:t>
            </w:r>
          </w:p>
          <w:p w14:paraId="6CA195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color w:val="auto"/>
                <w:sz w:val="24"/>
                <w:highlight w:val="none"/>
                <w:lang w:val="en-US" w:eastAsia="zh-CN"/>
              </w:rPr>
            </w:pPr>
            <w:r>
              <w:rPr>
                <w:rFonts w:hint="eastAsia" w:cs="Times New Roman"/>
                <w:b w:val="0"/>
                <w:bCs/>
                <w:color w:val="auto"/>
                <w:sz w:val="24"/>
                <w:highlight w:val="none"/>
                <w:lang w:val="en-US" w:eastAsia="zh-CN"/>
              </w:rPr>
              <w:t>EPS预发泡工段通过蒸汽惰性氛围控制可燃物浓度、隔绝助燃物、消除点火源，并结合精准的工艺参数管控与安全联锁措施，完全切断了爆炸三要素的耦合条件，因此在90℃~95℃蒸汽加热工况下不会发生爆炸。</w:t>
            </w:r>
            <w:r>
              <w:rPr>
                <w:rFonts w:hint="eastAsia" w:ascii="Times New Roman" w:hAnsi="Times New Roman" w:eastAsia="宋体" w:cs="Times New Roman"/>
                <w:b w:val="0"/>
                <w:bCs/>
                <w:color w:val="auto"/>
                <w:sz w:val="24"/>
                <w:highlight w:val="none"/>
                <w:lang w:val="en-US" w:eastAsia="zh-CN"/>
              </w:rPr>
              <w:t>针对本项目的特点，为防止风险事故的发生，本评价建议采取以下环境风险防范措施，减少或避免事故的发生</w:t>
            </w:r>
            <w:r>
              <w:rPr>
                <w:rFonts w:hint="eastAsia" w:cs="Times New Roman"/>
                <w:b w:val="0"/>
                <w:bCs/>
                <w:color w:val="auto"/>
                <w:sz w:val="24"/>
                <w:highlight w:val="none"/>
                <w:lang w:val="en-US" w:eastAsia="zh-CN"/>
              </w:rPr>
              <w:t>。</w:t>
            </w:r>
          </w:p>
          <w:p w14:paraId="1627B61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color w:val="auto"/>
                <w:sz w:val="24"/>
                <w:highlight w:val="none"/>
                <w:lang w:val="en-US" w:eastAsia="zh-CN"/>
              </w:rPr>
            </w:pPr>
            <w:r>
              <w:rPr>
                <w:rFonts w:hint="eastAsia" w:ascii="Times New Roman" w:hAnsi="Times New Roman" w:eastAsia="宋体" w:cs="Times New Roman"/>
                <w:b w:val="0"/>
                <w:bCs/>
                <w:color w:val="auto"/>
                <w:sz w:val="24"/>
                <w:highlight w:val="none"/>
                <w:lang w:val="en-US" w:eastAsia="zh-CN"/>
              </w:rPr>
              <w:t>①危险废物存储间应有固定的边界，并与其他区域进行隔离。危废贮存库地面及周围裙角应采取严格的防腐防渗措施，同时采取防渗、防漏等污染防治措施做到防风、防雨、防晒和防止危险废物流失、扬散等。</w:t>
            </w:r>
          </w:p>
          <w:p w14:paraId="0481D4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color w:val="auto"/>
                <w:sz w:val="24"/>
                <w:highlight w:val="none"/>
                <w:lang w:val="en-US" w:eastAsia="zh-CN"/>
              </w:rPr>
            </w:pPr>
            <w:r>
              <w:rPr>
                <w:rFonts w:hint="eastAsia" w:ascii="Times New Roman" w:hAnsi="Times New Roman" w:eastAsia="宋体" w:cs="Times New Roman"/>
                <w:b w:val="0"/>
                <w:bCs/>
                <w:color w:val="auto"/>
                <w:sz w:val="24"/>
                <w:highlight w:val="none"/>
                <w:lang w:val="en-US" w:eastAsia="zh-CN"/>
              </w:rPr>
              <w:t>②危险废物采用专用容器或包装物贮存，不直接散堆。容器和包装物材质、内衬应与盛装的危险废物相容。</w:t>
            </w:r>
          </w:p>
          <w:p w14:paraId="466324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color w:val="auto"/>
                <w:sz w:val="24"/>
                <w:highlight w:val="none"/>
                <w:lang w:val="en-US" w:eastAsia="zh-CN"/>
              </w:rPr>
            </w:pPr>
            <w:r>
              <w:rPr>
                <w:rFonts w:hint="eastAsia" w:ascii="Times New Roman" w:hAnsi="Times New Roman" w:eastAsia="宋体" w:cs="Times New Roman"/>
                <w:b w:val="0"/>
                <w:bCs/>
                <w:color w:val="auto"/>
                <w:sz w:val="24"/>
                <w:highlight w:val="none"/>
                <w:lang w:val="en-US" w:eastAsia="zh-CN"/>
              </w:rPr>
              <w:t>③设立危险物警示标志，由专人进行管理。</w:t>
            </w:r>
          </w:p>
          <w:p w14:paraId="5B92C4F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color w:val="auto"/>
                <w:sz w:val="24"/>
                <w:highlight w:val="none"/>
                <w:lang w:val="en-US" w:eastAsia="zh-CN"/>
              </w:rPr>
            </w:pPr>
            <w:r>
              <w:rPr>
                <w:rFonts w:hint="eastAsia" w:ascii="Times New Roman" w:hAnsi="Times New Roman" w:eastAsia="宋体" w:cs="Times New Roman"/>
                <w:b w:val="0"/>
                <w:bCs/>
                <w:color w:val="auto"/>
                <w:sz w:val="24"/>
                <w:highlight w:val="none"/>
                <w:lang w:val="en-US" w:eastAsia="zh-CN"/>
              </w:rPr>
              <w:t>④定期对贮存的危险废物包装容器及贮存设施进行检查，发现破损，应及时采取措施清理更换，更换的包装容器等按照危险废物处置。</w:t>
            </w:r>
          </w:p>
          <w:p w14:paraId="2F5A55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color w:val="auto"/>
                <w:sz w:val="24"/>
                <w:highlight w:val="none"/>
                <w:lang w:val="en-US" w:eastAsia="zh-CN"/>
              </w:rPr>
            </w:pPr>
            <w:r>
              <w:rPr>
                <w:rFonts w:hint="eastAsia" w:ascii="Times New Roman" w:hAnsi="Times New Roman" w:eastAsia="宋体" w:cs="Times New Roman"/>
                <w:b w:val="0"/>
                <w:bCs/>
                <w:color w:val="auto"/>
                <w:sz w:val="24"/>
                <w:highlight w:val="none"/>
                <w:lang w:val="en-US" w:eastAsia="zh-CN"/>
              </w:rPr>
              <w:t>⑤做好危险废物情况的记录，记录上须注明危险废物的名称、来源、数量和包装容器的类别、入库日期、存放库位、危废出库日期及</w:t>
            </w:r>
            <w:r>
              <w:rPr>
                <w:rFonts w:hint="eastAsia" w:eastAsia="宋体" w:cs="Times New Roman"/>
                <w:b w:val="0"/>
                <w:bCs/>
                <w:color w:val="auto"/>
                <w:sz w:val="24"/>
                <w:highlight w:val="none"/>
                <w:lang w:val="en-US" w:eastAsia="zh-CN"/>
              </w:rPr>
              <w:t>接收单位</w:t>
            </w:r>
            <w:r>
              <w:rPr>
                <w:rFonts w:hint="eastAsia" w:ascii="Times New Roman" w:hAnsi="Times New Roman" w:eastAsia="宋体" w:cs="Times New Roman"/>
                <w:b w:val="0"/>
                <w:bCs/>
                <w:color w:val="auto"/>
                <w:sz w:val="24"/>
                <w:highlight w:val="none"/>
                <w:lang w:val="en-US" w:eastAsia="zh-CN"/>
              </w:rPr>
              <w:t>名称，危险废物台账和记录簿的保存时间应当为10年以上，联单保存期限为10年。</w:t>
            </w:r>
          </w:p>
          <w:p w14:paraId="5C15EE8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color w:val="auto"/>
                <w:sz w:val="24"/>
                <w:highlight w:val="none"/>
                <w:lang w:val="en-US" w:eastAsia="zh-CN"/>
              </w:rPr>
            </w:pPr>
            <w:r>
              <w:rPr>
                <w:rFonts w:hint="eastAsia" w:ascii="Times New Roman" w:hAnsi="Times New Roman" w:eastAsia="宋体" w:cs="Times New Roman"/>
                <w:b w:val="0"/>
                <w:bCs/>
                <w:color w:val="auto"/>
                <w:sz w:val="24"/>
                <w:highlight w:val="none"/>
                <w:lang w:val="en-US" w:eastAsia="zh-CN"/>
              </w:rPr>
              <w:t>⑥编制突发环境事件应急预案，并定期演练。</w:t>
            </w:r>
          </w:p>
          <w:p w14:paraId="154AE5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color w:val="auto"/>
                <w:sz w:val="24"/>
                <w:highlight w:val="none"/>
              </w:rPr>
            </w:pPr>
            <w:r>
              <w:rPr>
                <w:rFonts w:hint="eastAsia"/>
                <w:b w:val="0"/>
                <w:bCs/>
                <w:color w:val="auto"/>
                <w:sz w:val="24"/>
                <w:highlight w:val="none"/>
              </w:rPr>
              <w:t>5</w:t>
            </w:r>
            <w:r>
              <w:rPr>
                <w:rFonts w:hint="eastAsia"/>
                <w:b w:val="0"/>
                <w:bCs/>
                <w:color w:val="auto"/>
                <w:sz w:val="24"/>
                <w:highlight w:val="none"/>
                <w:lang w:eastAsia="zh-CN"/>
              </w:rPr>
              <w:t>.</w:t>
            </w:r>
            <w:r>
              <w:rPr>
                <w:rFonts w:hint="eastAsia"/>
                <w:b w:val="0"/>
                <w:bCs/>
                <w:color w:val="auto"/>
                <w:sz w:val="24"/>
                <w:highlight w:val="none"/>
              </w:rPr>
              <w:t>风险分析结论</w:t>
            </w:r>
          </w:p>
          <w:p w14:paraId="2255B45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color w:val="auto"/>
                <w:sz w:val="24"/>
                <w:highlight w:val="none"/>
              </w:rPr>
            </w:pPr>
            <w:r>
              <w:rPr>
                <w:rFonts w:hint="eastAsia"/>
                <w:b w:val="0"/>
                <w:bCs/>
                <w:color w:val="auto"/>
                <w:sz w:val="24"/>
                <w:highlight w:val="none"/>
              </w:rPr>
              <w:t>本项目的风险源为危废暂存间，项目针对性</w:t>
            </w:r>
            <w:r>
              <w:rPr>
                <w:rFonts w:hint="eastAsia"/>
                <w:b w:val="0"/>
                <w:bCs/>
                <w:color w:val="auto"/>
                <w:sz w:val="24"/>
                <w:highlight w:val="none"/>
                <w:lang w:eastAsia="zh-CN"/>
              </w:rPr>
              <w:t>地</w:t>
            </w:r>
            <w:r>
              <w:rPr>
                <w:rFonts w:hint="eastAsia"/>
                <w:b w:val="0"/>
                <w:bCs/>
                <w:color w:val="auto"/>
                <w:sz w:val="24"/>
                <w:highlight w:val="none"/>
              </w:rPr>
              <w:t>制定了风险防范措施和应急措施，能够使风险事故发生概率大幅减小，造成的损失最小，因此本项目环境风险防范措施有效可行。</w:t>
            </w:r>
          </w:p>
          <w:p w14:paraId="748AC1D5">
            <w:pPr>
              <w:pStyle w:val="134"/>
              <w:tabs>
                <w:tab w:val="left" w:pos="282"/>
                <w:tab w:val="left" w:pos="327"/>
                <w:tab w:val="left" w:pos="507"/>
                <w:tab w:val="left" w:pos="577"/>
                <w:tab w:val="right" w:pos="8913"/>
              </w:tabs>
              <w:spacing w:line="360" w:lineRule="auto"/>
              <w:ind w:left="420" w:leftChars="200" w:firstLine="0" w:firstLineChars="0"/>
              <w:jc w:val="left"/>
              <w:rPr>
                <w:rFonts w:ascii="Times New Roman" w:hAnsi="Times New Roman" w:eastAsia="宋体" w:cs="Times New Roman"/>
                <w:b/>
                <w:color w:val="auto"/>
                <w:sz w:val="24"/>
                <w:szCs w:val="24"/>
                <w:highlight w:val="none"/>
              </w:rPr>
            </w:pPr>
            <w:r>
              <w:rPr>
                <w:rFonts w:ascii="Times New Roman" w:hAnsi="Times New Roman" w:eastAsia="宋体" w:cs="Times New Roman"/>
                <w:b/>
                <w:color w:val="auto"/>
                <w:sz w:val="24"/>
                <w:szCs w:val="24"/>
                <w:highlight w:val="none"/>
              </w:rPr>
              <w:t>八、电磁辐射</w:t>
            </w:r>
          </w:p>
          <w:p w14:paraId="5B4CE996">
            <w:pPr>
              <w:pStyle w:val="134"/>
              <w:tabs>
                <w:tab w:val="left" w:pos="282"/>
                <w:tab w:val="left" w:pos="327"/>
                <w:tab w:val="left" w:pos="507"/>
                <w:tab w:val="left" w:pos="577"/>
                <w:tab w:val="right" w:pos="8913"/>
              </w:tabs>
              <w:spacing w:line="360" w:lineRule="auto"/>
              <w:ind w:left="420" w:leftChars="200" w:firstLine="0" w:firstLineChars="0"/>
              <w:jc w:val="left"/>
              <w:rPr>
                <w:rFonts w:ascii="宋体" w:hAnsi="宋体" w:eastAsia="宋体" w:cs="宋体"/>
                <w:bCs/>
                <w:color w:val="auto"/>
                <w:sz w:val="24"/>
                <w:szCs w:val="24"/>
                <w:highlight w:val="none"/>
              </w:rPr>
            </w:pPr>
            <w:r>
              <w:rPr>
                <w:rFonts w:ascii="Times New Roman" w:hAnsi="Times New Roman" w:eastAsia="宋体" w:cs="Times New Roman"/>
                <w:b/>
                <w:color w:val="auto"/>
                <w:sz w:val="24"/>
                <w:szCs w:val="24"/>
                <w:highlight w:val="none"/>
              </w:rPr>
              <w:t>无</w:t>
            </w:r>
          </w:p>
          <w:p w14:paraId="3ABA42BD">
            <w:pPr>
              <w:adjustRightInd w:val="0"/>
              <w:snapToGrid w:val="0"/>
              <w:spacing w:line="360" w:lineRule="auto"/>
              <w:ind w:firstLine="482" w:firstLineChars="200"/>
              <w:outlineLvl w:val="9"/>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八、排污许可制度衔接</w:t>
            </w:r>
          </w:p>
          <w:p w14:paraId="19B3CEC2">
            <w:pPr>
              <w:pStyle w:val="134"/>
              <w:tabs>
                <w:tab w:val="left" w:pos="282"/>
                <w:tab w:val="left" w:pos="327"/>
                <w:tab w:val="left" w:pos="507"/>
                <w:tab w:val="left" w:pos="577"/>
                <w:tab w:val="right" w:pos="8913"/>
              </w:tabs>
              <w:spacing w:line="360" w:lineRule="auto"/>
              <w:jc w:val="left"/>
              <w:rPr>
                <w:rFonts w:ascii="Times New Roman" w:hAnsi="Times New Roman" w:eastAsia="宋体" w:cs="Times New Roman"/>
                <w:bCs/>
                <w:color w:val="auto"/>
                <w:sz w:val="24"/>
                <w:szCs w:val="24"/>
                <w:highlight w:val="none"/>
              </w:rPr>
            </w:pPr>
            <w:r>
              <w:rPr>
                <w:rFonts w:ascii="Times New Roman" w:hAnsi="Times New Roman" w:eastAsia="宋体" w:cs="Times New Roman"/>
                <w:bCs/>
                <w:color w:val="auto"/>
                <w:kern w:val="2"/>
                <w:sz w:val="24"/>
                <w:szCs w:val="24"/>
                <w:highlight w:val="none"/>
              </w:rPr>
              <w:t>依据《排污许可管理办法（试行）》（生态环境部令第7号修改）、《排污许可管理条例》（中华人民共和国国务院令第736号）等相关要求，建设单位必须</w:t>
            </w:r>
            <w:r>
              <w:rPr>
                <w:rFonts w:ascii="Times New Roman" w:hAnsi="Times New Roman" w:eastAsia="宋体" w:cs="Times New Roman"/>
                <w:bCs/>
                <w:color w:val="auto"/>
                <w:sz w:val="24"/>
                <w:szCs w:val="24"/>
                <w:highlight w:val="none"/>
              </w:rPr>
              <w:t>按期持证排污、按证排污，不得无证排污，及时申领排污许可证。</w:t>
            </w:r>
          </w:p>
          <w:p w14:paraId="12ADD081">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360" w:lineRule="auto"/>
              <w:ind w:firstLine="480" w:firstLineChars="200"/>
              <w:jc w:val="both"/>
              <w:textAlignment w:val="auto"/>
              <w:rPr>
                <w:rFonts w:hint="eastAsia" w:eastAsia="宋体" w:cs="Times New Roman"/>
                <w:color w:val="auto"/>
                <w:sz w:val="24"/>
                <w:szCs w:val="24"/>
                <w:highlight w:val="none"/>
                <w:lang w:eastAsia="zh-CN"/>
              </w:rPr>
            </w:pPr>
            <w:r>
              <w:rPr>
                <w:rFonts w:ascii="Times New Roman" w:hAnsi="Times New Roman" w:eastAsia="宋体" w:cs="Times New Roman"/>
                <w:color w:val="auto"/>
                <w:sz w:val="24"/>
                <w:szCs w:val="24"/>
                <w:highlight w:val="none"/>
              </w:rPr>
              <w:t>《</w:t>
            </w:r>
            <w:r>
              <w:rPr>
                <w:rFonts w:hint="eastAsia" w:eastAsia="宋体"/>
                <w:color w:val="auto"/>
                <w:sz w:val="24"/>
                <w:szCs w:val="24"/>
                <w:highlight w:val="none"/>
                <w:lang w:val="en-US" w:eastAsia="zh-CN"/>
              </w:rPr>
              <w:t>固定污染源排污许可分类管理名录</w:t>
            </w:r>
            <w:r>
              <w:rPr>
                <w:rFonts w:ascii="Times New Roman" w:hAnsi="Times New Roman" w:eastAsia="宋体" w:cs="Times New Roman"/>
                <w:color w:val="auto"/>
                <w:sz w:val="24"/>
                <w:szCs w:val="24"/>
                <w:highlight w:val="none"/>
              </w:rPr>
              <w:t>》（</w:t>
            </w:r>
            <w:r>
              <w:rPr>
                <w:rFonts w:hint="eastAsia" w:eastAsia="宋体" w:cs="Times New Roman"/>
                <w:color w:val="auto"/>
                <w:sz w:val="24"/>
                <w:szCs w:val="24"/>
                <w:highlight w:val="none"/>
                <w:lang w:val="en-US" w:eastAsia="zh-CN"/>
              </w:rPr>
              <w:t>2019版</w:t>
            </w:r>
            <w:r>
              <w:rPr>
                <w:rFonts w:ascii="Times New Roman" w:hAnsi="Times New Roman" w:eastAsia="宋体" w:cs="Times New Roman"/>
                <w:color w:val="auto"/>
                <w:sz w:val="24"/>
                <w:szCs w:val="24"/>
                <w:highlight w:val="none"/>
              </w:rPr>
              <w:t>）</w:t>
            </w:r>
            <w:r>
              <w:rPr>
                <w:rFonts w:hint="default" w:ascii="Times New Roman" w:hAnsi="Times New Roman" w:eastAsia="宋体" w:cs="Times New Roman"/>
                <w:color w:val="auto"/>
                <w:kern w:val="0"/>
                <w:sz w:val="24"/>
                <w:szCs w:val="24"/>
                <w:highlight w:val="none"/>
                <w:lang w:val="en-US" w:eastAsia="zh-CN" w:bidi="ar-SA"/>
              </w:rPr>
              <w:t>（生态环境部令第11号），项目属于“</w:t>
            </w:r>
            <w:r>
              <w:rPr>
                <w:rFonts w:hint="eastAsia" w:cs="Times New Roman"/>
                <w:color w:val="auto"/>
                <w:kern w:val="0"/>
                <w:sz w:val="24"/>
                <w:szCs w:val="24"/>
                <w:highlight w:val="none"/>
                <w:lang w:val="en-US" w:eastAsia="zh-CN" w:bidi="ar-SA"/>
              </w:rPr>
              <w:t>十六</w:t>
            </w:r>
            <w:r>
              <w:rPr>
                <w:rFonts w:hint="default" w:ascii="Times New Roman" w:hAnsi="Times New Roman" w:eastAsia="宋体" w:cs="Times New Roman"/>
                <w:color w:val="auto"/>
                <w:kern w:val="0"/>
                <w:sz w:val="24"/>
                <w:szCs w:val="24"/>
                <w:highlight w:val="none"/>
                <w:lang w:val="en-US" w:eastAsia="zh-CN" w:bidi="ar-SA"/>
              </w:rPr>
              <w:t>、</w:t>
            </w:r>
            <w:r>
              <w:rPr>
                <w:rFonts w:hint="eastAsia" w:cs="Times New Roman"/>
                <w:color w:val="auto"/>
                <w:kern w:val="0"/>
                <w:sz w:val="24"/>
                <w:szCs w:val="24"/>
                <w:highlight w:val="none"/>
                <w:lang w:val="en-US" w:eastAsia="zh-CN" w:bidi="ar-SA"/>
              </w:rPr>
              <w:t>家具制造业21</w:t>
            </w:r>
            <w:r>
              <w:rPr>
                <w:rFonts w:hint="default" w:ascii="Times New Roman" w:hAnsi="Times New Roman" w:eastAsia="宋体" w:cs="Times New Roman"/>
                <w:color w:val="auto"/>
                <w:kern w:val="0"/>
                <w:sz w:val="24"/>
                <w:szCs w:val="24"/>
                <w:highlight w:val="none"/>
                <w:lang w:val="en-US" w:eastAsia="zh-CN" w:bidi="ar-SA"/>
              </w:rPr>
              <w:t>”中“</w:t>
            </w:r>
            <w:r>
              <w:rPr>
                <w:rFonts w:hint="eastAsia" w:cs="Times New Roman"/>
                <w:color w:val="auto"/>
                <w:kern w:val="0"/>
                <w:sz w:val="24"/>
                <w:szCs w:val="24"/>
                <w:highlight w:val="none"/>
                <w:lang w:val="en-US" w:eastAsia="zh-CN" w:bidi="ar-SA"/>
              </w:rPr>
              <w:t>塑料家具制造214其他</w:t>
            </w:r>
            <w:r>
              <w:rPr>
                <w:rFonts w:hint="default" w:ascii="Times New Roman" w:hAnsi="Times New Roman" w:eastAsia="宋体" w:cs="Times New Roman"/>
                <w:color w:val="auto"/>
                <w:kern w:val="0"/>
                <w:sz w:val="24"/>
                <w:szCs w:val="24"/>
                <w:highlight w:val="none"/>
                <w:lang w:val="en-US" w:eastAsia="zh-CN" w:bidi="ar-SA"/>
              </w:rPr>
              <w:t>”，为“</w:t>
            </w:r>
            <w:r>
              <w:rPr>
                <w:rFonts w:hint="eastAsia" w:cs="Times New Roman"/>
                <w:color w:val="auto"/>
                <w:kern w:val="0"/>
                <w:sz w:val="24"/>
                <w:szCs w:val="24"/>
                <w:highlight w:val="none"/>
                <w:lang w:val="en-US" w:eastAsia="zh-CN" w:bidi="ar-SA"/>
              </w:rPr>
              <w:t>登记</w:t>
            </w:r>
            <w:r>
              <w:rPr>
                <w:rFonts w:hint="default" w:ascii="Times New Roman" w:hAnsi="Times New Roman" w:eastAsia="宋体" w:cs="Times New Roman"/>
                <w:color w:val="auto"/>
                <w:kern w:val="0"/>
                <w:sz w:val="24"/>
                <w:szCs w:val="24"/>
                <w:highlight w:val="none"/>
                <w:lang w:val="en-US" w:eastAsia="zh-CN" w:bidi="ar-SA"/>
              </w:rPr>
              <w:t>管理”</w:t>
            </w:r>
            <w:r>
              <w:rPr>
                <w:rFonts w:hint="eastAsia" w:cs="Times New Roman"/>
                <w:color w:val="auto"/>
                <w:kern w:val="0"/>
                <w:sz w:val="24"/>
                <w:szCs w:val="24"/>
                <w:highlight w:val="none"/>
                <w:lang w:val="en-US" w:eastAsia="zh-CN" w:bidi="ar-SA"/>
              </w:rPr>
              <w:t>；且属于“二十四橡胶和塑料制品业29”中“塑料制品业292其他”，</w:t>
            </w:r>
            <w:r>
              <w:rPr>
                <w:rFonts w:hint="default" w:ascii="Times New Roman" w:hAnsi="Times New Roman" w:eastAsia="宋体" w:cs="Times New Roman"/>
                <w:color w:val="auto"/>
                <w:kern w:val="0"/>
                <w:sz w:val="24"/>
                <w:szCs w:val="24"/>
                <w:highlight w:val="none"/>
                <w:lang w:val="en-US" w:eastAsia="zh-CN" w:bidi="ar-SA"/>
              </w:rPr>
              <w:t>为“</w:t>
            </w:r>
            <w:r>
              <w:rPr>
                <w:rFonts w:hint="eastAsia" w:cs="Times New Roman"/>
                <w:color w:val="auto"/>
                <w:kern w:val="0"/>
                <w:sz w:val="24"/>
                <w:szCs w:val="24"/>
                <w:highlight w:val="none"/>
                <w:lang w:val="en-US" w:eastAsia="zh-CN" w:bidi="ar-SA"/>
              </w:rPr>
              <w:t>登记</w:t>
            </w:r>
            <w:r>
              <w:rPr>
                <w:rFonts w:hint="default" w:ascii="Times New Roman" w:hAnsi="Times New Roman" w:eastAsia="宋体" w:cs="Times New Roman"/>
                <w:color w:val="auto"/>
                <w:kern w:val="0"/>
                <w:sz w:val="24"/>
                <w:szCs w:val="24"/>
                <w:highlight w:val="none"/>
                <w:lang w:val="en-US" w:eastAsia="zh-CN" w:bidi="ar-SA"/>
              </w:rPr>
              <w:t>管理”。</w:t>
            </w:r>
            <w:r>
              <w:rPr>
                <w:rFonts w:hint="eastAsia" w:cs="Times New Roman"/>
                <w:color w:val="auto"/>
                <w:kern w:val="0"/>
                <w:sz w:val="24"/>
                <w:szCs w:val="24"/>
                <w:highlight w:val="none"/>
                <w:lang w:val="en-US" w:eastAsia="zh-CN" w:bidi="ar-SA"/>
              </w:rPr>
              <w:t>因此，</w:t>
            </w:r>
            <w:r>
              <w:rPr>
                <w:rFonts w:ascii="Times New Roman" w:hAnsi="Times New Roman" w:eastAsia="宋体" w:cs="Times New Roman"/>
                <w:color w:val="auto"/>
                <w:sz w:val="24"/>
                <w:szCs w:val="24"/>
                <w:highlight w:val="none"/>
              </w:rPr>
              <w:t>判定本项目应进行登记管理</w:t>
            </w:r>
            <w:r>
              <w:rPr>
                <w:rFonts w:hint="eastAsia" w:eastAsia="宋体" w:cs="Times New Roman"/>
                <w:color w:val="auto"/>
                <w:sz w:val="24"/>
                <w:szCs w:val="24"/>
                <w:highlight w:val="none"/>
                <w:lang w:eastAsia="zh-CN"/>
              </w:rPr>
              <w:t>。</w:t>
            </w:r>
          </w:p>
          <w:p w14:paraId="4C31DE26">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360" w:lineRule="auto"/>
              <w:ind w:firstLine="480" w:firstLineChars="200"/>
              <w:jc w:val="both"/>
              <w:textAlignment w:val="auto"/>
              <w:rPr>
                <w:rFonts w:hint="eastAsia" w:eastAsia="宋体" w:cs="Times New Roman"/>
                <w:color w:val="auto"/>
                <w:sz w:val="24"/>
                <w:szCs w:val="24"/>
                <w:highlight w:val="none"/>
                <w:lang w:eastAsia="zh-CN"/>
              </w:rPr>
            </w:pPr>
          </w:p>
          <w:p w14:paraId="365B3D27">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360" w:lineRule="auto"/>
              <w:ind w:firstLine="480" w:firstLineChars="200"/>
              <w:jc w:val="both"/>
              <w:textAlignment w:val="auto"/>
              <w:rPr>
                <w:rFonts w:hint="eastAsia" w:eastAsia="宋体" w:cs="Times New Roman"/>
                <w:color w:val="auto"/>
                <w:sz w:val="24"/>
                <w:szCs w:val="24"/>
                <w:highlight w:val="none"/>
                <w:lang w:eastAsia="zh-CN"/>
              </w:rPr>
            </w:pPr>
          </w:p>
          <w:p w14:paraId="417443F3">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360" w:lineRule="auto"/>
              <w:ind w:firstLine="480" w:firstLineChars="200"/>
              <w:jc w:val="both"/>
              <w:textAlignment w:val="auto"/>
              <w:rPr>
                <w:rFonts w:hint="eastAsia" w:eastAsia="宋体" w:cs="Times New Roman"/>
                <w:color w:val="auto"/>
                <w:sz w:val="24"/>
                <w:szCs w:val="24"/>
                <w:highlight w:val="none"/>
                <w:lang w:eastAsia="zh-CN"/>
              </w:rPr>
            </w:pPr>
          </w:p>
          <w:p w14:paraId="0B0EB5E4">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360" w:lineRule="auto"/>
              <w:ind w:firstLine="480" w:firstLineChars="200"/>
              <w:jc w:val="both"/>
              <w:textAlignment w:val="auto"/>
              <w:rPr>
                <w:rFonts w:hint="eastAsia" w:eastAsia="宋体" w:cs="Times New Roman"/>
                <w:color w:val="auto"/>
                <w:sz w:val="24"/>
                <w:szCs w:val="24"/>
                <w:highlight w:val="none"/>
                <w:lang w:eastAsia="zh-CN"/>
              </w:rPr>
            </w:pPr>
          </w:p>
          <w:p w14:paraId="254D88B3">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360" w:lineRule="auto"/>
              <w:ind w:firstLine="480" w:firstLineChars="200"/>
              <w:jc w:val="both"/>
              <w:textAlignment w:val="auto"/>
              <w:rPr>
                <w:rFonts w:hint="eastAsia" w:eastAsia="宋体" w:cs="Times New Roman"/>
                <w:color w:val="auto"/>
                <w:sz w:val="24"/>
                <w:szCs w:val="24"/>
                <w:highlight w:val="none"/>
                <w:lang w:eastAsia="zh-CN"/>
              </w:rPr>
            </w:pPr>
          </w:p>
          <w:p w14:paraId="6A86314E">
            <w:pPr>
              <w:pStyle w:val="134"/>
              <w:keepNext w:val="0"/>
              <w:keepLines w:val="0"/>
              <w:pageBreakBefore w:val="0"/>
              <w:widowControl w:val="0"/>
              <w:tabs>
                <w:tab w:val="left" w:pos="282"/>
                <w:tab w:val="left" w:pos="327"/>
                <w:tab w:val="left" w:pos="507"/>
                <w:tab w:val="right" w:pos="8913"/>
              </w:tabs>
              <w:kinsoku/>
              <w:wordWrap/>
              <w:overflowPunct/>
              <w:topLinePunct w:val="0"/>
              <w:autoSpaceDE/>
              <w:autoSpaceDN/>
              <w:bidi w:val="0"/>
              <w:adjustRightInd/>
              <w:snapToGrid/>
              <w:spacing w:line="360" w:lineRule="auto"/>
              <w:ind w:firstLine="480" w:firstLineChars="200"/>
              <w:jc w:val="both"/>
              <w:textAlignment w:val="auto"/>
              <w:rPr>
                <w:rFonts w:hint="default" w:eastAsia="宋体" w:cs="Times New Roman"/>
                <w:color w:val="auto"/>
                <w:sz w:val="24"/>
                <w:szCs w:val="24"/>
                <w:highlight w:val="none"/>
                <w:lang w:eastAsia="zh-CN"/>
              </w:rPr>
            </w:pPr>
          </w:p>
          <w:p w14:paraId="52A84A7C">
            <w:pPr>
              <w:pStyle w:val="134"/>
              <w:tabs>
                <w:tab w:val="left" w:pos="282"/>
                <w:tab w:val="left" w:pos="327"/>
                <w:tab w:val="left" w:pos="507"/>
                <w:tab w:val="right" w:pos="8913"/>
              </w:tabs>
              <w:spacing w:line="240" w:lineRule="auto"/>
              <w:ind w:firstLine="0" w:firstLineChars="0"/>
              <w:jc w:val="center"/>
              <w:rPr>
                <w:rFonts w:hint="default" w:ascii="Times New Roman" w:hAnsi="Times New Roman" w:eastAsia="宋体" w:cs="Times New Roman"/>
                <w:b/>
                <w:color w:val="auto"/>
                <w:szCs w:val="24"/>
                <w:highlight w:val="none"/>
              </w:rPr>
            </w:pPr>
          </w:p>
          <w:p w14:paraId="0700D3D6">
            <w:pPr>
              <w:pStyle w:val="134"/>
              <w:tabs>
                <w:tab w:val="left" w:pos="282"/>
                <w:tab w:val="left" w:pos="327"/>
                <w:tab w:val="left" w:pos="507"/>
                <w:tab w:val="right" w:pos="8913"/>
              </w:tabs>
              <w:spacing w:line="240" w:lineRule="auto"/>
              <w:ind w:firstLine="0" w:firstLineChars="0"/>
              <w:jc w:val="center"/>
              <w:rPr>
                <w:rFonts w:hint="default" w:ascii="Times New Roman" w:hAnsi="Times New Roman" w:eastAsia="宋体" w:cs="Times New Roman"/>
                <w:b/>
                <w:color w:val="auto"/>
                <w:szCs w:val="24"/>
                <w:highlight w:val="none"/>
              </w:rPr>
            </w:pPr>
          </w:p>
          <w:p w14:paraId="0A36A46F">
            <w:pPr>
              <w:pStyle w:val="134"/>
              <w:tabs>
                <w:tab w:val="left" w:pos="282"/>
                <w:tab w:val="left" w:pos="327"/>
                <w:tab w:val="left" w:pos="507"/>
                <w:tab w:val="right" w:pos="8913"/>
              </w:tabs>
              <w:spacing w:line="240" w:lineRule="auto"/>
              <w:ind w:firstLine="0" w:firstLineChars="0"/>
              <w:jc w:val="center"/>
              <w:rPr>
                <w:rFonts w:hint="default" w:ascii="Times New Roman" w:hAnsi="Times New Roman" w:eastAsia="宋体" w:cs="Times New Roman"/>
                <w:b/>
                <w:color w:val="auto"/>
                <w:szCs w:val="24"/>
                <w:highlight w:val="none"/>
              </w:rPr>
            </w:pPr>
            <w:r>
              <w:rPr>
                <w:rFonts w:hint="default" w:ascii="Times New Roman" w:hAnsi="Times New Roman" w:eastAsia="宋体" w:cs="Times New Roman"/>
                <w:b/>
                <w:color w:val="auto"/>
                <w:szCs w:val="24"/>
                <w:highlight w:val="none"/>
              </w:rPr>
              <w:t>表4-</w:t>
            </w:r>
            <w:r>
              <w:rPr>
                <w:rFonts w:hint="default" w:ascii="Times New Roman" w:hAnsi="Times New Roman" w:cs="Times New Roman"/>
                <w:b/>
                <w:color w:val="auto"/>
                <w:szCs w:val="24"/>
                <w:highlight w:val="none"/>
                <w:lang w:val="en-US" w:eastAsia="zh-CN"/>
              </w:rPr>
              <w:t>1</w:t>
            </w:r>
            <w:r>
              <w:rPr>
                <w:rFonts w:hint="eastAsia" w:cs="Times New Roman"/>
                <w:b/>
                <w:color w:val="auto"/>
                <w:szCs w:val="24"/>
                <w:highlight w:val="none"/>
                <w:lang w:val="en-US" w:eastAsia="zh-CN"/>
              </w:rPr>
              <w:t>7</w:t>
            </w:r>
            <w:r>
              <w:rPr>
                <w:rFonts w:hint="default" w:ascii="Times New Roman" w:hAnsi="Times New Roman" w:eastAsia="宋体" w:cs="Times New Roman"/>
                <w:b/>
                <w:color w:val="auto"/>
                <w:szCs w:val="24"/>
                <w:highlight w:val="none"/>
              </w:rPr>
              <w:t xml:space="preserve">  危废暂存间及储存容器标签示例</w:t>
            </w:r>
          </w:p>
          <w:tbl>
            <w:tblPr>
              <w:tblStyle w:val="3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2826"/>
              <w:gridCol w:w="4980"/>
            </w:tblGrid>
            <w:tr w14:paraId="47D00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10" w:type="pct"/>
                  <w:noWrap w:val="0"/>
                  <w:vAlign w:val="center"/>
                </w:tcPr>
                <w:p w14:paraId="03E16198">
                  <w:pPr>
                    <w:pStyle w:val="134"/>
                    <w:keepNext w:val="0"/>
                    <w:keepLines w:val="0"/>
                    <w:pageBreakBefore w:val="0"/>
                    <w:widowControl w:val="0"/>
                    <w:tabs>
                      <w:tab w:val="left" w:pos="282"/>
                      <w:tab w:val="left" w:pos="327"/>
                      <w:tab w:val="left" w:pos="507"/>
                      <w:tab w:val="left" w:pos="577"/>
                      <w:tab w:val="right" w:pos="8913"/>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Times New Roman" w:hAnsi="Times New Roman" w:eastAsia="宋体" w:cs="Times New Roman"/>
                      <w:b/>
                      <w:color w:val="auto"/>
                      <w:sz w:val="21"/>
                      <w:highlight w:val="none"/>
                    </w:rPr>
                  </w:pPr>
                  <w:r>
                    <w:rPr>
                      <w:rFonts w:hint="default" w:ascii="Times New Roman" w:hAnsi="Times New Roman" w:eastAsia="宋体" w:cs="Times New Roman"/>
                      <w:b/>
                      <w:color w:val="auto"/>
                      <w:sz w:val="21"/>
                      <w:highlight w:val="none"/>
                    </w:rPr>
                    <w:t>名称</w:t>
                  </w:r>
                </w:p>
              </w:tc>
              <w:tc>
                <w:tcPr>
                  <w:tcW w:w="1631" w:type="pct"/>
                  <w:noWrap w:val="0"/>
                  <w:vAlign w:val="center"/>
                </w:tcPr>
                <w:p w14:paraId="69432376">
                  <w:pPr>
                    <w:pStyle w:val="134"/>
                    <w:keepNext w:val="0"/>
                    <w:keepLines w:val="0"/>
                    <w:pageBreakBefore w:val="0"/>
                    <w:widowControl w:val="0"/>
                    <w:tabs>
                      <w:tab w:val="left" w:pos="282"/>
                      <w:tab w:val="left" w:pos="327"/>
                      <w:tab w:val="left" w:pos="507"/>
                      <w:tab w:val="left" w:pos="577"/>
                      <w:tab w:val="right" w:pos="8913"/>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Times New Roman" w:hAnsi="Times New Roman" w:eastAsia="宋体" w:cs="Times New Roman"/>
                      <w:b/>
                      <w:color w:val="auto"/>
                      <w:sz w:val="21"/>
                      <w:highlight w:val="none"/>
                    </w:rPr>
                  </w:pPr>
                  <w:r>
                    <w:rPr>
                      <w:rFonts w:hint="default" w:ascii="Times New Roman" w:hAnsi="Times New Roman" w:eastAsia="宋体" w:cs="Times New Roman"/>
                      <w:b/>
                      <w:color w:val="auto"/>
                      <w:sz w:val="21"/>
                      <w:highlight w:val="none"/>
                    </w:rPr>
                    <w:t>样式</w:t>
                  </w:r>
                </w:p>
              </w:tc>
              <w:tc>
                <w:tcPr>
                  <w:tcW w:w="2958" w:type="pct"/>
                  <w:noWrap w:val="0"/>
                  <w:vAlign w:val="center"/>
                </w:tcPr>
                <w:p w14:paraId="2F778748">
                  <w:pPr>
                    <w:pStyle w:val="134"/>
                    <w:keepNext w:val="0"/>
                    <w:keepLines w:val="0"/>
                    <w:pageBreakBefore w:val="0"/>
                    <w:widowControl w:val="0"/>
                    <w:tabs>
                      <w:tab w:val="left" w:pos="282"/>
                      <w:tab w:val="left" w:pos="327"/>
                      <w:tab w:val="left" w:pos="507"/>
                      <w:tab w:val="left" w:pos="577"/>
                      <w:tab w:val="right" w:pos="8913"/>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Times New Roman" w:hAnsi="Times New Roman" w:eastAsia="宋体" w:cs="Times New Roman"/>
                      <w:b/>
                      <w:color w:val="auto"/>
                      <w:sz w:val="21"/>
                      <w:highlight w:val="none"/>
                    </w:rPr>
                  </w:pPr>
                  <w:r>
                    <w:rPr>
                      <w:rFonts w:hint="default" w:ascii="Times New Roman" w:hAnsi="Times New Roman" w:eastAsia="宋体" w:cs="Times New Roman"/>
                      <w:b/>
                      <w:color w:val="auto"/>
                      <w:sz w:val="21"/>
                      <w:highlight w:val="none"/>
                    </w:rPr>
                    <w:t>要求</w:t>
                  </w:r>
                </w:p>
              </w:tc>
            </w:tr>
            <w:tr w14:paraId="3CCF5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10" w:type="pct"/>
                  <w:noWrap w:val="0"/>
                  <w:vAlign w:val="center"/>
                </w:tcPr>
                <w:p w14:paraId="6E127654">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bCs/>
                      <w:color w:val="auto"/>
                      <w:szCs w:val="21"/>
                      <w:highlight w:val="none"/>
                    </w:rPr>
                  </w:pPr>
                  <w:r>
                    <w:rPr>
                      <w:rFonts w:hint="default" w:ascii="Times New Roman" w:hAnsi="Times New Roman" w:eastAsia="宋体" w:cs="Times New Roman"/>
                      <w:bCs/>
                      <w:color w:val="auto"/>
                      <w:kern w:val="0"/>
                      <w:szCs w:val="21"/>
                      <w:highlight w:val="none"/>
                    </w:rPr>
                    <w:t>危险废物标签</w:t>
                  </w:r>
                </w:p>
              </w:tc>
              <w:tc>
                <w:tcPr>
                  <w:tcW w:w="1631" w:type="pct"/>
                  <w:noWrap w:val="0"/>
                  <w:vAlign w:val="center"/>
                </w:tcPr>
                <w:p w14:paraId="1252557C">
                  <w:pPr>
                    <w:pStyle w:val="134"/>
                    <w:keepNext w:val="0"/>
                    <w:keepLines w:val="0"/>
                    <w:pageBreakBefore w:val="0"/>
                    <w:widowControl w:val="0"/>
                    <w:tabs>
                      <w:tab w:val="left" w:pos="282"/>
                      <w:tab w:val="left" w:pos="327"/>
                      <w:tab w:val="left" w:pos="507"/>
                      <w:tab w:val="left" w:pos="577"/>
                      <w:tab w:val="right" w:pos="8913"/>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Times New Roman" w:hAnsi="Times New Roman" w:eastAsia="宋体" w:cs="Times New Roman"/>
                      <w:bCs/>
                      <w:color w:val="auto"/>
                      <w:sz w:val="21"/>
                      <w:highlight w:val="none"/>
                    </w:rPr>
                  </w:pPr>
                  <w:r>
                    <w:rPr>
                      <w:rFonts w:hint="default" w:ascii="Times New Roman" w:hAnsi="Times New Roman" w:eastAsia="宋体" w:cs="Times New Roman"/>
                      <w:color w:val="auto"/>
                      <w:sz w:val="21"/>
                      <w:highlight w:val="none"/>
                    </w:rPr>
                    <w:drawing>
                      <wp:inline distT="0" distB="0" distL="114300" distR="114300">
                        <wp:extent cx="1619885" cy="1613535"/>
                        <wp:effectExtent l="0" t="0" r="18415" b="5715"/>
                        <wp:docPr id="7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8"/>
                                <pic:cNvPicPr>
                                  <a:picLocks noChangeAspect="1"/>
                                </pic:cNvPicPr>
                              </pic:nvPicPr>
                              <pic:blipFill>
                                <a:blip r:embed="rId13"/>
                                <a:stretch>
                                  <a:fillRect/>
                                </a:stretch>
                              </pic:blipFill>
                              <pic:spPr>
                                <a:xfrm>
                                  <a:off x="0" y="0"/>
                                  <a:ext cx="1619885" cy="1613535"/>
                                </a:xfrm>
                                <a:prstGeom prst="rect">
                                  <a:avLst/>
                                </a:prstGeom>
                                <a:noFill/>
                                <a:ln>
                                  <a:noFill/>
                                </a:ln>
                              </pic:spPr>
                            </pic:pic>
                          </a:graphicData>
                        </a:graphic>
                      </wp:inline>
                    </w:drawing>
                  </w:r>
                </w:p>
              </w:tc>
              <w:tc>
                <w:tcPr>
                  <w:tcW w:w="2958" w:type="pct"/>
                  <w:noWrap w:val="0"/>
                  <w:vAlign w:val="center"/>
                </w:tcPr>
                <w:p w14:paraId="6414A9DF">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eastAsia="zh-CN"/>
                    </w:rPr>
                    <w:t>1.</w:t>
                  </w:r>
                  <w:r>
                    <w:rPr>
                      <w:rFonts w:hint="default" w:ascii="Times New Roman" w:hAnsi="Times New Roman" w:eastAsia="宋体" w:cs="Times New Roman"/>
                      <w:color w:val="auto"/>
                      <w:kern w:val="0"/>
                      <w:szCs w:val="21"/>
                      <w:highlight w:val="none"/>
                    </w:rPr>
                    <w:t>危险废物标签的颜色：危险废物标签背景色应采用醒目的橘黄色，RGB颜色值为（255，150，0）。标签边框和字体颜色为黑色，RGB颜色值为（0，0，0）。</w:t>
                  </w:r>
                </w:p>
                <w:p w14:paraId="2375B3CC">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eastAsia="zh-CN"/>
                    </w:rPr>
                    <w:t>2.</w:t>
                  </w:r>
                  <w:r>
                    <w:rPr>
                      <w:rFonts w:hint="default" w:ascii="Times New Roman" w:hAnsi="Times New Roman" w:eastAsia="宋体" w:cs="Times New Roman"/>
                      <w:color w:val="auto"/>
                      <w:kern w:val="0"/>
                      <w:szCs w:val="21"/>
                      <w:highlight w:val="none"/>
                    </w:rPr>
                    <w:t>危险废物标签的字体：危险废物标签字体宜采用黑体字，其中“危险废物”字样应加粗放大。</w:t>
                  </w:r>
                </w:p>
                <w:p w14:paraId="193369DF">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eastAsia="zh-CN"/>
                    </w:rPr>
                    <w:t>3.</w:t>
                  </w:r>
                  <w:r>
                    <w:rPr>
                      <w:rFonts w:hint="default" w:ascii="Times New Roman" w:hAnsi="Times New Roman" w:eastAsia="宋体" w:cs="Times New Roman"/>
                      <w:color w:val="auto"/>
                      <w:kern w:val="0"/>
                      <w:szCs w:val="21"/>
                      <w:highlight w:val="none"/>
                    </w:rPr>
                    <w:t>危险废物标签尺寸：容器或包装物容积（L）：≤50，标签最小尺寸（mm×mm）：100×100，最低文字高度（mm）：3；容器或包装物容积（L）：＞50~≤450，标签最小尺寸（mm×mm）：150×150，最低文字高度（mm）：5；容器或包装物容积（L）：＞450，标签最小尺寸（mm×mm）：200×200，最低文字高度（mm）：6。</w:t>
                  </w:r>
                </w:p>
                <w:p w14:paraId="3C01FB54">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szCs w:val="21"/>
                      <w:highlight w:val="none"/>
                      <w:lang w:eastAsia="zh-CN"/>
                    </w:rPr>
                  </w:pPr>
                  <w:r>
                    <w:rPr>
                      <w:rFonts w:hint="eastAsia" w:cs="Times New Roman"/>
                      <w:color w:val="auto"/>
                      <w:kern w:val="0"/>
                      <w:szCs w:val="21"/>
                      <w:highlight w:val="none"/>
                      <w:lang w:eastAsia="zh-CN"/>
                    </w:rPr>
                    <w:t>4.</w:t>
                  </w:r>
                  <w:r>
                    <w:rPr>
                      <w:rFonts w:hint="default" w:ascii="Times New Roman" w:hAnsi="Times New Roman" w:eastAsia="宋体" w:cs="Times New Roman"/>
                      <w:color w:val="auto"/>
                      <w:kern w:val="0"/>
                      <w:szCs w:val="21"/>
                      <w:highlight w:val="none"/>
                    </w:rPr>
                    <w:t>危险废物标签的材质：危险废物标所选用的材质宜具有一定的耐用性和防水性。标签可采用不干胶印刷品，或印刷品外加防水塑料袋或塑封等。</w:t>
                  </w:r>
                </w:p>
                <w:p w14:paraId="7F858896">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bCs/>
                      <w:color w:val="auto"/>
                      <w:szCs w:val="21"/>
                      <w:highlight w:val="none"/>
                    </w:rPr>
                  </w:pPr>
                  <w:r>
                    <w:rPr>
                      <w:rFonts w:hint="eastAsia" w:cs="Times New Roman"/>
                      <w:color w:val="auto"/>
                      <w:kern w:val="0"/>
                      <w:szCs w:val="21"/>
                      <w:highlight w:val="none"/>
                      <w:lang w:eastAsia="zh-CN"/>
                    </w:rPr>
                    <w:t>5.</w:t>
                  </w:r>
                  <w:r>
                    <w:rPr>
                      <w:rFonts w:hint="default" w:ascii="Times New Roman" w:hAnsi="Times New Roman" w:eastAsia="宋体" w:cs="Times New Roman"/>
                      <w:color w:val="auto"/>
                      <w:kern w:val="0"/>
                      <w:szCs w:val="21"/>
                      <w:highlight w:val="none"/>
                    </w:rPr>
                    <w:t>危险废物标签的印刷：危险废物标签印刷的油墨应均匀，图案和文字应清晰、完整。危险废物标签的文字边缘宜加黑色边框，边框宽度不小于1mm，边框外宜留不小于3mm的空白。</w:t>
                  </w:r>
                </w:p>
              </w:tc>
            </w:tr>
            <w:tr w14:paraId="7FC22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10" w:type="pct"/>
                  <w:noWrap w:val="0"/>
                  <w:vAlign w:val="center"/>
                </w:tcPr>
                <w:p w14:paraId="629DA40F">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bCs/>
                      <w:color w:val="auto"/>
                      <w:szCs w:val="21"/>
                      <w:highlight w:val="none"/>
                    </w:rPr>
                  </w:pPr>
                  <w:r>
                    <w:rPr>
                      <w:rFonts w:hint="default" w:ascii="Times New Roman" w:hAnsi="Times New Roman" w:eastAsia="宋体" w:cs="Times New Roman"/>
                      <w:bCs/>
                      <w:color w:val="auto"/>
                      <w:kern w:val="0"/>
                      <w:szCs w:val="21"/>
                      <w:highlight w:val="none"/>
                    </w:rPr>
                    <w:t>危险废物贮存分区标志</w:t>
                  </w:r>
                </w:p>
              </w:tc>
              <w:tc>
                <w:tcPr>
                  <w:tcW w:w="1631" w:type="pct"/>
                  <w:noWrap w:val="0"/>
                  <w:vAlign w:val="center"/>
                </w:tcPr>
                <w:p w14:paraId="169EFDE3">
                  <w:pPr>
                    <w:pStyle w:val="134"/>
                    <w:keepNext w:val="0"/>
                    <w:keepLines w:val="0"/>
                    <w:pageBreakBefore w:val="0"/>
                    <w:widowControl w:val="0"/>
                    <w:tabs>
                      <w:tab w:val="left" w:pos="282"/>
                      <w:tab w:val="left" w:pos="327"/>
                      <w:tab w:val="left" w:pos="507"/>
                      <w:tab w:val="left" w:pos="577"/>
                      <w:tab w:val="right" w:pos="8913"/>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Times New Roman" w:hAnsi="Times New Roman" w:eastAsia="宋体" w:cs="Times New Roman"/>
                      <w:bCs/>
                      <w:color w:val="auto"/>
                      <w:sz w:val="21"/>
                      <w:highlight w:val="none"/>
                    </w:rPr>
                  </w:pPr>
                  <w:r>
                    <w:rPr>
                      <w:rFonts w:hint="default" w:ascii="Times New Roman" w:hAnsi="Times New Roman" w:eastAsia="宋体" w:cs="Times New Roman"/>
                      <w:color w:val="auto"/>
                      <w:sz w:val="21"/>
                      <w:highlight w:val="none"/>
                    </w:rPr>
                    <w:drawing>
                      <wp:inline distT="0" distB="0" distL="114300" distR="114300">
                        <wp:extent cx="1655445" cy="1041400"/>
                        <wp:effectExtent l="0" t="0" r="1905" b="6350"/>
                        <wp:docPr id="74"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35"/>
                                <pic:cNvPicPr>
                                  <a:picLocks noChangeAspect="1"/>
                                </pic:cNvPicPr>
                              </pic:nvPicPr>
                              <pic:blipFill>
                                <a:blip r:embed="rId14"/>
                                <a:srcRect l="14804" t="8101" r="14769" b="60561"/>
                                <a:stretch>
                                  <a:fillRect/>
                                </a:stretch>
                              </pic:blipFill>
                              <pic:spPr>
                                <a:xfrm>
                                  <a:off x="0" y="0"/>
                                  <a:ext cx="1655445" cy="1041400"/>
                                </a:xfrm>
                                <a:prstGeom prst="rect">
                                  <a:avLst/>
                                </a:prstGeom>
                                <a:noFill/>
                                <a:ln>
                                  <a:noFill/>
                                </a:ln>
                              </pic:spPr>
                            </pic:pic>
                          </a:graphicData>
                        </a:graphic>
                      </wp:inline>
                    </w:drawing>
                  </w:r>
                </w:p>
              </w:tc>
              <w:tc>
                <w:tcPr>
                  <w:tcW w:w="2958" w:type="pct"/>
                  <w:noWrap w:val="0"/>
                  <w:vAlign w:val="center"/>
                </w:tcPr>
                <w:p w14:paraId="7B5598B1">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eastAsia="zh-CN"/>
                    </w:rPr>
                    <w:t>1.</w:t>
                  </w:r>
                  <w:r>
                    <w:rPr>
                      <w:rFonts w:hint="default" w:ascii="Times New Roman" w:hAnsi="Times New Roman" w:eastAsia="宋体" w:cs="Times New Roman"/>
                      <w:color w:val="auto"/>
                      <w:kern w:val="0"/>
                      <w:szCs w:val="21"/>
                      <w:highlight w:val="none"/>
                    </w:rPr>
                    <w:t>危险废物贮存分区标志的颜色：危险废物分区标志背景色应采用黄色，RGB颜色值为（255，255，0）。废物种类信息应采用醒目的橘黄色，RGB颜色值为（255，150，0）。字体颜色为黑色，RGB颜色值为（0，0，0）。</w:t>
                  </w:r>
                </w:p>
                <w:p w14:paraId="224411E5">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kern w:val="0"/>
                      <w:szCs w:val="21"/>
                      <w:highlight w:val="none"/>
                      <w:lang w:eastAsia="zh-CN"/>
                    </w:rPr>
                  </w:pPr>
                  <w:r>
                    <w:rPr>
                      <w:rFonts w:hint="eastAsia" w:cs="Times New Roman"/>
                      <w:color w:val="auto"/>
                      <w:kern w:val="0"/>
                      <w:szCs w:val="21"/>
                      <w:highlight w:val="none"/>
                      <w:lang w:eastAsia="zh-CN"/>
                    </w:rPr>
                    <w:t>2.</w:t>
                  </w:r>
                  <w:r>
                    <w:rPr>
                      <w:rFonts w:hint="default" w:ascii="Times New Roman" w:hAnsi="Times New Roman" w:eastAsia="宋体" w:cs="Times New Roman"/>
                      <w:color w:val="auto"/>
                      <w:kern w:val="0"/>
                      <w:szCs w:val="21"/>
                      <w:highlight w:val="none"/>
                    </w:rPr>
                    <w:t>危险废物贮存分区标志的字体：危险废物分区标志的字体宜采用黑体字，其中“危险废物贮存分区标志”字样应加粗放大并居中显示。</w:t>
                  </w:r>
                </w:p>
                <w:p w14:paraId="5C96B88C">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eastAsia="zh-CN"/>
                    </w:rPr>
                    <w:t>3.</w:t>
                  </w:r>
                  <w:r>
                    <w:rPr>
                      <w:rFonts w:hint="default" w:ascii="Times New Roman" w:hAnsi="Times New Roman" w:eastAsia="宋体" w:cs="Times New Roman"/>
                      <w:color w:val="auto"/>
                      <w:kern w:val="0"/>
                      <w:szCs w:val="21"/>
                      <w:highlight w:val="none"/>
                    </w:rPr>
                    <w:t>危险废物贮存分区标志的尺寸：观察距离L（m）：0＜L≤2.5，标志整体外形最小尺寸（mm）：300×300，贮存分区标志最低文字高度（mm）：20，其他文字最低文字高度（mm）：6；观察距离L（m）：2.5＜L≤4，标志整体外形最小尺寸（mm）：450×450，贮存分区标志最低文字高度（mm）：30，其他文字最低文字高度（mm）：9；观察距离L（m）：L＞4，标志整体外形最小尺寸（mm）：600×600，贮存分区标志最低文字高度（mm）：40，其他文字最低文字高度（mm）：12。</w:t>
                  </w:r>
                </w:p>
                <w:p w14:paraId="69A461E0">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eastAsia="zh-CN"/>
                    </w:rPr>
                    <w:t>4.</w:t>
                  </w:r>
                  <w:r>
                    <w:rPr>
                      <w:rFonts w:hint="default" w:ascii="Times New Roman" w:hAnsi="Times New Roman" w:eastAsia="宋体" w:cs="Times New Roman"/>
                      <w:color w:val="auto"/>
                      <w:kern w:val="0"/>
                      <w:szCs w:val="21"/>
                      <w:highlight w:val="none"/>
                    </w:rPr>
                    <w:t>危险废物贮存分区标志的材质：危险废物贮存分区标志的衬底宜采用坚固耐用的材料，并具有耐用性和防水性。废物贮存种类信息等可采用印刷纸张、不粘胶材质或塑料卡片等，以便固定在衬底上。</w:t>
                  </w:r>
                </w:p>
                <w:p w14:paraId="3A5C2D3D">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bCs/>
                      <w:color w:val="auto"/>
                      <w:szCs w:val="21"/>
                      <w:highlight w:val="none"/>
                    </w:rPr>
                  </w:pPr>
                  <w:r>
                    <w:rPr>
                      <w:rFonts w:hint="eastAsia" w:cs="Times New Roman"/>
                      <w:color w:val="auto"/>
                      <w:kern w:val="0"/>
                      <w:szCs w:val="21"/>
                      <w:highlight w:val="none"/>
                      <w:lang w:eastAsia="zh-CN"/>
                    </w:rPr>
                    <w:t>5.</w:t>
                  </w:r>
                  <w:r>
                    <w:rPr>
                      <w:rFonts w:hint="default" w:ascii="Times New Roman" w:hAnsi="Times New Roman" w:eastAsia="宋体" w:cs="Times New Roman"/>
                      <w:color w:val="auto"/>
                      <w:kern w:val="0"/>
                      <w:szCs w:val="21"/>
                      <w:highlight w:val="none"/>
                    </w:rPr>
                    <w:t>危险废物贮存分区标志的印刷：危险废物贮存分区标志的图形和文字应清晰、完整，保证在足够的观察距离条件下不影响阅读。“危险废物贮存分区标志”字样与其他信息宜加黑色分界线区分，分界线的宽度不小于2mm。</w:t>
                  </w:r>
                </w:p>
              </w:tc>
            </w:tr>
            <w:tr w14:paraId="02D04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10" w:type="pct"/>
                  <w:vMerge w:val="restart"/>
                  <w:noWrap w:val="0"/>
                  <w:vAlign w:val="center"/>
                </w:tcPr>
                <w:p w14:paraId="5D74B208">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bCs/>
                      <w:color w:val="auto"/>
                      <w:szCs w:val="21"/>
                      <w:highlight w:val="none"/>
                    </w:rPr>
                  </w:pPr>
                  <w:r>
                    <w:rPr>
                      <w:rFonts w:hint="default" w:ascii="Times New Roman" w:hAnsi="Times New Roman" w:eastAsia="宋体" w:cs="Times New Roman"/>
                      <w:bCs/>
                      <w:color w:val="auto"/>
                      <w:kern w:val="0"/>
                      <w:szCs w:val="21"/>
                      <w:highlight w:val="none"/>
                    </w:rPr>
                    <w:t>危险废物贮存设施标志</w:t>
                  </w:r>
                </w:p>
              </w:tc>
              <w:tc>
                <w:tcPr>
                  <w:tcW w:w="1631" w:type="pct"/>
                  <w:noWrap w:val="0"/>
                  <w:vAlign w:val="center"/>
                </w:tcPr>
                <w:p w14:paraId="66FAC3A7">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横版</w:t>
                  </w:r>
                </w:p>
              </w:tc>
              <w:tc>
                <w:tcPr>
                  <w:tcW w:w="2958" w:type="pct"/>
                  <w:vMerge w:val="restart"/>
                  <w:noWrap w:val="0"/>
                  <w:vAlign w:val="center"/>
                </w:tcPr>
                <w:p w14:paraId="574D560B">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eastAsia="zh-CN"/>
                    </w:rPr>
                    <w:t>1.</w:t>
                  </w:r>
                  <w:r>
                    <w:rPr>
                      <w:rFonts w:hint="default" w:ascii="Times New Roman" w:hAnsi="Times New Roman" w:eastAsia="宋体" w:cs="Times New Roman"/>
                      <w:color w:val="auto"/>
                      <w:kern w:val="0"/>
                      <w:szCs w:val="21"/>
                      <w:highlight w:val="none"/>
                    </w:rPr>
                    <w:t>危险废物贮存设施标志的颜色：危险废物设施标志背景颜色为黄色，RGB颜色值为（255，255，0）。字体和边框颜色为黑色，RGB颜色值为（0，0，0）。</w:t>
                  </w:r>
                </w:p>
                <w:p w14:paraId="0D0A387A">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eastAsia="zh-CN"/>
                    </w:rPr>
                    <w:t>2.</w:t>
                  </w:r>
                  <w:r>
                    <w:rPr>
                      <w:rFonts w:hint="default" w:ascii="Times New Roman" w:hAnsi="Times New Roman" w:eastAsia="宋体" w:cs="Times New Roman"/>
                      <w:color w:val="auto"/>
                      <w:kern w:val="0"/>
                      <w:szCs w:val="21"/>
                      <w:highlight w:val="none"/>
                    </w:rPr>
                    <w:t>危险废物贮存设施标志的字体：危险废物设施标志字体应采用黑体字，其中危险废物设施类型的字样应加粗放大并居中显示。</w:t>
                  </w:r>
                </w:p>
                <w:p w14:paraId="41012B7B">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szCs w:val="21"/>
                      <w:highlight w:val="none"/>
                    </w:rPr>
                  </w:pPr>
                  <w:r>
                    <w:rPr>
                      <w:rFonts w:hint="eastAsia" w:cs="Times New Roman"/>
                      <w:color w:val="auto"/>
                      <w:kern w:val="0"/>
                      <w:szCs w:val="21"/>
                      <w:highlight w:val="none"/>
                      <w:lang w:eastAsia="zh-CN"/>
                    </w:rPr>
                    <w:t>3.</w:t>
                  </w:r>
                  <w:r>
                    <w:rPr>
                      <w:rFonts w:hint="default" w:ascii="Times New Roman" w:hAnsi="Times New Roman" w:eastAsia="宋体" w:cs="Times New Roman"/>
                      <w:color w:val="auto"/>
                      <w:kern w:val="0"/>
                      <w:szCs w:val="21"/>
                      <w:highlight w:val="none"/>
                    </w:rPr>
                    <w:t>危险废物贮存设施标志的尺寸：设置位置：露天/室外入口，观察距离L（m）：＞10，标志牌整体外形最小尺寸（mm）：900×558，三角形外边长a</w:t>
                  </w:r>
                  <w:r>
                    <w:rPr>
                      <w:rFonts w:hint="default" w:ascii="Times New Roman" w:hAnsi="Times New Roman" w:eastAsia="宋体" w:cs="Times New Roman"/>
                      <w:color w:val="auto"/>
                      <w:kern w:val="0"/>
                      <w:szCs w:val="21"/>
                      <w:highlight w:val="none"/>
                      <w:vertAlign w:val="subscript"/>
                    </w:rPr>
                    <w:t>1</w:t>
                  </w:r>
                  <w:r>
                    <w:rPr>
                      <w:rFonts w:hint="default" w:ascii="Times New Roman" w:hAnsi="Times New Roman" w:eastAsia="宋体" w:cs="Times New Roman"/>
                      <w:color w:val="auto"/>
                      <w:kern w:val="0"/>
                      <w:szCs w:val="21"/>
                      <w:highlight w:val="none"/>
                    </w:rPr>
                    <w:t>（mm）：500，三角形内边长a</w:t>
                  </w:r>
                  <w:r>
                    <w:rPr>
                      <w:rFonts w:hint="default" w:ascii="Times New Roman" w:hAnsi="Times New Roman" w:eastAsia="宋体" w:cs="Times New Roman"/>
                      <w:color w:val="auto"/>
                      <w:kern w:val="0"/>
                      <w:szCs w:val="21"/>
                      <w:highlight w:val="none"/>
                      <w:vertAlign w:val="subscript"/>
                    </w:rPr>
                    <w:t>2</w:t>
                  </w:r>
                  <w:r>
                    <w:rPr>
                      <w:rFonts w:hint="default" w:ascii="Times New Roman" w:hAnsi="Times New Roman" w:eastAsia="宋体" w:cs="Times New Roman"/>
                      <w:color w:val="auto"/>
                      <w:kern w:val="0"/>
                      <w:szCs w:val="21"/>
                      <w:highlight w:val="none"/>
                    </w:rPr>
                    <w:t>（mm）：375，边框外角圆弧半径（mm）：30，设施类型名称最低文字高度（mm）：48，其他文字最低文字高度（mm）：24；设置位置：室内，观察距离L（m）：4＜L≤10，标志牌整体外形最小尺寸（mm）：600×372，三角形外边长a</w:t>
                  </w:r>
                  <w:r>
                    <w:rPr>
                      <w:rFonts w:hint="default" w:ascii="Times New Roman" w:hAnsi="Times New Roman" w:eastAsia="宋体" w:cs="Times New Roman"/>
                      <w:color w:val="auto"/>
                      <w:kern w:val="0"/>
                      <w:szCs w:val="21"/>
                      <w:highlight w:val="none"/>
                      <w:vertAlign w:val="subscript"/>
                    </w:rPr>
                    <w:t>1</w:t>
                  </w:r>
                  <w:r>
                    <w:rPr>
                      <w:rFonts w:hint="default" w:ascii="Times New Roman" w:hAnsi="Times New Roman" w:eastAsia="宋体" w:cs="Times New Roman"/>
                      <w:color w:val="auto"/>
                      <w:kern w:val="0"/>
                      <w:szCs w:val="21"/>
                      <w:highlight w:val="none"/>
                    </w:rPr>
                    <w:t>（mm）：300，三角形内边长a</w:t>
                  </w:r>
                  <w:r>
                    <w:rPr>
                      <w:rFonts w:hint="default" w:ascii="Times New Roman" w:hAnsi="Times New Roman" w:eastAsia="宋体" w:cs="Times New Roman"/>
                      <w:color w:val="auto"/>
                      <w:kern w:val="0"/>
                      <w:szCs w:val="21"/>
                      <w:highlight w:val="none"/>
                      <w:vertAlign w:val="subscript"/>
                    </w:rPr>
                    <w:t>2</w:t>
                  </w:r>
                  <w:r>
                    <w:rPr>
                      <w:rFonts w:hint="default" w:ascii="Times New Roman" w:hAnsi="Times New Roman" w:eastAsia="宋体" w:cs="Times New Roman"/>
                      <w:color w:val="auto"/>
                      <w:kern w:val="0"/>
                      <w:szCs w:val="21"/>
                      <w:highlight w:val="none"/>
                    </w:rPr>
                    <w:t>（mm）：225，边框外角圆弧半径（mm）：18，设施类型名称最低文字高度（mm）：32，其他文字最低文字高度（mm）：16；设置位置：室内，观察距离L（m）：L≤4，标志牌整体外形最小尺寸（mm）：300×186，三角形外边长a</w:t>
                  </w:r>
                  <w:r>
                    <w:rPr>
                      <w:rFonts w:hint="default" w:ascii="Times New Roman" w:hAnsi="Times New Roman" w:eastAsia="宋体" w:cs="Times New Roman"/>
                      <w:color w:val="auto"/>
                      <w:kern w:val="0"/>
                      <w:szCs w:val="21"/>
                      <w:highlight w:val="none"/>
                      <w:vertAlign w:val="subscript"/>
                    </w:rPr>
                    <w:t>1</w:t>
                  </w:r>
                  <w:r>
                    <w:rPr>
                      <w:rFonts w:hint="default" w:ascii="Times New Roman" w:hAnsi="Times New Roman" w:eastAsia="宋体" w:cs="Times New Roman"/>
                      <w:color w:val="auto"/>
                      <w:kern w:val="0"/>
                      <w:szCs w:val="21"/>
                      <w:highlight w:val="none"/>
                    </w:rPr>
                    <w:t>（mm）：140，三角形内边长a</w:t>
                  </w:r>
                  <w:r>
                    <w:rPr>
                      <w:rFonts w:hint="default" w:ascii="Times New Roman" w:hAnsi="Times New Roman" w:eastAsia="宋体" w:cs="Times New Roman"/>
                      <w:color w:val="auto"/>
                      <w:kern w:val="0"/>
                      <w:szCs w:val="21"/>
                      <w:highlight w:val="none"/>
                      <w:vertAlign w:val="subscript"/>
                    </w:rPr>
                    <w:t>2</w:t>
                  </w:r>
                  <w:r>
                    <w:rPr>
                      <w:rFonts w:hint="default" w:ascii="Times New Roman" w:hAnsi="Times New Roman" w:eastAsia="宋体" w:cs="Times New Roman"/>
                      <w:color w:val="auto"/>
                      <w:kern w:val="0"/>
                      <w:szCs w:val="21"/>
                      <w:highlight w:val="none"/>
                    </w:rPr>
                    <w:t>（mm）：105，边框外角圆弧半径（mm）：8.4，设施类型名称最低文字高度（mm）：16，其他文字最低文字高度（mm）：18。</w:t>
                  </w:r>
                </w:p>
                <w:p w14:paraId="346AD87D">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eastAsia="zh-CN"/>
                    </w:rPr>
                    <w:t>4.</w:t>
                  </w:r>
                  <w:r>
                    <w:rPr>
                      <w:rFonts w:hint="default" w:ascii="Times New Roman" w:hAnsi="Times New Roman" w:eastAsia="宋体" w:cs="Times New Roman"/>
                      <w:color w:val="auto"/>
                      <w:kern w:val="0"/>
                      <w:szCs w:val="21"/>
                      <w:highlight w:val="none"/>
                    </w:rPr>
                    <w:t>危险废物贮存设施标志的材质：危险废物贮存设施标志宜采用坚固耐用的材料（如1.5mm～2mm冷轧钢板），并做搪瓷处理或贴膜处理。一般不宜使用遇水变形、变质或易燃的材料。柱式标志牌的立柱可采用38×4无缝钢管或其他坚固耐用的材料，并经过防腐处理。</w:t>
                  </w:r>
                </w:p>
                <w:p w14:paraId="2BC32C27">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color w:val="auto"/>
                      <w:kern w:val="0"/>
                      <w:szCs w:val="21"/>
                      <w:highlight w:val="none"/>
                    </w:rPr>
                  </w:pPr>
                  <w:r>
                    <w:rPr>
                      <w:rFonts w:hint="eastAsia" w:cs="Times New Roman"/>
                      <w:color w:val="auto"/>
                      <w:kern w:val="0"/>
                      <w:szCs w:val="21"/>
                      <w:highlight w:val="none"/>
                      <w:lang w:eastAsia="zh-CN"/>
                    </w:rPr>
                    <w:t>5.</w:t>
                  </w:r>
                  <w:r>
                    <w:rPr>
                      <w:rFonts w:hint="default" w:ascii="Times New Roman" w:hAnsi="Times New Roman" w:eastAsia="宋体" w:cs="Times New Roman"/>
                      <w:color w:val="auto"/>
                      <w:kern w:val="0"/>
                      <w:szCs w:val="21"/>
                      <w:highlight w:val="none"/>
                    </w:rPr>
                    <w:t>危险废物贮存设施标志的印刷：危险废物贮存设施标志的图形和文字应清晰、完整，保证在足够的观察距离条件</w:t>
                  </w:r>
                  <w:r>
                    <w:rPr>
                      <w:rFonts w:hint="eastAsia" w:cs="Times New Roman"/>
                      <w:color w:val="auto"/>
                      <w:kern w:val="0"/>
                      <w:szCs w:val="21"/>
                      <w:highlight w:val="none"/>
                      <w:lang w:eastAsia="zh-CN"/>
                    </w:rPr>
                    <w:t>下</w:t>
                  </w:r>
                  <w:r>
                    <w:rPr>
                      <w:rFonts w:hint="default" w:ascii="Times New Roman" w:hAnsi="Times New Roman" w:eastAsia="宋体" w:cs="Times New Roman"/>
                      <w:color w:val="auto"/>
                      <w:kern w:val="0"/>
                      <w:szCs w:val="21"/>
                      <w:highlight w:val="none"/>
                    </w:rPr>
                    <w:t>不影响阅读。三角形警告性图形与其他信息间宜加黑色分界线区分，分界线的宽度宜不小于3mm。</w:t>
                  </w:r>
                </w:p>
                <w:p w14:paraId="3D6EEE1A">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bCs/>
                      <w:color w:val="auto"/>
                      <w:szCs w:val="21"/>
                      <w:highlight w:val="none"/>
                    </w:rPr>
                  </w:pPr>
                  <w:r>
                    <w:rPr>
                      <w:rFonts w:hint="eastAsia" w:cs="Times New Roman"/>
                      <w:color w:val="auto"/>
                      <w:kern w:val="0"/>
                      <w:szCs w:val="21"/>
                      <w:highlight w:val="none"/>
                      <w:lang w:eastAsia="zh-CN"/>
                    </w:rPr>
                    <w:t>6.</w:t>
                  </w:r>
                  <w:r>
                    <w:rPr>
                      <w:rFonts w:hint="default" w:ascii="Times New Roman" w:hAnsi="Times New Roman" w:eastAsia="宋体" w:cs="Times New Roman"/>
                      <w:color w:val="auto"/>
                      <w:kern w:val="0"/>
                      <w:szCs w:val="21"/>
                      <w:highlight w:val="none"/>
                    </w:rPr>
                    <w:t>危险废物贮存设施标志的外观质量要求：危险废物贮存设施的标志牌和立柱无明显变形。标志牌表面无气泡，膜或搪瓷无脱落。图案清晰，色泽一致，没有明显缺损。</w:t>
                  </w:r>
                </w:p>
              </w:tc>
            </w:tr>
            <w:tr w14:paraId="3EBD1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10" w:type="pct"/>
                  <w:vMerge w:val="continue"/>
                  <w:noWrap w:val="0"/>
                  <w:vAlign w:val="center"/>
                </w:tcPr>
                <w:p w14:paraId="7AAA0DFF">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bCs/>
                      <w:color w:val="auto"/>
                      <w:szCs w:val="21"/>
                      <w:highlight w:val="none"/>
                    </w:rPr>
                  </w:pPr>
                </w:p>
              </w:tc>
              <w:tc>
                <w:tcPr>
                  <w:tcW w:w="1631" w:type="pct"/>
                  <w:noWrap w:val="0"/>
                  <w:vAlign w:val="center"/>
                </w:tcPr>
                <w:p w14:paraId="045AE8BF">
                  <w:pPr>
                    <w:pStyle w:val="134"/>
                    <w:keepNext w:val="0"/>
                    <w:keepLines w:val="0"/>
                    <w:pageBreakBefore w:val="0"/>
                    <w:widowControl w:val="0"/>
                    <w:tabs>
                      <w:tab w:val="left" w:pos="282"/>
                      <w:tab w:val="left" w:pos="327"/>
                      <w:tab w:val="left" w:pos="507"/>
                      <w:tab w:val="left" w:pos="577"/>
                      <w:tab w:val="right" w:pos="8913"/>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Times New Roman" w:hAnsi="Times New Roman" w:eastAsia="宋体" w:cs="Times New Roman"/>
                      <w:bCs/>
                      <w:color w:val="auto"/>
                      <w:sz w:val="21"/>
                      <w:highlight w:val="none"/>
                    </w:rPr>
                  </w:pPr>
                  <w:r>
                    <w:rPr>
                      <w:rFonts w:hint="default" w:ascii="Times New Roman" w:hAnsi="Times New Roman" w:eastAsia="宋体" w:cs="Times New Roman"/>
                      <w:color w:val="auto"/>
                      <w:sz w:val="21"/>
                      <w:highlight w:val="none"/>
                    </w:rPr>
                    <w:drawing>
                      <wp:inline distT="0" distB="0" distL="114300" distR="114300">
                        <wp:extent cx="1619885" cy="1017905"/>
                        <wp:effectExtent l="0" t="0" r="18415" b="10795"/>
                        <wp:docPr id="76"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10"/>
                                <pic:cNvPicPr>
                                  <a:picLocks noChangeAspect="1"/>
                                </pic:cNvPicPr>
                              </pic:nvPicPr>
                              <pic:blipFill>
                                <a:blip r:embed="rId15"/>
                                <a:stretch>
                                  <a:fillRect/>
                                </a:stretch>
                              </pic:blipFill>
                              <pic:spPr>
                                <a:xfrm>
                                  <a:off x="0" y="0"/>
                                  <a:ext cx="1619885" cy="1017905"/>
                                </a:xfrm>
                                <a:prstGeom prst="rect">
                                  <a:avLst/>
                                </a:prstGeom>
                                <a:noFill/>
                                <a:ln>
                                  <a:noFill/>
                                </a:ln>
                              </pic:spPr>
                            </pic:pic>
                          </a:graphicData>
                        </a:graphic>
                      </wp:inline>
                    </w:drawing>
                  </w:r>
                </w:p>
              </w:tc>
              <w:tc>
                <w:tcPr>
                  <w:tcW w:w="2958" w:type="pct"/>
                  <w:vMerge w:val="continue"/>
                  <w:noWrap w:val="0"/>
                  <w:vAlign w:val="center"/>
                </w:tcPr>
                <w:p w14:paraId="27205293">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bCs/>
                      <w:color w:val="auto"/>
                      <w:szCs w:val="21"/>
                      <w:highlight w:val="none"/>
                    </w:rPr>
                  </w:pPr>
                </w:p>
              </w:tc>
            </w:tr>
            <w:tr w14:paraId="5B718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10" w:type="pct"/>
                  <w:vMerge w:val="continue"/>
                  <w:noWrap w:val="0"/>
                  <w:vAlign w:val="center"/>
                </w:tcPr>
                <w:p w14:paraId="55209616">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bCs/>
                      <w:color w:val="auto"/>
                      <w:kern w:val="0"/>
                      <w:szCs w:val="21"/>
                      <w:highlight w:val="none"/>
                    </w:rPr>
                  </w:pPr>
                </w:p>
              </w:tc>
              <w:tc>
                <w:tcPr>
                  <w:tcW w:w="1631" w:type="pct"/>
                  <w:noWrap w:val="0"/>
                  <w:vAlign w:val="center"/>
                </w:tcPr>
                <w:p w14:paraId="6D58C380">
                  <w:pPr>
                    <w:pStyle w:val="134"/>
                    <w:keepNext w:val="0"/>
                    <w:keepLines w:val="0"/>
                    <w:pageBreakBefore w:val="0"/>
                    <w:widowControl w:val="0"/>
                    <w:tabs>
                      <w:tab w:val="left" w:pos="282"/>
                      <w:tab w:val="left" w:pos="327"/>
                      <w:tab w:val="left" w:pos="507"/>
                      <w:tab w:val="left" w:pos="577"/>
                      <w:tab w:val="right" w:pos="8913"/>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Times New Roman" w:hAnsi="Times New Roman" w:eastAsia="宋体" w:cs="Times New Roman"/>
                      <w:color w:val="auto"/>
                      <w:sz w:val="21"/>
                      <w:highlight w:val="none"/>
                    </w:rPr>
                  </w:pPr>
                  <w:r>
                    <w:rPr>
                      <w:rFonts w:hint="default" w:ascii="Times New Roman" w:hAnsi="Times New Roman" w:eastAsia="宋体" w:cs="Times New Roman"/>
                      <w:b/>
                      <w:bCs/>
                      <w:color w:val="auto"/>
                      <w:sz w:val="21"/>
                      <w:highlight w:val="none"/>
                    </w:rPr>
                    <w:t>竖版</w:t>
                  </w:r>
                </w:p>
              </w:tc>
              <w:tc>
                <w:tcPr>
                  <w:tcW w:w="2958" w:type="pct"/>
                  <w:vMerge w:val="continue"/>
                  <w:noWrap w:val="0"/>
                  <w:vAlign w:val="center"/>
                </w:tcPr>
                <w:p w14:paraId="58B05A24">
                  <w:pPr>
                    <w:pStyle w:val="134"/>
                    <w:keepNext w:val="0"/>
                    <w:keepLines w:val="0"/>
                    <w:pageBreakBefore w:val="0"/>
                    <w:widowControl w:val="0"/>
                    <w:tabs>
                      <w:tab w:val="left" w:pos="282"/>
                      <w:tab w:val="left" w:pos="327"/>
                      <w:tab w:val="left" w:pos="507"/>
                      <w:tab w:val="left" w:pos="577"/>
                      <w:tab w:val="right" w:pos="8913"/>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Times New Roman" w:hAnsi="Times New Roman" w:eastAsia="宋体" w:cs="Times New Roman"/>
                      <w:bCs/>
                      <w:color w:val="auto"/>
                      <w:sz w:val="21"/>
                      <w:highlight w:val="none"/>
                    </w:rPr>
                  </w:pPr>
                </w:p>
              </w:tc>
            </w:tr>
            <w:tr w14:paraId="3B173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10" w:type="pct"/>
                  <w:vMerge w:val="continue"/>
                  <w:noWrap w:val="0"/>
                  <w:vAlign w:val="center"/>
                </w:tcPr>
                <w:p w14:paraId="06072020">
                  <w:pPr>
                    <w:keepNext w:val="0"/>
                    <w:keepLines w:val="0"/>
                    <w:pageBreakBefore w:val="0"/>
                    <w:widowControl w:val="0"/>
                    <w:kinsoku/>
                    <w:wordWrap/>
                    <w:overflowPunct/>
                    <w:topLinePunct w:val="0"/>
                    <w:autoSpaceDE/>
                    <w:autoSpaceDN/>
                    <w:bidi w:val="0"/>
                    <w:adjustRightInd/>
                    <w:snapToGrid/>
                    <w:ind w:left="0" w:leftChars="0" w:right="0" w:rightChars="0"/>
                    <w:jc w:val="left"/>
                    <w:textAlignment w:val="auto"/>
                    <w:rPr>
                      <w:rFonts w:hint="default" w:ascii="Times New Roman" w:hAnsi="Times New Roman" w:eastAsia="宋体" w:cs="Times New Roman"/>
                      <w:bCs/>
                      <w:color w:val="auto"/>
                      <w:kern w:val="0"/>
                      <w:szCs w:val="21"/>
                      <w:highlight w:val="none"/>
                    </w:rPr>
                  </w:pPr>
                </w:p>
              </w:tc>
              <w:tc>
                <w:tcPr>
                  <w:tcW w:w="1631" w:type="pct"/>
                  <w:noWrap w:val="0"/>
                  <w:vAlign w:val="center"/>
                </w:tcPr>
                <w:p w14:paraId="03EE7A4F">
                  <w:pPr>
                    <w:pStyle w:val="134"/>
                    <w:keepNext w:val="0"/>
                    <w:keepLines w:val="0"/>
                    <w:pageBreakBefore w:val="0"/>
                    <w:widowControl w:val="0"/>
                    <w:tabs>
                      <w:tab w:val="left" w:pos="282"/>
                      <w:tab w:val="left" w:pos="327"/>
                      <w:tab w:val="left" w:pos="507"/>
                      <w:tab w:val="left" w:pos="577"/>
                      <w:tab w:val="right" w:pos="8913"/>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Times New Roman" w:hAnsi="Times New Roman" w:eastAsia="宋体" w:cs="Times New Roman"/>
                      <w:color w:val="auto"/>
                      <w:sz w:val="21"/>
                      <w:highlight w:val="none"/>
                    </w:rPr>
                  </w:pPr>
                  <w:r>
                    <w:rPr>
                      <w:rFonts w:hint="default" w:ascii="Times New Roman" w:hAnsi="Times New Roman" w:eastAsia="宋体" w:cs="Times New Roman"/>
                      <w:color w:val="auto"/>
                      <w:sz w:val="21"/>
                      <w:highlight w:val="none"/>
                    </w:rPr>
                    <w:drawing>
                      <wp:inline distT="0" distB="0" distL="114300" distR="114300">
                        <wp:extent cx="1497330" cy="2376170"/>
                        <wp:effectExtent l="0" t="0" r="7620" b="5080"/>
                        <wp:docPr id="77"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13"/>
                                <pic:cNvPicPr>
                                  <a:picLocks noChangeAspect="1"/>
                                </pic:cNvPicPr>
                              </pic:nvPicPr>
                              <pic:blipFill>
                                <a:blip r:embed="rId16"/>
                                <a:stretch>
                                  <a:fillRect/>
                                </a:stretch>
                              </pic:blipFill>
                              <pic:spPr>
                                <a:xfrm>
                                  <a:off x="0" y="0"/>
                                  <a:ext cx="1497330" cy="2376170"/>
                                </a:xfrm>
                                <a:prstGeom prst="rect">
                                  <a:avLst/>
                                </a:prstGeom>
                                <a:noFill/>
                                <a:ln>
                                  <a:noFill/>
                                </a:ln>
                              </pic:spPr>
                            </pic:pic>
                          </a:graphicData>
                        </a:graphic>
                      </wp:inline>
                    </w:drawing>
                  </w:r>
                </w:p>
              </w:tc>
              <w:tc>
                <w:tcPr>
                  <w:tcW w:w="2958" w:type="pct"/>
                  <w:vMerge w:val="continue"/>
                  <w:noWrap w:val="0"/>
                  <w:vAlign w:val="center"/>
                </w:tcPr>
                <w:p w14:paraId="44822BA2">
                  <w:pPr>
                    <w:pStyle w:val="134"/>
                    <w:keepNext w:val="0"/>
                    <w:keepLines w:val="0"/>
                    <w:pageBreakBefore w:val="0"/>
                    <w:widowControl w:val="0"/>
                    <w:tabs>
                      <w:tab w:val="left" w:pos="282"/>
                      <w:tab w:val="left" w:pos="327"/>
                      <w:tab w:val="left" w:pos="507"/>
                      <w:tab w:val="left" w:pos="577"/>
                      <w:tab w:val="right" w:pos="8913"/>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Times New Roman" w:hAnsi="Times New Roman" w:eastAsia="宋体" w:cs="Times New Roman"/>
                      <w:bCs/>
                      <w:color w:val="auto"/>
                      <w:sz w:val="21"/>
                      <w:highlight w:val="none"/>
                    </w:rPr>
                  </w:pPr>
                </w:p>
              </w:tc>
            </w:tr>
          </w:tbl>
          <w:p w14:paraId="1834DD3B">
            <w:pPr>
              <w:keepNext w:val="0"/>
              <w:keepLines w:val="0"/>
              <w:pageBreakBefore w:val="0"/>
              <w:widowControl/>
              <w:suppressLineNumbers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cs="Times New Roman"/>
                <w:b/>
                <w:bCs/>
                <w:color w:val="auto"/>
                <w:kern w:val="2"/>
                <w:sz w:val="24"/>
                <w:szCs w:val="24"/>
                <w:highlight w:val="none"/>
                <w:lang w:val="en-US" w:eastAsia="zh-CN" w:bidi="ar-SA"/>
              </w:rPr>
              <w:t>十一</w:t>
            </w:r>
            <w:r>
              <w:rPr>
                <w:rFonts w:hint="default" w:ascii="Times New Roman" w:hAnsi="Times New Roman" w:eastAsia="宋体" w:cs="Times New Roman"/>
                <w:b/>
                <w:bCs/>
                <w:color w:val="auto"/>
                <w:kern w:val="2"/>
                <w:sz w:val="24"/>
                <w:szCs w:val="24"/>
                <w:highlight w:val="none"/>
                <w:lang w:val="en-US" w:eastAsia="zh-CN" w:bidi="ar-SA"/>
              </w:rPr>
              <w:t>、防沙治沙</w:t>
            </w:r>
          </w:p>
          <w:p w14:paraId="3A21E866">
            <w:pPr>
              <w:adjustRightInd w:val="0"/>
              <w:snapToGrid w:val="0"/>
              <w:spacing w:line="360" w:lineRule="auto"/>
              <w:ind w:firstLine="480" w:firstLineChars="200"/>
              <w:rPr>
                <w:rFonts w:hint="default" w:eastAsia="宋体"/>
                <w:bCs/>
                <w:color w:val="auto"/>
                <w:spacing w:val="-10"/>
                <w:szCs w:val="21"/>
                <w:highlight w:val="none"/>
                <w:lang w:val="en-US" w:eastAsia="zh-CN"/>
              </w:rPr>
            </w:pPr>
            <w:r>
              <w:rPr>
                <w:rFonts w:hint="default" w:ascii="Times New Roman" w:hAnsi="Times New Roman" w:eastAsia="宋体" w:cs="Times New Roman"/>
                <w:b w:val="0"/>
                <w:bCs w:val="0"/>
                <w:color w:val="auto"/>
                <w:kern w:val="2"/>
                <w:sz w:val="24"/>
                <w:szCs w:val="24"/>
                <w:highlight w:val="none"/>
                <w:lang w:val="en-US" w:eastAsia="zh-CN" w:bidi="ar-SA"/>
              </w:rPr>
              <w:t>本项目实施后加强厂区的绿化工作，及时对破损地面硬化，进行防风固沙，减少水土流失。项目的建设不会对当地环境造成影响。</w:t>
            </w:r>
          </w:p>
        </w:tc>
      </w:tr>
    </w:tbl>
    <w:p w14:paraId="46C93079">
      <w:pPr>
        <w:pStyle w:val="6"/>
        <w:ind w:firstLine="0" w:firstLineChars="0"/>
        <w:rPr>
          <w:color w:val="auto"/>
          <w:highlight w:val="none"/>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7C3FC53D">
      <w:pPr>
        <w:pStyle w:val="30"/>
        <w:numPr>
          <w:ilvl w:val="0"/>
          <w:numId w:val="0"/>
        </w:numPr>
        <w:jc w:val="center"/>
        <w:outlineLvl w:val="0"/>
        <w:rPr>
          <w:rFonts w:ascii="Times New Roman" w:hAnsi="Times New Roman" w:eastAsia="黑体"/>
          <w:snapToGrid w:val="0"/>
          <w:color w:val="auto"/>
          <w:sz w:val="30"/>
          <w:szCs w:val="30"/>
          <w:highlight w:val="none"/>
        </w:rPr>
      </w:pPr>
      <w:bookmarkStart w:id="50" w:name="_Toc24863"/>
      <w:bookmarkStart w:id="51" w:name="_Hlk54167917"/>
      <w:r>
        <w:rPr>
          <w:rFonts w:hint="eastAsia" w:ascii="Times New Roman" w:hAnsi="Times New Roman" w:eastAsia="黑体"/>
          <w:snapToGrid w:val="0"/>
          <w:color w:val="auto"/>
          <w:sz w:val="30"/>
          <w:szCs w:val="30"/>
          <w:highlight w:val="none"/>
          <w:lang w:val="en-US" w:eastAsia="zh-CN"/>
        </w:rPr>
        <w:t>五、</w:t>
      </w:r>
      <w:r>
        <w:rPr>
          <w:rFonts w:ascii="Times New Roman" w:hAnsi="Times New Roman" w:eastAsia="黑体"/>
          <w:snapToGrid w:val="0"/>
          <w:color w:val="auto"/>
          <w:sz w:val="30"/>
          <w:szCs w:val="30"/>
          <w:highlight w:val="none"/>
        </w:rPr>
        <w:t>环境保护措施监督检查清单</w:t>
      </w:r>
      <w:bookmarkEnd w:id="50"/>
      <w:bookmarkEnd w:id="51"/>
    </w:p>
    <w:tbl>
      <w:tblPr>
        <w:tblStyle w:val="34"/>
        <w:tblW w:w="903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68"/>
        <w:gridCol w:w="1603"/>
        <w:gridCol w:w="1269"/>
        <w:gridCol w:w="1823"/>
        <w:gridCol w:w="3373"/>
      </w:tblGrid>
      <w:tr w14:paraId="0B2099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tcBorders>
              <w:tl2br w:val="single" w:color="auto" w:sz="4" w:space="0"/>
            </w:tcBorders>
            <w:noWrap w:val="0"/>
            <w:vAlign w:val="center"/>
          </w:tcPr>
          <w:p w14:paraId="788A9C1B">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内容</w:t>
            </w:r>
          </w:p>
          <w:p w14:paraId="02F354D3">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both"/>
              <w:textAlignment w:val="auto"/>
              <w:rPr>
                <w:rFonts w:hint="default" w:ascii="Times New Roman" w:hAnsi="Times New Roman" w:cs="Times New Roman"/>
                <w:color w:val="auto"/>
                <w:sz w:val="24"/>
                <w:szCs w:val="24"/>
                <w:highlight w:val="none"/>
              </w:rPr>
            </w:pPr>
          </w:p>
          <w:p w14:paraId="19079030">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要素</w:t>
            </w:r>
          </w:p>
        </w:tc>
        <w:tc>
          <w:tcPr>
            <w:tcW w:w="1603" w:type="dxa"/>
            <w:noWrap w:val="0"/>
            <w:vAlign w:val="center"/>
          </w:tcPr>
          <w:p w14:paraId="61CC5990">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排放口</w:t>
            </w:r>
            <w:r>
              <w:rPr>
                <w:rFonts w:hint="eastAsia" w:cs="Times New Roman"/>
                <w:color w:val="auto"/>
                <w:sz w:val="24"/>
                <w:szCs w:val="24"/>
                <w:highlight w:val="none"/>
                <w:lang w:eastAsia="zh-CN"/>
              </w:rPr>
              <w:t>（</w:t>
            </w:r>
            <w:r>
              <w:rPr>
                <w:rFonts w:hint="default" w:ascii="Times New Roman" w:hAnsi="Times New Roman" w:cs="Times New Roman"/>
                <w:color w:val="auto"/>
                <w:sz w:val="24"/>
                <w:szCs w:val="24"/>
                <w:highlight w:val="none"/>
              </w:rPr>
              <w:t>编号、名称</w:t>
            </w:r>
            <w:r>
              <w:rPr>
                <w:rFonts w:hint="eastAsia" w:cs="Times New Roman"/>
                <w:color w:val="auto"/>
                <w:sz w:val="24"/>
                <w:szCs w:val="24"/>
                <w:highlight w:val="none"/>
                <w:lang w:eastAsia="zh-CN"/>
              </w:rPr>
              <w:t>）</w:t>
            </w:r>
            <w:r>
              <w:rPr>
                <w:rFonts w:hint="default" w:ascii="Times New Roman" w:hAnsi="Times New Roman" w:cs="Times New Roman"/>
                <w:color w:val="auto"/>
                <w:sz w:val="24"/>
                <w:szCs w:val="24"/>
                <w:highlight w:val="none"/>
              </w:rPr>
              <w:t>/污染源</w:t>
            </w:r>
          </w:p>
        </w:tc>
        <w:tc>
          <w:tcPr>
            <w:tcW w:w="1269" w:type="dxa"/>
            <w:noWrap w:val="0"/>
            <w:vAlign w:val="center"/>
          </w:tcPr>
          <w:p w14:paraId="5F13E7EA">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污染物</w:t>
            </w:r>
          </w:p>
        </w:tc>
        <w:tc>
          <w:tcPr>
            <w:tcW w:w="1823" w:type="dxa"/>
            <w:noWrap w:val="0"/>
            <w:vAlign w:val="center"/>
          </w:tcPr>
          <w:p w14:paraId="095B466A">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环境保护措施</w:t>
            </w:r>
          </w:p>
        </w:tc>
        <w:tc>
          <w:tcPr>
            <w:tcW w:w="3373" w:type="dxa"/>
            <w:noWrap w:val="0"/>
            <w:vAlign w:val="center"/>
          </w:tcPr>
          <w:p w14:paraId="6150416F">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执行标准</w:t>
            </w:r>
          </w:p>
        </w:tc>
      </w:tr>
      <w:tr w14:paraId="66E320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17" w:hRule="atLeast"/>
          <w:jc w:val="center"/>
        </w:trPr>
        <w:tc>
          <w:tcPr>
            <w:tcW w:w="968" w:type="dxa"/>
            <w:vMerge w:val="restart"/>
            <w:noWrap w:val="0"/>
            <w:vAlign w:val="center"/>
          </w:tcPr>
          <w:p w14:paraId="1756B7BA">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auto"/>
                <w:sz w:val="24"/>
                <w:szCs w:val="24"/>
                <w:highlight w:val="none"/>
              </w:rPr>
            </w:pPr>
            <w:r>
              <w:rPr>
                <w:rFonts w:hint="eastAsia" w:cs="Times New Roman"/>
                <w:color w:val="auto"/>
                <w:sz w:val="24"/>
                <w:szCs w:val="24"/>
                <w:highlight w:val="none"/>
                <w:lang w:val="en-US" w:eastAsia="zh-CN"/>
              </w:rPr>
              <w:t>大气</w:t>
            </w:r>
            <w:r>
              <w:rPr>
                <w:rFonts w:hint="default" w:ascii="Times New Roman" w:hAnsi="Times New Roman" w:cs="Times New Roman"/>
                <w:color w:val="auto"/>
                <w:sz w:val="24"/>
                <w:szCs w:val="24"/>
                <w:highlight w:val="none"/>
              </w:rPr>
              <w:t>水环境</w:t>
            </w:r>
          </w:p>
        </w:tc>
        <w:tc>
          <w:tcPr>
            <w:tcW w:w="1603" w:type="dxa"/>
            <w:vMerge w:val="restart"/>
            <w:noWrap w:val="0"/>
            <w:vAlign w:val="center"/>
          </w:tcPr>
          <w:p w14:paraId="09D64C2E">
            <w:pPr>
              <w:pStyle w:val="85"/>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color w:val="auto"/>
                <w:sz w:val="24"/>
                <w:szCs w:val="24"/>
                <w:highlight w:val="none"/>
                <w:lang w:val="en-US" w:eastAsia="zh-CN" w:bidi="ar-SA"/>
              </w:rPr>
            </w:pPr>
            <w:r>
              <w:rPr>
                <w:rFonts w:hint="eastAsia" w:cs="Times New Roman"/>
                <w:color w:val="auto"/>
                <w:sz w:val="24"/>
                <w:szCs w:val="24"/>
                <w:highlight w:val="none"/>
                <w:lang w:val="en-US" w:eastAsia="zh-CN" w:bidi="ar-SA"/>
              </w:rPr>
              <w:t>DA001/聚苯乙烯发泡机、成型机、切割</w:t>
            </w:r>
          </w:p>
        </w:tc>
        <w:tc>
          <w:tcPr>
            <w:tcW w:w="1269" w:type="dxa"/>
            <w:noWrap w:val="0"/>
            <w:vAlign w:val="center"/>
          </w:tcPr>
          <w:p w14:paraId="65446353">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color w:val="auto"/>
                <w:kern w:val="0"/>
                <w:sz w:val="24"/>
                <w:szCs w:val="24"/>
                <w:highlight w:val="none"/>
                <w:lang w:val="en-US" w:eastAsia="zh-CN" w:bidi="ar-SA"/>
              </w:rPr>
            </w:pPr>
            <w:r>
              <w:rPr>
                <w:rFonts w:hint="eastAsia" w:cs="Times New Roman"/>
                <w:color w:val="auto"/>
                <w:kern w:val="0"/>
                <w:sz w:val="24"/>
                <w:szCs w:val="24"/>
                <w:highlight w:val="none"/>
                <w:lang w:val="en-US" w:eastAsia="zh-CN" w:bidi="ar-SA"/>
              </w:rPr>
              <w:t>苯乙烯</w:t>
            </w:r>
          </w:p>
        </w:tc>
        <w:tc>
          <w:tcPr>
            <w:tcW w:w="1823" w:type="dxa"/>
            <w:vMerge w:val="restart"/>
            <w:noWrap w:val="0"/>
            <w:vAlign w:val="center"/>
          </w:tcPr>
          <w:p w14:paraId="38059C77">
            <w:pPr>
              <w:pStyle w:val="111"/>
              <w:keepNext/>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default" w:ascii="Times New Roman" w:hAnsi="Times New Roman" w:eastAsia="宋体" w:cs="Times New Roman"/>
                <w:color w:val="auto"/>
                <w:kern w:val="0"/>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发泡</w:t>
            </w:r>
            <w:r>
              <w:rPr>
                <w:rFonts w:hint="eastAsia" w:cs="Times New Roman"/>
                <w:color w:val="auto"/>
                <w:kern w:val="2"/>
                <w:sz w:val="24"/>
                <w:szCs w:val="24"/>
                <w:highlight w:val="none"/>
                <w:lang w:val="en-US" w:eastAsia="zh-CN" w:bidi="ar-SA"/>
              </w:rPr>
              <w:t>机及</w:t>
            </w:r>
            <w:r>
              <w:rPr>
                <w:rFonts w:hint="eastAsia" w:ascii="Times New Roman" w:hAnsi="Times New Roman" w:eastAsia="宋体" w:cs="Times New Roman"/>
                <w:color w:val="auto"/>
                <w:kern w:val="2"/>
                <w:sz w:val="24"/>
                <w:szCs w:val="24"/>
                <w:highlight w:val="none"/>
                <w:lang w:val="en-US" w:eastAsia="zh-CN" w:bidi="ar-SA"/>
              </w:rPr>
              <w:t>成型</w:t>
            </w:r>
            <w:r>
              <w:rPr>
                <w:rFonts w:hint="eastAsia" w:cs="Times New Roman"/>
                <w:color w:val="auto"/>
                <w:kern w:val="2"/>
                <w:sz w:val="24"/>
                <w:szCs w:val="24"/>
                <w:highlight w:val="none"/>
                <w:lang w:val="en-US" w:eastAsia="zh-CN" w:bidi="ar-SA"/>
              </w:rPr>
              <w:t>机密闭，出料口设置集气罩；切割工序在操作工序上方设置集气罩。集气罩四周均设置软帘</w:t>
            </w:r>
            <w:r>
              <w:rPr>
                <w:rFonts w:hint="eastAsia" w:ascii="Times New Roman" w:hAnsi="Times New Roman" w:eastAsia="宋体" w:cs="Times New Roman"/>
                <w:color w:val="auto"/>
                <w:kern w:val="2"/>
                <w:sz w:val="24"/>
                <w:szCs w:val="24"/>
                <w:highlight w:val="none"/>
                <w:lang w:val="en-US" w:eastAsia="zh-CN" w:bidi="ar-SA"/>
              </w:rPr>
              <w:t>收集</w:t>
            </w:r>
            <w:r>
              <w:rPr>
                <w:rFonts w:hint="eastAsia" w:cs="Times New Roman"/>
                <w:color w:val="auto"/>
                <w:kern w:val="2"/>
                <w:sz w:val="24"/>
                <w:szCs w:val="24"/>
                <w:highlight w:val="none"/>
                <w:lang w:val="en-US" w:eastAsia="zh-CN" w:bidi="ar-SA"/>
              </w:rPr>
              <w:t>；真空泵废气管道收集；发泡废气经预处理后与其他废气</w:t>
            </w:r>
            <w:r>
              <w:rPr>
                <w:rFonts w:hint="eastAsia" w:ascii="Times New Roman" w:hAnsi="Times New Roman" w:eastAsia="宋体" w:cs="Times New Roman"/>
                <w:color w:val="auto"/>
                <w:kern w:val="2"/>
                <w:sz w:val="24"/>
                <w:szCs w:val="24"/>
                <w:highlight w:val="none"/>
                <w:lang w:val="en-US" w:eastAsia="zh-CN" w:bidi="ar-SA"/>
              </w:rPr>
              <w:t>采用“</w:t>
            </w:r>
            <w:r>
              <w:rPr>
                <w:rFonts w:hint="default" w:ascii="Times New Roman" w:hAnsi="Times New Roman" w:eastAsia="宋体" w:cs="Times New Roman"/>
                <w:color w:val="auto"/>
                <w:kern w:val="2"/>
                <w:sz w:val="24"/>
                <w:szCs w:val="24"/>
                <w:highlight w:val="none"/>
                <w:lang w:val="en-US" w:eastAsia="zh-CN" w:bidi="ar-SA"/>
              </w:rPr>
              <w:t>活性炭吸附TA00</w:t>
            </w:r>
            <w:r>
              <w:rPr>
                <w:rFonts w:hint="eastAsia" w:cs="Times New Roman"/>
                <w:color w:val="auto"/>
                <w:kern w:val="2"/>
                <w:sz w:val="24"/>
                <w:szCs w:val="24"/>
                <w:highlight w:val="none"/>
                <w:lang w:val="en-US" w:eastAsia="zh-CN" w:bidi="ar-SA"/>
              </w:rPr>
              <w:t>1-脱附催化燃烧TA002</w:t>
            </w:r>
            <w:r>
              <w:rPr>
                <w:rFonts w:hint="eastAsia" w:ascii="Times New Roman" w:hAnsi="Times New Roman" w:eastAsia="宋体" w:cs="Times New Roman"/>
                <w:color w:val="auto"/>
                <w:kern w:val="2"/>
                <w:sz w:val="24"/>
                <w:szCs w:val="24"/>
                <w:highlight w:val="none"/>
                <w:lang w:val="en-US" w:eastAsia="zh-CN" w:bidi="ar-SA"/>
              </w:rPr>
              <w:t>”</w:t>
            </w:r>
            <w:r>
              <w:rPr>
                <w:rFonts w:hint="default" w:ascii="Times New Roman" w:hAnsi="Times New Roman" w:eastAsia="宋体" w:cs="Times New Roman"/>
                <w:color w:val="auto"/>
                <w:kern w:val="2"/>
                <w:sz w:val="24"/>
                <w:szCs w:val="24"/>
                <w:highlight w:val="none"/>
                <w:lang w:val="en-US" w:eastAsia="zh-CN" w:bidi="ar-SA"/>
              </w:rPr>
              <w:t>处理后经</w:t>
            </w:r>
            <w:r>
              <w:rPr>
                <w:rFonts w:hint="eastAsia" w:cs="Times New Roman"/>
                <w:color w:val="auto"/>
                <w:kern w:val="2"/>
                <w:sz w:val="24"/>
                <w:szCs w:val="24"/>
                <w:highlight w:val="none"/>
                <w:lang w:val="en-US" w:eastAsia="zh-CN" w:bidi="ar-SA"/>
              </w:rPr>
              <w:t>15</w:t>
            </w:r>
            <w:r>
              <w:rPr>
                <w:rFonts w:hint="default" w:ascii="Times New Roman" w:hAnsi="Times New Roman" w:eastAsia="宋体" w:cs="Times New Roman"/>
                <w:color w:val="auto"/>
                <w:kern w:val="2"/>
                <w:sz w:val="24"/>
                <w:szCs w:val="24"/>
                <w:highlight w:val="none"/>
                <w:lang w:val="en-US" w:eastAsia="zh-CN" w:bidi="ar-SA"/>
              </w:rPr>
              <w:t>m高排气筒DA001排放</w:t>
            </w:r>
          </w:p>
        </w:tc>
        <w:tc>
          <w:tcPr>
            <w:tcW w:w="3373" w:type="dxa"/>
            <w:noWrap w:val="0"/>
            <w:vAlign w:val="center"/>
          </w:tcPr>
          <w:p w14:paraId="66148CEA">
            <w:pPr>
              <w:keepNext w:val="0"/>
              <w:keepLines w:val="0"/>
              <w:pageBreakBefore w:val="0"/>
              <w:widowControl w:val="0"/>
              <w:numPr>
                <w:ilvl w:val="0"/>
                <w:numId w:val="0"/>
              </w:numPr>
              <w:kinsoku/>
              <w:wordWrap/>
              <w:overflowPunct/>
              <w:topLinePunct w:val="0"/>
              <w:autoSpaceDE/>
              <w:autoSpaceDN/>
              <w:bidi w:val="0"/>
              <w:snapToGrid/>
              <w:spacing w:line="240" w:lineRule="auto"/>
              <w:ind w:left="0" w:leftChars="0" w:right="0" w:rightChars="0" w:firstLine="0" w:firstLineChars="0"/>
              <w:jc w:val="center"/>
              <w:textAlignment w:val="auto"/>
              <w:rPr>
                <w:rFonts w:hint="default" w:ascii="Times New Roman" w:hAnsi="Times New Roman" w:eastAsia="宋体" w:cs="Times New Roman"/>
                <w:color w:val="auto"/>
                <w:kern w:val="0"/>
                <w:sz w:val="24"/>
                <w:szCs w:val="24"/>
                <w:highlight w:val="none"/>
                <w:lang w:val="en-US" w:eastAsia="zh-CN" w:bidi="ar-SA"/>
              </w:rPr>
            </w:pPr>
            <w:r>
              <w:rPr>
                <w:rFonts w:hint="eastAsia" w:ascii="Times New Roman" w:hAnsi="Times New Roman" w:cs="Times New Roman"/>
                <w:color w:val="auto"/>
                <w:sz w:val="24"/>
                <w:szCs w:val="24"/>
                <w:highlight w:val="none"/>
                <w:lang w:eastAsia="zh-CN"/>
              </w:rPr>
              <w:t>《工业企业挥发性有机物排放控制标准》河北省地方标准（DB13/2322-20</w:t>
            </w:r>
            <w:r>
              <w:rPr>
                <w:rFonts w:hint="eastAsia" w:ascii="Times New Roman" w:hAnsi="Times New Roman" w:cs="Times New Roman"/>
                <w:color w:val="auto"/>
                <w:sz w:val="24"/>
                <w:szCs w:val="24"/>
                <w:highlight w:val="none"/>
                <w:lang w:val="en-US" w:eastAsia="zh-CN"/>
              </w:rPr>
              <w:t>25</w:t>
            </w:r>
            <w:r>
              <w:rPr>
                <w:rFonts w:hint="eastAsia" w:ascii="Times New Roman" w:hAnsi="Times New Roman" w:cs="Times New Roman"/>
                <w:color w:val="auto"/>
                <w:sz w:val="24"/>
                <w:szCs w:val="24"/>
                <w:highlight w:val="none"/>
                <w:lang w:eastAsia="zh-CN"/>
              </w:rPr>
              <w:t>）表1中“</w:t>
            </w:r>
            <w:r>
              <w:rPr>
                <w:rFonts w:hint="eastAsia" w:ascii="Times New Roman" w:hAnsi="Times New Roman" w:cs="Times New Roman"/>
                <w:color w:val="auto"/>
                <w:sz w:val="24"/>
                <w:szCs w:val="24"/>
                <w:highlight w:val="none"/>
                <w:lang w:val="en-US" w:eastAsia="zh-CN"/>
              </w:rPr>
              <w:t>塑料制品制造</w:t>
            </w:r>
            <w:r>
              <w:rPr>
                <w:rFonts w:hint="eastAsia" w:ascii="Times New Roman" w:hAnsi="Times New Roman" w:cs="Times New Roman"/>
                <w:color w:val="auto"/>
                <w:sz w:val="24"/>
                <w:szCs w:val="24"/>
                <w:highlight w:val="none"/>
                <w:lang w:eastAsia="zh-CN"/>
              </w:rPr>
              <w:t>”：</w:t>
            </w:r>
            <w:r>
              <w:rPr>
                <w:rFonts w:hint="eastAsia" w:cs="Times New Roman"/>
                <w:color w:val="auto"/>
                <w:sz w:val="24"/>
                <w:szCs w:val="24"/>
                <w:highlight w:val="none"/>
                <w:lang w:val="en-US" w:eastAsia="zh-CN"/>
              </w:rPr>
              <w:t>苯系物（苯乙烯）1</w:t>
            </w:r>
            <w:r>
              <w:rPr>
                <w:rFonts w:hint="eastAsia" w:ascii="Times New Roman" w:hAnsi="Times New Roman" w:cs="Times New Roman"/>
                <w:color w:val="auto"/>
                <w:sz w:val="24"/>
                <w:szCs w:val="24"/>
                <w:highlight w:val="none"/>
                <w:lang w:val="en-US" w:eastAsia="zh-CN"/>
              </w:rPr>
              <w:t>0</w:t>
            </w:r>
            <w:r>
              <w:rPr>
                <w:rFonts w:hint="default" w:ascii="Times New Roman" w:hAnsi="Times New Roman" w:cs="Times New Roman"/>
                <w:color w:val="auto"/>
                <w:sz w:val="24"/>
                <w:szCs w:val="24"/>
                <w:highlight w:val="none"/>
              </w:rPr>
              <w:t>mg/m</w:t>
            </w:r>
            <w:r>
              <w:rPr>
                <w:rFonts w:hint="default" w:ascii="Times New Roman" w:hAnsi="Times New Roman" w:cs="Times New Roman"/>
                <w:color w:val="auto"/>
                <w:sz w:val="24"/>
                <w:szCs w:val="24"/>
                <w:highlight w:val="none"/>
                <w:vertAlign w:val="superscript"/>
              </w:rPr>
              <w:t>3</w:t>
            </w:r>
            <w:r>
              <w:rPr>
                <w:rFonts w:hint="eastAsia" w:cs="Times New Roman"/>
                <w:color w:val="auto"/>
                <w:kern w:val="0"/>
                <w:sz w:val="24"/>
                <w:szCs w:val="24"/>
                <w:highlight w:val="none"/>
                <w:lang w:val="en-US" w:eastAsia="zh-CN" w:bidi="ar-SA"/>
              </w:rPr>
              <w:t>；苯乙烯速率执行</w:t>
            </w:r>
            <w:r>
              <w:rPr>
                <w:rFonts w:hint="default" w:ascii="Times New Roman" w:hAnsi="Times New Roman" w:cs="Times New Roman"/>
                <w:color w:val="auto"/>
                <w:sz w:val="24"/>
                <w:szCs w:val="24"/>
                <w:highlight w:val="none"/>
              </w:rPr>
              <w:t>《恶臭污染物排放标准》（GB14554-93）表2排气筒高度</w:t>
            </w:r>
            <w:r>
              <w:rPr>
                <w:rFonts w:hint="eastAsia" w:cs="Times New Roman"/>
                <w:color w:val="auto"/>
                <w:sz w:val="24"/>
                <w:szCs w:val="24"/>
                <w:highlight w:val="none"/>
                <w:lang w:val="en-US" w:eastAsia="zh-CN"/>
              </w:rPr>
              <w:t>15</w:t>
            </w:r>
            <w:r>
              <w:rPr>
                <w:rFonts w:hint="default" w:ascii="Times New Roman" w:hAnsi="Times New Roman" w:cs="Times New Roman"/>
                <w:color w:val="auto"/>
                <w:sz w:val="24"/>
                <w:szCs w:val="24"/>
                <w:highlight w:val="none"/>
              </w:rPr>
              <w:t>m</w:t>
            </w:r>
            <w:r>
              <w:rPr>
                <w:rFonts w:hint="eastAsia" w:ascii="Times New Roman" w:hAnsi="Times New Roman" w:cs="Times New Roman"/>
                <w:color w:val="auto"/>
                <w:sz w:val="24"/>
                <w:szCs w:val="24"/>
                <w:highlight w:val="none"/>
                <w:lang w:eastAsia="zh-CN"/>
              </w:rPr>
              <w:t>：</w:t>
            </w:r>
            <w:r>
              <w:rPr>
                <w:rFonts w:hint="eastAsia" w:cs="Times New Roman"/>
                <w:color w:val="auto"/>
                <w:sz w:val="24"/>
                <w:szCs w:val="24"/>
                <w:highlight w:val="none"/>
                <w:lang w:val="en-US" w:eastAsia="zh-CN"/>
              </w:rPr>
              <w:t>6.5kg/h</w:t>
            </w:r>
          </w:p>
        </w:tc>
      </w:tr>
      <w:tr w14:paraId="2B1896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vMerge w:val="continue"/>
            <w:noWrap w:val="0"/>
            <w:vAlign w:val="center"/>
          </w:tcPr>
          <w:p w14:paraId="24FD8CC2">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1603" w:type="dxa"/>
            <w:vMerge w:val="continue"/>
            <w:noWrap w:val="0"/>
            <w:vAlign w:val="center"/>
          </w:tcPr>
          <w:p w14:paraId="5427E2AA">
            <w:pPr>
              <w:pStyle w:val="85"/>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bidi="ar-SA"/>
              </w:rPr>
            </w:pPr>
          </w:p>
        </w:tc>
        <w:tc>
          <w:tcPr>
            <w:tcW w:w="1269" w:type="dxa"/>
            <w:noWrap w:val="0"/>
            <w:vAlign w:val="center"/>
          </w:tcPr>
          <w:p w14:paraId="20B59C69">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eastAsia"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非甲烷总烃</w:t>
            </w:r>
          </w:p>
        </w:tc>
        <w:tc>
          <w:tcPr>
            <w:tcW w:w="1823" w:type="dxa"/>
            <w:vMerge w:val="continue"/>
            <w:noWrap w:val="0"/>
            <w:vAlign w:val="center"/>
          </w:tcPr>
          <w:p w14:paraId="7B2E46BB">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eastAsia" w:ascii="Times New Roman" w:hAnsi="Times New Roman" w:eastAsia="宋体" w:cs="Times New Roman"/>
                <w:color w:val="auto"/>
                <w:kern w:val="0"/>
                <w:sz w:val="24"/>
                <w:szCs w:val="24"/>
                <w:highlight w:val="none"/>
                <w:lang w:val="en-US" w:eastAsia="zh-CN" w:bidi="ar-SA"/>
              </w:rPr>
            </w:pPr>
          </w:p>
        </w:tc>
        <w:tc>
          <w:tcPr>
            <w:tcW w:w="3373" w:type="dxa"/>
            <w:noWrap w:val="0"/>
            <w:vAlign w:val="center"/>
          </w:tcPr>
          <w:p w14:paraId="6BBD80CC">
            <w:pPr>
              <w:keepNext w:val="0"/>
              <w:keepLines w:val="0"/>
              <w:pageBreakBefore w:val="0"/>
              <w:widowControl w:val="0"/>
              <w:numPr>
                <w:ilvl w:val="0"/>
                <w:numId w:val="0"/>
              </w:numPr>
              <w:kinsoku/>
              <w:wordWrap/>
              <w:overflowPunct/>
              <w:topLinePunct w:val="0"/>
              <w:autoSpaceDE/>
              <w:autoSpaceDN/>
              <w:bidi w:val="0"/>
              <w:snapToGrid/>
              <w:spacing w:line="240" w:lineRule="auto"/>
              <w:ind w:left="0" w:leftChars="0" w:right="0" w:rightChars="0" w:firstLine="0" w:firstLineChars="0"/>
              <w:jc w:val="center"/>
              <w:textAlignment w:val="auto"/>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cs="Times New Roman"/>
                <w:color w:val="auto"/>
                <w:sz w:val="24"/>
                <w:szCs w:val="24"/>
                <w:highlight w:val="none"/>
              </w:rPr>
              <w:t>《工业企业挥发性有机物排放控制标准》河北省地方标准（DB13/2322-20</w:t>
            </w:r>
            <w:r>
              <w:rPr>
                <w:rFonts w:hint="eastAsia" w:cs="Times New Roman"/>
                <w:color w:val="auto"/>
                <w:sz w:val="24"/>
                <w:szCs w:val="24"/>
                <w:highlight w:val="none"/>
                <w:lang w:val="en-US" w:eastAsia="zh-CN"/>
              </w:rPr>
              <w:t>25</w:t>
            </w:r>
            <w:r>
              <w:rPr>
                <w:rFonts w:hint="default" w:ascii="Times New Roman" w:hAnsi="Times New Roman" w:cs="Times New Roman"/>
                <w:color w:val="auto"/>
                <w:sz w:val="24"/>
                <w:szCs w:val="24"/>
                <w:highlight w:val="none"/>
              </w:rPr>
              <w:t>）表1中“</w:t>
            </w:r>
            <w:r>
              <w:rPr>
                <w:rFonts w:hint="default" w:ascii="Times New Roman" w:hAnsi="Times New Roman" w:cs="Times New Roman"/>
                <w:color w:val="auto"/>
                <w:sz w:val="24"/>
                <w:szCs w:val="24"/>
                <w:highlight w:val="none"/>
                <w:lang w:val="en-US" w:eastAsia="zh-CN"/>
              </w:rPr>
              <w:t>塑料制品制造</w:t>
            </w:r>
            <w:r>
              <w:rPr>
                <w:rFonts w:hint="default" w:ascii="Times New Roman" w:hAnsi="Times New Roman" w:cs="Times New Roman"/>
                <w:color w:val="auto"/>
                <w:sz w:val="24"/>
                <w:szCs w:val="24"/>
                <w:highlight w:val="none"/>
              </w:rPr>
              <w:t>”</w:t>
            </w:r>
            <w:r>
              <w:rPr>
                <w:rFonts w:hint="eastAsia" w:cs="Times New Roman"/>
                <w:color w:val="auto"/>
                <w:sz w:val="24"/>
                <w:szCs w:val="24"/>
                <w:highlight w:val="none"/>
                <w:lang w:val="en-US" w:eastAsia="zh-CN"/>
              </w:rPr>
              <w:t>3</w:t>
            </w:r>
            <w:r>
              <w:rPr>
                <w:rFonts w:hint="eastAsia" w:ascii="Times New Roman" w:hAnsi="Times New Roman" w:cs="Times New Roman"/>
                <w:color w:val="auto"/>
                <w:sz w:val="24"/>
                <w:szCs w:val="24"/>
                <w:highlight w:val="none"/>
                <w:lang w:val="en-US" w:eastAsia="zh-CN"/>
              </w:rPr>
              <w:t>0</w:t>
            </w:r>
            <w:r>
              <w:rPr>
                <w:rFonts w:hint="default" w:ascii="Times New Roman" w:hAnsi="Times New Roman" w:cs="Times New Roman"/>
                <w:color w:val="auto"/>
                <w:sz w:val="24"/>
                <w:szCs w:val="24"/>
                <w:highlight w:val="none"/>
              </w:rPr>
              <w:t>mg/m</w:t>
            </w:r>
            <w:r>
              <w:rPr>
                <w:rFonts w:hint="default" w:ascii="Times New Roman" w:hAnsi="Times New Roman" w:cs="Times New Roman"/>
                <w:color w:val="auto"/>
                <w:sz w:val="24"/>
                <w:szCs w:val="24"/>
                <w:highlight w:val="none"/>
                <w:vertAlign w:val="superscript"/>
              </w:rPr>
              <w:t>3</w:t>
            </w:r>
          </w:p>
        </w:tc>
      </w:tr>
      <w:tr w14:paraId="5C99CF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vMerge w:val="continue"/>
            <w:noWrap w:val="0"/>
            <w:vAlign w:val="center"/>
          </w:tcPr>
          <w:p w14:paraId="29B40C69">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1603" w:type="dxa"/>
            <w:vMerge w:val="continue"/>
            <w:noWrap w:val="0"/>
            <w:vAlign w:val="center"/>
          </w:tcPr>
          <w:p w14:paraId="19701F61">
            <w:pPr>
              <w:pStyle w:val="85"/>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bidi="ar-SA"/>
              </w:rPr>
            </w:pPr>
          </w:p>
        </w:tc>
        <w:tc>
          <w:tcPr>
            <w:tcW w:w="1269" w:type="dxa"/>
            <w:noWrap w:val="0"/>
            <w:vAlign w:val="center"/>
          </w:tcPr>
          <w:p w14:paraId="3430EA00">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臭气浓度</w:t>
            </w:r>
          </w:p>
        </w:tc>
        <w:tc>
          <w:tcPr>
            <w:tcW w:w="1823" w:type="dxa"/>
            <w:vMerge w:val="continue"/>
            <w:noWrap w:val="0"/>
            <w:vAlign w:val="center"/>
          </w:tcPr>
          <w:p w14:paraId="59F61788">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color w:val="auto"/>
                <w:kern w:val="0"/>
                <w:sz w:val="24"/>
                <w:szCs w:val="24"/>
                <w:highlight w:val="none"/>
                <w:lang w:val="en-US" w:eastAsia="zh-CN" w:bidi="ar-SA"/>
              </w:rPr>
            </w:pPr>
          </w:p>
        </w:tc>
        <w:tc>
          <w:tcPr>
            <w:tcW w:w="3373" w:type="dxa"/>
            <w:noWrap w:val="0"/>
            <w:vAlign w:val="center"/>
          </w:tcPr>
          <w:p w14:paraId="7945F6FE">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cs="Times New Roman"/>
                <w:color w:val="auto"/>
                <w:sz w:val="24"/>
                <w:szCs w:val="24"/>
                <w:highlight w:val="none"/>
              </w:rPr>
              <w:t>《恶臭污染物排放标准》（GB14554-93）表2排气筒高度</w:t>
            </w:r>
            <w:r>
              <w:rPr>
                <w:rFonts w:hint="eastAsia" w:cs="Times New Roman"/>
                <w:color w:val="auto"/>
                <w:sz w:val="24"/>
                <w:szCs w:val="24"/>
                <w:highlight w:val="none"/>
                <w:lang w:val="en-US" w:eastAsia="zh-CN"/>
              </w:rPr>
              <w:t>15</w:t>
            </w:r>
            <w:r>
              <w:rPr>
                <w:rFonts w:hint="default" w:ascii="Times New Roman" w:hAnsi="Times New Roman" w:cs="Times New Roman"/>
                <w:color w:val="auto"/>
                <w:sz w:val="24"/>
                <w:szCs w:val="24"/>
                <w:highlight w:val="none"/>
              </w:rPr>
              <w:t>m</w:t>
            </w:r>
            <w:r>
              <w:rPr>
                <w:rFonts w:hint="eastAsia" w:ascii="Times New Roman" w:hAnsi="Times New Roman" w:cs="Times New Roman"/>
                <w:color w:val="auto"/>
                <w:sz w:val="24"/>
                <w:szCs w:val="24"/>
                <w:highlight w:val="none"/>
                <w:lang w:eastAsia="zh-CN"/>
              </w:rPr>
              <w:t>：</w:t>
            </w:r>
            <w:r>
              <w:rPr>
                <w:rFonts w:hint="eastAsia" w:cs="Times New Roman"/>
                <w:color w:val="auto"/>
                <w:sz w:val="24"/>
                <w:szCs w:val="24"/>
                <w:highlight w:val="none"/>
                <w:lang w:val="en-US" w:eastAsia="zh-CN"/>
              </w:rPr>
              <w:t>2</w:t>
            </w:r>
            <w:r>
              <w:rPr>
                <w:rFonts w:hint="eastAsia" w:ascii="Times New Roman" w:hAnsi="Times New Roman" w:cs="Times New Roman"/>
                <w:color w:val="auto"/>
                <w:sz w:val="24"/>
                <w:szCs w:val="24"/>
                <w:highlight w:val="none"/>
                <w:lang w:val="en-US" w:eastAsia="zh-CN"/>
              </w:rPr>
              <w:t>000（无量纲）</w:t>
            </w:r>
          </w:p>
        </w:tc>
      </w:tr>
      <w:tr w14:paraId="65E7D9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vMerge w:val="continue"/>
            <w:noWrap w:val="0"/>
            <w:vAlign w:val="center"/>
          </w:tcPr>
          <w:p w14:paraId="3E462531">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1603" w:type="dxa"/>
            <w:vMerge w:val="restart"/>
            <w:noWrap w:val="0"/>
            <w:vAlign w:val="center"/>
          </w:tcPr>
          <w:p w14:paraId="6D8F81CB">
            <w:pPr>
              <w:pStyle w:val="85"/>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cs="Times New Roman"/>
                <w:color w:val="auto"/>
                <w:sz w:val="24"/>
                <w:szCs w:val="24"/>
                <w:highlight w:val="none"/>
                <w:lang w:val="en-US" w:eastAsia="zh-CN" w:bidi="ar-SA"/>
              </w:rPr>
            </w:pPr>
            <w:r>
              <w:rPr>
                <w:rFonts w:hint="eastAsia" w:cs="Times New Roman"/>
                <w:color w:val="auto"/>
                <w:sz w:val="24"/>
                <w:szCs w:val="24"/>
                <w:highlight w:val="none"/>
                <w:lang w:val="en-US" w:eastAsia="zh-CN" w:bidi="ar-SA"/>
              </w:rPr>
              <w:t>无组织</w:t>
            </w:r>
          </w:p>
        </w:tc>
        <w:tc>
          <w:tcPr>
            <w:tcW w:w="1269" w:type="dxa"/>
            <w:noWrap w:val="0"/>
            <w:vAlign w:val="center"/>
          </w:tcPr>
          <w:p w14:paraId="15DDABAC">
            <w:pPr>
              <w:keepNext w:val="0"/>
              <w:keepLines w:val="0"/>
              <w:pageBreakBefore w:val="0"/>
              <w:widowControl w:val="0"/>
              <w:kinsoku/>
              <w:wordWrap/>
              <w:overflowPunct/>
              <w:topLinePunct w:val="0"/>
              <w:autoSpaceDE/>
              <w:autoSpaceDN/>
              <w:bidi w:val="0"/>
              <w:snapToGrid/>
              <w:spacing w:line="240" w:lineRule="auto"/>
              <w:ind w:left="0" w:leftChars="0" w:right="0" w:rightChars="0" w:firstLine="0" w:firstLineChars="0"/>
              <w:jc w:val="center"/>
              <w:textAlignment w:val="auto"/>
              <w:rPr>
                <w:rFonts w:hint="eastAsia"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非甲烷总烃</w:t>
            </w:r>
          </w:p>
        </w:tc>
        <w:tc>
          <w:tcPr>
            <w:tcW w:w="1823" w:type="dxa"/>
            <w:vMerge w:val="restart"/>
            <w:noWrap w:val="0"/>
            <w:vAlign w:val="center"/>
          </w:tcPr>
          <w:p w14:paraId="28A1DA48">
            <w:pPr>
              <w:keepNext w:val="0"/>
              <w:keepLines w:val="0"/>
              <w:pageBreakBefore w:val="0"/>
              <w:widowControl w:val="0"/>
              <w:numPr>
                <w:ilvl w:val="0"/>
                <w:numId w:val="0"/>
              </w:numPr>
              <w:kinsoku/>
              <w:wordWrap/>
              <w:overflowPunct/>
              <w:topLinePunct w:val="0"/>
              <w:autoSpaceDE/>
              <w:autoSpaceDN/>
              <w:bidi w:val="0"/>
              <w:snapToGrid/>
              <w:spacing w:line="240" w:lineRule="auto"/>
              <w:ind w:left="0" w:leftChars="0" w:right="0" w:rightChars="0" w:firstLine="0" w:firstLineChars="0"/>
              <w:jc w:val="center"/>
              <w:textAlignment w:val="auto"/>
              <w:rPr>
                <w:rFonts w:hint="eastAsia" w:ascii="Times New Roman" w:hAnsi="Times New Roman" w:eastAsia="宋体" w:cs="Times New Roman"/>
                <w:color w:val="auto"/>
                <w:kern w:val="0"/>
                <w:sz w:val="24"/>
                <w:szCs w:val="24"/>
                <w:highlight w:val="none"/>
                <w:lang w:val="en-US" w:eastAsia="zh-CN" w:bidi="ar-SA"/>
              </w:rPr>
            </w:pPr>
            <w:r>
              <w:rPr>
                <w:rFonts w:hint="eastAsia" w:ascii="Times New Roman" w:hAnsi="Times New Roman" w:eastAsia="宋体" w:cs="Times New Roman"/>
                <w:color w:val="auto"/>
                <w:kern w:val="0"/>
                <w:sz w:val="24"/>
                <w:szCs w:val="24"/>
                <w:highlight w:val="none"/>
                <w:lang w:val="en-US" w:eastAsia="zh-CN" w:bidi="ar-SA"/>
              </w:rPr>
              <w:t>密闭车间</w:t>
            </w:r>
          </w:p>
        </w:tc>
        <w:tc>
          <w:tcPr>
            <w:tcW w:w="3373" w:type="dxa"/>
            <w:noWrap w:val="0"/>
            <w:vAlign w:val="center"/>
          </w:tcPr>
          <w:p w14:paraId="11AACD2F">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eastAsia" w:ascii="Times New Roman" w:hAnsi="Times New Roman" w:eastAsia="宋体" w:cs="Times New Roman"/>
                <w:color w:val="auto"/>
                <w:sz w:val="24"/>
                <w:szCs w:val="24"/>
                <w:highlight w:val="none"/>
                <w:vertAlign w:val="baseline"/>
                <w:lang w:val="en-US" w:eastAsia="zh-CN"/>
              </w:rPr>
            </w:pPr>
            <w:r>
              <w:rPr>
                <w:rFonts w:hint="eastAsia"/>
                <w:color w:val="auto"/>
                <w:sz w:val="24"/>
                <w:szCs w:val="24"/>
                <w:highlight w:val="none"/>
              </w:rPr>
              <w:t>《工业企业挥发性有机物排放控制标准》河北省地方标准（DB13/2322-20</w:t>
            </w:r>
            <w:r>
              <w:rPr>
                <w:rFonts w:hint="eastAsia"/>
                <w:color w:val="auto"/>
                <w:sz w:val="24"/>
                <w:szCs w:val="24"/>
                <w:highlight w:val="none"/>
                <w:lang w:val="en-US" w:eastAsia="zh-CN"/>
              </w:rPr>
              <w:t>25</w:t>
            </w:r>
            <w:r>
              <w:rPr>
                <w:rFonts w:hint="eastAsia"/>
                <w:color w:val="auto"/>
                <w:sz w:val="24"/>
                <w:szCs w:val="24"/>
                <w:highlight w:val="none"/>
              </w:rPr>
              <w:t>）表</w:t>
            </w:r>
            <w:r>
              <w:rPr>
                <w:rFonts w:hint="eastAsia"/>
                <w:color w:val="auto"/>
                <w:sz w:val="24"/>
                <w:szCs w:val="24"/>
                <w:highlight w:val="none"/>
                <w:lang w:val="en-US" w:eastAsia="zh-CN"/>
              </w:rPr>
              <w:t>2</w:t>
            </w:r>
            <w:r>
              <w:rPr>
                <w:rFonts w:hint="eastAsia"/>
                <w:color w:val="auto"/>
                <w:sz w:val="24"/>
                <w:szCs w:val="24"/>
                <w:highlight w:val="none"/>
              </w:rPr>
              <w:t>排放标准</w:t>
            </w:r>
            <w:r>
              <w:rPr>
                <w:rFonts w:hint="default" w:ascii="Times New Roman" w:hAnsi="Times New Roman" w:cs="Times New Roman"/>
                <w:color w:val="auto"/>
                <w:sz w:val="24"/>
                <w:szCs w:val="24"/>
                <w:highlight w:val="none"/>
              </w:rPr>
              <w:t>厂区内监控点处1h平均浓度值</w:t>
            </w:r>
            <w:r>
              <w:rPr>
                <w:rFonts w:hint="eastAsia" w:cs="Times New Roman"/>
                <w:color w:val="auto"/>
                <w:sz w:val="24"/>
                <w:szCs w:val="24"/>
                <w:highlight w:val="none"/>
                <w:lang w:val="en-US" w:eastAsia="zh-CN"/>
              </w:rPr>
              <w:t>2.0</w:t>
            </w:r>
            <w:r>
              <w:rPr>
                <w:rFonts w:hint="default" w:ascii="Times New Roman" w:hAnsi="Times New Roman" w:cs="Times New Roman"/>
                <w:color w:val="auto"/>
                <w:sz w:val="24"/>
                <w:szCs w:val="24"/>
                <w:highlight w:val="none"/>
              </w:rPr>
              <w:t>mg/m</w:t>
            </w:r>
            <w:r>
              <w:rPr>
                <w:rFonts w:hint="default" w:ascii="Times New Roman" w:hAnsi="Times New Roman" w:cs="Times New Roman"/>
                <w:color w:val="auto"/>
                <w:sz w:val="24"/>
                <w:szCs w:val="24"/>
                <w:highlight w:val="none"/>
                <w:vertAlign w:val="superscript"/>
              </w:rPr>
              <w:t>3</w:t>
            </w:r>
            <w:r>
              <w:rPr>
                <w:rFonts w:hint="default" w:ascii="Times New Roman" w:hAnsi="Times New Roman" w:cs="Times New Roman"/>
                <w:color w:val="auto"/>
                <w:sz w:val="24"/>
                <w:szCs w:val="24"/>
                <w:highlight w:val="none"/>
              </w:rPr>
              <w:t>；监控点处任意一次浓度值</w:t>
            </w:r>
            <w:r>
              <w:rPr>
                <w:rFonts w:hint="eastAsia"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0mg/m</w:t>
            </w:r>
            <w:r>
              <w:rPr>
                <w:rFonts w:hint="default" w:ascii="Times New Roman" w:hAnsi="Times New Roman" w:cs="Times New Roman"/>
                <w:color w:val="auto"/>
                <w:sz w:val="24"/>
                <w:szCs w:val="24"/>
                <w:highlight w:val="none"/>
                <w:vertAlign w:val="superscript"/>
              </w:rPr>
              <w:t>3</w:t>
            </w:r>
            <w:r>
              <w:rPr>
                <w:rFonts w:hint="eastAsia" w:ascii="Times New Roman" w:hAnsi="Times New Roman" w:cs="Times New Roman"/>
                <w:color w:val="auto"/>
                <w:sz w:val="24"/>
                <w:szCs w:val="24"/>
                <w:highlight w:val="none"/>
                <w:vertAlign w:val="baseline"/>
                <w:lang w:eastAsia="zh-CN"/>
              </w:rPr>
              <w:t>。</w:t>
            </w:r>
          </w:p>
        </w:tc>
      </w:tr>
      <w:tr w14:paraId="6FCD9D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68" w:type="dxa"/>
            <w:vMerge w:val="continue"/>
            <w:noWrap w:val="0"/>
            <w:vAlign w:val="center"/>
          </w:tcPr>
          <w:p w14:paraId="0A65F5EB">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1603" w:type="dxa"/>
            <w:vMerge w:val="continue"/>
            <w:noWrap w:val="0"/>
            <w:vAlign w:val="center"/>
          </w:tcPr>
          <w:p w14:paraId="487CBC7D">
            <w:pPr>
              <w:pStyle w:val="85"/>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bidi="ar-SA"/>
              </w:rPr>
            </w:pPr>
          </w:p>
        </w:tc>
        <w:tc>
          <w:tcPr>
            <w:tcW w:w="1269" w:type="dxa"/>
            <w:noWrap w:val="0"/>
            <w:vAlign w:val="center"/>
          </w:tcPr>
          <w:p w14:paraId="5B27664A">
            <w:pPr>
              <w:keepNext w:val="0"/>
              <w:keepLines w:val="0"/>
              <w:pageBreakBefore w:val="0"/>
              <w:widowControl w:val="0"/>
              <w:kinsoku/>
              <w:wordWrap/>
              <w:overflowPunct/>
              <w:topLinePunct w:val="0"/>
              <w:autoSpaceDE/>
              <w:autoSpaceDN/>
              <w:bidi w:val="0"/>
              <w:snapToGrid/>
              <w:spacing w:line="240" w:lineRule="auto"/>
              <w:ind w:left="0" w:leftChars="0" w:right="0" w:rightChars="0" w:firstLine="0" w:firstLineChars="0"/>
              <w:jc w:val="center"/>
              <w:textAlignment w:val="auto"/>
              <w:rPr>
                <w:rFonts w:hint="default"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苯乙烯</w:t>
            </w:r>
          </w:p>
        </w:tc>
        <w:tc>
          <w:tcPr>
            <w:tcW w:w="1823" w:type="dxa"/>
            <w:vMerge w:val="continue"/>
            <w:noWrap w:val="0"/>
            <w:vAlign w:val="center"/>
          </w:tcPr>
          <w:p w14:paraId="0F104E60">
            <w:pPr>
              <w:keepNext w:val="0"/>
              <w:keepLines w:val="0"/>
              <w:pageBreakBefore w:val="0"/>
              <w:widowControl w:val="0"/>
              <w:numPr>
                <w:ilvl w:val="0"/>
                <w:numId w:val="0"/>
              </w:numPr>
              <w:kinsoku/>
              <w:wordWrap/>
              <w:overflowPunct/>
              <w:topLinePunct w:val="0"/>
              <w:autoSpaceDE/>
              <w:autoSpaceDN/>
              <w:bidi w:val="0"/>
              <w:snapToGrid/>
              <w:spacing w:line="240" w:lineRule="auto"/>
              <w:ind w:left="0" w:leftChars="0" w:right="0" w:rightChars="0" w:firstLine="0" w:firstLineChars="0"/>
              <w:jc w:val="center"/>
              <w:textAlignment w:val="auto"/>
              <w:rPr>
                <w:rFonts w:hint="eastAsia" w:ascii="Times New Roman" w:hAnsi="Times New Roman" w:eastAsia="宋体" w:cs="Times New Roman"/>
                <w:i w:val="0"/>
                <w:iCs w:val="0"/>
                <w:color w:val="auto"/>
                <w:kern w:val="0"/>
                <w:sz w:val="24"/>
                <w:szCs w:val="24"/>
                <w:highlight w:val="none"/>
                <w:u w:val="none"/>
                <w:lang w:val="en-US" w:eastAsia="zh-CN" w:bidi="ar"/>
              </w:rPr>
            </w:pPr>
          </w:p>
        </w:tc>
        <w:tc>
          <w:tcPr>
            <w:tcW w:w="3373" w:type="dxa"/>
            <w:noWrap w:val="0"/>
            <w:vAlign w:val="center"/>
          </w:tcPr>
          <w:p w14:paraId="4184D675">
            <w:pPr>
              <w:keepNext w:val="0"/>
              <w:keepLines w:val="0"/>
              <w:pageBreakBefore w:val="0"/>
              <w:widowControl w:val="0"/>
              <w:numPr>
                <w:ilvl w:val="0"/>
                <w:numId w:val="0"/>
              </w:numPr>
              <w:kinsoku/>
              <w:wordWrap/>
              <w:overflowPunct/>
              <w:topLinePunct w:val="0"/>
              <w:autoSpaceDE/>
              <w:autoSpaceDN/>
              <w:bidi w:val="0"/>
              <w:snapToGrid/>
              <w:spacing w:line="240" w:lineRule="auto"/>
              <w:ind w:left="0" w:leftChars="0" w:right="0" w:rightChars="0" w:firstLine="0" w:firstLineChars="0"/>
              <w:jc w:val="center"/>
              <w:textAlignment w:val="auto"/>
              <w:rPr>
                <w:rFonts w:hint="eastAsia" w:ascii="Times New Roman" w:hAnsi="Times New Roman" w:eastAsia="宋体" w:cs="Times New Roman"/>
                <w:color w:val="auto"/>
                <w:sz w:val="24"/>
                <w:szCs w:val="24"/>
                <w:highlight w:val="none"/>
                <w:lang w:eastAsia="zh-CN"/>
              </w:rPr>
            </w:pPr>
            <w:r>
              <w:rPr>
                <w:rFonts w:hint="default" w:ascii="Times New Roman" w:hAnsi="Times New Roman" w:cs="Times New Roman"/>
                <w:color w:val="auto"/>
                <w:sz w:val="24"/>
                <w:szCs w:val="24"/>
                <w:highlight w:val="none"/>
              </w:rPr>
              <w:t>《恶臭污染物排放标准》（GB14554-93）表1二级标准</w:t>
            </w:r>
            <w:r>
              <w:rPr>
                <w:rFonts w:hint="eastAsia"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厂界</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5</w:t>
            </w:r>
            <w:r>
              <w:rPr>
                <w:rFonts w:hint="default" w:ascii="Times New Roman" w:hAnsi="Times New Roman" w:cs="Times New Roman"/>
                <w:color w:val="auto"/>
                <w:sz w:val="24"/>
                <w:szCs w:val="24"/>
                <w:highlight w:val="none"/>
              </w:rPr>
              <w:t>mg/m</w:t>
            </w:r>
            <w:r>
              <w:rPr>
                <w:rFonts w:hint="default" w:ascii="Times New Roman" w:hAnsi="Times New Roman" w:cs="Times New Roman"/>
                <w:color w:val="auto"/>
                <w:sz w:val="24"/>
                <w:szCs w:val="24"/>
                <w:highlight w:val="none"/>
                <w:vertAlign w:val="superscript"/>
              </w:rPr>
              <w:t>3</w:t>
            </w:r>
          </w:p>
        </w:tc>
      </w:tr>
      <w:tr w14:paraId="532DF7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968" w:type="dxa"/>
            <w:vMerge w:val="continue"/>
            <w:noWrap w:val="0"/>
            <w:vAlign w:val="center"/>
          </w:tcPr>
          <w:p w14:paraId="431624BA">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1603" w:type="dxa"/>
            <w:vMerge w:val="continue"/>
            <w:noWrap w:val="0"/>
            <w:vAlign w:val="center"/>
          </w:tcPr>
          <w:p w14:paraId="3692457B">
            <w:pPr>
              <w:pStyle w:val="85"/>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bidi="ar-SA"/>
              </w:rPr>
            </w:pPr>
          </w:p>
        </w:tc>
        <w:tc>
          <w:tcPr>
            <w:tcW w:w="1269" w:type="dxa"/>
            <w:noWrap w:val="0"/>
            <w:vAlign w:val="center"/>
          </w:tcPr>
          <w:p w14:paraId="4BF63270">
            <w:pPr>
              <w:keepNext w:val="0"/>
              <w:keepLines w:val="0"/>
              <w:pageBreakBefore w:val="0"/>
              <w:widowControl w:val="0"/>
              <w:kinsoku/>
              <w:wordWrap/>
              <w:overflowPunct/>
              <w:topLinePunct w:val="0"/>
              <w:autoSpaceDE/>
              <w:autoSpaceDN/>
              <w:bidi w:val="0"/>
              <w:snapToGrid/>
              <w:spacing w:line="240" w:lineRule="auto"/>
              <w:ind w:left="0" w:leftChars="0" w:right="0" w:rightChars="0" w:firstLine="0" w:firstLineChars="0"/>
              <w:jc w:val="center"/>
              <w:textAlignment w:val="auto"/>
              <w:rPr>
                <w:rFonts w:hint="default"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臭气浓度</w:t>
            </w:r>
          </w:p>
        </w:tc>
        <w:tc>
          <w:tcPr>
            <w:tcW w:w="1823" w:type="dxa"/>
            <w:vMerge w:val="continue"/>
            <w:noWrap w:val="0"/>
            <w:vAlign w:val="center"/>
          </w:tcPr>
          <w:p w14:paraId="3A144A8A">
            <w:pPr>
              <w:keepNext w:val="0"/>
              <w:keepLines w:val="0"/>
              <w:pageBreakBefore w:val="0"/>
              <w:widowControl w:val="0"/>
              <w:numPr>
                <w:ilvl w:val="0"/>
                <w:numId w:val="0"/>
              </w:numPr>
              <w:kinsoku/>
              <w:wordWrap/>
              <w:overflowPunct/>
              <w:topLinePunct w:val="0"/>
              <w:autoSpaceDE/>
              <w:autoSpaceDN/>
              <w:bidi w:val="0"/>
              <w:snapToGrid/>
              <w:spacing w:line="240" w:lineRule="auto"/>
              <w:ind w:left="0" w:leftChars="0" w:right="0" w:rightChars="0" w:firstLine="0" w:firstLineChars="0"/>
              <w:jc w:val="center"/>
              <w:textAlignment w:val="auto"/>
              <w:rPr>
                <w:rFonts w:hint="eastAsia" w:ascii="Times New Roman" w:hAnsi="Times New Roman" w:eastAsia="宋体" w:cs="Times New Roman"/>
                <w:color w:val="auto"/>
                <w:kern w:val="0"/>
                <w:sz w:val="24"/>
                <w:szCs w:val="24"/>
                <w:highlight w:val="none"/>
                <w:lang w:val="en-US" w:eastAsia="zh-CN" w:bidi="ar-SA"/>
              </w:rPr>
            </w:pPr>
          </w:p>
        </w:tc>
        <w:tc>
          <w:tcPr>
            <w:tcW w:w="3373" w:type="dxa"/>
            <w:noWrap w:val="0"/>
            <w:vAlign w:val="center"/>
          </w:tcPr>
          <w:p w14:paraId="7EEA606B">
            <w:pPr>
              <w:keepNext w:val="0"/>
              <w:keepLines w:val="0"/>
              <w:pageBreakBefore w:val="0"/>
              <w:widowControl w:val="0"/>
              <w:numPr>
                <w:ilvl w:val="0"/>
                <w:numId w:val="0"/>
              </w:numPr>
              <w:kinsoku/>
              <w:wordWrap/>
              <w:overflowPunct/>
              <w:topLinePunct w:val="0"/>
              <w:autoSpaceDE/>
              <w:autoSpaceDN/>
              <w:bidi w:val="0"/>
              <w:snapToGrid/>
              <w:spacing w:line="240" w:lineRule="auto"/>
              <w:ind w:left="0" w:leftChars="0" w:right="0" w:rightChars="0" w:firstLine="0" w:firstLineChars="0"/>
              <w:jc w:val="center"/>
              <w:textAlignment w:val="auto"/>
              <w:rPr>
                <w:rFonts w:hint="eastAsia" w:ascii="Times New Roman" w:hAnsi="Times New Roman" w:eastAsia="宋体" w:cs="Times New Roman"/>
                <w:color w:val="auto"/>
                <w:sz w:val="24"/>
                <w:szCs w:val="24"/>
                <w:highlight w:val="none"/>
                <w:lang w:eastAsia="zh-CN"/>
              </w:rPr>
            </w:pPr>
            <w:r>
              <w:rPr>
                <w:rFonts w:hint="default" w:ascii="Times New Roman" w:hAnsi="Times New Roman" w:cs="Times New Roman"/>
                <w:color w:val="auto"/>
                <w:sz w:val="24"/>
                <w:szCs w:val="24"/>
                <w:highlight w:val="none"/>
              </w:rPr>
              <w:t>《恶臭污染物排放标准》（GB14554-93）表1二级标准</w:t>
            </w:r>
            <w:r>
              <w:rPr>
                <w:rFonts w:hint="eastAsia"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厂界20（无量纲）</w:t>
            </w:r>
          </w:p>
        </w:tc>
      </w:tr>
      <w:tr w14:paraId="2FC378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vMerge w:val="restart"/>
            <w:noWrap w:val="0"/>
            <w:vAlign w:val="center"/>
          </w:tcPr>
          <w:p w14:paraId="0824DCC0">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cs="Times New Roman"/>
                <w:color w:val="auto"/>
                <w:sz w:val="24"/>
                <w:szCs w:val="24"/>
                <w:highlight w:val="none"/>
                <w:lang w:val="en-US" w:eastAsia="zh-CN"/>
              </w:rPr>
            </w:pPr>
            <w:r>
              <w:rPr>
                <w:rFonts w:hint="eastAsia" w:cs="Times New Roman"/>
                <w:color w:val="auto"/>
                <w:sz w:val="24"/>
                <w:szCs w:val="24"/>
                <w:highlight w:val="none"/>
                <w:lang w:val="en-US" w:eastAsia="zh-CN"/>
              </w:rPr>
              <w:t>水环境</w:t>
            </w:r>
          </w:p>
        </w:tc>
        <w:tc>
          <w:tcPr>
            <w:tcW w:w="1603" w:type="dxa"/>
            <w:noWrap w:val="0"/>
            <w:vAlign w:val="center"/>
          </w:tcPr>
          <w:p w14:paraId="6449E5B8">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Times New Roman" w:hAnsi="Times New Roman" w:eastAsia="宋体" w:cs="Times New Roman"/>
                <w:color w:val="auto"/>
                <w:kern w:val="2"/>
                <w:sz w:val="24"/>
                <w:szCs w:val="24"/>
                <w:highlight w:val="none"/>
                <w:lang w:val="en-US" w:eastAsia="zh-CN" w:bidi="ar-SA"/>
              </w:rPr>
            </w:pPr>
            <w:r>
              <w:rPr>
                <w:rFonts w:ascii="Times New Roman" w:hAnsi="Times New Roman" w:eastAsia="宋体" w:cs="Times New Roman"/>
                <w:color w:val="auto"/>
                <w:sz w:val="24"/>
                <w:szCs w:val="24"/>
                <w:highlight w:val="none"/>
              </w:rPr>
              <w:t>生产废水</w:t>
            </w:r>
          </w:p>
        </w:tc>
        <w:tc>
          <w:tcPr>
            <w:tcW w:w="1269" w:type="dxa"/>
            <w:noWrap w:val="0"/>
            <w:vAlign w:val="center"/>
          </w:tcPr>
          <w:p w14:paraId="693452FA">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Times New Roman" w:hAnsi="Times New Roman" w:eastAsia="宋体" w:cs="Times New Roman"/>
                <w:color w:val="auto"/>
                <w:kern w:val="24"/>
                <w:sz w:val="24"/>
                <w:szCs w:val="24"/>
                <w:highlight w:val="none"/>
                <w:lang w:val="en-US" w:eastAsia="zh-CN" w:bidi="ar-SA"/>
              </w:rPr>
            </w:pPr>
            <w:r>
              <w:rPr>
                <w:rFonts w:ascii="Times New Roman" w:hAnsi="Times New Roman" w:eastAsia="宋体" w:cs="Times New Roman"/>
                <w:color w:val="auto"/>
                <w:kern w:val="24"/>
                <w:sz w:val="24"/>
                <w:szCs w:val="24"/>
                <w:highlight w:val="none"/>
              </w:rPr>
              <w:t>SS</w:t>
            </w:r>
          </w:p>
        </w:tc>
        <w:tc>
          <w:tcPr>
            <w:tcW w:w="5196" w:type="dxa"/>
            <w:gridSpan w:val="2"/>
            <w:noWrap w:val="0"/>
            <w:vAlign w:val="center"/>
          </w:tcPr>
          <w:p w14:paraId="2FC99ADD">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eastAsia"/>
                <w:color w:val="auto"/>
                <w:sz w:val="24"/>
                <w:szCs w:val="24"/>
                <w:highlight w:val="none"/>
                <w:lang w:val="en-US" w:eastAsia="zh-CN"/>
              </w:rPr>
            </w:pPr>
            <w:r>
              <w:rPr>
                <w:rFonts w:ascii="Times New Roman" w:hAnsi="Times New Roman" w:eastAsia="宋体" w:cs="Times New Roman"/>
                <w:color w:val="auto"/>
                <w:sz w:val="24"/>
                <w:szCs w:val="24"/>
                <w:highlight w:val="none"/>
              </w:rPr>
              <w:t>冷却水循环使用，定期补充不外排</w:t>
            </w:r>
          </w:p>
        </w:tc>
      </w:tr>
      <w:tr w14:paraId="6E304A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8" w:type="dxa"/>
            <w:vMerge w:val="continue"/>
            <w:noWrap w:val="0"/>
            <w:vAlign w:val="center"/>
          </w:tcPr>
          <w:p w14:paraId="114A232E">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1603" w:type="dxa"/>
            <w:noWrap w:val="0"/>
            <w:vAlign w:val="center"/>
          </w:tcPr>
          <w:p w14:paraId="13BB0663">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蒸汽冷凝水</w:t>
            </w:r>
          </w:p>
        </w:tc>
        <w:tc>
          <w:tcPr>
            <w:tcW w:w="1269" w:type="dxa"/>
            <w:noWrap w:val="0"/>
            <w:vAlign w:val="center"/>
          </w:tcPr>
          <w:p w14:paraId="130F6218">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auto"/>
                <w:kern w:val="24"/>
                <w:sz w:val="24"/>
                <w:szCs w:val="24"/>
                <w:highlight w:val="none"/>
                <w:lang w:val="en-US" w:eastAsia="zh-CN"/>
              </w:rPr>
            </w:pPr>
            <w:r>
              <w:rPr>
                <w:rFonts w:hint="eastAsia" w:cs="Times New Roman"/>
                <w:color w:val="auto"/>
                <w:kern w:val="24"/>
                <w:sz w:val="24"/>
                <w:szCs w:val="24"/>
                <w:highlight w:val="none"/>
                <w:lang w:val="en-US" w:eastAsia="zh-CN"/>
              </w:rPr>
              <w:t>--</w:t>
            </w:r>
          </w:p>
        </w:tc>
        <w:tc>
          <w:tcPr>
            <w:tcW w:w="5196" w:type="dxa"/>
            <w:gridSpan w:val="2"/>
            <w:noWrap w:val="0"/>
            <w:vAlign w:val="center"/>
          </w:tcPr>
          <w:p w14:paraId="726D9F73">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排入冷却系统，代替新鲜水补充冷却系统补水</w:t>
            </w:r>
          </w:p>
        </w:tc>
      </w:tr>
      <w:tr w14:paraId="6102C6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vMerge w:val="continue"/>
            <w:noWrap w:val="0"/>
            <w:vAlign w:val="center"/>
          </w:tcPr>
          <w:p w14:paraId="45FADEC8">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cs="Times New Roman"/>
                <w:color w:val="auto"/>
                <w:sz w:val="24"/>
                <w:szCs w:val="24"/>
                <w:highlight w:val="none"/>
                <w:lang w:val="en-US" w:eastAsia="zh-CN"/>
              </w:rPr>
            </w:pPr>
          </w:p>
        </w:tc>
        <w:tc>
          <w:tcPr>
            <w:tcW w:w="1603" w:type="dxa"/>
            <w:noWrap w:val="0"/>
            <w:vAlign w:val="center"/>
          </w:tcPr>
          <w:p w14:paraId="7A510098">
            <w:pPr>
              <w:pStyle w:val="85"/>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cs="Times New Roman"/>
                <w:color w:val="auto"/>
                <w:sz w:val="24"/>
                <w:szCs w:val="24"/>
                <w:highlight w:val="none"/>
                <w:lang w:val="en-US" w:eastAsia="zh-CN" w:bidi="ar-SA"/>
              </w:rPr>
            </w:pPr>
            <w:r>
              <w:rPr>
                <w:rFonts w:hint="eastAsia" w:cs="Times New Roman"/>
                <w:color w:val="auto"/>
                <w:sz w:val="24"/>
                <w:szCs w:val="24"/>
                <w:highlight w:val="none"/>
                <w:lang w:val="en-US" w:eastAsia="zh-CN" w:bidi="ar-SA"/>
              </w:rPr>
              <w:t>职工生活</w:t>
            </w:r>
          </w:p>
        </w:tc>
        <w:tc>
          <w:tcPr>
            <w:tcW w:w="1269" w:type="dxa"/>
            <w:noWrap w:val="0"/>
            <w:vAlign w:val="center"/>
          </w:tcPr>
          <w:p w14:paraId="673F6C01">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eastAsia"/>
                <w:color w:val="auto"/>
                <w:sz w:val="24"/>
                <w:szCs w:val="24"/>
                <w:highlight w:val="none"/>
                <w:lang w:val="en-US" w:eastAsia="zh-CN"/>
              </w:rPr>
            </w:pPr>
            <w:r>
              <w:rPr>
                <w:rFonts w:hint="eastAsia"/>
                <w:color w:val="auto"/>
                <w:sz w:val="24"/>
                <w:szCs w:val="24"/>
                <w:highlight w:val="none"/>
                <w:lang w:val="en-US" w:eastAsia="zh-CN"/>
              </w:rPr>
              <w:t>pH</w:t>
            </w:r>
          </w:p>
          <w:p w14:paraId="6989A8A7">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cs="Times New Roman"/>
                <w:color w:val="auto"/>
                <w:kern w:val="2"/>
                <w:sz w:val="24"/>
                <w:szCs w:val="24"/>
                <w:highlight w:val="none"/>
                <w:lang w:val="en-US" w:eastAsia="zh-CN" w:bidi="ar-SA"/>
              </w:rPr>
            </w:pPr>
            <w:r>
              <w:rPr>
                <w:rFonts w:hint="default"/>
                <w:color w:val="auto"/>
                <w:sz w:val="24"/>
                <w:szCs w:val="24"/>
                <w:highlight w:val="none"/>
              </w:rPr>
              <w:t>COD</w:t>
            </w:r>
          </w:p>
          <w:p w14:paraId="31418DFC">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cs="Times New Roman"/>
                <w:color w:val="auto"/>
                <w:kern w:val="2"/>
                <w:sz w:val="24"/>
                <w:szCs w:val="24"/>
                <w:highlight w:val="none"/>
                <w:lang w:val="en-US" w:eastAsia="zh-CN" w:bidi="ar-SA"/>
              </w:rPr>
            </w:pPr>
            <w:r>
              <w:rPr>
                <w:rFonts w:hint="eastAsia"/>
                <w:color w:val="auto"/>
                <w:sz w:val="24"/>
                <w:szCs w:val="24"/>
                <w:highlight w:val="none"/>
                <w:lang w:val="en-US" w:eastAsia="zh-CN"/>
              </w:rPr>
              <w:t>BOD</w:t>
            </w:r>
            <w:r>
              <w:rPr>
                <w:rFonts w:hint="eastAsia"/>
                <w:color w:val="auto"/>
                <w:sz w:val="24"/>
                <w:szCs w:val="24"/>
                <w:highlight w:val="none"/>
                <w:vertAlign w:val="subscript"/>
                <w:lang w:val="en-US" w:eastAsia="zh-CN"/>
              </w:rPr>
              <w:t>5</w:t>
            </w:r>
          </w:p>
          <w:p w14:paraId="549CA260">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cs="Times New Roman"/>
                <w:color w:val="auto"/>
                <w:kern w:val="2"/>
                <w:sz w:val="24"/>
                <w:szCs w:val="24"/>
                <w:highlight w:val="none"/>
                <w:lang w:val="en-US" w:eastAsia="zh-CN" w:bidi="ar-SA"/>
              </w:rPr>
            </w:pPr>
            <w:r>
              <w:rPr>
                <w:rFonts w:hint="eastAsia"/>
                <w:color w:val="auto"/>
                <w:sz w:val="24"/>
                <w:szCs w:val="24"/>
                <w:highlight w:val="none"/>
                <w:lang w:val="en-US" w:eastAsia="zh-CN"/>
              </w:rPr>
              <w:t>氨氮</w:t>
            </w:r>
          </w:p>
          <w:p w14:paraId="7E3C5DC5">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cs="Times New Roman"/>
                <w:color w:val="auto"/>
                <w:kern w:val="2"/>
                <w:sz w:val="24"/>
                <w:szCs w:val="24"/>
                <w:highlight w:val="none"/>
                <w:lang w:val="en-US" w:eastAsia="zh-CN" w:bidi="ar-SA"/>
              </w:rPr>
            </w:pPr>
            <w:r>
              <w:rPr>
                <w:rFonts w:hint="eastAsia"/>
                <w:color w:val="auto"/>
                <w:sz w:val="24"/>
                <w:szCs w:val="24"/>
                <w:highlight w:val="none"/>
                <w:lang w:val="en-US" w:eastAsia="zh-CN"/>
              </w:rPr>
              <w:t>总磷</w:t>
            </w:r>
          </w:p>
          <w:p w14:paraId="0A638BE9">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cs="Times New Roman"/>
                <w:color w:val="auto"/>
                <w:kern w:val="2"/>
                <w:sz w:val="24"/>
                <w:szCs w:val="24"/>
                <w:highlight w:val="none"/>
                <w:lang w:val="en-US" w:eastAsia="zh-CN" w:bidi="ar-SA"/>
              </w:rPr>
            </w:pPr>
            <w:r>
              <w:rPr>
                <w:rFonts w:hint="default"/>
                <w:color w:val="auto"/>
                <w:sz w:val="24"/>
                <w:szCs w:val="24"/>
                <w:highlight w:val="none"/>
              </w:rPr>
              <w:t>SS</w:t>
            </w:r>
          </w:p>
        </w:tc>
        <w:tc>
          <w:tcPr>
            <w:tcW w:w="1823" w:type="dxa"/>
            <w:noWrap w:val="0"/>
            <w:vAlign w:val="center"/>
          </w:tcPr>
          <w:p w14:paraId="07EEEB82">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auto"/>
                <w:sz w:val="24"/>
                <w:szCs w:val="24"/>
                <w:highlight w:val="none"/>
                <w:lang w:val="en-US" w:eastAsia="zh-CN" w:bidi="ar-SA"/>
              </w:rPr>
            </w:pPr>
            <w:r>
              <w:rPr>
                <w:rFonts w:hint="eastAsia" w:ascii="Times New Roman" w:hAnsi="Times New Roman" w:eastAsia="宋体" w:cs="Times New Roman"/>
                <w:color w:val="auto"/>
                <w:sz w:val="24"/>
                <w:szCs w:val="24"/>
                <w:highlight w:val="none"/>
                <w:lang w:val="en-US" w:eastAsia="zh-CN"/>
              </w:rPr>
              <w:t>盥洗废水泼洒抑尘、</w:t>
            </w:r>
            <w:r>
              <w:rPr>
                <w:rFonts w:hint="eastAsia" w:ascii="Times New Roman" w:hAnsi="Times New Roman" w:eastAsia="宋体" w:cs="Times New Roman"/>
                <w:color w:val="auto"/>
                <w:sz w:val="24"/>
                <w:szCs w:val="24"/>
                <w:highlight w:val="none"/>
              </w:rPr>
              <w:t>厂区设防渗旱厕</w:t>
            </w:r>
            <w:r>
              <w:rPr>
                <w:rFonts w:ascii="Times New Roman" w:hAnsi="Times New Roman" w:eastAsia="宋体" w:cs="Times New Roman"/>
                <w:color w:val="auto"/>
                <w:sz w:val="24"/>
                <w:szCs w:val="24"/>
                <w:highlight w:val="none"/>
              </w:rPr>
              <w:t>，定期清掏</w:t>
            </w:r>
            <w:r>
              <w:rPr>
                <w:rFonts w:hint="eastAsia" w:ascii="Times New Roman" w:hAnsi="Times New Roman" w:eastAsia="宋体" w:cs="Times New Roman"/>
                <w:color w:val="auto"/>
                <w:sz w:val="24"/>
                <w:szCs w:val="24"/>
                <w:highlight w:val="none"/>
                <w:lang w:eastAsia="zh-CN"/>
              </w:rPr>
              <w:t>，</w:t>
            </w:r>
            <w:r>
              <w:rPr>
                <w:rFonts w:ascii="Times New Roman" w:hAnsi="Times New Roman" w:eastAsia="宋体" w:cs="Times New Roman"/>
                <w:color w:val="auto"/>
                <w:sz w:val="24"/>
                <w:szCs w:val="24"/>
                <w:highlight w:val="none"/>
              </w:rPr>
              <w:t>不外排</w:t>
            </w:r>
          </w:p>
        </w:tc>
        <w:tc>
          <w:tcPr>
            <w:tcW w:w="3373" w:type="dxa"/>
            <w:noWrap w:val="0"/>
            <w:vAlign w:val="center"/>
          </w:tcPr>
          <w:p w14:paraId="0ACD2504">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Times New Roman" w:hAnsi="Times New Roman" w:eastAsia="宋体" w:cs="Times New Roman"/>
                <w:color w:val="auto"/>
                <w:sz w:val="24"/>
                <w:szCs w:val="24"/>
                <w:highlight w:val="none"/>
                <w:lang w:val="en-US" w:eastAsia="zh-CN" w:bidi="ar-SA"/>
              </w:rPr>
            </w:pPr>
            <w:r>
              <w:rPr>
                <w:rFonts w:ascii="Times New Roman" w:hAnsi="Times New Roman" w:eastAsia="宋体" w:cs="Times New Roman"/>
                <w:color w:val="auto"/>
                <w:sz w:val="24"/>
                <w:szCs w:val="24"/>
                <w:highlight w:val="none"/>
              </w:rPr>
              <w:t>不外排</w:t>
            </w:r>
          </w:p>
        </w:tc>
      </w:tr>
      <w:tr w14:paraId="3E5A40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noWrap w:val="0"/>
            <w:vAlign w:val="center"/>
          </w:tcPr>
          <w:p w14:paraId="749307E3">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声环境</w:t>
            </w:r>
          </w:p>
        </w:tc>
        <w:tc>
          <w:tcPr>
            <w:tcW w:w="1603" w:type="dxa"/>
            <w:noWrap w:val="0"/>
            <w:vAlign w:val="center"/>
          </w:tcPr>
          <w:p w14:paraId="67E6C5D4">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设备运行</w:t>
            </w:r>
          </w:p>
        </w:tc>
        <w:tc>
          <w:tcPr>
            <w:tcW w:w="1269" w:type="dxa"/>
            <w:noWrap w:val="0"/>
            <w:vAlign w:val="center"/>
          </w:tcPr>
          <w:p w14:paraId="4814FC80">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声功率级</w:t>
            </w:r>
          </w:p>
        </w:tc>
        <w:tc>
          <w:tcPr>
            <w:tcW w:w="1823" w:type="dxa"/>
            <w:noWrap w:val="0"/>
            <w:vAlign w:val="center"/>
          </w:tcPr>
          <w:p w14:paraId="73BB41D2">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选用低噪声设备、厂房隔声、距离衰减</w:t>
            </w:r>
          </w:p>
        </w:tc>
        <w:tc>
          <w:tcPr>
            <w:tcW w:w="3373" w:type="dxa"/>
            <w:noWrap w:val="0"/>
            <w:vAlign w:val="center"/>
          </w:tcPr>
          <w:p w14:paraId="42AA5C80">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《工业企业厂界环境噪声排放标准》（GB12348-2008）表1中</w:t>
            </w:r>
            <w:r>
              <w:rPr>
                <w:rFonts w:hint="eastAsia" w:ascii="Times New Roman" w:hAnsi="Times New Roman" w:cs="Times New Roman"/>
                <w:color w:val="auto"/>
                <w:sz w:val="24"/>
                <w:szCs w:val="24"/>
                <w:highlight w:val="none"/>
                <w:lang w:val="en-US" w:eastAsia="zh-CN"/>
              </w:rPr>
              <w:t>3</w:t>
            </w:r>
            <w:r>
              <w:rPr>
                <w:rFonts w:hint="default" w:ascii="Times New Roman" w:hAnsi="Times New Roman" w:cs="Times New Roman"/>
                <w:color w:val="auto"/>
                <w:sz w:val="24"/>
                <w:szCs w:val="24"/>
                <w:highlight w:val="none"/>
              </w:rPr>
              <w:t>类标准要求</w:t>
            </w:r>
          </w:p>
        </w:tc>
      </w:tr>
      <w:tr w14:paraId="528E94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vMerge w:val="restart"/>
            <w:noWrap w:val="0"/>
            <w:vAlign w:val="center"/>
          </w:tcPr>
          <w:p w14:paraId="17A876EF">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cs="Times New Roman"/>
                <w:color w:val="auto"/>
                <w:sz w:val="24"/>
                <w:szCs w:val="24"/>
                <w:highlight w:val="none"/>
                <w:lang w:val="en-US" w:eastAsia="zh-CN"/>
              </w:rPr>
            </w:pPr>
            <w:r>
              <w:rPr>
                <w:rFonts w:hint="eastAsia" w:cs="Times New Roman"/>
                <w:color w:val="auto"/>
                <w:sz w:val="24"/>
                <w:szCs w:val="24"/>
                <w:highlight w:val="none"/>
                <w:lang w:val="en-US" w:eastAsia="zh-CN"/>
              </w:rPr>
              <w:t>固体废物</w:t>
            </w:r>
          </w:p>
        </w:tc>
        <w:tc>
          <w:tcPr>
            <w:tcW w:w="1603" w:type="dxa"/>
            <w:vMerge w:val="restart"/>
            <w:noWrap w:val="0"/>
            <w:vAlign w:val="center"/>
          </w:tcPr>
          <w:p w14:paraId="03A68F74">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cs="Times New Roman"/>
                <w:color w:val="auto"/>
                <w:sz w:val="24"/>
                <w:szCs w:val="24"/>
                <w:highlight w:val="none"/>
                <w:lang w:val="en-US" w:eastAsia="zh-CN"/>
              </w:rPr>
            </w:pPr>
            <w:r>
              <w:rPr>
                <w:rFonts w:hint="eastAsia" w:cs="Times New Roman"/>
                <w:color w:val="auto"/>
                <w:sz w:val="24"/>
                <w:szCs w:val="24"/>
                <w:highlight w:val="none"/>
                <w:lang w:val="en-US" w:eastAsia="zh-CN"/>
              </w:rPr>
              <w:t>一般工业固体废物</w:t>
            </w:r>
          </w:p>
        </w:tc>
        <w:tc>
          <w:tcPr>
            <w:tcW w:w="1269" w:type="dxa"/>
            <w:noWrap w:val="0"/>
            <w:vAlign w:val="center"/>
          </w:tcPr>
          <w:p w14:paraId="4F0EA382">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废包装</w:t>
            </w:r>
          </w:p>
        </w:tc>
        <w:tc>
          <w:tcPr>
            <w:tcW w:w="1823" w:type="dxa"/>
            <w:vMerge w:val="restart"/>
            <w:noWrap w:val="0"/>
            <w:vAlign w:val="center"/>
          </w:tcPr>
          <w:p w14:paraId="230AFBFA">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统一收集，外卖废品收购站</w:t>
            </w:r>
          </w:p>
          <w:p w14:paraId="21D48EE3">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3373" w:type="dxa"/>
            <w:vMerge w:val="restart"/>
            <w:noWrap w:val="0"/>
            <w:vAlign w:val="center"/>
          </w:tcPr>
          <w:p w14:paraId="321163E5">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cs="Times New Roman"/>
                <w:color w:val="auto"/>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bidi="ar-SA"/>
              </w:rPr>
              <w:t>《一般工业固体废物贮存和填埋污染控制标准》（GB18599-2020</w:t>
            </w:r>
            <w:r>
              <w:rPr>
                <w:rFonts w:hint="eastAsia" w:cs="Times New Roman"/>
                <w:color w:val="auto"/>
                <w:kern w:val="0"/>
                <w:sz w:val="24"/>
                <w:szCs w:val="24"/>
                <w:highlight w:val="none"/>
                <w:lang w:val="en-US" w:eastAsia="zh-CN" w:bidi="ar-SA"/>
              </w:rPr>
              <w:t>）等</w:t>
            </w:r>
            <w:r>
              <w:rPr>
                <w:rFonts w:hint="default" w:ascii="Times New Roman" w:hAnsi="Times New Roman" w:eastAsia="宋体" w:cs="Times New Roman"/>
                <w:color w:val="auto"/>
                <w:kern w:val="0"/>
                <w:sz w:val="24"/>
                <w:szCs w:val="24"/>
                <w:highlight w:val="none"/>
                <w:lang w:val="en-US" w:eastAsia="zh-CN" w:bidi="ar-SA"/>
              </w:rPr>
              <w:t>相关标准要求</w:t>
            </w:r>
          </w:p>
        </w:tc>
      </w:tr>
      <w:tr w14:paraId="502A9C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vMerge w:val="continue"/>
            <w:noWrap w:val="0"/>
            <w:vAlign w:val="center"/>
          </w:tcPr>
          <w:p w14:paraId="01B51860">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1603" w:type="dxa"/>
            <w:vMerge w:val="continue"/>
            <w:noWrap w:val="0"/>
            <w:vAlign w:val="center"/>
          </w:tcPr>
          <w:p w14:paraId="3859C7CB">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1269" w:type="dxa"/>
            <w:noWrap w:val="0"/>
            <w:vAlign w:val="center"/>
          </w:tcPr>
          <w:p w14:paraId="424E495F">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边角料</w:t>
            </w:r>
          </w:p>
        </w:tc>
        <w:tc>
          <w:tcPr>
            <w:tcW w:w="1823" w:type="dxa"/>
            <w:vMerge w:val="continue"/>
            <w:noWrap w:val="0"/>
            <w:vAlign w:val="center"/>
          </w:tcPr>
          <w:p w14:paraId="384E29B7">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3373" w:type="dxa"/>
            <w:vMerge w:val="continue"/>
            <w:noWrap w:val="0"/>
            <w:vAlign w:val="center"/>
          </w:tcPr>
          <w:p w14:paraId="7DB61F5A">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r>
      <w:tr w14:paraId="4A8626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vMerge w:val="continue"/>
            <w:noWrap w:val="0"/>
            <w:vAlign w:val="center"/>
          </w:tcPr>
          <w:p w14:paraId="6707D66B">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1603" w:type="dxa"/>
            <w:vMerge w:val="continue"/>
            <w:noWrap w:val="0"/>
            <w:vAlign w:val="center"/>
          </w:tcPr>
          <w:p w14:paraId="5FD86305">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1269" w:type="dxa"/>
            <w:noWrap w:val="0"/>
            <w:vAlign w:val="center"/>
          </w:tcPr>
          <w:p w14:paraId="63613ECE">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不合格品</w:t>
            </w:r>
          </w:p>
        </w:tc>
        <w:tc>
          <w:tcPr>
            <w:tcW w:w="1823" w:type="dxa"/>
            <w:vMerge w:val="continue"/>
            <w:noWrap w:val="0"/>
            <w:vAlign w:val="center"/>
          </w:tcPr>
          <w:p w14:paraId="4AFC366B">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3373" w:type="dxa"/>
            <w:vMerge w:val="continue"/>
            <w:noWrap w:val="0"/>
            <w:vAlign w:val="center"/>
          </w:tcPr>
          <w:p w14:paraId="36DB939B">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r>
      <w:tr w14:paraId="21DF94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8" w:type="dxa"/>
            <w:vMerge w:val="continue"/>
            <w:noWrap w:val="0"/>
            <w:vAlign w:val="center"/>
          </w:tcPr>
          <w:p w14:paraId="0DA9B90F">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1603" w:type="dxa"/>
            <w:noWrap w:val="0"/>
            <w:vAlign w:val="center"/>
          </w:tcPr>
          <w:p w14:paraId="42676C6C">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cs="Times New Roman"/>
                <w:color w:val="auto"/>
                <w:sz w:val="24"/>
                <w:szCs w:val="24"/>
                <w:highlight w:val="none"/>
                <w:lang w:val="en-US" w:eastAsia="zh-CN"/>
              </w:rPr>
            </w:pPr>
            <w:r>
              <w:rPr>
                <w:rFonts w:hint="eastAsia" w:cs="Times New Roman"/>
                <w:color w:val="auto"/>
                <w:sz w:val="24"/>
                <w:szCs w:val="24"/>
                <w:highlight w:val="none"/>
                <w:lang w:val="en-US" w:eastAsia="zh-CN"/>
              </w:rPr>
              <w:t>危险废物</w:t>
            </w:r>
          </w:p>
        </w:tc>
        <w:tc>
          <w:tcPr>
            <w:tcW w:w="1269" w:type="dxa"/>
            <w:noWrap w:val="0"/>
            <w:vAlign w:val="center"/>
          </w:tcPr>
          <w:p w14:paraId="280C59F5">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eastAsia="宋体" w:cs="Times New Roman"/>
                <w:color w:val="auto"/>
                <w:sz w:val="24"/>
                <w:szCs w:val="24"/>
                <w:highlight w:val="none"/>
                <w:lang w:val="en-US" w:eastAsia="zh-CN"/>
              </w:rPr>
            </w:pPr>
            <w:r>
              <w:rPr>
                <w:color w:val="auto"/>
                <w:sz w:val="24"/>
                <w:szCs w:val="24"/>
                <w:highlight w:val="none"/>
              </w:rPr>
              <w:t>废活性炭</w:t>
            </w:r>
            <w:r>
              <w:rPr>
                <w:rFonts w:hint="eastAsia"/>
                <w:color w:val="auto"/>
                <w:sz w:val="24"/>
                <w:szCs w:val="24"/>
                <w:highlight w:val="none"/>
                <w:lang w:eastAsia="zh-CN"/>
              </w:rPr>
              <w:t>、</w:t>
            </w:r>
            <w:r>
              <w:rPr>
                <w:rFonts w:hint="eastAsia"/>
                <w:color w:val="auto"/>
                <w:sz w:val="24"/>
                <w:szCs w:val="24"/>
                <w:highlight w:val="none"/>
                <w:lang w:val="en-US" w:eastAsia="zh-CN"/>
              </w:rPr>
              <w:t>废催化剂</w:t>
            </w:r>
          </w:p>
        </w:tc>
        <w:tc>
          <w:tcPr>
            <w:tcW w:w="1823" w:type="dxa"/>
            <w:noWrap w:val="0"/>
            <w:vAlign w:val="center"/>
          </w:tcPr>
          <w:p w14:paraId="23C60481">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cs="Times New Roman"/>
                <w:color w:val="auto"/>
                <w:sz w:val="24"/>
                <w:szCs w:val="24"/>
                <w:highlight w:val="none"/>
                <w:lang w:val="en-US" w:eastAsia="zh-CN"/>
              </w:rPr>
            </w:pPr>
            <w:r>
              <w:rPr>
                <w:rFonts w:hint="eastAsia" w:cs="Times New Roman"/>
                <w:color w:val="auto"/>
                <w:sz w:val="24"/>
                <w:szCs w:val="24"/>
                <w:highlight w:val="none"/>
                <w:lang w:val="en-US" w:eastAsia="zh-CN"/>
              </w:rPr>
              <w:t>统一收集、暂存危险废物暂存</w:t>
            </w:r>
            <w:r>
              <w:rPr>
                <w:rFonts w:hint="eastAsia"/>
                <w:color w:val="auto"/>
                <w:sz w:val="24"/>
                <w:szCs w:val="24"/>
                <w:highlight w:val="none"/>
                <w:lang w:val="en-US" w:eastAsia="zh-CN"/>
              </w:rPr>
              <w:t>间</w:t>
            </w:r>
            <w:r>
              <w:rPr>
                <w:rFonts w:hint="eastAsia" w:cs="Times New Roman"/>
                <w:color w:val="auto"/>
                <w:sz w:val="24"/>
                <w:szCs w:val="24"/>
                <w:highlight w:val="none"/>
                <w:lang w:val="en-US" w:eastAsia="zh-CN"/>
              </w:rPr>
              <w:t>，交由资质单位处置</w:t>
            </w:r>
          </w:p>
        </w:tc>
        <w:tc>
          <w:tcPr>
            <w:tcW w:w="3373" w:type="dxa"/>
            <w:noWrap w:val="0"/>
            <w:vAlign w:val="center"/>
          </w:tcPr>
          <w:p w14:paraId="62434F2E">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r>
              <w:rPr>
                <w:color w:val="auto"/>
                <w:sz w:val="24"/>
                <w:szCs w:val="24"/>
                <w:highlight w:val="none"/>
              </w:rPr>
              <w:t>《危险废物贮存污染控制标准》（GB18597-20</w:t>
            </w:r>
            <w:r>
              <w:rPr>
                <w:rFonts w:hint="eastAsia"/>
                <w:color w:val="auto"/>
                <w:sz w:val="24"/>
                <w:szCs w:val="24"/>
                <w:highlight w:val="none"/>
                <w:lang w:val="en-US" w:eastAsia="zh-CN"/>
              </w:rPr>
              <w:t>23</w:t>
            </w:r>
            <w:r>
              <w:rPr>
                <w:color w:val="auto"/>
                <w:sz w:val="24"/>
                <w:szCs w:val="24"/>
                <w:highlight w:val="none"/>
              </w:rPr>
              <w:t>）</w:t>
            </w:r>
          </w:p>
        </w:tc>
      </w:tr>
      <w:tr w14:paraId="6B90B8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vMerge w:val="continue"/>
            <w:noWrap w:val="0"/>
            <w:vAlign w:val="center"/>
          </w:tcPr>
          <w:p w14:paraId="18E27716">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cs="Times New Roman"/>
                <w:color w:val="auto"/>
                <w:sz w:val="24"/>
                <w:szCs w:val="24"/>
                <w:highlight w:val="none"/>
                <w:lang w:val="en-US" w:eastAsia="zh-CN"/>
              </w:rPr>
            </w:pPr>
          </w:p>
        </w:tc>
        <w:tc>
          <w:tcPr>
            <w:tcW w:w="1603" w:type="dxa"/>
            <w:noWrap w:val="0"/>
            <w:vAlign w:val="center"/>
          </w:tcPr>
          <w:p w14:paraId="0153BFB5">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color w:val="auto"/>
                <w:sz w:val="24"/>
                <w:szCs w:val="24"/>
                <w:highlight w:val="none"/>
                <w:lang w:val="en-US" w:eastAsia="zh-CN"/>
              </w:rPr>
            </w:pPr>
            <w:r>
              <w:rPr>
                <w:rFonts w:hint="eastAsia"/>
                <w:color w:val="auto"/>
                <w:sz w:val="24"/>
                <w:szCs w:val="24"/>
                <w:highlight w:val="none"/>
                <w:lang w:val="en-US" w:eastAsia="zh-CN"/>
              </w:rPr>
              <w:t>职工生活垃圾</w:t>
            </w:r>
          </w:p>
        </w:tc>
        <w:tc>
          <w:tcPr>
            <w:tcW w:w="1269" w:type="dxa"/>
            <w:noWrap w:val="0"/>
            <w:vAlign w:val="center"/>
          </w:tcPr>
          <w:p w14:paraId="23C8DD13">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color w:val="auto"/>
                <w:sz w:val="24"/>
                <w:szCs w:val="24"/>
                <w:highlight w:val="none"/>
                <w:lang w:val="en-US" w:eastAsia="zh-CN"/>
              </w:rPr>
            </w:pPr>
            <w:r>
              <w:rPr>
                <w:rFonts w:hint="eastAsia"/>
                <w:color w:val="auto"/>
                <w:sz w:val="24"/>
                <w:szCs w:val="24"/>
                <w:highlight w:val="none"/>
                <w:lang w:val="en-US" w:eastAsia="zh-CN"/>
              </w:rPr>
              <w:t>职工生活垃圾</w:t>
            </w:r>
          </w:p>
        </w:tc>
        <w:tc>
          <w:tcPr>
            <w:tcW w:w="1823" w:type="dxa"/>
            <w:noWrap w:val="0"/>
            <w:vAlign w:val="center"/>
          </w:tcPr>
          <w:p w14:paraId="6AD6499E">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分类收集交环卫部门统一处理</w:t>
            </w:r>
          </w:p>
        </w:tc>
        <w:tc>
          <w:tcPr>
            <w:tcW w:w="3373" w:type="dxa"/>
            <w:noWrap w:val="0"/>
            <w:vAlign w:val="center"/>
          </w:tcPr>
          <w:p w14:paraId="02F69FBC">
            <w:pPr>
              <w:pStyle w:val="111"/>
              <w:keepLines w:val="0"/>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《中华人民共和国固体废物污染环境防治法》“第三节生活垃圾污染环境的防治”</w:t>
            </w:r>
          </w:p>
        </w:tc>
      </w:tr>
      <w:tr w14:paraId="32DB96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noWrap w:val="0"/>
            <w:vAlign w:val="center"/>
          </w:tcPr>
          <w:p w14:paraId="301B5B24">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auto"/>
                <w:kern w:val="2"/>
                <w:sz w:val="24"/>
                <w:szCs w:val="24"/>
                <w:highlight w:val="none"/>
                <w:lang w:val="en-US" w:eastAsia="zh-CN" w:bidi="ar-SA"/>
              </w:rPr>
            </w:pPr>
            <w:r>
              <w:rPr>
                <w:rFonts w:hint="default" w:ascii="Times New Roman" w:hAnsi="Times New Roman" w:cs="Times New Roman"/>
                <w:color w:val="auto"/>
                <w:sz w:val="24"/>
                <w:szCs w:val="24"/>
                <w:highlight w:val="none"/>
              </w:rPr>
              <w:t>土壤及地下水污染防治措施</w:t>
            </w:r>
          </w:p>
        </w:tc>
        <w:tc>
          <w:tcPr>
            <w:tcW w:w="8068" w:type="dxa"/>
            <w:gridSpan w:val="4"/>
            <w:noWrap w:val="0"/>
            <w:vAlign w:val="center"/>
          </w:tcPr>
          <w:p w14:paraId="17C5EC1E">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480" w:firstLineChars="200"/>
              <w:jc w:val="left"/>
              <w:textAlignment w:val="auto"/>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分区防渗：</w:t>
            </w:r>
            <w:r>
              <w:rPr>
                <w:rFonts w:hint="default" w:ascii="Times New Roman" w:hAnsi="Times New Roman" w:eastAsia="宋体" w:cs="Times New Roman"/>
                <w:color w:val="auto"/>
                <w:kern w:val="2"/>
                <w:sz w:val="24"/>
                <w:szCs w:val="24"/>
                <w:highlight w:val="none"/>
                <w:lang w:val="en-US" w:eastAsia="zh-CN" w:bidi="ar-SA"/>
              </w:rPr>
              <w:t>重点防渗区：</w:t>
            </w:r>
            <w:r>
              <w:rPr>
                <w:rFonts w:hint="eastAsia"/>
                <w:color w:val="auto"/>
                <w:sz w:val="24"/>
                <w:szCs w:val="24"/>
                <w:highlight w:val="none"/>
                <w:lang w:eastAsia="zh-CN"/>
              </w:rPr>
              <w:t>危险废物暂存</w:t>
            </w:r>
            <w:r>
              <w:rPr>
                <w:rFonts w:hint="eastAsia"/>
                <w:color w:val="auto"/>
                <w:sz w:val="24"/>
                <w:szCs w:val="24"/>
                <w:highlight w:val="none"/>
                <w:lang w:val="en-US" w:eastAsia="zh-CN"/>
              </w:rPr>
              <w:t>间</w:t>
            </w:r>
            <w:r>
              <w:rPr>
                <w:rFonts w:hint="eastAsia"/>
                <w:color w:val="auto"/>
                <w:sz w:val="24"/>
                <w:szCs w:val="24"/>
                <w:highlight w:val="none"/>
                <w:lang w:eastAsia="zh-CN"/>
              </w:rPr>
              <w:t>、</w:t>
            </w:r>
            <w:r>
              <w:rPr>
                <w:rFonts w:hint="eastAsia"/>
                <w:color w:val="auto"/>
                <w:sz w:val="24"/>
                <w:szCs w:val="24"/>
                <w:highlight w:val="none"/>
                <w:lang w:val="en-US" w:eastAsia="zh-CN"/>
              </w:rPr>
              <w:t>冷却塔及其循环水池</w:t>
            </w:r>
            <w:r>
              <w:rPr>
                <w:rFonts w:hint="default" w:ascii="Times New Roman" w:hAnsi="Times New Roman" w:eastAsia="宋体" w:cs="Times New Roman"/>
                <w:color w:val="auto"/>
                <w:kern w:val="2"/>
                <w:sz w:val="24"/>
                <w:szCs w:val="24"/>
                <w:highlight w:val="none"/>
                <w:lang w:val="en-US" w:eastAsia="zh-CN" w:bidi="ar-SA"/>
              </w:rPr>
              <w:t>参照《危险废物贮存污染控制标准》（GB18597-</w:t>
            </w:r>
            <w:r>
              <w:rPr>
                <w:rFonts w:hint="eastAsia" w:cs="Times New Roman"/>
                <w:color w:val="auto"/>
                <w:kern w:val="2"/>
                <w:sz w:val="24"/>
                <w:szCs w:val="24"/>
                <w:highlight w:val="none"/>
                <w:lang w:val="en-US" w:eastAsia="zh-CN" w:bidi="ar-SA"/>
              </w:rPr>
              <w:t>2023</w:t>
            </w:r>
            <w:r>
              <w:rPr>
                <w:rFonts w:hint="default" w:ascii="Times New Roman" w:hAnsi="Times New Roman" w:eastAsia="宋体" w:cs="Times New Roman"/>
                <w:color w:val="auto"/>
                <w:kern w:val="2"/>
                <w:sz w:val="24"/>
                <w:szCs w:val="24"/>
                <w:highlight w:val="none"/>
                <w:lang w:val="en-US" w:eastAsia="zh-CN" w:bidi="ar-SA"/>
              </w:rPr>
              <w:t>）及修改单中相关要求执行，防渗系数K≤1×10</w:t>
            </w:r>
            <w:r>
              <w:rPr>
                <w:rFonts w:hint="default" w:ascii="Times New Roman" w:hAnsi="Times New Roman" w:eastAsia="宋体" w:cs="Times New Roman"/>
                <w:color w:val="auto"/>
                <w:kern w:val="2"/>
                <w:sz w:val="24"/>
                <w:szCs w:val="24"/>
                <w:highlight w:val="none"/>
                <w:vertAlign w:val="superscript"/>
                <w:lang w:val="en-US" w:eastAsia="zh-CN" w:bidi="ar-SA"/>
              </w:rPr>
              <w:t>-10</w:t>
            </w:r>
            <w:r>
              <w:rPr>
                <w:rFonts w:hint="default" w:ascii="Times New Roman" w:hAnsi="Times New Roman" w:eastAsia="宋体" w:cs="Times New Roman"/>
                <w:color w:val="auto"/>
                <w:kern w:val="2"/>
                <w:sz w:val="24"/>
                <w:szCs w:val="24"/>
                <w:highlight w:val="none"/>
                <w:lang w:val="en-US" w:eastAsia="zh-CN" w:bidi="ar-SA"/>
              </w:rPr>
              <w:t>cm/s</w:t>
            </w:r>
            <w:r>
              <w:rPr>
                <w:rFonts w:hint="eastAsia" w:ascii="Times New Roman" w:hAnsi="Times New Roman" w:eastAsia="宋体" w:cs="Times New Roman"/>
                <w:color w:val="auto"/>
                <w:kern w:val="2"/>
                <w:sz w:val="24"/>
                <w:szCs w:val="24"/>
                <w:highlight w:val="none"/>
                <w:lang w:val="en-US" w:eastAsia="zh-CN" w:bidi="ar-SA"/>
              </w:rPr>
              <w:t>。</w:t>
            </w:r>
          </w:p>
          <w:p w14:paraId="4EECE183">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480" w:firstLineChars="200"/>
              <w:jc w:val="left"/>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一般防渗区：防渗旱厕、生产车间等效黏土防渗层Mb≥1.50m，K≤1×10</w:t>
            </w:r>
            <w:r>
              <w:rPr>
                <w:rFonts w:hint="default" w:ascii="Times New Roman" w:hAnsi="Times New Roman" w:eastAsia="宋体" w:cs="Times New Roman"/>
                <w:color w:val="auto"/>
                <w:kern w:val="2"/>
                <w:sz w:val="24"/>
                <w:szCs w:val="24"/>
                <w:highlight w:val="none"/>
                <w:vertAlign w:val="superscript"/>
                <w:lang w:val="en-US" w:eastAsia="zh-CN" w:bidi="ar-SA"/>
              </w:rPr>
              <w:t>-7</w:t>
            </w:r>
            <w:r>
              <w:rPr>
                <w:rFonts w:hint="default" w:ascii="Times New Roman" w:hAnsi="Times New Roman" w:eastAsia="宋体" w:cs="Times New Roman"/>
                <w:color w:val="auto"/>
                <w:kern w:val="2"/>
                <w:sz w:val="24"/>
                <w:szCs w:val="24"/>
                <w:highlight w:val="none"/>
                <w:lang w:val="en-US" w:eastAsia="zh-CN" w:bidi="ar-SA"/>
              </w:rPr>
              <w:t>cm/s；或参照GB16889执行；</w:t>
            </w:r>
          </w:p>
          <w:p w14:paraId="0C712C43">
            <w:pPr>
              <w:pStyle w:val="120"/>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480" w:firstLineChars="200"/>
              <w:jc w:val="left"/>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简单防渗区：其他非污染区除绿化用地外进行一般地面硬化。</w:t>
            </w:r>
          </w:p>
        </w:tc>
      </w:tr>
      <w:tr w14:paraId="7AE401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noWrap w:val="0"/>
            <w:vAlign w:val="center"/>
          </w:tcPr>
          <w:p w14:paraId="548DE596">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生态保护措施</w:t>
            </w:r>
          </w:p>
        </w:tc>
        <w:tc>
          <w:tcPr>
            <w:tcW w:w="8068" w:type="dxa"/>
            <w:gridSpan w:val="4"/>
            <w:noWrap w:val="0"/>
            <w:vAlign w:val="center"/>
          </w:tcPr>
          <w:p w14:paraId="09FC9A48">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480" w:firstLineChars="200"/>
              <w:jc w:val="left"/>
              <w:textAlignment w:val="auto"/>
              <w:rPr>
                <w:rFonts w:hint="eastAsia" w:ascii="Times New Roman" w:hAnsi="Times New Roman" w:eastAsia="宋体" w:cs="Times New Roman"/>
                <w:color w:val="auto"/>
                <w:sz w:val="24"/>
                <w:szCs w:val="24"/>
                <w:highlight w:val="none"/>
                <w:lang w:eastAsia="zh-CN"/>
              </w:rPr>
            </w:pPr>
            <w:r>
              <w:rPr>
                <w:rFonts w:hint="eastAsia" w:ascii="Times New Roman" w:hAnsi="Times New Roman" w:eastAsia="宋体" w:cs="Times New Roman"/>
                <w:color w:val="auto"/>
                <w:sz w:val="24"/>
                <w:szCs w:val="24"/>
                <w:highlight w:val="none"/>
                <w:lang w:val="en-US" w:eastAsia="zh-CN"/>
              </w:rPr>
              <w:t>无</w:t>
            </w:r>
          </w:p>
        </w:tc>
      </w:tr>
      <w:tr w14:paraId="77BCC1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noWrap w:val="0"/>
            <w:vAlign w:val="center"/>
          </w:tcPr>
          <w:p w14:paraId="73C62D07">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auto"/>
                <w:spacing w:val="-8"/>
                <w:sz w:val="24"/>
                <w:szCs w:val="24"/>
                <w:highlight w:val="none"/>
              </w:rPr>
            </w:pPr>
            <w:r>
              <w:rPr>
                <w:rFonts w:hint="default" w:ascii="Times New Roman" w:hAnsi="Times New Roman" w:cs="Times New Roman"/>
                <w:color w:val="auto"/>
                <w:spacing w:val="-8"/>
                <w:sz w:val="24"/>
                <w:szCs w:val="24"/>
                <w:highlight w:val="none"/>
              </w:rPr>
              <w:t>环境风险防范措施</w:t>
            </w:r>
          </w:p>
        </w:tc>
        <w:tc>
          <w:tcPr>
            <w:tcW w:w="8068" w:type="dxa"/>
            <w:gridSpan w:val="4"/>
            <w:noWrap w:val="0"/>
            <w:vAlign w:val="center"/>
          </w:tcPr>
          <w:p w14:paraId="6ACD9D72">
            <w:pPr>
              <w:keepLines w:val="0"/>
              <w:pageBreakBefore w:val="0"/>
              <w:widowControl w:val="0"/>
              <w:kinsoku/>
              <w:wordWrap/>
              <w:overflowPunct/>
              <w:topLinePunct w:val="0"/>
              <w:autoSpaceDE/>
              <w:autoSpaceDN/>
              <w:bidi w:val="0"/>
              <w:spacing w:line="240" w:lineRule="auto"/>
              <w:ind w:left="0" w:leftChars="0" w:right="0" w:rightChars="0" w:firstLine="482" w:firstLineChars="200"/>
              <w:jc w:val="left"/>
              <w:textAlignment w:val="auto"/>
              <w:rPr>
                <w:rFonts w:ascii="Times New Roman" w:hAnsi="Times New Roman" w:eastAsia="宋体" w:cs="Times New Roman"/>
                <w:b/>
                <w:bCs/>
                <w:color w:val="auto"/>
                <w:sz w:val="24"/>
                <w:szCs w:val="24"/>
                <w:highlight w:val="none"/>
              </w:rPr>
            </w:pPr>
            <w:r>
              <w:rPr>
                <w:rFonts w:hint="eastAsia" w:cs="Times New Roman"/>
                <w:b/>
                <w:bCs/>
                <w:color w:val="auto"/>
                <w:sz w:val="24"/>
                <w:szCs w:val="24"/>
                <w:highlight w:val="none"/>
                <w:lang w:eastAsia="zh-CN"/>
              </w:rPr>
              <w:t>1.</w:t>
            </w:r>
            <w:r>
              <w:rPr>
                <w:rFonts w:ascii="Times New Roman" w:hAnsi="Times New Roman" w:eastAsia="宋体" w:cs="Times New Roman"/>
                <w:b/>
                <w:bCs/>
                <w:color w:val="auto"/>
                <w:sz w:val="24"/>
                <w:szCs w:val="24"/>
                <w:highlight w:val="none"/>
              </w:rPr>
              <w:t>本项目风险源为危废暂存间，主要采取以下风险防范措施：</w:t>
            </w:r>
          </w:p>
          <w:p w14:paraId="3271D5A5">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①</w:t>
            </w:r>
            <w:r>
              <w:rPr>
                <w:rFonts w:ascii="Times New Roman" w:hAnsi="Times New Roman" w:eastAsia="宋体" w:cs="Times New Roman"/>
                <w:color w:val="auto"/>
                <w:sz w:val="24"/>
                <w:szCs w:val="24"/>
                <w:highlight w:val="none"/>
              </w:rPr>
              <w:t>危险废物使用密闭桶盛装，暂存于危废暂存间指定区域内，周围做围堰危废暂存间地面做好防渗，设置堵截渗漏的</w:t>
            </w:r>
            <w:r>
              <w:rPr>
                <w:rFonts w:hint="eastAsia" w:cs="Times New Roman"/>
                <w:color w:val="auto"/>
                <w:sz w:val="24"/>
                <w:szCs w:val="24"/>
                <w:highlight w:val="none"/>
                <w:lang w:eastAsia="zh-CN"/>
              </w:rPr>
              <w:t>裙角</w:t>
            </w:r>
            <w:r>
              <w:rPr>
                <w:rFonts w:ascii="Times New Roman" w:hAnsi="Times New Roman" w:eastAsia="宋体" w:cs="Times New Roman"/>
                <w:color w:val="auto"/>
                <w:sz w:val="24"/>
                <w:szCs w:val="24"/>
                <w:highlight w:val="none"/>
              </w:rPr>
              <w:t>，并在危废暂存间门口设围堰，防渗要求保证防渗系数小于1×10</w:t>
            </w:r>
            <w:r>
              <w:rPr>
                <w:rFonts w:ascii="Times New Roman" w:hAnsi="Times New Roman" w:eastAsia="宋体" w:cs="Times New Roman"/>
                <w:color w:val="auto"/>
                <w:sz w:val="24"/>
                <w:szCs w:val="24"/>
                <w:highlight w:val="none"/>
                <w:vertAlign w:val="superscript"/>
              </w:rPr>
              <w:t>-10</w:t>
            </w:r>
            <w:r>
              <w:rPr>
                <w:rFonts w:ascii="Times New Roman" w:hAnsi="Times New Roman" w:eastAsia="宋体" w:cs="Times New Roman"/>
                <w:color w:val="auto"/>
                <w:sz w:val="24"/>
                <w:szCs w:val="24"/>
                <w:highlight w:val="none"/>
              </w:rPr>
              <w:t>cm/s；</w:t>
            </w:r>
          </w:p>
          <w:p w14:paraId="312010E9">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hint="eastAsia"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②</w:t>
            </w:r>
            <w:r>
              <w:rPr>
                <w:rFonts w:ascii="Times New Roman" w:hAnsi="Times New Roman" w:eastAsia="宋体" w:cs="Times New Roman"/>
                <w:color w:val="auto"/>
                <w:sz w:val="24"/>
                <w:szCs w:val="24"/>
                <w:highlight w:val="none"/>
              </w:rPr>
              <w:t>危废暂存间必须由专人管理，双人双锁，其他人未经允许不得进入库内。</w:t>
            </w:r>
          </w:p>
          <w:p w14:paraId="4EB50270">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③</w:t>
            </w:r>
            <w:r>
              <w:rPr>
                <w:rFonts w:ascii="Times New Roman" w:hAnsi="Times New Roman" w:eastAsia="宋体" w:cs="Times New Roman"/>
                <w:color w:val="auto"/>
                <w:sz w:val="24"/>
                <w:szCs w:val="24"/>
                <w:highlight w:val="none"/>
              </w:rPr>
              <w:t>危废贮存方式要符合国家对安全、消防的标准要求，设置明显的安全警示标志。</w:t>
            </w:r>
          </w:p>
          <w:p w14:paraId="2F448D79">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④</w:t>
            </w:r>
            <w:r>
              <w:rPr>
                <w:rFonts w:ascii="Times New Roman" w:hAnsi="Times New Roman" w:eastAsia="宋体" w:cs="Times New Roman"/>
                <w:color w:val="auto"/>
                <w:sz w:val="24"/>
                <w:szCs w:val="24"/>
                <w:highlight w:val="none"/>
              </w:rPr>
              <w:t>危废暂存间储备相应的消防应急物资，确保灭火器等消防器材配备齐全。</w:t>
            </w:r>
          </w:p>
          <w:p w14:paraId="572FBE29">
            <w:pPr>
              <w:keepLines w:val="0"/>
              <w:pageBreakBefore w:val="0"/>
              <w:widowControl w:val="0"/>
              <w:kinsoku/>
              <w:wordWrap/>
              <w:overflowPunct/>
              <w:topLinePunct w:val="0"/>
              <w:autoSpaceDE/>
              <w:autoSpaceDN/>
              <w:bidi w:val="0"/>
              <w:spacing w:line="240" w:lineRule="auto"/>
              <w:ind w:left="0" w:leftChars="0" w:right="0" w:rightChars="0" w:firstLine="482" w:firstLineChars="200"/>
              <w:jc w:val="left"/>
              <w:textAlignment w:val="auto"/>
              <w:rPr>
                <w:rFonts w:ascii="Times New Roman" w:hAnsi="Times New Roman" w:eastAsia="宋体" w:cs="Times New Roman"/>
                <w:b/>
                <w:bCs/>
                <w:color w:val="auto"/>
                <w:sz w:val="24"/>
                <w:szCs w:val="24"/>
                <w:highlight w:val="none"/>
              </w:rPr>
            </w:pPr>
            <w:r>
              <w:rPr>
                <w:rFonts w:hint="eastAsia" w:cs="Times New Roman"/>
                <w:b/>
                <w:bCs/>
                <w:color w:val="auto"/>
                <w:sz w:val="24"/>
                <w:szCs w:val="24"/>
                <w:highlight w:val="none"/>
                <w:lang w:eastAsia="zh-CN"/>
              </w:rPr>
              <w:t>2.</w:t>
            </w:r>
            <w:r>
              <w:rPr>
                <w:rFonts w:ascii="Times New Roman" w:hAnsi="Times New Roman" w:eastAsia="宋体" w:cs="Times New Roman"/>
                <w:b/>
                <w:bCs/>
                <w:color w:val="auto"/>
                <w:sz w:val="24"/>
                <w:szCs w:val="24"/>
                <w:highlight w:val="none"/>
              </w:rPr>
              <w:t>日常运行中环境风险防范措施</w:t>
            </w:r>
          </w:p>
          <w:p w14:paraId="5726E196">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①</w:t>
            </w:r>
            <w:r>
              <w:rPr>
                <w:rFonts w:ascii="Times New Roman" w:hAnsi="Times New Roman" w:eastAsia="宋体" w:cs="Times New Roman"/>
                <w:color w:val="auto"/>
                <w:sz w:val="24"/>
                <w:szCs w:val="24"/>
                <w:highlight w:val="none"/>
              </w:rPr>
              <w:t>安排专人对环保设施和生产设施进行日常维护，如发现问题及时上报维修，必要时要停产检修，确保污染物达标排放。</w:t>
            </w:r>
          </w:p>
          <w:p w14:paraId="1F61324E">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②</w:t>
            </w:r>
            <w:r>
              <w:rPr>
                <w:rFonts w:ascii="Times New Roman" w:hAnsi="Times New Roman" w:eastAsia="宋体" w:cs="Times New Roman"/>
                <w:color w:val="auto"/>
                <w:sz w:val="24"/>
                <w:szCs w:val="24"/>
                <w:highlight w:val="none"/>
              </w:rPr>
              <w:t>应高度重视安全生产工作，严格执行各项安全生产规章制度，</w:t>
            </w:r>
            <w:r>
              <w:rPr>
                <w:rFonts w:hint="eastAsia" w:cs="Times New Roman"/>
                <w:color w:val="auto"/>
                <w:sz w:val="24"/>
                <w:szCs w:val="24"/>
                <w:highlight w:val="none"/>
                <w:lang w:eastAsia="zh-CN"/>
              </w:rPr>
              <w:t>加大</w:t>
            </w:r>
            <w:r>
              <w:rPr>
                <w:rFonts w:ascii="Times New Roman" w:hAnsi="Times New Roman" w:eastAsia="宋体" w:cs="Times New Roman"/>
                <w:color w:val="auto"/>
                <w:sz w:val="24"/>
                <w:szCs w:val="24"/>
                <w:highlight w:val="none"/>
              </w:rPr>
              <w:t>对危险岗位的巡检力度，及时消除事故隐患，安全工作由专人负责。</w:t>
            </w:r>
          </w:p>
          <w:p w14:paraId="6BDEE4B1">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③</w:t>
            </w:r>
            <w:r>
              <w:rPr>
                <w:rFonts w:ascii="Times New Roman" w:hAnsi="Times New Roman" w:eastAsia="宋体" w:cs="Times New Roman"/>
                <w:color w:val="auto"/>
                <w:sz w:val="24"/>
                <w:szCs w:val="24"/>
                <w:highlight w:val="none"/>
              </w:rPr>
              <w:t>上岗操作人员按照规定进行培训，掌握本岗位各种工况下的操作规程。</w:t>
            </w:r>
          </w:p>
          <w:p w14:paraId="422CC47B">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④</w:t>
            </w:r>
            <w:r>
              <w:rPr>
                <w:rFonts w:ascii="Times New Roman" w:hAnsi="Times New Roman" w:eastAsia="宋体" w:cs="Times New Roman"/>
                <w:color w:val="auto"/>
                <w:sz w:val="24"/>
                <w:szCs w:val="24"/>
                <w:highlight w:val="none"/>
              </w:rPr>
              <w:t>超标事故发生时，有关负责人应先停止生产设备，维修或更换处理设备保证污染物达标排放后再生产。</w:t>
            </w:r>
          </w:p>
          <w:p w14:paraId="52C634C6">
            <w:pPr>
              <w:keepLines w:val="0"/>
              <w:pageBreakBefore w:val="0"/>
              <w:widowControl w:val="0"/>
              <w:kinsoku/>
              <w:wordWrap/>
              <w:overflowPunct/>
              <w:topLinePunct w:val="0"/>
              <w:autoSpaceDE/>
              <w:autoSpaceDN/>
              <w:bidi w:val="0"/>
              <w:spacing w:line="240" w:lineRule="auto"/>
              <w:ind w:left="0" w:leftChars="0" w:right="0" w:rightChars="0" w:firstLine="482" w:firstLineChars="200"/>
              <w:jc w:val="left"/>
              <w:textAlignment w:val="auto"/>
              <w:rPr>
                <w:rFonts w:ascii="Times New Roman" w:hAnsi="Times New Roman" w:eastAsia="宋体" w:cs="Times New Roman"/>
                <w:b/>
                <w:bCs/>
                <w:color w:val="auto"/>
                <w:sz w:val="24"/>
                <w:szCs w:val="24"/>
                <w:highlight w:val="none"/>
              </w:rPr>
            </w:pPr>
            <w:r>
              <w:rPr>
                <w:rFonts w:hint="eastAsia" w:cs="Times New Roman"/>
                <w:b/>
                <w:bCs/>
                <w:color w:val="auto"/>
                <w:sz w:val="24"/>
                <w:szCs w:val="24"/>
                <w:highlight w:val="none"/>
                <w:lang w:eastAsia="zh-CN"/>
              </w:rPr>
              <w:t>3.</w:t>
            </w:r>
            <w:r>
              <w:rPr>
                <w:rFonts w:ascii="Times New Roman" w:hAnsi="Times New Roman" w:eastAsia="宋体" w:cs="Times New Roman"/>
                <w:b/>
                <w:bCs/>
                <w:color w:val="auto"/>
                <w:sz w:val="24"/>
                <w:szCs w:val="24"/>
                <w:highlight w:val="none"/>
              </w:rPr>
              <w:t>应急措施</w:t>
            </w:r>
          </w:p>
          <w:p w14:paraId="5D146C1A">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right="0" w:rightChars="0" w:firstLine="480" w:firstLineChars="200"/>
              <w:jc w:val="left"/>
              <w:textAlignment w:val="auto"/>
              <w:rPr>
                <w:rFonts w:hint="eastAsia" w:ascii="Times New Roman" w:hAnsi="Times New Roman" w:eastAsia="宋体" w:cs="Times New Roman"/>
                <w:color w:val="auto"/>
                <w:sz w:val="24"/>
                <w:szCs w:val="24"/>
                <w:highlight w:val="none"/>
                <w:lang w:eastAsia="zh-CN"/>
              </w:rPr>
            </w:pPr>
            <w:r>
              <w:rPr>
                <w:rFonts w:ascii="Times New Roman" w:hAnsi="Times New Roman" w:eastAsia="宋体" w:cs="Times New Roman"/>
                <w:color w:val="auto"/>
                <w:sz w:val="24"/>
                <w:szCs w:val="24"/>
                <w:highlight w:val="none"/>
              </w:rPr>
              <w:t>本项目应编制突发环境事件应急预案，建立健全应急救援体系，成立应急救援办公室和应急救援队伍，明确应急救援队伍成员职责，</w:t>
            </w:r>
            <w:r>
              <w:rPr>
                <w:rFonts w:hint="eastAsia" w:cs="Times New Roman"/>
                <w:color w:val="auto"/>
                <w:sz w:val="24"/>
                <w:szCs w:val="24"/>
                <w:highlight w:val="none"/>
                <w:lang w:eastAsia="zh-CN"/>
              </w:rPr>
              <w:t>制定相应的</w:t>
            </w:r>
            <w:r>
              <w:rPr>
                <w:rFonts w:ascii="Times New Roman" w:hAnsi="Times New Roman" w:eastAsia="宋体" w:cs="Times New Roman"/>
                <w:color w:val="auto"/>
                <w:sz w:val="24"/>
                <w:szCs w:val="24"/>
                <w:highlight w:val="none"/>
              </w:rPr>
              <w:t>预防预警、应急响应、应急处置、应急监测、应急物资保障等措施。</w:t>
            </w:r>
          </w:p>
        </w:tc>
      </w:tr>
      <w:tr w14:paraId="5C40A7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noWrap w:val="0"/>
            <w:vAlign w:val="center"/>
          </w:tcPr>
          <w:p w14:paraId="42B511CF">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auto"/>
                <w:spacing w:val="-8"/>
                <w:sz w:val="24"/>
                <w:szCs w:val="24"/>
                <w:highlight w:val="none"/>
                <w:lang w:val="en-US" w:eastAsia="zh-CN"/>
              </w:rPr>
            </w:pPr>
            <w:r>
              <w:rPr>
                <w:rFonts w:hint="eastAsia" w:cs="Times New Roman"/>
                <w:color w:val="auto"/>
                <w:spacing w:val="-8"/>
                <w:sz w:val="24"/>
                <w:szCs w:val="24"/>
                <w:highlight w:val="none"/>
                <w:lang w:val="en-US" w:eastAsia="zh-CN"/>
              </w:rPr>
              <w:t>防风治沙</w:t>
            </w:r>
          </w:p>
        </w:tc>
        <w:tc>
          <w:tcPr>
            <w:tcW w:w="8068" w:type="dxa"/>
            <w:gridSpan w:val="4"/>
            <w:noWrap w:val="0"/>
            <w:vAlign w:val="center"/>
          </w:tcPr>
          <w:p w14:paraId="21D33507">
            <w:pPr>
              <w:pStyle w:val="111"/>
              <w:keepLines w:val="0"/>
              <w:pageBreakBefore w:val="0"/>
              <w:widowControl w:val="0"/>
              <w:numPr>
                <w:ilvl w:val="0"/>
                <w:numId w:val="0"/>
              </w:numPr>
              <w:kinsoku/>
              <w:wordWrap/>
              <w:overflowPunct/>
              <w:topLinePunct w:val="0"/>
              <w:autoSpaceDE/>
              <w:autoSpaceDN/>
              <w:bidi w:val="0"/>
              <w:spacing w:line="240" w:lineRule="auto"/>
              <w:ind w:right="0" w:rightChars="0" w:firstLine="480" w:firstLineChars="200"/>
              <w:jc w:val="left"/>
              <w:textAlignment w:val="auto"/>
              <w:rPr>
                <w:rFonts w:hint="eastAsia"/>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本项目实施后加强厂区的绿化工作，及时对破损地面硬化，进行防风固沙，减少水土流失，运营期间项目应保持硬化地面完整无裂缝、绿化区植被旺盛地面无裸露。</w:t>
            </w:r>
          </w:p>
        </w:tc>
      </w:tr>
      <w:tr w14:paraId="3E4634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68" w:type="dxa"/>
            <w:noWrap w:val="0"/>
            <w:vAlign w:val="center"/>
          </w:tcPr>
          <w:p w14:paraId="1CFB0F50">
            <w:pPr>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auto"/>
                <w:spacing w:val="-8"/>
                <w:sz w:val="24"/>
                <w:szCs w:val="24"/>
                <w:highlight w:val="none"/>
              </w:rPr>
            </w:pPr>
            <w:r>
              <w:rPr>
                <w:rFonts w:hint="default" w:ascii="Times New Roman" w:hAnsi="Times New Roman" w:cs="Times New Roman"/>
                <w:color w:val="auto"/>
                <w:spacing w:val="-8"/>
                <w:sz w:val="24"/>
                <w:szCs w:val="24"/>
                <w:highlight w:val="none"/>
              </w:rPr>
              <w:t>其他环境管理要求</w:t>
            </w:r>
          </w:p>
        </w:tc>
        <w:tc>
          <w:tcPr>
            <w:tcW w:w="8068" w:type="dxa"/>
            <w:gridSpan w:val="4"/>
            <w:noWrap w:val="0"/>
            <w:vAlign w:val="center"/>
          </w:tcPr>
          <w:p w14:paraId="7A45B4EB">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hint="eastAsia"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eastAsia="zh-CN"/>
              </w:rPr>
              <w:t>1.</w:t>
            </w:r>
            <w:r>
              <w:rPr>
                <w:rFonts w:ascii="Times New Roman" w:hAnsi="Times New Roman" w:eastAsia="宋体" w:cs="Times New Roman"/>
                <w:color w:val="auto"/>
                <w:sz w:val="24"/>
                <w:szCs w:val="24"/>
                <w:highlight w:val="none"/>
              </w:rPr>
              <w:t>排污口规范化：严格按照</w:t>
            </w:r>
            <w:r>
              <w:rPr>
                <w:rFonts w:hint="eastAsia" w:ascii="Times New Roman" w:hAnsi="Times New Roman" w:eastAsia="宋体" w:cs="Times New Roman"/>
                <w:color w:val="auto"/>
                <w:sz w:val="24"/>
                <w:szCs w:val="24"/>
                <w:highlight w:val="none"/>
                <w:lang w:eastAsia="zh-CN"/>
              </w:rPr>
              <w:t>《排污单位污染物排放口监测点位设置技术规范》（</w:t>
            </w:r>
            <w:r>
              <w:rPr>
                <w:rFonts w:hint="eastAsia" w:ascii="Times New Roman" w:hAnsi="Times New Roman" w:eastAsia="宋体" w:cs="Times New Roman"/>
                <w:color w:val="auto"/>
                <w:sz w:val="24"/>
                <w:szCs w:val="24"/>
                <w:highlight w:val="none"/>
                <w:lang w:val="en-US" w:eastAsia="zh-CN"/>
              </w:rPr>
              <w:t>HJ1405-2024</w:t>
            </w:r>
            <w:r>
              <w:rPr>
                <w:rFonts w:hint="eastAsia" w:ascii="Times New Roman" w:hAnsi="Times New Roman" w:eastAsia="宋体" w:cs="Times New Roman"/>
                <w:color w:val="auto"/>
                <w:sz w:val="24"/>
                <w:szCs w:val="24"/>
                <w:highlight w:val="none"/>
                <w:lang w:eastAsia="zh-CN"/>
              </w:rPr>
              <w:t>）</w:t>
            </w:r>
            <w:r>
              <w:rPr>
                <w:rFonts w:ascii="Times New Roman" w:hAnsi="Times New Roman" w:eastAsia="宋体" w:cs="Times New Roman"/>
                <w:color w:val="auto"/>
                <w:sz w:val="24"/>
                <w:szCs w:val="24"/>
                <w:highlight w:val="none"/>
              </w:rPr>
              <w:t>建立规范化排污口，设检测孔及监测平台，设排污口</w:t>
            </w:r>
            <w:r>
              <w:rPr>
                <w:rFonts w:hint="eastAsia" w:cs="Times New Roman"/>
                <w:color w:val="auto"/>
                <w:sz w:val="24"/>
                <w:szCs w:val="24"/>
                <w:highlight w:val="none"/>
                <w:lang w:eastAsia="zh-CN"/>
              </w:rPr>
              <w:t>标识牌</w:t>
            </w:r>
            <w:r>
              <w:rPr>
                <w:rFonts w:ascii="Times New Roman" w:hAnsi="Times New Roman" w:eastAsia="宋体" w:cs="Times New Roman"/>
                <w:color w:val="auto"/>
                <w:sz w:val="24"/>
                <w:szCs w:val="24"/>
                <w:highlight w:val="none"/>
              </w:rPr>
              <w:t>，建立规范化排污口档案</w:t>
            </w:r>
            <w:r>
              <w:rPr>
                <w:rFonts w:hint="eastAsia" w:cs="Times New Roman"/>
                <w:color w:val="auto"/>
                <w:sz w:val="24"/>
                <w:szCs w:val="24"/>
                <w:highlight w:val="none"/>
                <w:lang w:eastAsia="zh-CN"/>
              </w:rPr>
              <w:t>。</w:t>
            </w:r>
          </w:p>
          <w:p w14:paraId="2CDFE281">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ascii="Times New Roman" w:hAnsi="Times New Roman" w:eastAsia="宋体" w:cs="Times New Roman"/>
                <w:color w:val="auto"/>
                <w:sz w:val="24"/>
                <w:szCs w:val="24"/>
                <w:highlight w:val="none"/>
              </w:rPr>
            </w:pPr>
            <w:r>
              <w:rPr>
                <w:rFonts w:hint="eastAsia" w:cs="Times New Roman"/>
                <w:color w:val="auto"/>
                <w:sz w:val="24"/>
                <w:szCs w:val="24"/>
                <w:highlight w:val="none"/>
                <w:lang w:eastAsia="zh-CN"/>
              </w:rPr>
              <w:t>2.</w:t>
            </w:r>
            <w:r>
              <w:rPr>
                <w:rFonts w:ascii="Times New Roman" w:hAnsi="Times New Roman" w:eastAsia="宋体" w:cs="Times New Roman"/>
                <w:color w:val="auto"/>
                <w:sz w:val="24"/>
                <w:szCs w:val="24"/>
                <w:highlight w:val="none"/>
              </w:rPr>
              <w:t>项目依据《排污许可管理办法（试行）》（生态环境部令第7号修改）、《排污许可管理条例》（中华人民共和国国务院令第736号）等相关要求，建设单位必须按期持证排污、按证排污，不得无证排污，及时申领排污许可证。根据</w:t>
            </w:r>
            <w:r>
              <w:rPr>
                <w:rFonts w:hint="eastAsia" w:cs="Times New Roman"/>
                <w:b w:val="0"/>
                <w:bCs w:val="0"/>
                <w:snapToGrid w:val="0"/>
                <w:color w:val="auto"/>
                <w:sz w:val="24"/>
                <w:highlight w:val="none"/>
                <w:lang w:eastAsia="zh-CN"/>
              </w:rPr>
              <w:t>《</w:t>
            </w:r>
            <w:r>
              <w:rPr>
                <w:rFonts w:hint="default" w:ascii="Times New Roman" w:hAnsi="Times New Roman" w:eastAsia="宋体" w:cs="Times New Roman"/>
                <w:b w:val="0"/>
                <w:bCs w:val="0"/>
                <w:snapToGrid w:val="0"/>
                <w:color w:val="auto"/>
                <w:sz w:val="24"/>
                <w:highlight w:val="none"/>
              </w:rPr>
              <w:t>排污许可证申请与核发技术规范 家具制造工业</w:t>
            </w:r>
            <w:r>
              <w:rPr>
                <w:rFonts w:hint="eastAsia" w:cs="Times New Roman"/>
                <w:b w:val="0"/>
                <w:bCs w:val="0"/>
                <w:snapToGrid w:val="0"/>
                <w:color w:val="auto"/>
                <w:sz w:val="24"/>
                <w:highlight w:val="none"/>
                <w:lang w:eastAsia="zh-CN"/>
              </w:rPr>
              <w:t>》</w:t>
            </w:r>
            <w:r>
              <w:rPr>
                <w:rFonts w:hint="default" w:ascii="Times New Roman" w:hAnsi="Times New Roman" w:eastAsia="宋体" w:cs="Times New Roman"/>
                <w:b w:val="0"/>
                <w:bCs w:val="0"/>
                <w:snapToGrid w:val="0"/>
                <w:color w:val="auto"/>
                <w:sz w:val="24"/>
                <w:highlight w:val="none"/>
              </w:rPr>
              <w:t>（HJ1027-2019）</w:t>
            </w:r>
            <w:r>
              <w:rPr>
                <w:rFonts w:ascii="Times New Roman" w:hAnsi="Times New Roman" w:eastAsia="宋体" w:cs="Times New Roman"/>
                <w:color w:val="auto"/>
                <w:sz w:val="24"/>
                <w:szCs w:val="24"/>
                <w:highlight w:val="none"/>
              </w:rPr>
              <w:t>及《</w:t>
            </w:r>
            <w:r>
              <w:rPr>
                <w:color w:val="auto"/>
                <w:sz w:val="24"/>
                <w:szCs w:val="24"/>
                <w:highlight w:val="none"/>
              </w:rPr>
              <w:fldChar w:fldCharType="begin"/>
            </w:r>
            <w:r>
              <w:rPr>
                <w:color w:val="auto"/>
                <w:sz w:val="24"/>
                <w:szCs w:val="24"/>
                <w:highlight w:val="none"/>
              </w:rPr>
              <w:instrText xml:space="preserve"> HYPERLINK "https://www.eiacloud.com/hpyzs/lawsRegulations/csSearchDetail?modelName=%E6%8E%92%E6%B1%A1%E5%90%8D%E5%BD%95&amp;id=9201ae5ce86b424ea1a4ae97a95499a5" \h </w:instrText>
            </w:r>
            <w:r>
              <w:rPr>
                <w:color w:val="auto"/>
                <w:sz w:val="24"/>
                <w:szCs w:val="24"/>
                <w:highlight w:val="none"/>
              </w:rPr>
              <w:fldChar w:fldCharType="separate"/>
            </w:r>
            <w:r>
              <w:rPr>
                <w:rFonts w:ascii="Times New Roman" w:hAnsi="Times New Roman" w:eastAsia="宋体" w:cs="Times New Roman"/>
                <w:color w:val="auto"/>
                <w:sz w:val="24"/>
                <w:szCs w:val="24"/>
                <w:highlight w:val="none"/>
              </w:rPr>
              <w:t>排污许可证申请与核发技</w:t>
            </w:r>
            <w:r>
              <w:rPr>
                <w:rFonts w:ascii="Times New Roman" w:hAnsi="Times New Roman" w:eastAsia="宋体" w:cs="Times New Roman"/>
                <w:color w:val="auto"/>
                <w:sz w:val="24"/>
                <w:szCs w:val="24"/>
                <w:highlight w:val="none"/>
              </w:rPr>
              <w:fldChar w:fldCharType="end"/>
            </w:r>
            <w:r>
              <w:rPr>
                <w:rFonts w:ascii="Times New Roman" w:hAnsi="Times New Roman" w:eastAsia="宋体" w:cs="Times New Roman"/>
                <w:color w:val="auto"/>
                <w:sz w:val="24"/>
                <w:szCs w:val="24"/>
                <w:highlight w:val="none"/>
              </w:rPr>
              <w:t>术规范橡胶和塑料制品工业》（HJ1122-2020），判定本项目应进行登记管理。</w:t>
            </w:r>
          </w:p>
          <w:p w14:paraId="7F6E6072">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ascii="Times New Roman" w:hAnsi="Times New Roman" w:eastAsia="宋体" w:cs="Times New Roman"/>
                <w:color w:val="auto"/>
                <w:sz w:val="24"/>
                <w:szCs w:val="24"/>
                <w:highlight w:val="none"/>
              </w:rPr>
            </w:pPr>
            <w:r>
              <w:rPr>
                <w:rFonts w:hint="eastAsia" w:cs="Times New Roman"/>
                <w:color w:val="auto"/>
                <w:sz w:val="24"/>
                <w:szCs w:val="24"/>
                <w:highlight w:val="none"/>
                <w:lang w:eastAsia="zh-CN"/>
              </w:rPr>
              <w:t>3.</w:t>
            </w:r>
            <w:r>
              <w:rPr>
                <w:rFonts w:ascii="Times New Roman" w:hAnsi="Times New Roman" w:eastAsia="宋体" w:cs="Times New Roman"/>
                <w:color w:val="auto"/>
                <w:sz w:val="24"/>
                <w:szCs w:val="24"/>
                <w:highlight w:val="none"/>
              </w:rPr>
              <w:t>建设单位应严格遵循“三同时”制度，即项目环保措施与主体工程同时设计、同时施工、同时投产使用。且项目竣工后应按照规定办理竣工验收手续，在验收前申请排污许可证，持证验收，经验收合格后方可投入使用。同时企业应贯彻落实国家相关法律法规及政策，以国家相关法律法规为依据，落实防治环境污染措施，建立排污口规范化档案及环境管理台账。</w:t>
            </w:r>
          </w:p>
          <w:p w14:paraId="2513F232">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ascii="Times New Roman" w:hAnsi="Times New Roman" w:eastAsia="宋体" w:cs="Times New Roman"/>
                <w:color w:val="auto"/>
                <w:sz w:val="24"/>
                <w:szCs w:val="24"/>
                <w:highlight w:val="none"/>
              </w:rPr>
            </w:pPr>
            <w:r>
              <w:rPr>
                <w:rFonts w:hint="eastAsia" w:cs="Times New Roman"/>
                <w:color w:val="auto"/>
                <w:sz w:val="24"/>
                <w:szCs w:val="24"/>
                <w:highlight w:val="none"/>
                <w:lang w:eastAsia="zh-CN"/>
              </w:rPr>
              <w:t>4.</w:t>
            </w:r>
            <w:r>
              <w:rPr>
                <w:rFonts w:ascii="Times New Roman" w:hAnsi="Times New Roman" w:eastAsia="宋体" w:cs="Times New Roman"/>
                <w:color w:val="auto"/>
                <w:sz w:val="24"/>
                <w:szCs w:val="24"/>
                <w:highlight w:val="none"/>
              </w:rPr>
              <w:t>监测计划：项目运营期要加强废气、噪声、固废监测，按照本评价制定的自行监测方案进行监测。活性炭</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废催化剂</w:t>
            </w:r>
            <w:r>
              <w:rPr>
                <w:rFonts w:ascii="Times New Roman" w:hAnsi="Times New Roman" w:eastAsia="宋体" w:cs="Times New Roman"/>
                <w:color w:val="auto"/>
                <w:sz w:val="24"/>
                <w:szCs w:val="24"/>
                <w:highlight w:val="none"/>
              </w:rPr>
              <w:t>按要求及时更换、规范储存。</w:t>
            </w:r>
          </w:p>
          <w:p w14:paraId="5E295AEE">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ascii="Times New Roman" w:hAnsi="Times New Roman" w:eastAsia="宋体" w:cs="Times New Roman"/>
                <w:color w:val="auto"/>
                <w:sz w:val="24"/>
                <w:szCs w:val="24"/>
                <w:highlight w:val="none"/>
              </w:rPr>
            </w:pPr>
            <w:r>
              <w:rPr>
                <w:rFonts w:hint="eastAsia" w:cs="Times New Roman"/>
                <w:color w:val="auto"/>
                <w:sz w:val="24"/>
                <w:szCs w:val="24"/>
                <w:highlight w:val="none"/>
                <w:lang w:eastAsia="zh-CN"/>
              </w:rPr>
              <w:t>5.</w:t>
            </w:r>
            <w:r>
              <w:rPr>
                <w:rFonts w:ascii="Times New Roman" w:hAnsi="Times New Roman" w:eastAsia="宋体" w:cs="Times New Roman"/>
                <w:color w:val="auto"/>
                <w:sz w:val="24"/>
                <w:szCs w:val="24"/>
                <w:highlight w:val="none"/>
              </w:rPr>
              <w:t>参照《重污染天气重点行业移动源应急管理技术指南》的要求，建立门禁视频监控系统和电子台账。</w:t>
            </w:r>
          </w:p>
          <w:p w14:paraId="70BCF66A">
            <w:pPr>
              <w:keepLines w:val="0"/>
              <w:pageBreakBefore w:val="0"/>
              <w:widowControl w:val="0"/>
              <w:kinsoku/>
              <w:wordWrap/>
              <w:overflowPunct/>
              <w:topLinePunct w:val="0"/>
              <w:autoSpaceDE/>
              <w:autoSpaceDN/>
              <w:bidi w:val="0"/>
              <w:spacing w:line="240" w:lineRule="auto"/>
              <w:ind w:left="0" w:leftChars="0" w:right="0" w:rightChars="0" w:firstLine="480" w:firstLineChars="200"/>
              <w:jc w:val="left"/>
              <w:textAlignment w:val="auto"/>
              <w:rPr>
                <w:rFonts w:ascii="Times New Roman" w:hAnsi="Times New Roman" w:eastAsia="宋体" w:cs="Times New Roman"/>
                <w:color w:val="auto"/>
                <w:sz w:val="24"/>
                <w:szCs w:val="24"/>
                <w:highlight w:val="none"/>
              </w:rPr>
            </w:pPr>
            <w:r>
              <w:rPr>
                <w:rFonts w:hint="eastAsia" w:cs="Times New Roman"/>
                <w:color w:val="auto"/>
                <w:sz w:val="24"/>
                <w:szCs w:val="24"/>
                <w:highlight w:val="none"/>
                <w:lang w:eastAsia="zh-CN"/>
              </w:rPr>
              <w:t>6.</w:t>
            </w:r>
            <w:r>
              <w:rPr>
                <w:rFonts w:ascii="Times New Roman" w:hAnsi="Times New Roman" w:eastAsia="宋体" w:cs="Times New Roman"/>
                <w:color w:val="auto"/>
                <w:sz w:val="24"/>
                <w:szCs w:val="24"/>
                <w:highlight w:val="none"/>
              </w:rPr>
              <w:t>本项目挥发性有机物总量削减方案由建设单位按照</w:t>
            </w:r>
            <w:r>
              <w:rPr>
                <w:rFonts w:hint="eastAsia" w:ascii="Times New Roman" w:hAnsi="Times New Roman" w:eastAsia="宋体" w:cs="Times New Roman"/>
                <w:color w:val="auto"/>
                <w:sz w:val="24"/>
                <w:szCs w:val="24"/>
                <w:highlight w:val="none"/>
                <w:lang w:val="en-US" w:eastAsia="zh-CN"/>
              </w:rPr>
              <w:t>当地</w:t>
            </w:r>
            <w:r>
              <w:rPr>
                <w:rFonts w:ascii="Times New Roman" w:hAnsi="Times New Roman" w:eastAsia="宋体" w:cs="Times New Roman"/>
                <w:color w:val="auto"/>
                <w:sz w:val="24"/>
                <w:szCs w:val="24"/>
                <w:highlight w:val="none"/>
              </w:rPr>
              <w:t>管理部门的要求在本项目取得环评批复前办理完成。</w:t>
            </w:r>
          </w:p>
          <w:p w14:paraId="7D251F32">
            <w:pPr>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right="0" w:rightChars="0" w:firstLine="480" w:firstLineChars="200"/>
              <w:jc w:val="left"/>
              <w:textAlignment w:val="auto"/>
              <w:rPr>
                <w:rFonts w:hint="eastAsia" w:cs="Times New Roman"/>
                <w:color w:val="auto"/>
                <w:sz w:val="24"/>
                <w:szCs w:val="24"/>
                <w:highlight w:val="none"/>
                <w:lang w:val="en-US" w:eastAsia="zh-CN"/>
              </w:rPr>
            </w:pPr>
          </w:p>
          <w:p w14:paraId="3B0F3289">
            <w:pPr>
              <w:pStyle w:val="2"/>
              <w:keepLines w:val="0"/>
              <w:pageBreakBefore w:val="0"/>
              <w:widowControl w:val="0"/>
              <w:kinsoku/>
              <w:wordWrap/>
              <w:overflowPunct/>
              <w:topLinePunct w:val="0"/>
              <w:autoSpaceDE/>
              <w:autoSpaceDN/>
              <w:bidi w:val="0"/>
              <w:ind w:firstLine="482" w:firstLineChars="200"/>
              <w:jc w:val="left"/>
              <w:textAlignment w:val="auto"/>
              <w:rPr>
                <w:rFonts w:hint="eastAsia" w:cs="Times New Roman"/>
                <w:color w:val="auto"/>
                <w:sz w:val="24"/>
                <w:szCs w:val="24"/>
                <w:highlight w:val="none"/>
                <w:lang w:val="en-US" w:eastAsia="zh-CN"/>
              </w:rPr>
            </w:pPr>
          </w:p>
          <w:p w14:paraId="742392E1">
            <w:pPr>
              <w:rPr>
                <w:rFonts w:hint="eastAsia" w:cs="Times New Roman"/>
                <w:color w:val="auto"/>
                <w:sz w:val="24"/>
                <w:szCs w:val="24"/>
                <w:highlight w:val="none"/>
                <w:lang w:val="en-US" w:eastAsia="zh-CN"/>
              </w:rPr>
            </w:pPr>
          </w:p>
          <w:p w14:paraId="376C0099">
            <w:pPr>
              <w:pStyle w:val="43"/>
              <w:rPr>
                <w:rFonts w:hint="eastAsia" w:cs="Times New Roman"/>
                <w:color w:val="auto"/>
                <w:sz w:val="24"/>
                <w:szCs w:val="24"/>
                <w:highlight w:val="none"/>
                <w:lang w:val="en-US" w:eastAsia="zh-CN"/>
              </w:rPr>
            </w:pPr>
          </w:p>
          <w:p w14:paraId="0D29BF91">
            <w:pPr>
              <w:pStyle w:val="45"/>
              <w:rPr>
                <w:rFonts w:hint="eastAsia" w:cs="Times New Roman"/>
                <w:color w:val="auto"/>
                <w:sz w:val="24"/>
                <w:szCs w:val="24"/>
                <w:highlight w:val="none"/>
                <w:lang w:val="en-US" w:eastAsia="zh-CN"/>
              </w:rPr>
            </w:pPr>
          </w:p>
          <w:p w14:paraId="72E7C936">
            <w:pPr>
              <w:rPr>
                <w:rFonts w:hint="eastAsia" w:cs="Times New Roman"/>
                <w:color w:val="auto"/>
                <w:sz w:val="24"/>
                <w:szCs w:val="24"/>
                <w:highlight w:val="none"/>
                <w:lang w:val="en-US" w:eastAsia="zh-CN"/>
              </w:rPr>
            </w:pPr>
          </w:p>
          <w:p w14:paraId="1C04377E">
            <w:pPr>
              <w:pStyle w:val="43"/>
              <w:rPr>
                <w:rFonts w:hint="eastAsia" w:cs="Times New Roman"/>
                <w:color w:val="auto"/>
                <w:sz w:val="24"/>
                <w:szCs w:val="24"/>
                <w:highlight w:val="none"/>
                <w:lang w:val="en-US" w:eastAsia="zh-CN"/>
              </w:rPr>
            </w:pPr>
          </w:p>
          <w:p w14:paraId="6364521C">
            <w:pPr>
              <w:pStyle w:val="45"/>
              <w:rPr>
                <w:rFonts w:hint="eastAsia" w:cs="Times New Roman"/>
                <w:color w:val="auto"/>
                <w:sz w:val="24"/>
                <w:szCs w:val="24"/>
                <w:highlight w:val="none"/>
                <w:lang w:val="en-US" w:eastAsia="zh-CN"/>
              </w:rPr>
            </w:pPr>
          </w:p>
          <w:p w14:paraId="429D5F7B">
            <w:pPr>
              <w:rPr>
                <w:rFonts w:hint="eastAsia"/>
                <w:color w:val="auto"/>
                <w:lang w:val="en-US" w:eastAsia="zh-CN"/>
              </w:rPr>
            </w:pPr>
          </w:p>
          <w:p w14:paraId="2DF149E8">
            <w:pPr>
              <w:pStyle w:val="2"/>
              <w:keepLines w:val="0"/>
              <w:pageBreakBefore w:val="0"/>
              <w:widowControl w:val="0"/>
              <w:kinsoku/>
              <w:wordWrap/>
              <w:overflowPunct/>
              <w:topLinePunct w:val="0"/>
              <w:autoSpaceDE/>
              <w:autoSpaceDN/>
              <w:bidi w:val="0"/>
              <w:ind w:left="0" w:leftChars="0" w:firstLine="0" w:firstLineChars="0"/>
              <w:jc w:val="left"/>
              <w:textAlignment w:val="auto"/>
              <w:rPr>
                <w:rFonts w:hint="eastAsia"/>
                <w:color w:val="auto"/>
                <w:highlight w:val="none"/>
                <w:lang w:val="en-US" w:eastAsia="zh-CN"/>
              </w:rPr>
            </w:pPr>
          </w:p>
          <w:p w14:paraId="2F50237A">
            <w:pPr>
              <w:rPr>
                <w:rFonts w:hint="eastAsia"/>
                <w:color w:val="auto"/>
                <w:highlight w:val="none"/>
                <w:lang w:val="en-US" w:eastAsia="zh-CN"/>
              </w:rPr>
            </w:pPr>
          </w:p>
          <w:p w14:paraId="720352FE">
            <w:pPr>
              <w:pStyle w:val="43"/>
              <w:rPr>
                <w:rFonts w:hint="eastAsia"/>
                <w:color w:val="auto"/>
                <w:highlight w:val="none"/>
                <w:lang w:val="en-US" w:eastAsia="zh-CN"/>
              </w:rPr>
            </w:pPr>
          </w:p>
          <w:p w14:paraId="1F09DE8B">
            <w:pPr>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right="0" w:rightChars="0" w:firstLine="480" w:firstLineChars="200"/>
              <w:jc w:val="left"/>
              <w:textAlignment w:val="auto"/>
              <w:rPr>
                <w:rFonts w:hint="default" w:cs="Times New Roman"/>
                <w:color w:val="auto"/>
                <w:sz w:val="24"/>
                <w:szCs w:val="24"/>
                <w:highlight w:val="none"/>
                <w:lang w:val="en-US" w:eastAsia="zh-CN"/>
              </w:rPr>
            </w:pPr>
          </w:p>
        </w:tc>
      </w:tr>
    </w:tbl>
    <w:p w14:paraId="47BF80F6">
      <w:pPr>
        <w:pStyle w:val="30"/>
        <w:jc w:val="center"/>
        <w:outlineLvl w:val="0"/>
        <w:rPr>
          <w:rFonts w:ascii="Times New Roman" w:hAnsi="Times New Roman" w:eastAsia="黑体"/>
          <w:snapToGrid w:val="0"/>
          <w:color w:val="auto"/>
          <w:sz w:val="30"/>
          <w:szCs w:val="30"/>
          <w:highlight w:val="none"/>
        </w:rPr>
      </w:pPr>
      <w:r>
        <w:rPr>
          <w:rFonts w:hint="default" w:ascii="Times New Roman" w:hAnsi="Times New Roman" w:cs="Times New Roman"/>
          <w:snapToGrid w:val="0"/>
          <w:color w:val="auto"/>
          <w:highlight w:val="none"/>
        </w:rPr>
        <w:br w:type="page"/>
      </w:r>
      <w:bookmarkStart w:id="52" w:name="_Toc5970"/>
      <w:r>
        <w:rPr>
          <w:rFonts w:ascii="Times New Roman" w:hAnsi="Times New Roman" w:eastAsia="黑体"/>
          <w:snapToGrid w:val="0"/>
          <w:color w:val="auto"/>
          <w:sz w:val="30"/>
          <w:szCs w:val="30"/>
          <w:highlight w:val="none"/>
        </w:rPr>
        <w:t>六、结论</w:t>
      </w:r>
      <w:bookmarkEnd w:id="52"/>
    </w:p>
    <w:tbl>
      <w:tblPr>
        <w:tblStyle w:val="34"/>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0A9845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noWrap w:val="0"/>
            <w:vAlign w:val="center"/>
          </w:tcPr>
          <w:p w14:paraId="6D0E3DEE">
            <w:pPr>
              <w:spacing w:line="360" w:lineRule="auto"/>
              <w:ind w:firstLine="480" w:firstLineChars="200"/>
              <w:rPr>
                <w:color w:val="auto"/>
                <w:sz w:val="24"/>
                <w:highlight w:val="none"/>
              </w:rPr>
            </w:pPr>
            <w:r>
              <w:rPr>
                <w:color w:val="auto"/>
                <w:sz w:val="24"/>
                <w:highlight w:val="none"/>
              </w:rPr>
              <w:t>项目的建设符合国家和地方产业政策，</w:t>
            </w:r>
            <w:r>
              <w:rPr>
                <w:rFonts w:hint="eastAsia"/>
                <w:color w:val="auto"/>
                <w:sz w:val="24"/>
                <w:highlight w:val="none"/>
                <w:lang w:eastAsia="zh-CN"/>
              </w:rPr>
              <w:t>项目</w:t>
            </w:r>
            <w:r>
              <w:rPr>
                <w:color w:val="auto"/>
                <w:sz w:val="24"/>
                <w:highlight w:val="none"/>
              </w:rPr>
              <w:t>投入使用后，对产生的废气、噪声等均采取了相应的处理及防治措施，可以做到“达标排放”。从环境保护的角度分析，在全面落实本评价提出的各项环保措施的前提下，</w:t>
            </w:r>
            <w:r>
              <w:rPr>
                <w:rFonts w:hint="eastAsia"/>
                <w:color w:val="auto"/>
                <w:sz w:val="24"/>
                <w:highlight w:val="none"/>
                <w:lang w:eastAsia="zh-CN"/>
              </w:rPr>
              <w:t>项目</w:t>
            </w:r>
            <w:r>
              <w:rPr>
                <w:color w:val="auto"/>
                <w:sz w:val="24"/>
                <w:highlight w:val="none"/>
              </w:rPr>
              <w:t>的建设是可行的。</w:t>
            </w:r>
          </w:p>
          <w:p w14:paraId="260386BA">
            <w:pPr>
              <w:spacing w:line="360" w:lineRule="auto"/>
              <w:rPr>
                <w:color w:val="auto"/>
                <w:sz w:val="24"/>
                <w:highlight w:val="none"/>
              </w:rPr>
            </w:pPr>
          </w:p>
        </w:tc>
      </w:tr>
    </w:tbl>
    <w:p w14:paraId="4E39FBAD">
      <w:pPr>
        <w:rPr>
          <w:color w:val="auto"/>
          <w:highlight w:val="none"/>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3570EE6E">
      <w:pPr>
        <w:pStyle w:val="30"/>
        <w:adjustRightInd w:val="0"/>
        <w:snapToGrid w:val="0"/>
        <w:spacing w:before="0" w:beforeAutospacing="0" w:after="0" w:afterAutospacing="0" w:line="360" w:lineRule="auto"/>
        <w:outlineLvl w:val="0"/>
        <w:rPr>
          <w:rFonts w:ascii="Times New Roman" w:hAnsi="Times New Roman" w:eastAsia="黑体"/>
          <w:snapToGrid w:val="0"/>
          <w:color w:val="auto"/>
          <w:sz w:val="32"/>
          <w:szCs w:val="32"/>
          <w:highlight w:val="none"/>
        </w:rPr>
      </w:pPr>
      <w:bookmarkStart w:id="53" w:name="_Toc15395"/>
      <w:r>
        <w:rPr>
          <w:rFonts w:ascii="Times New Roman" w:hAnsi="Times New Roman" w:eastAsia="黑体"/>
          <w:snapToGrid w:val="0"/>
          <w:color w:val="auto"/>
          <w:sz w:val="32"/>
          <w:szCs w:val="32"/>
          <w:highlight w:val="none"/>
        </w:rPr>
        <w:t>附表</w:t>
      </w:r>
      <w:bookmarkEnd w:id="53"/>
    </w:p>
    <w:p w14:paraId="71E1DE30">
      <w:pPr>
        <w:pStyle w:val="30"/>
        <w:adjustRightInd w:val="0"/>
        <w:snapToGrid w:val="0"/>
        <w:spacing w:before="0" w:beforeAutospacing="0" w:after="0" w:afterAutospacing="0" w:line="360" w:lineRule="auto"/>
        <w:jc w:val="center"/>
        <w:outlineLvl w:val="0"/>
        <w:rPr>
          <w:rFonts w:ascii="Times New Roman" w:hAnsi="Times New Roman" w:eastAsia="方正小标宋_GBK"/>
          <w:snapToGrid w:val="0"/>
          <w:color w:val="auto"/>
          <w:sz w:val="38"/>
          <w:szCs w:val="38"/>
          <w:highlight w:val="none"/>
        </w:rPr>
      </w:pPr>
      <w:bookmarkStart w:id="54" w:name="_Toc5406"/>
      <w:r>
        <w:rPr>
          <w:rFonts w:ascii="Times New Roman" w:hAnsi="Times New Roman" w:eastAsia="方正小标宋_GBK"/>
          <w:snapToGrid w:val="0"/>
          <w:color w:val="auto"/>
          <w:sz w:val="38"/>
          <w:szCs w:val="38"/>
          <w:highlight w:val="none"/>
        </w:rPr>
        <w:t>建设项目污染物排放量汇总表</w:t>
      </w:r>
      <w:bookmarkEnd w:id="54"/>
    </w:p>
    <w:tbl>
      <w:tblPr>
        <w:tblStyle w:val="34"/>
        <w:tblW w:w="13615"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7"/>
        <w:gridCol w:w="1536"/>
        <w:gridCol w:w="1442"/>
        <w:gridCol w:w="1219"/>
        <w:gridCol w:w="1165"/>
        <w:gridCol w:w="1423"/>
        <w:gridCol w:w="1043"/>
        <w:gridCol w:w="2152"/>
        <w:gridCol w:w="2118"/>
      </w:tblGrid>
      <w:tr w14:paraId="5C826D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5" w:hRule="atLeast"/>
        </w:trPr>
        <w:tc>
          <w:tcPr>
            <w:tcW w:w="1517" w:type="dxa"/>
            <w:tcBorders>
              <w:tl2br w:val="single" w:color="auto" w:sz="4" w:space="0"/>
            </w:tcBorders>
            <w:noWrap w:val="0"/>
            <w:tcMar>
              <w:left w:w="28" w:type="dxa"/>
              <w:right w:w="28" w:type="dxa"/>
            </w:tcMar>
            <w:vAlign w:val="center"/>
          </w:tcPr>
          <w:p w14:paraId="6AE21FA3">
            <w:pPr>
              <w:pStyle w:val="67"/>
              <w:spacing w:beforeLines="0" w:afterLines="0" w:line="240" w:lineRule="auto"/>
              <w:jc w:val="right"/>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项目</w:t>
            </w:r>
          </w:p>
          <w:p w14:paraId="34D706CD">
            <w:pPr>
              <w:pStyle w:val="67"/>
              <w:spacing w:beforeLines="0" w:afterLines="0" w:line="240" w:lineRule="auto"/>
              <w:jc w:val="left"/>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分类</w:t>
            </w:r>
          </w:p>
        </w:tc>
        <w:tc>
          <w:tcPr>
            <w:tcW w:w="1536" w:type="dxa"/>
            <w:noWrap w:val="0"/>
            <w:tcMar>
              <w:left w:w="28" w:type="dxa"/>
              <w:right w:w="28" w:type="dxa"/>
            </w:tcMar>
            <w:vAlign w:val="center"/>
          </w:tcPr>
          <w:p w14:paraId="1E35C4F3">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污染物名称</w:t>
            </w:r>
          </w:p>
        </w:tc>
        <w:tc>
          <w:tcPr>
            <w:tcW w:w="1442" w:type="dxa"/>
            <w:noWrap w:val="0"/>
            <w:tcMar>
              <w:left w:w="28" w:type="dxa"/>
              <w:right w:w="28" w:type="dxa"/>
            </w:tcMar>
            <w:vAlign w:val="center"/>
          </w:tcPr>
          <w:p w14:paraId="612C7307">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现有工程</w:t>
            </w:r>
          </w:p>
          <w:p w14:paraId="6107EF3C">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排放量（固体废物产生量）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1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①</w:t>
            </w:r>
            <w:r>
              <w:rPr>
                <w:rFonts w:hint="default" w:ascii="Times New Roman" w:hAnsi="Times New Roman" w:eastAsia="黑体" w:cs="Times New Roman"/>
                <w:snapToGrid w:val="0"/>
                <w:color w:val="auto"/>
                <w:spacing w:val="-6"/>
                <w:kern w:val="21"/>
                <w:szCs w:val="21"/>
                <w:highlight w:val="none"/>
              </w:rPr>
              <w:fldChar w:fldCharType="end"/>
            </w:r>
          </w:p>
        </w:tc>
        <w:tc>
          <w:tcPr>
            <w:tcW w:w="1219" w:type="dxa"/>
            <w:noWrap w:val="0"/>
            <w:tcMar>
              <w:left w:w="28" w:type="dxa"/>
              <w:right w:w="28" w:type="dxa"/>
            </w:tcMar>
            <w:vAlign w:val="center"/>
          </w:tcPr>
          <w:p w14:paraId="7F70B8BC">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现有工程</w:t>
            </w:r>
          </w:p>
          <w:p w14:paraId="3DA8558D">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许可排放量</w:t>
            </w:r>
          </w:p>
          <w:p w14:paraId="2028AB06">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2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snapToGrid w:val="0"/>
                <w:color w:val="auto"/>
                <w:spacing w:val="-6"/>
                <w:kern w:val="21"/>
                <w:szCs w:val="21"/>
                <w:highlight w:val="none"/>
              </w:rPr>
              <w:t>②</w:t>
            </w:r>
            <w:r>
              <w:rPr>
                <w:rFonts w:hint="default" w:ascii="Times New Roman" w:hAnsi="Times New Roman" w:eastAsia="黑体" w:cs="Times New Roman"/>
                <w:snapToGrid w:val="0"/>
                <w:color w:val="auto"/>
                <w:spacing w:val="-6"/>
                <w:kern w:val="21"/>
                <w:szCs w:val="21"/>
                <w:highlight w:val="none"/>
              </w:rPr>
              <w:fldChar w:fldCharType="end"/>
            </w:r>
          </w:p>
        </w:tc>
        <w:tc>
          <w:tcPr>
            <w:tcW w:w="1165" w:type="dxa"/>
            <w:noWrap w:val="0"/>
            <w:tcMar>
              <w:left w:w="28" w:type="dxa"/>
              <w:right w:w="28" w:type="dxa"/>
            </w:tcMar>
            <w:vAlign w:val="center"/>
          </w:tcPr>
          <w:p w14:paraId="632C18E8">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在建工程</w:t>
            </w:r>
          </w:p>
          <w:p w14:paraId="3A51CAB2">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排放量（固体废物产生量）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3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③</w:t>
            </w:r>
            <w:r>
              <w:rPr>
                <w:rFonts w:hint="default" w:ascii="Times New Roman" w:hAnsi="Times New Roman" w:eastAsia="黑体" w:cs="Times New Roman"/>
                <w:snapToGrid w:val="0"/>
                <w:color w:val="auto"/>
                <w:spacing w:val="-6"/>
                <w:kern w:val="21"/>
                <w:szCs w:val="21"/>
                <w:highlight w:val="none"/>
              </w:rPr>
              <w:fldChar w:fldCharType="end"/>
            </w:r>
          </w:p>
        </w:tc>
        <w:tc>
          <w:tcPr>
            <w:tcW w:w="1423" w:type="dxa"/>
            <w:noWrap w:val="0"/>
            <w:tcMar>
              <w:left w:w="28" w:type="dxa"/>
              <w:right w:w="28" w:type="dxa"/>
            </w:tcMar>
            <w:vAlign w:val="center"/>
          </w:tcPr>
          <w:p w14:paraId="37318B87">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eastAsia" w:ascii="Times New Roman" w:hAnsi="Times New Roman" w:eastAsia="黑体" w:cs="Times New Roman"/>
                <w:snapToGrid w:val="0"/>
                <w:color w:val="auto"/>
                <w:spacing w:val="-6"/>
                <w:kern w:val="21"/>
                <w:szCs w:val="21"/>
                <w:highlight w:val="none"/>
                <w:lang w:eastAsia="zh-CN"/>
              </w:rPr>
            </w:pPr>
            <w:r>
              <w:rPr>
                <w:rFonts w:hint="eastAsia" w:ascii="Times New Roman" w:hAnsi="Times New Roman" w:eastAsia="黑体" w:cs="Times New Roman"/>
                <w:snapToGrid w:val="0"/>
                <w:color w:val="auto"/>
                <w:spacing w:val="-6"/>
                <w:kern w:val="21"/>
                <w:szCs w:val="21"/>
                <w:highlight w:val="none"/>
                <w:lang w:eastAsia="zh-CN"/>
              </w:rPr>
              <w:t>项目</w:t>
            </w:r>
          </w:p>
          <w:p w14:paraId="60F4E12A">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排放量（固体废物产生量）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4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④</w:t>
            </w:r>
            <w:r>
              <w:rPr>
                <w:rFonts w:hint="default" w:ascii="Times New Roman" w:hAnsi="Times New Roman" w:eastAsia="黑体" w:cs="Times New Roman"/>
                <w:snapToGrid w:val="0"/>
                <w:color w:val="auto"/>
                <w:spacing w:val="-6"/>
                <w:kern w:val="21"/>
                <w:szCs w:val="21"/>
                <w:highlight w:val="none"/>
              </w:rPr>
              <w:fldChar w:fldCharType="end"/>
            </w:r>
          </w:p>
        </w:tc>
        <w:tc>
          <w:tcPr>
            <w:tcW w:w="1043" w:type="dxa"/>
            <w:noWrap w:val="0"/>
            <w:tcMar>
              <w:left w:w="28" w:type="dxa"/>
              <w:right w:w="28" w:type="dxa"/>
            </w:tcMar>
            <w:vAlign w:val="center"/>
          </w:tcPr>
          <w:p w14:paraId="4972A640">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以新带老削减量</w:t>
            </w:r>
          </w:p>
          <w:p w14:paraId="47539AB7">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（新建项目不填）</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5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color w:val="auto"/>
                <w:kern w:val="2"/>
                <w:szCs w:val="21"/>
                <w:highlight w:val="none"/>
              </w:rPr>
              <w:t>⑤</w:t>
            </w:r>
            <w:r>
              <w:rPr>
                <w:rFonts w:hint="default" w:ascii="Times New Roman" w:hAnsi="Times New Roman" w:eastAsia="黑体" w:cs="Times New Roman"/>
                <w:snapToGrid w:val="0"/>
                <w:color w:val="auto"/>
                <w:spacing w:val="-16"/>
                <w:kern w:val="21"/>
                <w:szCs w:val="21"/>
                <w:highlight w:val="none"/>
              </w:rPr>
              <w:fldChar w:fldCharType="end"/>
            </w:r>
          </w:p>
        </w:tc>
        <w:tc>
          <w:tcPr>
            <w:tcW w:w="2152" w:type="dxa"/>
            <w:noWrap w:val="0"/>
            <w:tcMar>
              <w:left w:w="28" w:type="dxa"/>
              <w:right w:w="28" w:type="dxa"/>
            </w:tcMar>
            <w:vAlign w:val="center"/>
          </w:tcPr>
          <w:p w14:paraId="2BB90FCB">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16"/>
                <w:kern w:val="21"/>
                <w:szCs w:val="21"/>
                <w:highlight w:val="none"/>
              </w:rPr>
            </w:pPr>
            <w:r>
              <w:rPr>
                <w:rFonts w:hint="eastAsia" w:ascii="Times New Roman" w:hAnsi="Times New Roman" w:eastAsia="黑体" w:cs="Times New Roman"/>
                <w:snapToGrid w:val="0"/>
                <w:color w:val="auto"/>
                <w:spacing w:val="-16"/>
                <w:kern w:val="21"/>
                <w:szCs w:val="21"/>
                <w:highlight w:val="none"/>
                <w:lang w:eastAsia="zh-CN"/>
              </w:rPr>
              <w:t>项目</w:t>
            </w:r>
            <w:r>
              <w:rPr>
                <w:rFonts w:hint="default" w:ascii="Times New Roman" w:hAnsi="Times New Roman" w:eastAsia="黑体" w:cs="Times New Roman"/>
                <w:snapToGrid w:val="0"/>
                <w:color w:val="auto"/>
                <w:spacing w:val="-16"/>
                <w:kern w:val="21"/>
                <w:szCs w:val="21"/>
                <w:highlight w:val="none"/>
              </w:rPr>
              <w:t>建成后</w:t>
            </w:r>
          </w:p>
          <w:p w14:paraId="15593930">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全厂排放量（固体废物产生量）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6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color w:val="auto"/>
                <w:kern w:val="2"/>
                <w:szCs w:val="21"/>
                <w:highlight w:val="none"/>
              </w:rPr>
              <w:t>⑥</w:t>
            </w:r>
            <w:r>
              <w:rPr>
                <w:rFonts w:hint="default" w:ascii="Times New Roman" w:hAnsi="Times New Roman" w:eastAsia="黑体" w:cs="Times New Roman"/>
                <w:snapToGrid w:val="0"/>
                <w:color w:val="auto"/>
                <w:spacing w:val="-16"/>
                <w:kern w:val="21"/>
                <w:szCs w:val="21"/>
                <w:highlight w:val="none"/>
              </w:rPr>
              <w:fldChar w:fldCharType="end"/>
            </w:r>
          </w:p>
        </w:tc>
        <w:tc>
          <w:tcPr>
            <w:tcW w:w="2118" w:type="dxa"/>
            <w:noWrap w:val="0"/>
            <w:tcMar>
              <w:left w:w="28" w:type="dxa"/>
              <w:right w:w="28" w:type="dxa"/>
            </w:tcMar>
            <w:vAlign w:val="center"/>
          </w:tcPr>
          <w:p w14:paraId="36B7A859">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变化量</w:t>
            </w:r>
          </w:p>
          <w:p w14:paraId="27733C52">
            <w:pPr>
              <w:pStyle w:val="67"/>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7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⑦</w:t>
            </w:r>
            <w:r>
              <w:rPr>
                <w:rFonts w:hint="default" w:ascii="Times New Roman" w:hAnsi="Times New Roman" w:eastAsia="黑体" w:cs="Times New Roman"/>
                <w:snapToGrid w:val="0"/>
                <w:color w:val="auto"/>
                <w:spacing w:val="-6"/>
                <w:kern w:val="21"/>
                <w:szCs w:val="21"/>
                <w:highlight w:val="none"/>
              </w:rPr>
              <w:fldChar w:fldCharType="end"/>
            </w:r>
          </w:p>
        </w:tc>
      </w:tr>
      <w:tr w14:paraId="5DBC1E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5" w:hRule="atLeast"/>
        </w:trPr>
        <w:tc>
          <w:tcPr>
            <w:tcW w:w="1517" w:type="dxa"/>
            <w:vMerge w:val="restart"/>
            <w:noWrap w:val="0"/>
            <w:vAlign w:val="center"/>
          </w:tcPr>
          <w:p w14:paraId="6D9232C2">
            <w:pPr>
              <w:pStyle w:val="67"/>
              <w:spacing w:beforeLines="0" w:afterLines="0" w:line="240" w:lineRule="auto"/>
              <w:rPr>
                <w:rFonts w:hint="eastAsia" w:ascii="Times New Roman" w:hAnsi="Times New Roman" w:eastAsia="宋体" w:cs="Times New Roman"/>
                <w:snapToGrid w:val="0"/>
                <w:color w:val="auto"/>
                <w:kern w:val="21"/>
                <w:szCs w:val="21"/>
                <w:highlight w:val="none"/>
                <w:lang w:val="en-US" w:eastAsia="zh-CN"/>
              </w:rPr>
            </w:pPr>
            <w:r>
              <w:rPr>
                <w:rFonts w:hint="eastAsia" w:ascii="Times New Roman" w:cs="Times New Roman"/>
                <w:snapToGrid w:val="0"/>
                <w:color w:val="auto"/>
                <w:kern w:val="21"/>
                <w:szCs w:val="21"/>
                <w:highlight w:val="none"/>
                <w:lang w:val="en-US" w:eastAsia="zh-CN"/>
              </w:rPr>
              <w:t>废气</w:t>
            </w:r>
          </w:p>
        </w:tc>
        <w:tc>
          <w:tcPr>
            <w:tcW w:w="1536" w:type="dxa"/>
            <w:noWrap w:val="0"/>
            <w:vAlign w:val="center"/>
          </w:tcPr>
          <w:p w14:paraId="2C239755">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b w:val="0"/>
                <w:bCs/>
                <w:color w:val="auto"/>
                <w:szCs w:val="21"/>
                <w:highlight w:val="none"/>
                <w:lang w:val="en-US" w:eastAsia="zh-CN"/>
              </w:rPr>
            </w:pPr>
            <w:r>
              <w:rPr>
                <w:rFonts w:hint="eastAsia" w:ascii="Times New Roman" w:hAnsi="Times New Roman" w:eastAsia="宋体" w:cs="Times New Roman"/>
                <w:b w:val="0"/>
                <w:bCs/>
                <w:color w:val="auto"/>
                <w:szCs w:val="21"/>
                <w:highlight w:val="none"/>
                <w:lang w:val="en-US" w:eastAsia="zh-CN"/>
              </w:rPr>
              <w:t>SO</w:t>
            </w:r>
            <w:r>
              <w:rPr>
                <w:rFonts w:hint="eastAsia" w:ascii="Times New Roman" w:hAnsi="Times New Roman" w:eastAsia="宋体" w:cs="Times New Roman"/>
                <w:b w:val="0"/>
                <w:bCs/>
                <w:color w:val="auto"/>
                <w:szCs w:val="21"/>
                <w:highlight w:val="none"/>
                <w:vertAlign w:val="subscript"/>
                <w:lang w:val="en-US" w:eastAsia="zh-CN"/>
              </w:rPr>
              <w:t>2</w:t>
            </w:r>
          </w:p>
        </w:tc>
        <w:tc>
          <w:tcPr>
            <w:tcW w:w="1442" w:type="dxa"/>
            <w:noWrap w:val="0"/>
            <w:vAlign w:val="center"/>
          </w:tcPr>
          <w:p w14:paraId="25E3B135">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219" w:type="dxa"/>
            <w:noWrap w:val="0"/>
            <w:vAlign w:val="center"/>
          </w:tcPr>
          <w:p w14:paraId="7F0FC918">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165" w:type="dxa"/>
            <w:noWrap w:val="0"/>
            <w:vAlign w:val="center"/>
          </w:tcPr>
          <w:p w14:paraId="3003CDED">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423" w:type="dxa"/>
            <w:noWrap w:val="0"/>
            <w:vAlign w:val="center"/>
          </w:tcPr>
          <w:p w14:paraId="258D602F">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043" w:type="dxa"/>
            <w:noWrap w:val="0"/>
            <w:vAlign w:val="center"/>
          </w:tcPr>
          <w:p w14:paraId="7134463C">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2152" w:type="dxa"/>
            <w:noWrap w:val="0"/>
            <w:vAlign w:val="center"/>
          </w:tcPr>
          <w:p w14:paraId="0CA89A51">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2118" w:type="dxa"/>
            <w:noWrap w:val="0"/>
            <w:vAlign w:val="center"/>
          </w:tcPr>
          <w:p w14:paraId="14945FA8">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b w:val="0"/>
                <w:bCs/>
                <w:color w:val="auto"/>
                <w:kern w:val="2"/>
                <w:sz w:val="21"/>
                <w:szCs w:val="21"/>
                <w:highlight w:val="none"/>
                <w:lang w:val="en-US" w:eastAsia="zh-CN" w:bidi="ar-SA"/>
              </w:rPr>
            </w:pPr>
            <w:r>
              <w:rPr>
                <w:rFonts w:hint="eastAsia" w:cs="Times New Roman"/>
                <w:b w:val="0"/>
                <w:bCs/>
                <w:color w:val="auto"/>
                <w:szCs w:val="21"/>
                <w:highlight w:val="none"/>
                <w:lang w:val="en-US" w:eastAsia="zh-CN"/>
              </w:rPr>
              <w:t>/</w:t>
            </w:r>
          </w:p>
        </w:tc>
      </w:tr>
      <w:tr w14:paraId="3F708B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5" w:hRule="atLeast"/>
        </w:trPr>
        <w:tc>
          <w:tcPr>
            <w:tcW w:w="1517" w:type="dxa"/>
            <w:vMerge w:val="continue"/>
            <w:noWrap w:val="0"/>
            <w:vAlign w:val="center"/>
          </w:tcPr>
          <w:p w14:paraId="27265142">
            <w:pPr>
              <w:pStyle w:val="67"/>
              <w:spacing w:beforeLines="0" w:afterLines="0" w:line="240" w:lineRule="auto"/>
              <w:rPr>
                <w:rFonts w:hint="eastAsia" w:ascii="Times New Roman" w:cs="Times New Roman"/>
                <w:snapToGrid w:val="0"/>
                <w:color w:val="auto"/>
                <w:kern w:val="21"/>
                <w:szCs w:val="21"/>
                <w:highlight w:val="none"/>
                <w:lang w:val="en-US" w:eastAsia="zh-CN"/>
              </w:rPr>
            </w:pPr>
          </w:p>
        </w:tc>
        <w:tc>
          <w:tcPr>
            <w:tcW w:w="1536" w:type="dxa"/>
            <w:noWrap w:val="0"/>
            <w:vAlign w:val="center"/>
          </w:tcPr>
          <w:p w14:paraId="2743BA58">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b w:val="0"/>
                <w:bCs/>
                <w:color w:val="auto"/>
                <w:szCs w:val="21"/>
                <w:highlight w:val="none"/>
                <w:lang w:val="en-US" w:eastAsia="zh-CN"/>
              </w:rPr>
            </w:pPr>
            <w:r>
              <w:rPr>
                <w:rFonts w:hint="eastAsia" w:ascii="Times New Roman" w:hAnsi="Times New Roman" w:eastAsia="宋体" w:cs="Times New Roman"/>
                <w:b w:val="0"/>
                <w:bCs/>
                <w:color w:val="auto"/>
                <w:szCs w:val="21"/>
                <w:highlight w:val="none"/>
                <w:lang w:val="en-US" w:eastAsia="zh-CN"/>
              </w:rPr>
              <w:t>NOx</w:t>
            </w:r>
          </w:p>
        </w:tc>
        <w:tc>
          <w:tcPr>
            <w:tcW w:w="1442" w:type="dxa"/>
            <w:noWrap w:val="0"/>
            <w:vAlign w:val="center"/>
          </w:tcPr>
          <w:p w14:paraId="72014D72">
            <w:pPr>
              <w:keepNext w:val="0"/>
              <w:keepLines w:val="0"/>
              <w:pageBreakBefore w:val="0"/>
              <w:widowControl w:val="0"/>
              <w:kinsoku/>
              <w:wordWrap/>
              <w:overflowPunct/>
              <w:topLinePunct w:val="0"/>
              <w:bidi w:val="0"/>
              <w:snapToGrid/>
              <w:spacing w:line="0" w:lineRule="atLeast"/>
              <w:jc w:val="center"/>
              <w:textAlignment w:val="auto"/>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219" w:type="dxa"/>
            <w:noWrap w:val="0"/>
            <w:vAlign w:val="center"/>
          </w:tcPr>
          <w:p w14:paraId="5A97EFA9">
            <w:pPr>
              <w:keepNext w:val="0"/>
              <w:keepLines w:val="0"/>
              <w:pageBreakBefore w:val="0"/>
              <w:widowControl w:val="0"/>
              <w:kinsoku/>
              <w:wordWrap/>
              <w:overflowPunct/>
              <w:topLinePunct w:val="0"/>
              <w:bidi w:val="0"/>
              <w:snapToGrid/>
              <w:spacing w:line="0" w:lineRule="atLeast"/>
              <w:jc w:val="center"/>
              <w:textAlignment w:val="auto"/>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165" w:type="dxa"/>
            <w:noWrap w:val="0"/>
            <w:vAlign w:val="center"/>
          </w:tcPr>
          <w:p w14:paraId="26C4A7E2">
            <w:pPr>
              <w:keepNext w:val="0"/>
              <w:keepLines w:val="0"/>
              <w:pageBreakBefore w:val="0"/>
              <w:widowControl w:val="0"/>
              <w:kinsoku/>
              <w:wordWrap/>
              <w:overflowPunct/>
              <w:topLinePunct w:val="0"/>
              <w:bidi w:val="0"/>
              <w:snapToGrid/>
              <w:spacing w:line="0" w:lineRule="atLeast"/>
              <w:jc w:val="center"/>
              <w:textAlignment w:val="auto"/>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423" w:type="dxa"/>
            <w:noWrap w:val="0"/>
            <w:vAlign w:val="center"/>
          </w:tcPr>
          <w:p w14:paraId="3E352FD2">
            <w:pPr>
              <w:keepNext w:val="0"/>
              <w:keepLines w:val="0"/>
              <w:pageBreakBefore w:val="0"/>
              <w:widowControl w:val="0"/>
              <w:kinsoku/>
              <w:wordWrap/>
              <w:overflowPunct/>
              <w:topLinePunct w:val="0"/>
              <w:bidi w:val="0"/>
              <w:snapToGrid/>
              <w:spacing w:line="0" w:lineRule="atLeast"/>
              <w:jc w:val="center"/>
              <w:textAlignment w:val="auto"/>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043" w:type="dxa"/>
            <w:noWrap w:val="0"/>
            <w:vAlign w:val="center"/>
          </w:tcPr>
          <w:p w14:paraId="79A51132">
            <w:pPr>
              <w:keepNext w:val="0"/>
              <w:keepLines w:val="0"/>
              <w:pageBreakBefore w:val="0"/>
              <w:widowControl w:val="0"/>
              <w:kinsoku/>
              <w:wordWrap/>
              <w:overflowPunct/>
              <w:topLinePunct w:val="0"/>
              <w:bidi w:val="0"/>
              <w:snapToGrid/>
              <w:spacing w:line="0" w:lineRule="atLeast"/>
              <w:jc w:val="center"/>
              <w:textAlignment w:val="auto"/>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2152" w:type="dxa"/>
            <w:noWrap w:val="0"/>
            <w:vAlign w:val="center"/>
          </w:tcPr>
          <w:p w14:paraId="7B0D8E77">
            <w:pPr>
              <w:keepNext w:val="0"/>
              <w:keepLines w:val="0"/>
              <w:pageBreakBefore w:val="0"/>
              <w:widowControl w:val="0"/>
              <w:kinsoku/>
              <w:wordWrap/>
              <w:overflowPunct/>
              <w:topLinePunct w:val="0"/>
              <w:bidi w:val="0"/>
              <w:snapToGrid/>
              <w:spacing w:line="0" w:lineRule="atLeast"/>
              <w:jc w:val="center"/>
              <w:textAlignment w:val="auto"/>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2118" w:type="dxa"/>
            <w:noWrap w:val="0"/>
            <w:vAlign w:val="center"/>
          </w:tcPr>
          <w:p w14:paraId="147C8D17">
            <w:pPr>
              <w:keepNext w:val="0"/>
              <w:keepLines w:val="0"/>
              <w:pageBreakBefore w:val="0"/>
              <w:widowControl w:val="0"/>
              <w:kinsoku/>
              <w:wordWrap/>
              <w:overflowPunct/>
              <w:topLinePunct w:val="0"/>
              <w:bidi w:val="0"/>
              <w:snapToGrid/>
              <w:spacing w:line="0" w:lineRule="atLeast"/>
              <w:jc w:val="center"/>
              <w:textAlignment w:val="auto"/>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r>
      <w:tr w14:paraId="3CE232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5" w:hRule="atLeast"/>
        </w:trPr>
        <w:tc>
          <w:tcPr>
            <w:tcW w:w="1517" w:type="dxa"/>
            <w:vMerge w:val="continue"/>
            <w:noWrap w:val="0"/>
            <w:vAlign w:val="center"/>
          </w:tcPr>
          <w:p w14:paraId="501750B3">
            <w:pPr>
              <w:pStyle w:val="67"/>
              <w:spacing w:beforeLines="0" w:afterLines="0" w:line="240" w:lineRule="auto"/>
              <w:rPr>
                <w:rFonts w:hint="eastAsia" w:ascii="Times New Roman" w:cs="Times New Roman"/>
                <w:snapToGrid w:val="0"/>
                <w:color w:val="auto"/>
                <w:kern w:val="21"/>
                <w:szCs w:val="21"/>
                <w:highlight w:val="none"/>
                <w:lang w:val="en-US" w:eastAsia="zh-CN"/>
              </w:rPr>
            </w:pPr>
          </w:p>
        </w:tc>
        <w:tc>
          <w:tcPr>
            <w:tcW w:w="1536" w:type="dxa"/>
            <w:noWrap w:val="0"/>
            <w:vAlign w:val="center"/>
          </w:tcPr>
          <w:p w14:paraId="00ECB820">
            <w:pPr>
              <w:keepNext w:val="0"/>
              <w:keepLines w:val="0"/>
              <w:widowControl/>
              <w:suppressLineNumbers w:val="0"/>
              <w:jc w:val="center"/>
              <w:textAlignment w:val="center"/>
              <w:rPr>
                <w:rFonts w:hint="default" w:ascii="Times New Roman" w:hAnsi="Times New Roman" w:eastAsia="宋体" w:cs="Times New Roman"/>
                <w:color w:val="auto"/>
                <w:kern w:val="2"/>
                <w:sz w:val="21"/>
                <w:szCs w:val="21"/>
                <w:highlight w:val="none"/>
                <w:u w:val="none" w:color="auto"/>
                <w:vertAlign w:val="baseline"/>
                <w:lang w:val="en-US" w:eastAsia="zh-CN" w:bidi="ar-SA"/>
              </w:rPr>
            </w:pPr>
            <w:r>
              <w:rPr>
                <w:rFonts w:hint="default" w:ascii="Times New Roman" w:hAnsi="Times New Roman" w:eastAsia="宋体" w:cs="Times New Roman"/>
                <w:i w:val="0"/>
                <w:iCs w:val="0"/>
                <w:color w:val="auto"/>
                <w:kern w:val="0"/>
                <w:sz w:val="18"/>
                <w:szCs w:val="18"/>
                <w:highlight w:val="none"/>
                <w:u w:val="none" w:color="000000"/>
                <w:lang w:val="en-US" w:eastAsia="zh-CN" w:bidi="ar"/>
              </w:rPr>
              <w:t>非甲烷总烃</w:t>
            </w:r>
          </w:p>
        </w:tc>
        <w:tc>
          <w:tcPr>
            <w:tcW w:w="1442" w:type="dxa"/>
            <w:noWrap w:val="0"/>
            <w:vAlign w:val="center"/>
          </w:tcPr>
          <w:p w14:paraId="0FF27277">
            <w:pPr>
              <w:keepNext w:val="0"/>
              <w:keepLines w:val="0"/>
              <w:pageBreakBefore w:val="0"/>
              <w:widowControl w:val="0"/>
              <w:kinsoku/>
              <w:wordWrap/>
              <w:overflowPunct/>
              <w:topLinePunct w:val="0"/>
              <w:bidi w:val="0"/>
              <w:snapToGrid/>
              <w:spacing w:line="0" w:lineRule="atLeast"/>
              <w:jc w:val="center"/>
              <w:textAlignment w:val="auto"/>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219" w:type="dxa"/>
            <w:noWrap w:val="0"/>
            <w:vAlign w:val="center"/>
          </w:tcPr>
          <w:p w14:paraId="6A07442A">
            <w:pPr>
              <w:keepNext w:val="0"/>
              <w:keepLines w:val="0"/>
              <w:pageBreakBefore w:val="0"/>
              <w:widowControl w:val="0"/>
              <w:kinsoku/>
              <w:wordWrap/>
              <w:overflowPunct/>
              <w:topLinePunct w:val="0"/>
              <w:bidi w:val="0"/>
              <w:snapToGrid/>
              <w:spacing w:line="0" w:lineRule="atLeast"/>
              <w:jc w:val="center"/>
              <w:textAlignment w:val="auto"/>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165" w:type="dxa"/>
            <w:noWrap w:val="0"/>
            <w:vAlign w:val="center"/>
          </w:tcPr>
          <w:p w14:paraId="5FF0C0A7">
            <w:pPr>
              <w:keepNext w:val="0"/>
              <w:keepLines w:val="0"/>
              <w:pageBreakBefore w:val="0"/>
              <w:widowControl w:val="0"/>
              <w:kinsoku/>
              <w:wordWrap/>
              <w:overflowPunct/>
              <w:topLinePunct w:val="0"/>
              <w:bidi w:val="0"/>
              <w:snapToGrid/>
              <w:spacing w:line="0" w:lineRule="atLeast"/>
              <w:jc w:val="center"/>
              <w:textAlignment w:val="auto"/>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423" w:type="dxa"/>
            <w:noWrap w:val="0"/>
            <w:vAlign w:val="center"/>
          </w:tcPr>
          <w:p w14:paraId="6A6E90DF">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1.542</w:t>
            </w:r>
            <w:r>
              <w:rPr>
                <w:rFonts w:hint="default" w:ascii="Times New Roman" w:hAnsi="Times New Roman" w:eastAsia="宋体" w:cs="Times New Roman"/>
                <w:color w:val="auto"/>
                <w:sz w:val="21"/>
                <w:szCs w:val="21"/>
                <w:highlight w:val="none"/>
              </w:rPr>
              <w:t>t/a</w:t>
            </w:r>
          </w:p>
        </w:tc>
        <w:tc>
          <w:tcPr>
            <w:tcW w:w="1043" w:type="dxa"/>
            <w:noWrap w:val="0"/>
            <w:vAlign w:val="center"/>
          </w:tcPr>
          <w:p w14:paraId="2EACDB75">
            <w:pPr>
              <w:keepNext w:val="0"/>
              <w:keepLines w:val="0"/>
              <w:widowControl/>
              <w:suppressLineNumbers w:val="0"/>
              <w:jc w:val="center"/>
              <w:textAlignment w:val="center"/>
              <w:rPr>
                <w:rFonts w:hint="eastAsia" w:ascii="Times New Roman" w:hAnsi="Times New Roman" w:eastAsia="宋体" w:cs="Times New Roman"/>
                <w:i w:val="0"/>
                <w:iCs w:val="0"/>
                <w:color w:val="auto"/>
                <w:kern w:val="0"/>
                <w:sz w:val="21"/>
                <w:szCs w:val="21"/>
                <w:highlight w:val="none"/>
                <w:u w:val="none"/>
                <w:lang w:val="en-US" w:eastAsia="zh-CN" w:bidi="ar"/>
              </w:rPr>
            </w:pPr>
            <w:r>
              <w:rPr>
                <w:rFonts w:hint="eastAsia" w:ascii="Times New Roman" w:hAnsi="Times New Roman" w:eastAsia="宋体" w:cs="Times New Roman"/>
                <w:i w:val="0"/>
                <w:iCs w:val="0"/>
                <w:color w:val="auto"/>
                <w:kern w:val="0"/>
                <w:sz w:val="21"/>
                <w:szCs w:val="21"/>
                <w:highlight w:val="none"/>
                <w:u w:val="none"/>
                <w:lang w:val="en-US" w:eastAsia="zh-CN" w:bidi="ar"/>
              </w:rPr>
              <w:t>/</w:t>
            </w:r>
          </w:p>
        </w:tc>
        <w:tc>
          <w:tcPr>
            <w:tcW w:w="2152" w:type="dxa"/>
            <w:noWrap w:val="0"/>
            <w:vAlign w:val="center"/>
          </w:tcPr>
          <w:p w14:paraId="1162C975">
            <w:pPr>
              <w:keepNext w:val="0"/>
              <w:keepLines w:val="0"/>
              <w:widowControl/>
              <w:suppressLineNumbers w:val="0"/>
              <w:jc w:val="center"/>
              <w:textAlignment w:val="center"/>
              <w:rPr>
                <w:rFonts w:hint="eastAsia"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1.542</w:t>
            </w:r>
            <w:r>
              <w:rPr>
                <w:rFonts w:hint="default" w:ascii="Times New Roman" w:hAnsi="Times New Roman" w:eastAsia="宋体" w:cs="Times New Roman"/>
                <w:color w:val="auto"/>
                <w:sz w:val="21"/>
                <w:szCs w:val="21"/>
                <w:highlight w:val="none"/>
              </w:rPr>
              <w:t>t/a</w:t>
            </w:r>
          </w:p>
        </w:tc>
        <w:tc>
          <w:tcPr>
            <w:tcW w:w="2118" w:type="dxa"/>
            <w:noWrap w:val="0"/>
            <w:vAlign w:val="center"/>
          </w:tcPr>
          <w:p w14:paraId="5CDA43A9">
            <w:pPr>
              <w:keepNext w:val="0"/>
              <w:keepLines w:val="0"/>
              <w:widowControl/>
              <w:suppressLineNumbers w:val="0"/>
              <w:jc w:val="center"/>
              <w:textAlignment w:val="center"/>
              <w:rPr>
                <w:rFonts w:hint="eastAsia" w:cs="Times New Roman"/>
                <w:b w:val="0"/>
                <w:bCs/>
                <w:color w:val="auto"/>
                <w:szCs w:val="21"/>
                <w:highlight w:val="none"/>
                <w:lang w:val="en-US" w:eastAsia="zh-CN"/>
              </w:rPr>
            </w:pPr>
            <w:r>
              <w:rPr>
                <w:rFonts w:hint="eastAsia" w:cs="Times New Roman"/>
                <w:i w:val="0"/>
                <w:iCs w:val="0"/>
                <w:color w:val="auto"/>
                <w:kern w:val="0"/>
                <w:sz w:val="21"/>
                <w:szCs w:val="21"/>
                <w:highlight w:val="none"/>
                <w:u w:val="none"/>
                <w:lang w:val="en-US" w:eastAsia="zh-CN" w:bidi="ar"/>
              </w:rPr>
              <w:t>+1.542</w:t>
            </w:r>
            <w:r>
              <w:rPr>
                <w:rFonts w:hint="default" w:ascii="Times New Roman" w:hAnsi="Times New Roman" w:eastAsia="宋体" w:cs="Times New Roman"/>
                <w:color w:val="auto"/>
                <w:sz w:val="21"/>
                <w:szCs w:val="21"/>
                <w:highlight w:val="none"/>
              </w:rPr>
              <w:t>t/a</w:t>
            </w:r>
          </w:p>
        </w:tc>
      </w:tr>
      <w:tr w14:paraId="595DEE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1517" w:type="dxa"/>
            <w:vMerge w:val="continue"/>
            <w:noWrap w:val="0"/>
            <w:vAlign w:val="center"/>
          </w:tcPr>
          <w:p w14:paraId="05E495A0">
            <w:pPr>
              <w:pStyle w:val="67"/>
              <w:spacing w:beforeLines="0" w:afterLines="0" w:line="240" w:lineRule="auto"/>
              <w:rPr>
                <w:rFonts w:hint="eastAsia" w:ascii="Times New Roman" w:cs="Times New Roman"/>
                <w:snapToGrid w:val="0"/>
                <w:color w:val="auto"/>
                <w:kern w:val="21"/>
                <w:szCs w:val="21"/>
                <w:highlight w:val="none"/>
                <w:lang w:val="en-US" w:eastAsia="zh-CN"/>
              </w:rPr>
            </w:pPr>
          </w:p>
        </w:tc>
        <w:tc>
          <w:tcPr>
            <w:tcW w:w="1536" w:type="dxa"/>
            <w:noWrap w:val="0"/>
            <w:vAlign w:val="center"/>
          </w:tcPr>
          <w:p w14:paraId="7AF819D2">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18"/>
                <w:szCs w:val="18"/>
                <w:highlight w:val="none"/>
                <w:u w:val="none" w:color="000000"/>
                <w:lang w:val="en-US" w:eastAsia="zh-CN" w:bidi="ar"/>
              </w:rPr>
            </w:pPr>
            <w:r>
              <w:rPr>
                <w:rFonts w:hint="eastAsia" w:ascii="Times New Roman" w:hAnsi="Times New Roman" w:eastAsia="宋体" w:cs="Times New Roman"/>
                <w:i w:val="0"/>
                <w:iCs w:val="0"/>
                <w:color w:val="auto"/>
                <w:kern w:val="0"/>
                <w:sz w:val="18"/>
                <w:szCs w:val="18"/>
                <w:highlight w:val="none"/>
                <w:u w:val="none" w:color="000000"/>
                <w:lang w:val="en-US" w:eastAsia="zh-CN" w:bidi="ar"/>
              </w:rPr>
              <w:t>苯乙烯</w:t>
            </w:r>
          </w:p>
        </w:tc>
        <w:tc>
          <w:tcPr>
            <w:tcW w:w="1442" w:type="dxa"/>
            <w:noWrap w:val="0"/>
            <w:vAlign w:val="center"/>
          </w:tcPr>
          <w:p w14:paraId="4067EDD8">
            <w:pPr>
              <w:keepNext w:val="0"/>
              <w:keepLines w:val="0"/>
              <w:pageBreakBefore w:val="0"/>
              <w:widowControl w:val="0"/>
              <w:kinsoku/>
              <w:wordWrap/>
              <w:overflowPunct/>
              <w:topLinePunct w:val="0"/>
              <w:bidi w:val="0"/>
              <w:snapToGrid/>
              <w:spacing w:line="0" w:lineRule="atLeast"/>
              <w:jc w:val="center"/>
              <w:textAlignment w:val="auto"/>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219" w:type="dxa"/>
            <w:noWrap w:val="0"/>
            <w:vAlign w:val="center"/>
          </w:tcPr>
          <w:p w14:paraId="405D248A">
            <w:pPr>
              <w:keepNext w:val="0"/>
              <w:keepLines w:val="0"/>
              <w:pageBreakBefore w:val="0"/>
              <w:widowControl w:val="0"/>
              <w:kinsoku/>
              <w:wordWrap/>
              <w:overflowPunct/>
              <w:topLinePunct w:val="0"/>
              <w:bidi w:val="0"/>
              <w:snapToGrid/>
              <w:spacing w:line="0" w:lineRule="atLeast"/>
              <w:jc w:val="center"/>
              <w:textAlignment w:val="auto"/>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165" w:type="dxa"/>
            <w:noWrap w:val="0"/>
            <w:vAlign w:val="center"/>
          </w:tcPr>
          <w:p w14:paraId="10E13E5F">
            <w:pPr>
              <w:keepNext w:val="0"/>
              <w:keepLines w:val="0"/>
              <w:pageBreakBefore w:val="0"/>
              <w:widowControl w:val="0"/>
              <w:kinsoku/>
              <w:wordWrap/>
              <w:overflowPunct/>
              <w:topLinePunct w:val="0"/>
              <w:bidi w:val="0"/>
              <w:snapToGrid/>
              <w:spacing w:line="0" w:lineRule="atLeast"/>
              <w:jc w:val="center"/>
              <w:textAlignment w:val="auto"/>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1423" w:type="dxa"/>
            <w:noWrap w:val="0"/>
            <w:vAlign w:val="center"/>
          </w:tcPr>
          <w:p w14:paraId="691D1814">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0.026</w:t>
            </w:r>
            <w:r>
              <w:rPr>
                <w:rFonts w:hint="default" w:ascii="Times New Roman" w:hAnsi="Times New Roman" w:eastAsia="宋体" w:cs="Times New Roman"/>
                <w:color w:val="auto"/>
                <w:sz w:val="21"/>
                <w:szCs w:val="21"/>
                <w:highlight w:val="none"/>
              </w:rPr>
              <w:t>t/a</w:t>
            </w:r>
          </w:p>
        </w:tc>
        <w:tc>
          <w:tcPr>
            <w:tcW w:w="1043" w:type="dxa"/>
            <w:noWrap w:val="0"/>
            <w:vAlign w:val="center"/>
          </w:tcPr>
          <w:p w14:paraId="0F3C9745">
            <w:pPr>
              <w:keepNext w:val="0"/>
              <w:keepLines w:val="0"/>
              <w:widowControl/>
              <w:suppressLineNumbers w:val="0"/>
              <w:jc w:val="center"/>
              <w:textAlignment w:val="center"/>
              <w:rPr>
                <w:rFonts w:hint="eastAsia" w:ascii="Times New Roman" w:hAnsi="Times New Roman" w:eastAsia="宋体" w:cs="Times New Roman"/>
                <w:i w:val="0"/>
                <w:iCs w:val="0"/>
                <w:color w:val="auto"/>
                <w:kern w:val="0"/>
                <w:sz w:val="21"/>
                <w:szCs w:val="21"/>
                <w:highlight w:val="none"/>
                <w:u w:val="none"/>
                <w:lang w:val="en-US" w:eastAsia="zh-CN" w:bidi="ar"/>
              </w:rPr>
            </w:pPr>
            <w:r>
              <w:rPr>
                <w:rFonts w:hint="eastAsia" w:ascii="Times New Roman" w:hAnsi="Times New Roman" w:eastAsia="宋体" w:cs="Times New Roman"/>
                <w:i w:val="0"/>
                <w:iCs w:val="0"/>
                <w:color w:val="auto"/>
                <w:kern w:val="0"/>
                <w:sz w:val="21"/>
                <w:szCs w:val="21"/>
                <w:highlight w:val="none"/>
                <w:u w:val="none"/>
                <w:lang w:val="en-US" w:eastAsia="zh-CN" w:bidi="ar"/>
              </w:rPr>
              <w:t>/</w:t>
            </w:r>
          </w:p>
        </w:tc>
        <w:tc>
          <w:tcPr>
            <w:tcW w:w="2152" w:type="dxa"/>
            <w:noWrap w:val="0"/>
            <w:vAlign w:val="center"/>
          </w:tcPr>
          <w:p w14:paraId="725A9A65">
            <w:pPr>
              <w:keepNext w:val="0"/>
              <w:keepLines w:val="0"/>
              <w:widowControl/>
              <w:suppressLineNumbers w:val="0"/>
              <w:jc w:val="center"/>
              <w:textAlignment w:val="center"/>
              <w:rPr>
                <w:rFonts w:hint="eastAsia"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0.026</w:t>
            </w:r>
            <w:r>
              <w:rPr>
                <w:rFonts w:hint="default" w:ascii="Times New Roman" w:hAnsi="Times New Roman" w:eastAsia="宋体" w:cs="Times New Roman"/>
                <w:color w:val="auto"/>
                <w:sz w:val="21"/>
                <w:szCs w:val="21"/>
                <w:highlight w:val="none"/>
              </w:rPr>
              <w:t>t/a</w:t>
            </w:r>
          </w:p>
        </w:tc>
        <w:tc>
          <w:tcPr>
            <w:tcW w:w="2118" w:type="dxa"/>
            <w:noWrap w:val="0"/>
            <w:vAlign w:val="center"/>
          </w:tcPr>
          <w:p w14:paraId="749CC089">
            <w:pPr>
              <w:keepNext w:val="0"/>
              <w:keepLines w:val="0"/>
              <w:widowControl/>
              <w:suppressLineNumbers w:val="0"/>
              <w:jc w:val="center"/>
              <w:textAlignment w:val="center"/>
              <w:rPr>
                <w:rFonts w:hint="eastAsia" w:cs="Times New Roman"/>
                <w:b/>
                <w:bCs/>
                <w:color w:val="auto"/>
                <w:szCs w:val="21"/>
                <w:highlight w:val="none"/>
                <w:lang w:val="en-US" w:eastAsia="zh-CN"/>
              </w:rPr>
            </w:pPr>
            <w:r>
              <w:rPr>
                <w:rFonts w:hint="eastAsia" w:cs="Times New Roman"/>
                <w:i w:val="0"/>
                <w:iCs w:val="0"/>
                <w:color w:val="auto"/>
                <w:kern w:val="0"/>
                <w:sz w:val="21"/>
                <w:szCs w:val="21"/>
                <w:highlight w:val="none"/>
                <w:u w:val="none"/>
                <w:lang w:val="en-US" w:eastAsia="zh-CN" w:bidi="ar"/>
              </w:rPr>
              <w:t>+0.026</w:t>
            </w:r>
            <w:r>
              <w:rPr>
                <w:rFonts w:hint="default" w:ascii="Times New Roman" w:hAnsi="Times New Roman" w:eastAsia="宋体" w:cs="Times New Roman"/>
                <w:color w:val="auto"/>
                <w:sz w:val="21"/>
                <w:szCs w:val="21"/>
                <w:highlight w:val="none"/>
              </w:rPr>
              <w:t>t/a</w:t>
            </w:r>
          </w:p>
        </w:tc>
      </w:tr>
      <w:tr w14:paraId="01D42B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5" w:hRule="atLeast"/>
        </w:trPr>
        <w:tc>
          <w:tcPr>
            <w:tcW w:w="1517" w:type="dxa"/>
            <w:vMerge w:val="restart"/>
            <w:noWrap w:val="0"/>
            <w:vAlign w:val="center"/>
          </w:tcPr>
          <w:p w14:paraId="63F71C6A">
            <w:pPr>
              <w:pStyle w:val="67"/>
              <w:spacing w:beforeLines="0" w:afterLines="0" w:line="240" w:lineRule="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废水</w:t>
            </w:r>
          </w:p>
        </w:tc>
        <w:tc>
          <w:tcPr>
            <w:tcW w:w="1536" w:type="dxa"/>
            <w:noWrap w:val="0"/>
            <w:vAlign w:val="center"/>
          </w:tcPr>
          <w:p w14:paraId="0F6D4B29">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color="000000"/>
                <w:lang w:val="en-US" w:eastAsia="zh-CN" w:bidi="ar"/>
              </w:rPr>
              <w:t>COD</w:t>
            </w:r>
          </w:p>
        </w:tc>
        <w:tc>
          <w:tcPr>
            <w:tcW w:w="1442" w:type="dxa"/>
            <w:noWrap w:val="0"/>
            <w:vAlign w:val="center"/>
          </w:tcPr>
          <w:p w14:paraId="745ACAA4">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219" w:type="dxa"/>
            <w:noWrap w:val="0"/>
            <w:vAlign w:val="center"/>
          </w:tcPr>
          <w:p w14:paraId="1F41BF5A">
            <w:pPr>
              <w:spacing w:beforeLines="0" w:afterLines="0" w:line="240" w:lineRule="auto"/>
              <w:jc w:val="center"/>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165" w:type="dxa"/>
            <w:noWrap w:val="0"/>
            <w:vAlign w:val="center"/>
          </w:tcPr>
          <w:p w14:paraId="1B1206FE">
            <w:pPr>
              <w:spacing w:beforeLines="0" w:afterLines="0" w:line="240" w:lineRule="auto"/>
              <w:jc w:val="center"/>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423" w:type="dxa"/>
            <w:noWrap w:val="0"/>
            <w:vAlign w:val="center"/>
          </w:tcPr>
          <w:p w14:paraId="0BB6C3D0">
            <w:pPr>
              <w:spacing w:beforeLines="0" w:afterLines="0" w:line="240" w:lineRule="auto"/>
              <w:jc w:val="center"/>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043" w:type="dxa"/>
            <w:noWrap w:val="0"/>
            <w:vAlign w:val="center"/>
          </w:tcPr>
          <w:p w14:paraId="0F56A519">
            <w:pPr>
              <w:spacing w:beforeLines="0" w:afterLines="0" w:line="240" w:lineRule="auto"/>
              <w:jc w:val="center"/>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2152" w:type="dxa"/>
            <w:noWrap w:val="0"/>
            <w:vAlign w:val="center"/>
          </w:tcPr>
          <w:p w14:paraId="3A5890AC">
            <w:pPr>
              <w:spacing w:beforeLines="0" w:afterLines="0" w:line="240" w:lineRule="auto"/>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b w:val="0"/>
                <w:bCs/>
                <w:color w:val="auto"/>
                <w:szCs w:val="21"/>
                <w:highlight w:val="none"/>
                <w:lang w:val="en-US" w:eastAsia="zh-CN"/>
              </w:rPr>
              <w:t>/</w:t>
            </w:r>
          </w:p>
        </w:tc>
        <w:tc>
          <w:tcPr>
            <w:tcW w:w="2118" w:type="dxa"/>
            <w:noWrap w:val="0"/>
            <w:vAlign w:val="center"/>
          </w:tcPr>
          <w:p w14:paraId="09F2C3CE">
            <w:pPr>
              <w:keepNext w:val="0"/>
              <w:keepLines w:val="0"/>
              <w:widowControl/>
              <w:suppressLineNumbers w:val="0"/>
              <w:jc w:val="center"/>
              <w:textAlignment w:val="center"/>
              <w:rPr>
                <w:rFonts w:hint="default" w:ascii="Times New Roman" w:hAnsi="Times New Roman" w:eastAsia="宋体" w:cs="Times New Roman"/>
                <w:color w:val="auto"/>
                <w:highlight w:val="none"/>
                <w:lang w:val="en-US" w:eastAsia="zh-CN"/>
              </w:rPr>
            </w:pPr>
            <w:r>
              <w:rPr>
                <w:rFonts w:hint="eastAsia" w:cs="Times New Roman"/>
                <w:i w:val="0"/>
                <w:iCs w:val="0"/>
                <w:color w:val="auto"/>
                <w:kern w:val="0"/>
                <w:sz w:val="21"/>
                <w:szCs w:val="21"/>
                <w:highlight w:val="none"/>
                <w:u w:val="none"/>
                <w:lang w:val="en-US" w:eastAsia="zh-CN" w:bidi="ar"/>
              </w:rPr>
              <w:t>/</w:t>
            </w:r>
          </w:p>
        </w:tc>
      </w:tr>
      <w:tr w14:paraId="23EF4F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5" w:hRule="atLeast"/>
        </w:trPr>
        <w:tc>
          <w:tcPr>
            <w:tcW w:w="1517" w:type="dxa"/>
            <w:vMerge w:val="continue"/>
            <w:noWrap w:val="0"/>
            <w:vAlign w:val="center"/>
          </w:tcPr>
          <w:p w14:paraId="4829A992">
            <w:pPr>
              <w:pStyle w:val="67"/>
              <w:spacing w:beforeLines="0" w:afterLines="0" w:line="240" w:lineRule="auto"/>
              <w:rPr>
                <w:rFonts w:hint="default" w:ascii="Times New Roman" w:hAnsi="Times New Roman" w:cs="Times New Roman"/>
                <w:snapToGrid w:val="0"/>
                <w:color w:val="auto"/>
                <w:kern w:val="21"/>
                <w:szCs w:val="21"/>
                <w:highlight w:val="none"/>
              </w:rPr>
            </w:pPr>
          </w:p>
        </w:tc>
        <w:tc>
          <w:tcPr>
            <w:tcW w:w="1536" w:type="dxa"/>
            <w:noWrap w:val="0"/>
            <w:vAlign w:val="center"/>
          </w:tcPr>
          <w:p w14:paraId="4F2687C4">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color="000000"/>
                <w:lang w:val="en-US" w:eastAsia="zh-CN" w:bidi="ar"/>
              </w:rPr>
              <w:t>BOD</w:t>
            </w:r>
            <w:r>
              <w:rPr>
                <w:rFonts w:hint="default" w:ascii="Times New Roman" w:hAnsi="Times New Roman" w:eastAsia="宋体" w:cs="Times New Roman"/>
                <w:i w:val="0"/>
                <w:iCs w:val="0"/>
                <w:color w:val="auto"/>
                <w:kern w:val="0"/>
                <w:sz w:val="21"/>
                <w:szCs w:val="21"/>
                <w:highlight w:val="none"/>
                <w:u w:val="none" w:color="000000"/>
                <w:vertAlign w:val="subscript"/>
                <w:lang w:val="en-US" w:eastAsia="zh-CN" w:bidi="ar"/>
              </w:rPr>
              <w:t>5</w:t>
            </w:r>
          </w:p>
        </w:tc>
        <w:tc>
          <w:tcPr>
            <w:tcW w:w="1442" w:type="dxa"/>
            <w:noWrap w:val="0"/>
            <w:vAlign w:val="center"/>
          </w:tcPr>
          <w:p w14:paraId="0138A32C">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219" w:type="dxa"/>
            <w:noWrap w:val="0"/>
            <w:vAlign w:val="center"/>
          </w:tcPr>
          <w:p w14:paraId="2408E1FA">
            <w:pPr>
              <w:spacing w:beforeLines="0" w:afterLines="0" w:line="240" w:lineRule="auto"/>
              <w:jc w:val="center"/>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165" w:type="dxa"/>
            <w:noWrap w:val="0"/>
            <w:vAlign w:val="center"/>
          </w:tcPr>
          <w:p w14:paraId="5B37737E">
            <w:pPr>
              <w:spacing w:beforeLines="0" w:afterLines="0" w:line="240" w:lineRule="auto"/>
              <w:jc w:val="center"/>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423" w:type="dxa"/>
            <w:noWrap w:val="0"/>
            <w:vAlign w:val="center"/>
          </w:tcPr>
          <w:p w14:paraId="0ED59BAD">
            <w:pPr>
              <w:spacing w:beforeLines="0" w:afterLines="0" w:line="240" w:lineRule="auto"/>
              <w:jc w:val="center"/>
              <w:rPr>
                <w:rFonts w:hint="eastAsia"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043" w:type="dxa"/>
            <w:noWrap w:val="0"/>
            <w:vAlign w:val="center"/>
          </w:tcPr>
          <w:p w14:paraId="4212C7C2">
            <w:pPr>
              <w:spacing w:beforeLines="0" w:afterLines="0" w:line="240" w:lineRule="auto"/>
              <w:jc w:val="center"/>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2152" w:type="dxa"/>
            <w:noWrap w:val="0"/>
            <w:vAlign w:val="center"/>
          </w:tcPr>
          <w:p w14:paraId="485D4087">
            <w:pPr>
              <w:spacing w:beforeLines="0" w:afterLines="0" w:line="240" w:lineRule="auto"/>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b w:val="0"/>
                <w:bCs/>
                <w:color w:val="auto"/>
                <w:szCs w:val="21"/>
                <w:highlight w:val="none"/>
                <w:lang w:val="en-US" w:eastAsia="zh-CN"/>
              </w:rPr>
              <w:t>/</w:t>
            </w:r>
          </w:p>
        </w:tc>
        <w:tc>
          <w:tcPr>
            <w:tcW w:w="2118" w:type="dxa"/>
            <w:noWrap w:val="0"/>
            <w:vAlign w:val="center"/>
          </w:tcPr>
          <w:p w14:paraId="71ABDEDF">
            <w:pPr>
              <w:keepNext w:val="0"/>
              <w:keepLines w:val="0"/>
              <w:widowControl/>
              <w:suppressLineNumbers w:val="0"/>
              <w:jc w:val="center"/>
              <w:textAlignment w:val="center"/>
              <w:rPr>
                <w:rFonts w:hint="default" w:ascii="Times New Roman" w:hAnsi="Times New Roman" w:eastAsia="宋体" w:cs="Times New Roman"/>
                <w:color w:val="auto"/>
                <w:highlight w:val="none"/>
                <w:lang w:val="en-US" w:eastAsia="zh-CN"/>
              </w:rPr>
            </w:pPr>
            <w:r>
              <w:rPr>
                <w:rFonts w:hint="eastAsia" w:cs="Times New Roman"/>
                <w:i w:val="0"/>
                <w:iCs w:val="0"/>
                <w:color w:val="auto"/>
                <w:kern w:val="0"/>
                <w:sz w:val="21"/>
                <w:szCs w:val="21"/>
                <w:highlight w:val="none"/>
                <w:u w:val="none"/>
                <w:lang w:val="en-US" w:eastAsia="zh-CN" w:bidi="ar"/>
              </w:rPr>
              <w:t>/</w:t>
            </w:r>
          </w:p>
        </w:tc>
      </w:tr>
      <w:tr w14:paraId="2D4F58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5" w:hRule="atLeast"/>
        </w:trPr>
        <w:tc>
          <w:tcPr>
            <w:tcW w:w="1517" w:type="dxa"/>
            <w:vMerge w:val="continue"/>
            <w:noWrap w:val="0"/>
            <w:vAlign w:val="center"/>
          </w:tcPr>
          <w:p w14:paraId="072CB6C2">
            <w:pPr>
              <w:pStyle w:val="67"/>
              <w:spacing w:beforeLines="0" w:afterLines="0" w:line="240" w:lineRule="auto"/>
              <w:rPr>
                <w:rFonts w:hint="default" w:ascii="Times New Roman" w:hAnsi="Times New Roman" w:cs="Times New Roman"/>
                <w:snapToGrid w:val="0"/>
                <w:color w:val="auto"/>
                <w:kern w:val="21"/>
                <w:szCs w:val="21"/>
                <w:highlight w:val="none"/>
              </w:rPr>
            </w:pPr>
          </w:p>
        </w:tc>
        <w:tc>
          <w:tcPr>
            <w:tcW w:w="1536" w:type="dxa"/>
            <w:noWrap w:val="0"/>
            <w:vAlign w:val="center"/>
          </w:tcPr>
          <w:p w14:paraId="425DE7EE">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color="000000"/>
                <w:lang w:val="en-US" w:eastAsia="zh-CN" w:bidi="ar"/>
              </w:rPr>
              <w:t>氨氮</w:t>
            </w:r>
          </w:p>
        </w:tc>
        <w:tc>
          <w:tcPr>
            <w:tcW w:w="1442" w:type="dxa"/>
            <w:noWrap w:val="0"/>
            <w:vAlign w:val="center"/>
          </w:tcPr>
          <w:p w14:paraId="67129AE2">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219" w:type="dxa"/>
            <w:noWrap w:val="0"/>
            <w:vAlign w:val="center"/>
          </w:tcPr>
          <w:p w14:paraId="58B3A07F">
            <w:pPr>
              <w:spacing w:beforeLines="0" w:afterLines="0" w:line="240" w:lineRule="auto"/>
              <w:jc w:val="center"/>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165" w:type="dxa"/>
            <w:noWrap w:val="0"/>
            <w:vAlign w:val="center"/>
          </w:tcPr>
          <w:p w14:paraId="7C77375D">
            <w:pPr>
              <w:spacing w:beforeLines="0" w:afterLines="0" w:line="240" w:lineRule="auto"/>
              <w:jc w:val="center"/>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423" w:type="dxa"/>
            <w:noWrap w:val="0"/>
            <w:vAlign w:val="center"/>
          </w:tcPr>
          <w:p w14:paraId="0C2F08AD">
            <w:pPr>
              <w:spacing w:beforeLines="0" w:afterLines="0" w:line="240" w:lineRule="auto"/>
              <w:jc w:val="center"/>
              <w:rPr>
                <w:rFonts w:hint="eastAsia"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043" w:type="dxa"/>
            <w:noWrap w:val="0"/>
            <w:vAlign w:val="center"/>
          </w:tcPr>
          <w:p w14:paraId="3B674A0F">
            <w:pPr>
              <w:spacing w:beforeLines="0" w:afterLines="0" w:line="240" w:lineRule="auto"/>
              <w:jc w:val="center"/>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2152" w:type="dxa"/>
            <w:noWrap w:val="0"/>
            <w:vAlign w:val="center"/>
          </w:tcPr>
          <w:p w14:paraId="7A1A702A">
            <w:pPr>
              <w:spacing w:beforeLines="0" w:afterLines="0" w:line="240" w:lineRule="auto"/>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b w:val="0"/>
                <w:bCs/>
                <w:color w:val="auto"/>
                <w:szCs w:val="21"/>
                <w:highlight w:val="none"/>
                <w:lang w:val="en-US" w:eastAsia="zh-CN"/>
              </w:rPr>
              <w:t>/</w:t>
            </w:r>
          </w:p>
        </w:tc>
        <w:tc>
          <w:tcPr>
            <w:tcW w:w="2118" w:type="dxa"/>
            <w:noWrap w:val="0"/>
            <w:vAlign w:val="center"/>
          </w:tcPr>
          <w:p w14:paraId="6C1094F2">
            <w:pPr>
              <w:keepNext w:val="0"/>
              <w:keepLines w:val="0"/>
              <w:widowControl/>
              <w:suppressLineNumbers w:val="0"/>
              <w:jc w:val="center"/>
              <w:textAlignment w:val="center"/>
              <w:rPr>
                <w:rFonts w:hint="default" w:ascii="Times New Roman" w:hAnsi="Times New Roman" w:eastAsia="宋体" w:cs="Times New Roman"/>
                <w:color w:val="auto"/>
                <w:highlight w:val="none"/>
                <w:lang w:val="en-US" w:eastAsia="zh-CN"/>
              </w:rPr>
            </w:pPr>
            <w:r>
              <w:rPr>
                <w:rFonts w:hint="eastAsia" w:cs="Times New Roman"/>
                <w:i w:val="0"/>
                <w:iCs w:val="0"/>
                <w:color w:val="auto"/>
                <w:kern w:val="0"/>
                <w:sz w:val="21"/>
                <w:szCs w:val="21"/>
                <w:highlight w:val="none"/>
                <w:u w:val="none"/>
                <w:lang w:val="en-US" w:eastAsia="zh-CN" w:bidi="ar"/>
              </w:rPr>
              <w:t>/</w:t>
            </w:r>
          </w:p>
        </w:tc>
      </w:tr>
      <w:tr w14:paraId="3CA1F1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1517" w:type="dxa"/>
            <w:vMerge w:val="continue"/>
            <w:noWrap w:val="0"/>
            <w:vAlign w:val="center"/>
          </w:tcPr>
          <w:p w14:paraId="277D0128">
            <w:pPr>
              <w:pStyle w:val="67"/>
              <w:spacing w:beforeLines="0" w:afterLines="0" w:line="240" w:lineRule="auto"/>
              <w:rPr>
                <w:rFonts w:hint="default" w:ascii="Times New Roman" w:hAnsi="Times New Roman" w:cs="Times New Roman"/>
                <w:snapToGrid w:val="0"/>
                <w:color w:val="auto"/>
                <w:kern w:val="21"/>
                <w:szCs w:val="21"/>
                <w:highlight w:val="none"/>
              </w:rPr>
            </w:pPr>
          </w:p>
        </w:tc>
        <w:tc>
          <w:tcPr>
            <w:tcW w:w="1536" w:type="dxa"/>
            <w:noWrap w:val="0"/>
            <w:vAlign w:val="center"/>
          </w:tcPr>
          <w:p w14:paraId="1C4A5240">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color="000000"/>
                <w:lang w:val="en-US" w:eastAsia="zh-CN" w:bidi="ar"/>
              </w:rPr>
              <w:t>SS</w:t>
            </w:r>
          </w:p>
        </w:tc>
        <w:tc>
          <w:tcPr>
            <w:tcW w:w="1442" w:type="dxa"/>
            <w:noWrap w:val="0"/>
            <w:vAlign w:val="center"/>
          </w:tcPr>
          <w:p w14:paraId="6E6D6ABF">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219" w:type="dxa"/>
            <w:noWrap w:val="0"/>
            <w:vAlign w:val="center"/>
          </w:tcPr>
          <w:p w14:paraId="6F435B22">
            <w:pPr>
              <w:spacing w:beforeLines="0" w:afterLines="0" w:line="240" w:lineRule="auto"/>
              <w:jc w:val="center"/>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165" w:type="dxa"/>
            <w:noWrap w:val="0"/>
            <w:vAlign w:val="center"/>
          </w:tcPr>
          <w:p w14:paraId="515E39B2">
            <w:pPr>
              <w:spacing w:beforeLines="0" w:afterLines="0" w:line="240" w:lineRule="auto"/>
              <w:jc w:val="center"/>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423" w:type="dxa"/>
            <w:noWrap w:val="0"/>
            <w:vAlign w:val="center"/>
          </w:tcPr>
          <w:p w14:paraId="4E46BBBB">
            <w:pPr>
              <w:spacing w:beforeLines="0" w:afterLines="0" w:line="240" w:lineRule="auto"/>
              <w:jc w:val="center"/>
              <w:rPr>
                <w:rFonts w:hint="eastAsia"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1043" w:type="dxa"/>
            <w:noWrap w:val="0"/>
            <w:vAlign w:val="center"/>
          </w:tcPr>
          <w:p w14:paraId="040F5D98">
            <w:pPr>
              <w:spacing w:beforeLines="0" w:afterLines="0" w:line="240" w:lineRule="auto"/>
              <w:jc w:val="center"/>
              <w:rPr>
                <w:rFonts w:hint="default" w:ascii="Times New Roman" w:hAnsi="Times New Roman" w:eastAsia="宋体" w:cs="Times New Roman"/>
                <w:color w:val="auto"/>
                <w:highlight w:val="none"/>
                <w:lang w:val="en-US" w:eastAsia="zh-CN"/>
              </w:rPr>
            </w:pPr>
            <w:r>
              <w:rPr>
                <w:rFonts w:hint="eastAsia" w:cs="Times New Roman"/>
                <w:b w:val="0"/>
                <w:bCs/>
                <w:color w:val="auto"/>
                <w:szCs w:val="21"/>
                <w:highlight w:val="none"/>
                <w:lang w:val="en-US" w:eastAsia="zh-CN"/>
              </w:rPr>
              <w:t>/</w:t>
            </w:r>
          </w:p>
        </w:tc>
        <w:tc>
          <w:tcPr>
            <w:tcW w:w="2152" w:type="dxa"/>
            <w:noWrap w:val="0"/>
            <w:vAlign w:val="center"/>
          </w:tcPr>
          <w:p w14:paraId="0A762A23">
            <w:pPr>
              <w:spacing w:beforeLines="0" w:afterLines="0" w:line="240" w:lineRule="auto"/>
              <w:jc w:val="center"/>
              <w:rPr>
                <w:rFonts w:hint="default" w:ascii="Times New Roman" w:hAnsi="Times New Roman" w:eastAsia="宋体" w:cs="Times New Roman"/>
                <w:color w:val="auto"/>
                <w:kern w:val="2"/>
                <w:sz w:val="21"/>
                <w:szCs w:val="24"/>
                <w:highlight w:val="none"/>
                <w:lang w:val="en-US" w:eastAsia="zh-CN" w:bidi="ar-SA"/>
              </w:rPr>
            </w:pPr>
            <w:r>
              <w:rPr>
                <w:rFonts w:hint="eastAsia" w:cs="Times New Roman"/>
                <w:b w:val="0"/>
                <w:bCs/>
                <w:color w:val="auto"/>
                <w:szCs w:val="21"/>
                <w:highlight w:val="none"/>
                <w:lang w:val="en-US" w:eastAsia="zh-CN"/>
              </w:rPr>
              <w:t>/</w:t>
            </w:r>
          </w:p>
        </w:tc>
        <w:tc>
          <w:tcPr>
            <w:tcW w:w="2118" w:type="dxa"/>
            <w:noWrap w:val="0"/>
            <w:vAlign w:val="center"/>
          </w:tcPr>
          <w:p w14:paraId="76B9A50A">
            <w:pPr>
              <w:keepNext w:val="0"/>
              <w:keepLines w:val="0"/>
              <w:widowControl/>
              <w:suppressLineNumbers w:val="0"/>
              <w:jc w:val="center"/>
              <w:textAlignment w:val="center"/>
              <w:rPr>
                <w:rFonts w:hint="default" w:ascii="Times New Roman" w:hAnsi="Times New Roman" w:eastAsia="宋体" w:cs="Times New Roman"/>
                <w:color w:val="auto"/>
                <w:highlight w:val="none"/>
                <w:lang w:val="en-US" w:eastAsia="zh-CN"/>
              </w:rPr>
            </w:pPr>
            <w:r>
              <w:rPr>
                <w:rFonts w:hint="eastAsia" w:cs="Times New Roman"/>
                <w:i w:val="0"/>
                <w:iCs w:val="0"/>
                <w:color w:val="auto"/>
                <w:kern w:val="0"/>
                <w:sz w:val="21"/>
                <w:szCs w:val="21"/>
                <w:highlight w:val="none"/>
                <w:u w:val="none"/>
                <w:lang w:val="en-US" w:eastAsia="zh-CN" w:bidi="ar"/>
              </w:rPr>
              <w:t>/</w:t>
            </w:r>
          </w:p>
        </w:tc>
      </w:tr>
      <w:tr w14:paraId="4BC73A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1517" w:type="dxa"/>
            <w:vMerge w:val="restart"/>
            <w:tcBorders>
              <w:top w:val="single" w:color="000000" w:sz="4" w:space="0"/>
            </w:tcBorders>
            <w:noWrap w:val="0"/>
            <w:vAlign w:val="center"/>
          </w:tcPr>
          <w:p w14:paraId="240CB14E">
            <w:pPr>
              <w:pStyle w:val="67"/>
              <w:spacing w:beforeLines="0" w:afterLines="0" w:line="240" w:lineRule="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cs="Times New Roman"/>
                <w:snapToGrid w:val="0"/>
                <w:color w:val="auto"/>
                <w:kern w:val="21"/>
                <w:szCs w:val="21"/>
                <w:highlight w:val="none"/>
                <w:lang w:val="en-US" w:eastAsia="zh-CN"/>
              </w:rPr>
              <w:t>固体废物</w:t>
            </w:r>
          </w:p>
        </w:tc>
        <w:tc>
          <w:tcPr>
            <w:tcW w:w="1536" w:type="dxa"/>
            <w:tcBorders>
              <w:top w:val="single" w:color="000000" w:sz="4" w:space="0"/>
            </w:tcBorders>
            <w:noWrap w:val="0"/>
            <w:vAlign w:val="center"/>
          </w:tcPr>
          <w:p w14:paraId="02E0A259">
            <w:pPr>
              <w:pStyle w:val="111"/>
              <w:wordWrap/>
              <w:spacing w:before="0" w:beforeLines="0" w:after="0" w:afterLines="0" w:line="240" w:lineRule="exact"/>
              <w:ind w:left="21" w:leftChars="0" w:right="21" w:rightChars="0"/>
              <w:rPr>
                <w:rFonts w:hint="default" w:ascii="Times New Roman" w:hAnsi="Times New Roman" w:eastAsia="宋体" w:cs="Times New Roman"/>
                <w:color w:val="auto"/>
                <w:kern w:val="0"/>
                <w:sz w:val="21"/>
                <w:szCs w:val="24"/>
                <w:highlight w:val="none"/>
                <w:lang w:val="en-US" w:eastAsia="zh-CN" w:bidi="ar-SA"/>
              </w:rPr>
            </w:pPr>
            <w:r>
              <w:rPr>
                <w:color w:val="auto"/>
                <w:highlight w:val="none"/>
              </w:rPr>
              <w:t>废包装</w:t>
            </w:r>
          </w:p>
        </w:tc>
        <w:tc>
          <w:tcPr>
            <w:tcW w:w="1442" w:type="dxa"/>
            <w:noWrap w:val="0"/>
            <w:vAlign w:val="center"/>
          </w:tcPr>
          <w:p w14:paraId="460E456B">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b w:val="0"/>
                <w:bCs/>
                <w:color w:val="auto"/>
                <w:szCs w:val="21"/>
                <w:highlight w:val="none"/>
                <w:lang w:val="en-US" w:eastAsia="zh-CN"/>
              </w:rPr>
              <w:t>/</w:t>
            </w:r>
          </w:p>
        </w:tc>
        <w:tc>
          <w:tcPr>
            <w:tcW w:w="1219" w:type="dxa"/>
            <w:noWrap w:val="0"/>
            <w:vAlign w:val="center"/>
          </w:tcPr>
          <w:p w14:paraId="0B3C8735">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Cs w:val="21"/>
                <w:highlight w:val="none"/>
                <w:lang w:val="en-US" w:eastAsia="zh-CN"/>
              </w:rPr>
              <w:t>/</w:t>
            </w:r>
          </w:p>
        </w:tc>
        <w:tc>
          <w:tcPr>
            <w:tcW w:w="1165" w:type="dxa"/>
            <w:noWrap w:val="0"/>
            <w:vAlign w:val="center"/>
          </w:tcPr>
          <w:p w14:paraId="2B3FFAF6">
            <w:pPr>
              <w:spacing w:beforeLines="0" w:afterLines="0" w:line="240" w:lineRule="auto"/>
              <w:jc w:val="center"/>
              <w:rPr>
                <w:rFonts w:hint="default" w:ascii="Times New Roman" w:hAnsi="Times New Roman" w:cs="Times New Roman"/>
                <w:b w:val="0"/>
                <w:bCs w:val="0"/>
                <w:snapToGrid w:val="0"/>
                <w:color w:val="auto"/>
                <w:kern w:val="21"/>
                <w:sz w:val="21"/>
                <w:szCs w:val="21"/>
                <w:highlight w:val="none"/>
                <w:lang w:val="en-US" w:eastAsia="zh-CN" w:bidi="ar-SA"/>
              </w:rPr>
            </w:pPr>
            <w:r>
              <w:rPr>
                <w:rFonts w:hint="eastAsia" w:cs="Times New Roman"/>
                <w:b w:val="0"/>
                <w:bCs/>
                <w:color w:val="auto"/>
                <w:szCs w:val="21"/>
                <w:highlight w:val="none"/>
                <w:lang w:val="en-US" w:eastAsia="zh-CN"/>
              </w:rPr>
              <w:t>/</w:t>
            </w:r>
          </w:p>
        </w:tc>
        <w:tc>
          <w:tcPr>
            <w:tcW w:w="1423" w:type="dxa"/>
            <w:noWrap w:val="0"/>
            <w:vAlign w:val="center"/>
          </w:tcPr>
          <w:p w14:paraId="1CB6F133">
            <w:pPr>
              <w:widowControl/>
              <w:jc w:val="center"/>
              <w:textAlignment w:val="center"/>
              <w:rPr>
                <w:rFonts w:hint="default" w:ascii="Times New Roman" w:hAnsi="Times New Roman" w:eastAsia="宋体" w:cs="Times New Roman"/>
                <w:b w:val="0"/>
                <w:bCs w:val="0"/>
                <w:color w:val="auto"/>
                <w:sz w:val="18"/>
                <w:szCs w:val="18"/>
                <w:highlight w:val="none"/>
                <w:lang w:val="en-US" w:eastAsia="zh-CN" w:bidi="ar-SA"/>
              </w:rPr>
            </w:pPr>
            <w:r>
              <w:rPr>
                <w:rFonts w:hint="eastAsia"/>
                <w:color w:val="auto"/>
                <w:highlight w:val="none"/>
                <w:lang w:val="en-US" w:eastAsia="zh-CN"/>
              </w:rPr>
              <w:t>4.8</w:t>
            </w:r>
            <w:r>
              <w:rPr>
                <w:rFonts w:hint="default" w:ascii="Times New Roman" w:hAnsi="Times New Roman" w:eastAsia="宋体" w:cs="Times New Roman"/>
                <w:color w:val="auto"/>
                <w:sz w:val="21"/>
                <w:szCs w:val="21"/>
                <w:highlight w:val="none"/>
              </w:rPr>
              <w:t>t/a</w:t>
            </w:r>
          </w:p>
        </w:tc>
        <w:tc>
          <w:tcPr>
            <w:tcW w:w="1043" w:type="dxa"/>
            <w:noWrap w:val="0"/>
            <w:vAlign w:val="center"/>
          </w:tcPr>
          <w:p w14:paraId="49E7A4BD">
            <w:pPr>
              <w:spacing w:beforeLines="0" w:afterLines="0" w:line="240" w:lineRule="auto"/>
              <w:jc w:val="center"/>
              <w:rPr>
                <w:rFonts w:hint="eastAsia" w:ascii="Times New Roman" w:hAnsi="Times New Roman" w:cs="Times New Roman"/>
                <w:b w:val="0"/>
                <w:bCs w:val="0"/>
                <w:snapToGrid w:val="0"/>
                <w:color w:val="auto"/>
                <w:kern w:val="21"/>
                <w:sz w:val="21"/>
                <w:szCs w:val="21"/>
                <w:highlight w:val="none"/>
                <w:lang w:val="en-US" w:eastAsia="zh-CN" w:bidi="ar-SA"/>
              </w:rPr>
            </w:pPr>
            <w:r>
              <w:rPr>
                <w:rFonts w:hint="eastAsia" w:cs="Times New Roman"/>
                <w:b w:val="0"/>
                <w:bCs/>
                <w:color w:val="auto"/>
                <w:szCs w:val="21"/>
                <w:highlight w:val="none"/>
                <w:lang w:val="en-US" w:eastAsia="zh-CN"/>
              </w:rPr>
              <w:t>/</w:t>
            </w:r>
          </w:p>
        </w:tc>
        <w:tc>
          <w:tcPr>
            <w:tcW w:w="2152" w:type="dxa"/>
            <w:noWrap w:val="0"/>
            <w:vAlign w:val="center"/>
          </w:tcPr>
          <w:p w14:paraId="1FD7AACC">
            <w:pPr>
              <w:widowControl/>
              <w:jc w:val="center"/>
              <w:textAlignment w:val="center"/>
              <w:rPr>
                <w:rFonts w:hint="default" w:ascii="Times New Roman" w:hAnsi="Times New Roman" w:eastAsia="宋体" w:cs="Times New Roman"/>
                <w:b w:val="0"/>
                <w:bCs/>
                <w:color w:val="auto"/>
                <w:szCs w:val="21"/>
                <w:highlight w:val="none"/>
                <w:lang w:val="en-US" w:eastAsia="zh-CN"/>
              </w:rPr>
            </w:pPr>
            <w:r>
              <w:rPr>
                <w:rFonts w:hint="eastAsia"/>
                <w:color w:val="auto"/>
                <w:highlight w:val="none"/>
                <w:lang w:val="en-US" w:eastAsia="zh-CN"/>
              </w:rPr>
              <w:t>4.8</w:t>
            </w:r>
            <w:r>
              <w:rPr>
                <w:rFonts w:hint="default" w:ascii="Times New Roman" w:hAnsi="Times New Roman" w:eastAsia="宋体" w:cs="Times New Roman"/>
                <w:color w:val="auto"/>
                <w:sz w:val="21"/>
                <w:szCs w:val="21"/>
                <w:highlight w:val="none"/>
              </w:rPr>
              <w:t>t/a</w:t>
            </w:r>
          </w:p>
        </w:tc>
        <w:tc>
          <w:tcPr>
            <w:tcW w:w="2118" w:type="dxa"/>
            <w:noWrap w:val="0"/>
            <w:vAlign w:val="center"/>
          </w:tcPr>
          <w:p w14:paraId="173D0FEB">
            <w:pPr>
              <w:widowControl/>
              <w:jc w:val="center"/>
              <w:textAlignment w:val="center"/>
              <w:rPr>
                <w:rFonts w:hint="default" w:ascii="Times New Roman" w:hAnsi="Times New Roman" w:eastAsia="宋体" w:cs="Times New Roman"/>
                <w:b w:val="0"/>
                <w:bCs w:val="0"/>
                <w:snapToGrid w:val="0"/>
                <w:color w:val="auto"/>
                <w:kern w:val="21"/>
                <w:sz w:val="24"/>
                <w:szCs w:val="21"/>
                <w:highlight w:val="none"/>
                <w:lang w:val="en-US" w:eastAsia="zh-CN" w:bidi="ar-SA"/>
              </w:rPr>
            </w:pPr>
            <w:r>
              <w:rPr>
                <w:rFonts w:hint="eastAsia"/>
                <w:color w:val="auto"/>
                <w:highlight w:val="none"/>
                <w:lang w:val="en-US" w:eastAsia="zh-CN"/>
              </w:rPr>
              <w:t>+4.8</w:t>
            </w:r>
            <w:r>
              <w:rPr>
                <w:rFonts w:hint="default" w:ascii="Times New Roman" w:hAnsi="Times New Roman" w:eastAsia="宋体" w:cs="Times New Roman"/>
                <w:color w:val="auto"/>
                <w:sz w:val="21"/>
                <w:szCs w:val="21"/>
                <w:highlight w:val="none"/>
              </w:rPr>
              <w:t>t/a</w:t>
            </w:r>
          </w:p>
        </w:tc>
      </w:tr>
      <w:tr w14:paraId="2F6BA6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1517" w:type="dxa"/>
            <w:vMerge w:val="continue"/>
            <w:noWrap w:val="0"/>
            <w:vAlign w:val="center"/>
          </w:tcPr>
          <w:p w14:paraId="55C5DB54">
            <w:pPr>
              <w:pStyle w:val="67"/>
              <w:spacing w:beforeLines="0" w:afterLines="0" w:line="240" w:lineRule="auto"/>
              <w:rPr>
                <w:rFonts w:hint="default" w:ascii="Times New Roman" w:hAnsi="Times New Roman" w:cs="Times New Roman"/>
                <w:snapToGrid w:val="0"/>
                <w:color w:val="auto"/>
                <w:kern w:val="21"/>
                <w:szCs w:val="21"/>
                <w:highlight w:val="none"/>
              </w:rPr>
            </w:pPr>
          </w:p>
        </w:tc>
        <w:tc>
          <w:tcPr>
            <w:tcW w:w="1536" w:type="dxa"/>
            <w:noWrap w:val="0"/>
            <w:vAlign w:val="center"/>
          </w:tcPr>
          <w:p w14:paraId="5B78C4ED">
            <w:pPr>
              <w:pStyle w:val="111"/>
              <w:wordWrap/>
              <w:spacing w:before="0" w:beforeLines="0" w:after="0" w:afterLines="0" w:line="240" w:lineRule="exact"/>
              <w:ind w:left="21" w:leftChars="0" w:right="21" w:rightChars="0"/>
              <w:rPr>
                <w:rFonts w:hint="default" w:ascii="Times New Roman" w:hAnsi="Times New Roman" w:eastAsia="宋体" w:cs="Times New Roman"/>
                <w:color w:val="auto"/>
                <w:kern w:val="0"/>
                <w:sz w:val="21"/>
                <w:szCs w:val="24"/>
                <w:highlight w:val="none"/>
                <w:lang w:val="en-US" w:eastAsia="zh-CN" w:bidi="ar-SA"/>
              </w:rPr>
            </w:pPr>
            <w:r>
              <w:rPr>
                <w:rFonts w:hint="eastAsia"/>
                <w:color w:val="auto"/>
                <w:highlight w:val="none"/>
                <w:lang w:val="en-US" w:eastAsia="zh-CN"/>
              </w:rPr>
              <w:t>边角料</w:t>
            </w:r>
          </w:p>
        </w:tc>
        <w:tc>
          <w:tcPr>
            <w:tcW w:w="1442" w:type="dxa"/>
            <w:noWrap w:val="0"/>
            <w:vAlign w:val="center"/>
          </w:tcPr>
          <w:p w14:paraId="6C1235C3">
            <w:pPr>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b w:val="0"/>
                <w:bCs/>
                <w:color w:val="auto"/>
                <w:szCs w:val="21"/>
                <w:highlight w:val="none"/>
                <w:lang w:val="en-US" w:eastAsia="zh-CN"/>
              </w:rPr>
              <w:t>/</w:t>
            </w:r>
          </w:p>
        </w:tc>
        <w:tc>
          <w:tcPr>
            <w:tcW w:w="1219" w:type="dxa"/>
            <w:noWrap w:val="0"/>
            <w:vAlign w:val="center"/>
          </w:tcPr>
          <w:p w14:paraId="186B3996">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Cs w:val="21"/>
                <w:highlight w:val="none"/>
                <w:lang w:val="en-US" w:eastAsia="zh-CN"/>
              </w:rPr>
              <w:t>/</w:t>
            </w:r>
          </w:p>
        </w:tc>
        <w:tc>
          <w:tcPr>
            <w:tcW w:w="1165" w:type="dxa"/>
            <w:noWrap w:val="0"/>
            <w:vAlign w:val="center"/>
          </w:tcPr>
          <w:p w14:paraId="2588B4F3">
            <w:pPr>
              <w:spacing w:beforeLines="0" w:afterLines="0" w:line="240" w:lineRule="auto"/>
              <w:jc w:val="center"/>
              <w:rPr>
                <w:rFonts w:hint="default" w:ascii="Times New Roman" w:hAnsi="Times New Roman" w:cs="Times New Roman"/>
                <w:b w:val="0"/>
                <w:bCs w:val="0"/>
                <w:snapToGrid w:val="0"/>
                <w:color w:val="auto"/>
                <w:kern w:val="21"/>
                <w:sz w:val="21"/>
                <w:szCs w:val="21"/>
                <w:highlight w:val="none"/>
                <w:lang w:val="en-US" w:eastAsia="zh-CN" w:bidi="ar-SA"/>
              </w:rPr>
            </w:pPr>
            <w:r>
              <w:rPr>
                <w:rFonts w:hint="eastAsia" w:cs="Times New Roman"/>
                <w:b w:val="0"/>
                <w:bCs/>
                <w:color w:val="auto"/>
                <w:szCs w:val="21"/>
                <w:highlight w:val="none"/>
                <w:lang w:val="en-US" w:eastAsia="zh-CN"/>
              </w:rPr>
              <w:t>/</w:t>
            </w:r>
          </w:p>
        </w:tc>
        <w:tc>
          <w:tcPr>
            <w:tcW w:w="1423" w:type="dxa"/>
            <w:noWrap w:val="0"/>
            <w:vAlign w:val="center"/>
          </w:tcPr>
          <w:p w14:paraId="709F9C9E">
            <w:pPr>
              <w:widowControl/>
              <w:jc w:val="center"/>
              <w:textAlignment w:val="center"/>
              <w:rPr>
                <w:rFonts w:hint="default" w:ascii="Times New Roman" w:hAnsi="Times New Roman" w:eastAsia="宋体" w:cs="Times New Roman"/>
                <w:b w:val="0"/>
                <w:bCs w:val="0"/>
                <w:color w:val="auto"/>
                <w:sz w:val="18"/>
                <w:szCs w:val="18"/>
                <w:highlight w:val="none"/>
                <w:lang w:val="en-US" w:eastAsia="zh-CN" w:bidi="ar-SA"/>
              </w:rPr>
            </w:pPr>
            <w:r>
              <w:rPr>
                <w:rFonts w:hint="eastAsia"/>
                <w:color w:val="auto"/>
                <w:kern w:val="0"/>
                <w:szCs w:val="20"/>
                <w:highlight w:val="none"/>
                <w:lang w:val="en-US" w:eastAsia="zh-CN"/>
              </w:rPr>
              <w:t>4</w:t>
            </w:r>
            <w:r>
              <w:rPr>
                <w:rFonts w:hint="default" w:ascii="Times New Roman" w:hAnsi="Times New Roman" w:eastAsia="宋体" w:cs="Times New Roman"/>
                <w:color w:val="auto"/>
                <w:sz w:val="21"/>
                <w:szCs w:val="21"/>
                <w:highlight w:val="none"/>
              </w:rPr>
              <w:t>t/a</w:t>
            </w:r>
          </w:p>
        </w:tc>
        <w:tc>
          <w:tcPr>
            <w:tcW w:w="1043" w:type="dxa"/>
            <w:noWrap w:val="0"/>
            <w:vAlign w:val="center"/>
          </w:tcPr>
          <w:p w14:paraId="2BA8F5BC">
            <w:pPr>
              <w:spacing w:beforeLines="0" w:afterLines="0" w:line="240" w:lineRule="auto"/>
              <w:jc w:val="center"/>
              <w:rPr>
                <w:rFonts w:hint="eastAsia" w:ascii="Times New Roman" w:hAnsi="Times New Roman" w:cs="Times New Roman"/>
                <w:b w:val="0"/>
                <w:bCs w:val="0"/>
                <w:snapToGrid w:val="0"/>
                <w:color w:val="auto"/>
                <w:kern w:val="21"/>
                <w:sz w:val="21"/>
                <w:szCs w:val="21"/>
                <w:highlight w:val="none"/>
                <w:lang w:val="en-US" w:eastAsia="zh-CN" w:bidi="ar-SA"/>
              </w:rPr>
            </w:pPr>
            <w:r>
              <w:rPr>
                <w:rFonts w:hint="eastAsia" w:cs="Times New Roman"/>
                <w:b w:val="0"/>
                <w:bCs/>
                <w:color w:val="auto"/>
                <w:szCs w:val="21"/>
                <w:highlight w:val="none"/>
                <w:lang w:val="en-US" w:eastAsia="zh-CN"/>
              </w:rPr>
              <w:t>/</w:t>
            </w:r>
          </w:p>
        </w:tc>
        <w:tc>
          <w:tcPr>
            <w:tcW w:w="2152" w:type="dxa"/>
            <w:noWrap w:val="0"/>
            <w:vAlign w:val="center"/>
          </w:tcPr>
          <w:p w14:paraId="5080BB3D">
            <w:pPr>
              <w:widowControl/>
              <w:jc w:val="center"/>
              <w:textAlignment w:val="center"/>
              <w:rPr>
                <w:rFonts w:hint="default" w:ascii="Times New Roman" w:hAnsi="Times New Roman" w:eastAsia="宋体" w:cs="Times New Roman"/>
                <w:b w:val="0"/>
                <w:bCs/>
                <w:color w:val="auto"/>
                <w:szCs w:val="21"/>
                <w:highlight w:val="none"/>
                <w:lang w:val="en-US" w:eastAsia="zh-CN"/>
              </w:rPr>
            </w:pPr>
            <w:r>
              <w:rPr>
                <w:rFonts w:hint="eastAsia"/>
                <w:color w:val="auto"/>
                <w:kern w:val="0"/>
                <w:szCs w:val="20"/>
                <w:highlight w:val="none"/>
                <w:lang w:val="en-US" w:eastAsia="zh-CN"/>
              </w:rPr>
              <w:t>4</w:t>
            </w:r>
            <w:r>
              <w:rPr>
                <w:rFonts w:hint="default" w:ascii="Times New Roman" w:hAnsi="Times New Roman" w:eastAsia="宋体" w:cs="Times New Roman"/>
                <w:color w:val="auto"/>
                <w:sz w:val="21"/>
                <w:szCs w:val="21"/>
                <w:highlight w:val="none"/>
              </w:rPr>
              <w:t>t/a</w:t>
            </w:r>
          </w:p>
        </w:tc>
        <w:tc>
          <w:tcPr>
            <w:tcW w:w="2118" w:type="dxa"/>
            <w:noWrap w:val="0"/>
            <w:vAlign w:val="center"/>
          </w:tcPr>
          <w:p w14:paraId="46A29CB2">
            <w:pPr>
              <w:widowControl/>
              <w:jc w:val="center"/>
              <w:textAlignment w:val="center"/>
              <w:rPr>
                <w:rFonts w:hint="default" w:ascii="Times New Roman" w:hAnsi="Times New Roman" w:eastAsia="宋体" w:cs="Times New Roman"/>
                <w:b w:val="0"/>
                <w:bCs w:val="0"/>
                <w:snapToGrid w:val="0"/>
                <w:color w:val="auto"/>
                <w:kern w:val="21"/>
                <w:sz w:val="24"/>
                <w:szCs w:val="21"/>
                <w:highlight w:val="none"/>
                <w:lang w:val="en-US" w:eastAsia="zh-CN" w:bidi="ar-SA"/>
              </w:rPr>
            </w:pPr>
            <w:r>
              <w:rPr>
                <w:rFonts w:hint="eastAsia"/>
                <w:color w:val="auto"/>
                <w:kern w:val="0"/>
                <w:szCs w:val="20"/>
                <w:highlight w:val="none"/>
                <w:lang w:val="en-US" w:eastAsia="zh-CN"/>
              </w:rPr>
              <w:t>+4</w:t>
            </w:r>
            <w:r>
              <w:rPr>
                <w:rFonts w:hint="default" w:ascii="Times New Roman" w:hAnsi="Times New Roman" w:eastAsia="宋体" w:cs="Times New Roman"/>
                <w:color w:val="auto"/>
                <w:sz w:val="21"/>
                <w:szCs w:val="21"/>
                <w:highlight w:val="none"/>
              </w:rPr>
              <w:t>t/a</w:t>
            </w:r>
          </w:p>
        </w:tc>
      </w:tr>
      <w:tr w14:paraId="44FB42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1517" w:type="dxa"/>
            <w:vMerge w:val="continue"/>
            <w:noWrap w:val="0"/>
            <w:vAlign w:val="center"/>
          </w:tcPr>
          <w:p w14:paraId="379A19C4">
            <w:pPr>
              <w:pStyle w:val="67"/>
              <w:spacing w:beforeLines="0" w:afterLines="0" w:line="240" w:lineRule="auto"/>
              <w:rPr>
                <w:rFonts w:hint="default" w:ascii="Times New Roman" w:hAnsi="Times New Roman" w:cs="Times New Roman"/>
                <w:snapToGrid w:val="0"/>
                <w:color w:val="auto"/>
                <w:kern w:val="21"/>
                <w:szCs w:val="21"/>
                <w:highlight w:val="none"/>
              </w:rPr>
            </w:pPr>
          </w:p>
        </w:tc>
        <w:tc>
          <w:tcPr>
            <w:tcW w:w="1536" w:type="dxa"/>
            <w:noWrap w:val="0"/>
            <w:vAlign w:val="center"/>
          </w:tcPr>
          <w:p w14:paraId="0F2E1C1D">
            <w:pPr>
              <w:pStyle w:val="111"/>
              <w:wordWrap/>
              <w:spacing w:before="0" w:beforeLines="0" w:after="0" w:afterLines="0" w:line="240" w:lineRule="exact"/>
              <w:ind w:left="21" w:leftChars="0" w:right="21" w:rightChars="0"/>
              <w:rPr>
                <w:rFonts w:hint="default" w:ascii="Times New Roman" w:hAnsi="Times New Roman" w:eastAsia="宋体" w:cs="Times New Roman"/>
                <w:color w:val="auto"/>
                <w:kern w:val="0"/>
                <w:sz w:val="21"/>
                <w:szCs w:val="24"/>
                <w:highlight w:val="none"/>
                <w:lang w:val="en-US" w:eastAsia="zh-CN" w:bidi="ar-SA"/>
              </w:rPr>
            </w:pPr>
            <w:r>
              <w:rPr>
                <w:rFonts w:hint="eastAsia"/>
                <w:color w:val="auto"/>
                <w:szCs w:val="21"/>
                <w:highlight w:val="none"/>
                <w:lang w:val="en-US" w:eastAsia="zh-CN"/>
              </w:rPr>
              <w:t>不合格品</w:t>
            </w:r>
          </w:p>
        </w:tc>
        <w:tc>
          <w:tcPr>
            <w:tcW w:w="1442" w:type="dxa"/>
            <w:noWrap w:val="0"/>
            <w:vAlign w:val="center"/>
          </w:tcPr>
          <w:p w14:paraId="73BE77FA">
            <w:pPr>
              <w:spacing w:beforeLines="0" w:afterLines="0"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b w:val="0"/>
                <w:bCs/>
                <w:color w:val="auto"/>
                <w:szCs w:val="21"/>
                <w:highlight w:val="none"/>
                <w:lang w:val="en-US" w:eastAsia="zh-CN"/>
              </w:rPr>
              <w:t>/</w:t>
            </w:r>
          </w:p>
        </w:tc>
        <w:tc>
          <w:tcPr>
            <w:tcW w:w="1219" w:type="dxa"/>
            <w:noWrap w:val="0"/>
            <w:vAlign w:val="center"/>
          </w:tcPr>
          <w:p w14:paraId="4199368D">
            <w:pPr>
              <w:spacing w:beforeLines="0" w:afterLines="0"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b w:val="0"/>
                <w:bCs/>
                <w:color w:val="auto"/>
                <w:szCs w:val="21"/>
                <w:highlight w:val="none"/>
                <w:lang w:val="en-US" w:eastAsia="zh-CN"/>
              </w:rPr>
              <w:t>/</w:t>
            </w:r>
          </w:p>
        </w:tc>
        <w:tc>
          <w:tcPr>
            <w:tcW w:w="1165" w:type="dxa"/>
            <w:noWrap w:val="0"/>
            <w:vAlign w:val="center"/>
          </w:tcPr>
          <w:p w14:paraId="79B5BC56">
            <w:pPr>
              <w:spacing w:beforeLines="0" w:afterLines="0"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b w:val="0"/>
                <w:bCs/>
                <w:color w:val="auto"/>
                <w:szCs w:val="21"/>
                <w:highlight w:val="none"/>
                <w:lang w:val="en-US" w:eastAsia="zh-CN"/>
              </w:rPr>
              <w:t>/</w:t>
            </w:r>
          </w:p>
        </w:tc>
        <w:tc>
          <w:tcPr>
            <w:tcW w:w="1423" w:type="dxa"/>
            <w:noWrap w:val="0"/>
            <w:vAlign w:val="center"/>
          </w:tcPr>
          <w:p w14:paraId="3DA202F5">
            <w:pPr>
              <w:widowControl/>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eastAsia"/>
                <w:color w:val="auto"/>
                <w:kern w:val="0"/>
                <w:szCs w:val="21"/>
                <w:highlight w:val="none"/>
                <w:lang w:val="en-US" w:eastAsia="zh-CN" w:bidi="ar"/>
              </w:rPr>
              <w:t>1.6</w:t>
            </w:r>
            <w:r>
              <w:rPr>
                <w:rFonts w:hint="default" w:ascii="Times New Roman" w:hAnsi="Times New Roman" w:eastAsia="宋体" w:cs="Times New Roman"/>
                <w:color w:val="auto"/>
                <w:sz w:val="21"/>
                <w:szCs w:val="21"/>
                <w:highlight w:val="none"/>
              </w:rPr>
              <w:t>t/a</w:t>
            </w:r>
          </w:p>
        </w:tc>
        <w:tc>
          <w:tcPr>
            <w:tcW w:w="1043" w:type="dxa"/>
            <w:noWrap w:val="0"/>
            <w:vAlign w:val="center"/>
          </w:tcPr>
          <w:p w14:paraId="738182CE">
            <w:pPr>
              <w:spacing w:beforeLines="0" w:afterLines="0"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b w:val="0"/>
                <w:bCs/>
                <w:color w:val="auto"/>
                <w:szCs w:val="21"/>
                <w:highlight w:val="none"/>
                <w:lang w:val="en-US" w:eastAsia="zh-CN"/>
              </w:rPr>
              <w:t>/</w:t>
            </w:r>
          </w:p>
        </w:tc>
        <w:tc>
          <w:tcPr>
            <w:tcW w:w="2152" w:type="dxa"/>
            <w:noWrap w:val="0"/>
            <w:vAlign w:val="center"/>
          </w:tcPr>
          <w:p w14:paraId="7E4EC7A3">
            <w:pPr>
              <w:widowControl/>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eastAsia"/>
                <w:color w:val="auto"/>
                <w:kern w:val="0"/>
                <w:szCs w:val="21"/>
                <w:highlight w:val="none"/>
                <w:lang w:val="en-US" w:eastAsia="zh-CN" w:bidi="ar"/>
              </w:rPr>
              <w:t>1.6</w:t>
            </w:r>
            <w:r>
              <w:rPr>
                <w:rFonts w:hint="default" w:ascii="Times New Roman" w:hAnsi="Times New Roman" w:eastAsia="宋体" w:cs="Times New Roman"/>
                <w:color w:val="auto"/>
                <w:sz w:val="21"/>
                <w:szCs w:val="21"/>
                <w:highlight w:val="none"/>
              </w:rPr>
              <w:t>t/a</w:t>
            </w:r>
          </w:p>
        </w:tc>
        <w:tc>
          <w:tcPr>
            <w:tcW w:w="2118" w:type="dxa"/>
            <w:noWrap w:val="0"/>
            <w:vAlign w:val="center"/>
          </w:tcPr>
          <w:p w14:paraId="1B4DE16E">
            <w:pPr>
              <w:widowControl/>
              <w:jc w:val="center"/>
              <w:textAlignment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kern w:val="0"/>
                <w:szCs w:val="21"/>
                <w:highlight w:val="none"/>
                <w:lang w:val="en-US" w:eastAsia="zh-CN" w:bidi="ar"/>
              </w:rPr>
              <w:t>+1.6</w:t>
            </w:r>
            <w:r>
              <w:rPr>
                <w:rFonts w:hint="default" w:ascii="Times New Roman" w:hAnsi="Times New Roman" w:eastAsia="宋体" w:cs="Times New Roman"/>
                <w:color w:val="auto"/>
                <w:sz w:val="21"/>
                <w:szCs w:val="21"/>
                <w:highlight w:val="none"/>
              </w:rPr>
              <w:t>t/a</w:t>
            </w:r>
          </w:p>
        </w:tc>
      </w:tr>
      <w:tr w14:paraId="4CA2B5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1517" w:type="dxa"/>
            <w:vMerge w:val="continue"/>
            <w:noWrap w:val="0"/>
            <w:vAlign w:val="center"/>
          </w:tcPr>
          <w:p w14:paraId="45DE77AA">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bookmarkStart w:id="55" w:name="_Toc6870"/>
          </w:p>
        </w:tc>
        <w:tc>
          <w:tcPr>
            <w:tcW w:w="1536" w:type="dxa"/>
            <w:noWrap w:val="0"/>
            <w:vAlign w:val="center"/>
          </w:tcPr>
          <w:p w14:paraId="4E9CC5CC">
            <w:pPr>
              <w:pStyle w:val="111"/>
              <w:spacing w:before="0" w:beforeLines="0" w:after="0" w:afterLines="0" w:line="240" w:lineRule="exact"/>
              <w:ind w:left="0" w:leftChars="0" w:right="0" w:rightChars="0"/>
              <w:rPr>
                <w:rFonts w:hint="default" w:ascii="Times New Roman" w:hAnsi="Times New Roman" w:eastAsia="宋体" w:cs="Times New Roman"/>
                <w:color w:val="auto"/>
                <w:kern w:val="2"/>
                <w:sz w:val="21"/>
                <w:szCs w:val="21"/>
                <w:highlight w:val="none"/>
                <w:lang w:val="en-US" w:eastAsia="zh-CN" w:bidi="ar-SA"/>
              </w:rPr>
            </w:pPr>
            <w:r>
              <w:rPr>
                <w:color w:val="auto"/>
                <w:highlight w:val="none"/>
              </w:rPr>
              <w:t>废活性炭</w:t>
            </w:r>
          </w:p>
        </w:tc>
        <w:tc>
          <w:tcPr>
            <w:tcW w:w="1442" w:type="dxa"/>
            <w:noWrap w:val="0"/>
            <w:vAlign w:val="center"/>
          </w:tcPr>
          <w:p w14:paraId="60CCDFCD">
            <w:pPr>
              <w:spacing w:beforeLines="0" w:afterLines="0"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b w:val="0"/>
                <w:bCs/>
                <w:color w:val="auto"/>
                <w:szCs w:val="21"/>
                <w:highlight w:val="none"/>
                <w:lang w:val="en-US" w:eastAsia="zh-CN"/>
              </w:rPr>
              <w:t>/</w:t>
            </w:r>
          </w:p>
        </w:tc>
        <w:tc>
          <w:tcPr>
            <w:tcW w:w="1219" w:type="dxa"/>
            <w:noWrap w:val="0"/>
            <w:vAlign w:val="center"/>
          </w:tcPr>
          <w:p w14:paraId="288831FC">
            <w:pPr>
              <w:spacing w:beforeLines="0" w:afterLines="0"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b w:val="0"/>
                <w:bCs/>
                <w:color w:val="auto"/>
                <w:szCs w:val="21"/>
                <w:highlight w:val="none"/>
                <w:lang w:val="en-US" w:eastAsia="zh-CN"/>
              </w:rPr>
              <w:t>/</w:t>
            </w:r>
          </w:p>
        </w:tc>
        <w:tc>
          <w:tcPr>
            <w:tcW w:w="1165" w:type="dxa"/>
            <w:noWrap w:val="0"/>
            <w:vAlign w:val="center"/>
          </w:tcPr>
          <w:p w14:paraId="4A4AE0C2">
            <w:pPr>
              <w:spacing w:beforeLines="0" w:afterLines="0"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b w:val="0"/>
                <w:bCs/>
                <w:color w:val="auto"/>
                <w:szCs w:val="21"/>
                <w:highlight w:val="none"/>
                <w:lang w:val="en-US" w:eastAsia="zh-CN"/>
              </w:rPr>
              <w:t>/</w:t>
            </w:r>
          </w:p>
        </w:tc>
        <w:tc>
          <w:tcPr>
            <w:tcW w:w="1423" w:type="dxa"/>
            <w:noWrap w:val="0"/>
            <w:vAlign w:val="center"/>
          </w:tcPr>
          <w:p w14:paraId="7D1A6A2D">
            <w:pPr>
              <w:widowControl/>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eastAsia"/>
                <w:color w:val="auto"/>
                <w:kern w:val="0"/>
                <w:szCs w:val="21"/>
                <w:highlight w:val="none"/>
                <w:lang w:val="en-US" w:eastAsia="zh-CN" w:bidi="ar"/>
              </w:rPr>
              <w:t>3.3</w:t>
            </w:r>
            <w:r>
              <w:rPr>
                <w:rFonts w:hint="default" w:ascii="Times New Roman" w:hAnsi="Times New Roman" w:eastAsia="宋体" w:cs="Times New Roman"/>
                <w:color w:val="auto"/>
                <w:sz w:val="21"/>
                <w:szCs w:val="21"/>
                <w:highlight w:val="none"/>
              </w:rPr>
              <w:t>t/</w:t>
            </w:r>
            <w:r>
              <w:rPr>
                <w:rFonts w:hint="eastAsia" w:cs="Times New Roman"/>
                <w:color w:val="auto"/>
                <w:sz w:val="21"/>
                <w:szCs w:val="21"/>
                <w:highlight w:val="none"/>
                <w:lang w:val="en-US" w:eastAsia="zh-CN"/>
              </w:rPr>
              <w:t>72次再生</w:t>
            </w:r>
          </w:p>
        </w:tc>
        <w:tc>
          <w:tcPr>
            <w:tcW w:w="1043" w:type="dxa"/>
            <w:noWrap w:val="0"/>
            <w:vAlign w:val="center"/>
          </w:tcPr>
          <w:p w14:paraId="56E33857">
            <w:pPr>
              <w:spacing w:beforeLines="0" w:afterLines="0"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b w:val="0"/>
                <w:bCs/>
                <w:color w:val="auto"/>
                <w:szCs w:val="21"/>
                <w:highlight w:val="none"/>
                <w:lang w:val="en-US" w:eastAsia="zh-CN"/>
              </w:rPr>
              <w:t>/</w:t>
            </w:r>
          </w:p>
        </w:tc>
        <w:tc>
          <w:tcPr>
            <w:tcW w:w="2152" w:type="dxa"/>
            <w:noWrap w:val="0"/>
            <w:vAlign w:val="center"/>
          </w:tcPr>
          <w:p w14:paraId="0AD32B0C">
            <w:pPr>
              <w:widowControl/>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eastAsia"/>
                <w:color w:val="auto"/>
                <w:kern w:val="0"/>
                <w:szCs w:val="21"/>
                <w:highlight w:val="none"/>
                <w:lang w:val="en-US" w:eastAsia="zh-CN" w:bidi="ar"/>
              </w:rPr>
              <w:t>3.3</w:t>
            </w:r>
            <w:r>
              <w:rPr>
                <w:rFonts w:hint="default" w:ascii="Times New Roman" w:hAnsi="Times New Roman" w:eastAsia="宋体" w:cs="Times New Roman"/>
                <w:color w:val="auto"/>
                <w:sz w:val="21"/>
                <w:szCs w:val="21"/>
                <w:highlight w:val="none"/>
              </w:rPr>
              <w:t>t/</w:t>
            </w:r>
            <w:r>
              <w:rPr>
                <w:rFonts w:hint="eastAsia" w:cs="Times New Roman"/>
                <w:color w:val="auto"/>
                <w:sz w:val="21"/>
                <w:szCs w:val="21"/>
                <w:highlight w:val="none"/>
                <w:lang w:val="en-US" w:eastAsia="zh-CN"/>
              </w:rPr>
              <w:t>72次再生</w:t>
            </w:r>
          </w:p>
        </w:tc>
        <w:tc>
          <w:tcPr>
            <w:tcW w:w="2118" w:type="dxa"/>
            <w:noWrap w:val="0"/>
            <w:vAlign w:val="center"/>
          </w:tcPr>
          <w:p w14:paraId="686CD70B">
            <w:pPr>
              <w:widowControl/>
              <w:jc w:val="center"/>
              <w:textAlignment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kern w:val="0"/>
                <w:szCs w:val="21"/>
                <w:highlight w:val="none"/>
                <w:lang w:val="en-US" w:eastAsia="zh-CN" w:bidi="ar"/>
              </w:rPr>
              <w:t>+3.3</w:t>
            </w:r>
            <w:r>
              <w:rPr>
                <w:rFonts w:hint="default" w:ascii="Times New Roman" w:hAnsi="Times New Roman" w:eastAsia="宋体" w:cs="Times New Roman"/>
                <w:color w:val="auto"/>
                <w:sz w:val="21"/>
                <w:szCs w:val="21"/>
                <w:highlight w:val="none"/>
              </w:rPr>
              <w:t>t</w:t>
            </w:r>
            <w:r>
              <w:rPr>
                <w:rFonts w:hint="eastAsia" w:cs="Times New Roman"/>
                <w:color w:val="auto"/>
                <w:sz w:val="21"/>
                <w:szCs w:val="21"/>
                <w:highlight w:val="none"/>
                <w:lang w:val="en-US" w:eastAsia="zh-CN"/>
              </w:rPr>
              <w:t>/72次再生</w:t>
            </w:r>
          </w:p>
        </w:tc>
      </w:tr>
      <w:tr w14:paraId="0E2673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1517" w:type="dxa"/>
            <w:vMerge w:val="continue"/>
            <w:noWrap w:val="0"/>
            <w:vAlign w:val="center"/>
          </w:tcPr>
          <w:p w14:paraId="7D122E13">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p>
        </w:tc>
        <w:tc>
          <w:tcPr>
            <w:tcW w:w="1536" w:type="dxa"/>
            <w:noWrap w:val="0"/>
            <w:vAlign w:val="center"/>
          </w:tcPr>
          <w:p w14:paraId="69134478">
            <w:pPr>
              <w:pStyle w:val="111"/>
              <w:spacing w:before="0" w:beforeLines="0" w:after="0" w:afterLines="0" w:line="240" w:lineRule="exact"/>
              <w:ind w:left="0" w:leftChars="0" w:right="0" w:rightChars="0"/>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废催化剂</w:t>
            </w:r>
          </w:p>
        </w:tc>
        <w:tc>
          <w:tcPr>
            <w:tcW w:w="1442" w:type="dxa"/>
            <w:noWrap w:val="0"/>
            <w:vAlign w:val="center"/>
          </w:tcPr>
          <w:p w14:paraId="019AE2FF">
            <w:pPr>
              <w:spacing w:beforeLines="0" w:afterLines="0"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b w:val="0"/>
                <w:bCs/>
                <w:color w:val="auto"/>
                <w:szCs w:val="21"/>
                <w:highlight w:val="none"/>
                <w:lang w:val="en-US" w:eastAsia="zh-CN"/>
              </w:rPr>
              <w:t>/</w:t>
            </w:r>
          </w:p>
        </w:tc>
        <w:tc>
          <w:tcPr>
            <w:tcW w:w="1219" w:type="dxa"/>
            <w:noWrap w:val="0"/>
            <w:vAlign w:val="center"/>
          </w:tcPr>
          <w:p w14:paraId="635F726A">
            <w:pPr>
              <w:spacing w:beforeLines="0" w:afterLines="0"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b w:val="0"/>
                <w:bCs/>
                <w:color w:val="auto"/>
                <w:szCs w:val="21"/>
                <w:highlight w:val="none"/>
                <w:lang w:val="en-US" w:eastAsia="zh-CN"/>
              </w:rPr>
              <w:t>/</w:t>
            </w:r>
          </w:p>
        </w:tc>
        <w:tc>
          <w:tcPr>
            <w:tcW w:w="1165" w:type="dxa"/>
            <w:noWrap w:val="0"/>
            <w:vAlign w:val="center"/>
          </w:tcPr>
          <w:p w14:paraId="33C60996">
            <w:pPr>
              <w:spacing w:beforeLines="0" w:afterLines="0"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b w:val="0"/>
                <w:bCs/>
                <w:color w:val="auto"/>
                <w:szCs w:val="21"/>
                <w:highlight w:val="none"/>
                <w:lang w:val="en-US" w:eastAsia="zh-CN"/>
              </w:rPr>
              <w:t>/</w:t>
            </w:r>
          </w:p>
        </w:tc>
        <w:tc>
          <w:tcPr>
            <w:tcW w:w="1423" w:type="dxa"/>
            <w:noWrap w:val="0"/>
            <w:vAlign w:val="center"/>
          </w:tcPr>
          <w:p w14:paraId="7171DDA8">
            <w:pPr>
              <w:widowControl/>
              <w:jc w:val="center"/>
              <w:textAlignment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kern w:val="0"/>
                <w:szCs w:val="21"/>
                <w:highlight w:val="none"/>
                <w:lang w:val="en-US" w:eastAsia="zh-CN" w:bidi="ar"/>
              </w:rPr>
              <w:t>0.1</w:t>
            </w:r>
            <w:r>
              <w:rPr>
                <w:rFonts w:hint="default" w:ascii="Times New Roman" w:hAnsi="Times New Roman" w:eastAsia="宋体" w:cs="Times New Roman"/>
                <w:color w:val="auto"/>
                <w:sz w:val="21"/>
                <w:szCs w:val="21"/>
                <w:highlight w:val="none"/>
              </w:rPr>
              <w:t>t/</w:t>
            </w:r>
            <w:r>
              <w:rPr>
                <w:rFonts w:hint="eastAsia"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a</w:t>
            </w:r>
          </w:p>
        </w:tc>
        <w:tc>
          <w:tcPr>
            <w:tcW w:w="1043" w:type="dxa"/>
            <w:noWrap w:val="0"/>
            <w:vAlign w:val="center"/>
          </w:tcPr>
          <w:p w14:paraId="7D19B0DA">
            <w:pPr>
              <w:spacing w:beforeLines="0" w:afterLines="0"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b w:val="0"/>
                <w:bCs/>
                <w:color w:val="auto"/>
                <w:szCs w:val="21"/>
                <w:highlight w:val="none"/>
                <w:lang w:val="en-US" w:eastAsia="zh-CN"/>
              </w:rPr>
              <w:t>/</w:t>
            </w:r>
          </w:p>
        </w:tc>
        <w:tc>
          <w:tcPr>
            <w:tcW w:w="2152" w:type="dxa"/>
            <w:noWrap w:val="0"/>
            <w:vAlign w:val="center"/>
          </w:tcPr>
          <w:p w14:paraId="57BEAF82">
            <w:pPr>
              <w:widowControl/>
              <w:jc w:val="center"/>
              <w:textAlignment w:val="center"/>
              <w:rPr>
                <w:rFonts w:hint="default" w:ascii="Times New Roman" w:hAnsi="Times New Roman" w:eastAsia="宋体" w:cs="Times New Roman"/>
                <w:color w:val="auto"/>
                <w:kern w:val="2"/>
                <w:sz w:val="21"/>
                <w:szCs w:val="24"/>
                <w:highlight w:val="none"/>
                <w:lang w:val="en-US" w:eastAsia="zh-CN" w:bidi="ar-SA"/>
              </w:rPr>
            </w:pPr>
            <w:r>
              <w:rPr>
                <w:rFonts w:hint="eastAsia"/>
                <w:color w:val="auto"/>
                <w:kern w:val="0"/>
                <w:szCs w:val="21"/>
                <w:highlight w:val="none"/>
                <w:lang w:val="en-US" w:eastAsia="zh-CN" w:bidi="ar"/>
              </w:rPr>
              <w:t>0.1</w:t>
            </w:r>
            <w:r>
              <w:rPr>
                <w:rFonts w:hint="default" w:ascii="Times New Roman" w:hAnsi="Times New Roman" w:eastAsia="宋体" w:cs="Times New Roman"/>
                <w:color w:val="auto"/>
                <w:sz w:val="21"/>
                <w:szCs w:val="21"/>
                <w:highlight w:val="none"/>
              </w:rPr>
              <w:t>t/</w:t>
            </w:r>
            <w:r>
              <w:rPr>
                <w:rFonts w:hint="eastAsia"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a</w:t>
            </w:r>
          </w:p>
        </w:tc>
        <w:tc>
          <w:tcPr>
            <w:tcW w:w="2118" w:type="dxa"/>
            <w:noWrap w:val="0"/>
            <w:vAlign w:val="center"/>
          </w:tcPr>
          <w:p w14:paraId="27970F12">
            <w:pPr>
              <w:widowControl/>
              <w:jc w:val="center"/>
              <w:textAlignment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kern w:val="0"/>
                <w:szCs w:val="21"/>
                <w:highlight w:val="none"/>
                <w:lang w:val="en-US" w:eastAsia="zh-CN" w:bidi="ar"/>
              </w:rPr>
              <w:t>+0.1</w:t>
            </w:r>
            <w:r>
              <w:rPr>
                <w:rFonts w:hint="default" w:ascii="Times New Roman" w:hAnsi="Times New Roman" w:eastAsia="宋体" w:cs="Times New Roman"/>
                <w:color w:val="auto"/>
                <w:sz w:val="21"/>
                <w:szCs w:val="21"/>
                <w:highlight w:val="none"/>
              </w:rPr>
              <w:t>t/</w:t>
            </w:r>
            <w:r>
              <w:rPr>
                <w:rFonts w:hint="eastAsia"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a</w:t>
            </w:r>
          </w:p>
        </w:tc>
      </w:tr>
    </w:tbl>
    <w:p w14:paraId="100DF1F3">
      <w:pPr>
        <w:pStyle w:val="67"/>
        <w:spacing w:before="192" w:beforeLines="80" w:after="24"/>
        <w:jc w:val="left"/>
        <w:outlineLvl w:val="0"/>
        <w:rPr>
          <w:color w:val="auto"/>
          <w:highlight w:val="none"/>
        </w:rPr>
      </w:pPr>
      <w:r>
        <w:rPr>
          <w:rFonts w:hint="default" w:ascii="Times New Roman" w:hAnsi="Times New Roman" w:cs="Times New Roman"/>
          <w:snapToGrid w:val="0"/>
          <w:color w:val="auto"/>
          <w:kern w:val="21"/>
          <w:szCs w:val="21"/>
          <w:highlight w:val="none"/>
        </w:rPr>
        <w:t>注：</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3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③</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4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④</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5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⑤</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7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⑦</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bookmarkEnd w:id="55"/>
    </w:p>
    <w:sectPr>
      <w:footerReference r:id="rId9" w:type="default"/>
      <w:pgSz w:w="16838" w:h="11906" w:orient="landscape"/>
      <w:pgMar w:top="1531" w:right="1701" w:bottom="1531" w:left="1701" w:header="851" w:footer="851" w:gutter="0"/>
      <w:pgBorders>
        <w:top w:val="none" w:sz="0" w:space="0"/>
        <w:left w:val="none" w:sz="0" w:space="0"/>
        <w:bottom w:val="none" w:sz="0" w:space="0"/>
        <w:right w:val="none" w:sz="0" w:space="0"/>
      </w:pgBorders>
      <w:pgNumType w:fmt="decimal"/>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8"/>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Arial Unicode MS">
    <w:altName w:val="宋体"/>
    <w:panose1 w:val="020B0604020202020204"/>
    <w:charset w:val="86"/>
    <w:family w:val="auto"/>
    <w:pitch w:val="default"/>
    <w:sig w:usb0="00000000" w:usb1="00000000" w:usb2="0000003F" w:usb3="00000000" w:csb0="603F01FF" w:csb1="FFFF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2000000000000000000"/>
    <w:charset w:val="86"/>
    <w:family w:val="script"/>
    <w:pitch w:val="default"/>
    <w:sig w:usb0="00000000" w:usb1="00000000" w:usb2="00082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auto"/>
    <w:pitch w:val="default"/>
    <w:sig w:usb0="00000000" w:usb1="00000000" w:usb2="00000000" w:usb3="00000000" w:csb0="80000000" w:csb1="00000000"/>
  </w:font>
  <w:font w:name="TimesNewRomanPSMT">
    <w:altName w:val="Times New Roman"/>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Wingdings">
    <w:panose1 w:val="05000000000000000000"/>
    <w:charset w:val="00"/>
    <w:family w:val="auto"/>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3D51EA">
    <w:pPr>
      <w:pStyle w:val="20"/>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B44294">
    <w:pPr>
      <w:pStyle w:val="20"/>
      <w:framePr w:wrap="around" w:vAnchor="text" w:hAnchor="margin" w:xAlign="center" w:y="1"/>
      <w:rPr>
        <w:rStyle w:val="39"/>
      </w:rPr>
    </w:pPr>
    <w:r>
      <w:fldChar w:fldCharType="begin"/>
    </w:r>
    <w:r>
      <w:rPr>
        <w:rStyle w:val="39"/>
      </w:rPr>
      <w:instrText xml:space="preserve">PAGE  </w:instrText>
    </w:r>
    <w:r>
      <w:fldChar w:fldCharType="end"/>
    </w:r>
  </w:p>
  <w:p w14:paraId="5361F4CF">
    <w:pPr>
      <w:pStyle w:val="20"/>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DE7349">
    <w:pPr>
      <w:pStyle w:val="20"/>
      <w:rPr>
        <w:rFonts w:hint="eastAsia"/>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8"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305D356">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Q8LbE5AgAAcAQAAA4AAABkcnMvZTJvRG9jLnhtbK1UzY7TMBC+I/EO&#10;lu80bRGl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BQ8LbE5AgAAcAQAAA4AAAAAAAAAAQAgAAAAHwEAAGRycy9lMm9Eb2Mu&#10;eG1sUEsFBgAAAAAGAAYAWQEAAMoFAAAAAA==&#10;">
              <v:fill on="f" focussize="0,0"/>
              <v:stroke on="f" weight="0.5pt"/>
              <v:imagedata o:title=""/>
              <o:lock v:ext="edit" aspectratio="f"/>
              <v:textbox inset="0mm,0mm,0mm,0mm" style="mso-fit-shape-to-text:t;">
                <w:txbxContent>
                  <w:p w14:paraId="0305D356">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1E3BEC">
    <w:pPr>
      <w:pStyle w:val="20"/>
      <w:rPr>
        <w:rFonts w:hint="eastAsia"/>
        <w:lang w:eastAsia="zh-CN"/>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BF3F13">
    <w:pPr>
      <w:pStyle w:val="20"/>
      <w:rPr>
        <w:rFonts w:hint="eastAsia"/>
        <w:lang w:eastAsia="zh-CN"/>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87"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9884E49">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Zqqng5AgAAcAQAAA4AAABkcnMvZTJvRG9jLnhtbK1UzY7TMBC+I/EO&#10;lu80bRGl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BZqqng5AgAAcAQAAA4AAAAAAAAAAQAgAAAAHwEAAGRycy9lMm9Eb2Mu&#10;eG1sUEsFBgAAAAAGAAYAWQEAAMoFAAAAAA==&#10;">
              <v:fill on="f" focussize="0,0"/>
              <v:stroke on="f" weight="0.5pt"/>
              <v:imagedata o:title=""/>
              <o:lock v:ext="edit" aspectratio="f"/>
              <v:textbox inset="0mm,0mm,0mm,0mm" style="mso-fit-shape-to-text:t;">
                <w:txbxContent>
                  <w:p w14:paraId="79884E49">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05C8EA">
    <w:pPr>
      <w:pStyle w:val="20"/>
      <w:ind w:right="360" w:firstLine="360"/>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AAF06AB">
                          <w:pPr>
                            <w:pStyle w:val="20"/>
                          </w:pPr>
                          <w:r>
                            <w:fldChar w:fldCharType="begin"/>
                          </w:r>
                          <w:r>
                            <w:instrText xml:space="preserve"> PAGE  \* MERGEFORMAT </w:instrText>
                          </w:r>
                          <w:r>
                            <w:fldChar w:fldCharType="separate"/>
                          </w:r>
                          <w:r>
                            <w:t>64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2eLEw4AgAAcAQAAA4AAABkcnMvZTJvRG9jLnhtbK1UzY7TMBC+I/EO&#10;lu80aRFLVT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bZ4sTDgCAABwBAAADgAAAAAAAAABACAAAAAfAQAAZHJzL2Uyb0RvYy54&#10;bWxQSwUGAAAAAAYABgBZAQAAyQUAAAAA&#10;">
              <v:fill on="f" focussize="0,0"/>
              <v:stroke on="f" weight="0.5pt"/>
              <v:imagedata o:title=""/>
              <o:lock v:ext="edit" aspectratio="f"/>
              <v:textbox inset="0mm,0mm,0mm,0mm" style="mso-fit-shape-to-text:t;">
                <w:txbxContent>
                  <w:p w14:paraId="3AAF06AB">
                    <w:pPr>
                      <w:pStyle w:val="20"/>
                    </w:pPr>
                    <w:r>
                      <w:fldChar w:fldCharType="begin"/>
                    </w:r>
                    <w:r>
                      <w:instrText xml:space="preserve"> PAGE  \* MERGEFORMAT </w:instrText>
                    </w:r>
                    <w:r>
                      <w:fldChar w:fldCharType="separate"/>
                    </w:r>
                    <w:r>
                      <w:t>64</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645522">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BD7B19"/>
    <w:multiLevelType w:val="singleLevel"/>
    <w:tmpl w:val="88BD7B19"/>
    <w:lvl w:ilvl="0" w:tentative="0">
      <w:start w:val="2"/>
      <w:numFmt w:val="decimal"/>
      <w:suff w:val="nothing"/>
      <w:lvlText w:val="（%1）"/>
      <w:lvlJc w:val="left"/>
    </w:lvl>
  </w:abstractNum>
  <w:abstractNum w:abstractNumId="1">
    <w:nsid w:val="8B6F0E95"/>
    <w:multiLevelType w:val="singleLevel"/>
    <w:tmpl w:val="8B6F0E95"/>
    <w:lvl w:ilvl="0" w:tentative="0">
      <w:start w:val="1"/>
      <w:numFmt w:val="decimal"/>
      <w:suff w:val="nothing"/>
      <w:lvlText w:val="%1、"/>
      <w:lvlJc w:val="left"/>
    </w:lvl>
  </w:abstractNum>
  <w:abstractNum w:abstractNumId="2">
    <w:nsid w:val="989DDD1A"/>
    <w:multiLevelType w:val="singleLevel"/>
    <w:tmpl w:val="989DDD1A"/>
    <w:lvl w:ilvl="0" w:tentative="0">
      <w:start w:val="1"/>
      <w:numFmt w:val="decimal"/>
      <w:suff w:val="nothing"/>
      <w:lvlText w:val="（%1）"/>
      <w:lvlJc w:val="left"/>
    </w:lvl>
  </w:abstractNum>
  <w:abstractNum w:abstractNumId="3">
    <w:nsid w:val="9F9921DC"/>
    <w:multiLevelType w:val="singleLevel"/>
    <w:tmpl w:val="9F9921DC"/>
    <w:lvl w:ilvl="0" w:tentative="0">
      <w:start w:val="5"/>
      <w:numFmt w:val="chineseCounting"/>
      <w:suff w:val="nothing"/>
      <w:lvlText w:val="%1、"/>
      <w:lvlJc w:val="left"/>
      <w:rPr>
        <w:rFonts w:hint="eastAsia"/>
      </w:rPr>
    </w:lvl>
  </w:abstractNum>
  <w:abstractNum w:abstractNumId="4">
    <w:nsid w:val="BAB23B1D"/>
    <w:multiLevelType w:val="singleLevel"/>
    <w:tmpl w:val="BAB23B1D"/>
    <w:lvl w:ilvl="0" w:tentative="0">
      <w:start w:val="1"/>
      <w:numFmt w:val="decimal"/>
      <w:suff w:val="nothing"/>
      <w:lvlText w:val="%1、"/>
      <w:lvlJc w:val="left"/>
    </w:lvl>
  </w:abstractNum>
  <w:abstractNum w:abstractNumId="5">
    <w:nsid w:val="D5027627"/>
    <w:multiLevelType w:val="multilevel"/>
    <w:tmpl w:val="D5027627"/>
    <w:lvl w:ilvl="0" w:tentative="0">
      <w:start w:val="1"/>
      <w:numFmt w:val="decimal"/>
      <w:isLgl/>
      <w:suff w:val="space"/>
      <w:lvlText w:val="%1"/>
      <w:lvlJc w:val="left"/>
      <w:pPr>
        <w:ind w:left="0" w:firstLine="0"/>
      </w:pPr>
      <w:rPr>
        <w:rFonts w:hint="default" w:ascii="Times New Roman" w:hAnsi="Times New Roman" w:eastAsia="宋体"/>
        <w:b/>
        <w:i w:val="0"/>
        <w:sz w:val="32"/>
      </w:rPr>
    </w:lvl>
    <w:lvl w:ilvl="1" w:tentative="0">
      <w:start w:val="1"/>
      <w:numFmt w:val="decimal"/>
      <w:pStyle w:val="58"/>
      <w:isLgl/>
      <w:suff w:val="space"/>
      <w:lvlText w:val="%1.%2"/>
      <w:lvlJc w:val="left"/>
      <w:pPr>
        <w:ind w:left="0" w:firstLine="0"/>
      </w:pPr>
      <w:rPr>
        <w:rFonts w:hint="default" w:ascii="Times New Roman" w:hAnsi="Times New Roman" w:eastAsia="宋体"/>
        <w:b/>
        <w:i w:val="0"/>
        <w:sz w:val="30"/>
      </w:rPr>
    </w:lvl>
    <w:lvl w:ilvl="2" w:tentative="0">
      <w:start w:val="1"/>
      <w:numFmt w:val="decimal"/>
      <w:pStyle w:val="59"/>
      <w:isLgl/>
      <w:suff w:val="space"/>
      <w:lvlText w:val="%1.%2.%3"/>
      <w:lvlJc w:val="left"/>
      <w:pPr>
        <w:ind w:left="0" w:firstLine="0"/>
      </w:pPr>
      <w:rPr>
        <w:rFonts w:hint="default" w:ascii="Times New Roman" w:hAnsi="Times New Roman" w:eastAsia="宋体"/>
        <w:b/>
        <w:i w:val="0"/>
        <w:sz w:val="28"/>
      </w:rPr>
    </w:lvl>
    <w:lvl w:ilvl="3" w:tentative="0">
      <w:start w:val="1"/>
      <w:numFmt w:val="decimal"/>
      <w:isLgl/>
      <w:suff w:val="space"/>
      <w:lvlText w:val="%1.%2.%3.%4"/>
      <w:lvlJc w:val="left"/>
      <w:pPr>
        <w:ind w:left="2730" w:firstLine="0"/>
      </w:pPr>
      <w:rPr>
        <w:rFonts w:hint="default" w:ascii="Times New Roman" w:hAnsi="Times New Roman" w:cs="Times New Roman"/>
        <w:b/>
        <w:bCs w:val="0"/>
        <w:i w:val="0"/>
        <w:iCs w:val="0"/>
        <w:caps w:val="0"/>
        <w:smallCaps w:val="0"/>
        <w:strike w:val="0"/>
        <w:dstrike w:val="0"/>
        <w:outline w:val="0"/>
        <w:shadow w:val="0"/>
        <w:emboss w:val="0"/>
        <w:imprint w:val="0"/>
        <w:vanish w:val="0"/>
        <w:spacing w:val="0"/>
        <w:position w:val="0"/>
        <w:u w:val="none"/>
        <w:vertAlign w:val="baseline"/>
      </w:rPr>
    </w:lvl>
    <w:lvl w:ilvl="4" w:tentative="0">
      <w:start w:val="1"/>
      <w:numFmt w:val="decimal"/>
      <w:lvlRestart w:val="2"/>
      <w:isLgl/>
      <w:lvlText w:val="表%1.%2-%5"/>
      <w:lvlJc w:val="left"/>
      <w:pPr>
        <w:tabs>
          <w:tab w:val="left" w:pos="0"/>
        </w:tabs>
        <w:ind w:left="7140" w:firstLine="0"/>
      </w:pPr>
      <w:rPr>
        <w:rFonts w:hint="default" w:ascii="Times New Roman" w:hAnsi="Times New Roman" w:cs="Times New Roman"/>
        <w:b/>
        <w:bCs w:val="0"/>
        <w:i w:val="0"/>
        <w:iCs w:val="0"/>
        <w:caps w:val="0"/>
        <w:smallCaps w:val="0"/>
        <w:strike w:val="0"/>
        <w:dstrike w:val="0"/>
        <w:outline w:val="0"/>
        <w:shadow w:val="0"/>
        <w:emboss w:val="0"/>
        <w:imprint w:val="0"/>
        <w:vanish w:val="0"/>
        <w:color w:val="000000"/>
        <w:spacing w:val="0"/>
        <w:kern w:val="0"/>
        <w:position w:val="0"/>
        <w:u w:val="none"/>
        <w:vertAlign w:val="baseline"/>
      </w:rPr>
    </w:lvl>
    <w:lvl w:ilvl="5" w:tentative="0">
      <w:start w:val="1"/>
      <w:numFmt w:val="decimal"/>
      <w:lvlRestart w:val="2"/>
      <w:isLgl/>
      <w:lvlText w:val="图%1.%2-%6"/>
      <w:lvlJc w:val="left"/>
      <w:pPr>
        <w:ind w:left="6720" w:firstLine="0"/>
      </w:pPr>
      <w:rPr>
        <w:rFonts w:hint="default" w:ascii="Times New Roman" w:hAnsi="Times New Roman" w:eastAsia="宋体"/>
        <w:b/>
        <w:i w:val="0"/>
        <w:sz w:val="21"/>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6">
    <w:nsid w:val="DED4A591"/>
    <w:multiLevelType w:val="singleLevel"/>
    <w:tmpl w:val="DED4A591"/>
    <w:lvl w:ilvl="0" w:tentative="0">
      <w:start w:val="1"/>
      <w:numFmt w:val="decimal"/>
      <w:suff w:val="nothing"/>
      <w:lvlText w:val="%1、"/>
      <w:lvlJc w:val="left"/>
    </w:lvl>
  </w:abstractNum>
  <w:abstractNum w:abstractNumId="7">
    <w:nsid w:val="E86823C9"/>
    <w:multiLevelType w:val="singleLevel"/>
    <w:tmpl w:val="E86823C9"/>
    <w:lvl w:ilvl="0" w:tentative="0">
      <w:start w:val="1"/>
      <w:numFmt w:val="decimal"/>
      <w:suff w:val="nothing"/>
      <w:lvlText w:val="%1、"/>
      <w:lvlJc w:val="left"/>
    </w:lvl>
  </w:abstractNum>
  <w:abstractNum w:abstractNumId="8">
    <w:nsid w:val="EECBE0D2"/>
    <w:multiLevelType w:val="singleLevel"/>
    <w:tmpl w:val="EECBE0D2"/>
    <w:lvl w:ilvl="0" w:tentative="0">
      <w:start w:val="1"/>
      <w:numFmt w:val="bullet"/>
      <w:pStyle w:val="13"/>
      <w:lvlText w:val=""/>
      <w:lvlJc w:val="left"/>
      <w:pPr>
        <w:tabs>
          <w:tab w:val="left" w:pos="2040"/>
        </w:tabs>
        <w:ind w:left="2040" w:hanging="360"/>
      </w:pPr>
      <w:rPr>
        <w:rFonts w:hint="default" w:ascii="Wingdings" w:hAnsi="Wingdings"/>
      </w:rPr>
    </w:lvl>
  </w:abstractNum>
  <w:abstractNum w:abstractNumId="9">
    <w:nsid w:val="F11D3AE6"/>
    <w:multiLevelType w:val="singleLevel"/>
    <w:tmpl w:val="F11D3AE6"/>
    <w:lvl w:ilvl="0" w:tentative="0">
      <w:start w:val="1"/>
      <w:numFmt w:val="decimal"/>
      <w:suff w:val="nothing"/>
      <w:lvlText w:val="（%1）"/>
      <w:lvlJc w:val="left"/>
      <w:pPr>
        <w:ind w:left="360"/>
      </w:pPr>
    </w:lvl>
  </w:abstractNum>
  <w:abstractNum w:abstractNumId="10">
    <w:nsid w:val="F9D3CC66"/>
    <w:multiLevelType w:val="singleLevel"/>
    <w:tmpl w:val="F9D3CC66"/>
    <w:lvl w:ilvl="0" w:tentative="0">
      <w:start w:val="1"/>
      <w:numFmt w:val="decimal"/>
      <w:suff w:val="nothing"/>
      <w:lvlText w:val="%1、"/>
      <w:lvlJc w:val="left"/>
    </w:lvl>
  </w:abstractNum>
  <w:abstractNum w:abstractNumId="11">
    <w:nsid w:val="FBDC093C"/>
    <w:multiLevelType w:val="singleLevel"/>
    <w:tmpl w:val="FBDC093C"/>
    <w:lvl w:ilvl="0" w:tentative="0">
      <w:start w:val="9"/>
      <w:numFmt w:val="decimal"/>
      <w:suff w:val="nothing"/>
      <w:lvlText w:val="%1、"/>
      <w:lvlJc w:val="left"/>
    </w:lvl>
  </w:abstractNum>
  <w:abstractNum w:abstractNumId="12">
    <w:nsid w:val="00000013"/>
    <w:multiLevelType w:val="multilevel"/>
    <w:tmpl w:val="00000013"/>
    <w:lvl w:ilvl="0" w:tentative="0">
      <w:start w:val="1"/>
      <w:numFmt w:val="decimal"/>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124"/>
      <w:suff w:val="nothing"/>
      <w:lvlText w:val="%1.%2　"/>
      <w:lvlJc w:val="left"/>
      <w:pPr>
        <w:ind w:left="0" w:firstLine="0"/>
      </w:pPr>
      <w:rPr>
        <w:rFonts w:hint="eastAsia" w:ascii="黑体" w:hAnsi="Times New Roman" w:eastAsia="黑体" w:cs="Times New Roman"/>
        <w:b w:val="0"/>
        <w:bCs w:val="0"/>
        <w:i w:val="0"/>
        <w:iCs w:val="0"/>
        <w:caps w:val="0"/>
        <w:strike w:val="0"/>
        <w:dstrike w:val="0"/>
        <w:vanish w:val="0"/>
        <w:spacing w:val="0"/>
        <w:kern w:val="0"/>
        <w:position w:val="0"/>
        <w:sz w:val="21"/>
        <w:szCs w:val="21"/>
        <w:u w:val="none"/>
        <w:vertAlign w:val="baseline"/>
      </w:rPr>
    </w:lvl>
    <w:lvl w:ilvl="2" w:tentative="0">
      <w:start w:val="1"/>
      <w:numFmt w:val="decimal"/>
      <w:pStyle w:val="123"/>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3">
    <w:nsid w:val="05CAD252"/>
    <w:multiLevelType w:val="singleLevel"/>
    <w:tmpl w:val="05CAD252"/>
    <w:lvl w:ilvl="0" w:tentative="0">
      <w:start w:val="1"/>
      <w:numFmt w:val="decimal"/>
      <w:suff w:val="nothing"/>
      <w:lvlText w:val="%1、"/>
      <w:lvlJc w:val="left"/>
      <w:pPr>
        <w:ind w:left="-21"/>
      </w:pPr>
    </w:lvl>
  </w:abstractNum>
  <w:abstractNum w:abstractNumId="14">
    <w:nsid w:val="0DEBF8B0"/>
    <w:multiLevelType w:val="singleLevel"/>
    <w:tmpl w:val="0DEBF8B0"/>
    <w:lvl w:ilvl="0" w:tentative="0">
      <w:start w:val="1"/>
      <w:numFmt w:val="decimal"/>
      <w:suff w:val="nothing"/>
      <w:lvlText w:val="%1、"/>
      <w:lvlJc w:val="left"/>
    </w:lvl>
  </w:abstractNum>
  <w:abstractNum w:abstractNumId="15">
    <w:nsid w:val="26B8EFEC"/>
    <w:multiLevelType w:val="singleLevel"/>
    <w:tmpl w:val="26B8EFEC"/>
    <w:lvl w:ilvl="0" w:tentative="0">
      <w:start w:val="1"/>
      <w:numFmt w:val="chineseCounting"/>
      <w:suff w:val="nothing"/>
      <w:lvlText w:val="%1、"/>
      <w:lvlJc w:val="left"/>
      <w:pPr>
        <w:ind w:left="-62"/>
      </w:pPr>
      <w:rPr>
        <w:rFonts w:hint="eastAsia"/>
      </w:rPr>
    </w:lvl>
  </w:abstractNum>
  <w:abstractNum w:abstractNumId="16">
    <w:nsid w:val="2D8F1243"/>
    <w:multiLevelType w:val="multilevel"/>
    <w:tmpl w:val="2D8F1243"/>
    <w:lvl w:ilvl="0" w:tentative="0">
      <w:start w:val="1"/>
      <w:numFmt w:val="decimal"/>
      <w:pStyle w:val="99"/>
      <w:lvlText w:val="表%1"/>
      <w:lvlJc w:val="left"/>
      <w:pPr>
        <w:ind w:left="1130" w:hanging="420"/>
      </w:pPr>
      <w:rPr>
        <w:rFonts w:hint="default" w:ascii="Times New Roman" w:hAnsi="Times New Roman" w:eastAsia="宋体"/>
        <w:lang w:val="en-US"/>
      </w:rPr>
    </w:lvl>
    <w:lvl w:ilvl="1" w:tentative="0">
      <w:start w:val="1"/>
      <w:numFmt w:val="lowerLetter"/>
      <w:lvlText w:val="%2)"/>
      <w:lvlJc w:val="left"/>
      <w:pPr>
        <w:ind w:left="1550" w:hanging="420"/>
      </w:pPr>
    </w:lvl>
    <w:lvl w:ilvl="2" w:tentative="0">
      <w:start w:val="1"/>
      <w:numFmt w:val="lowerRoman"/>
      <w:lvlText w:val="%3."/>
      <w:lvlJc w:val="right"/>
      <w:pPr>
        <w:ind w:left="1970" w:hanging="420"/>
      </w:pPr>
    </w:lvl>
    <w:lvl w:ilvl="3" w:tentative="0">
      <w:start w:val="1"/>
      <w:numFmt w:val="decimal"/>
      <w:lvlText w:val="%4."/>
      <w:lvlJc w:val="left"/>
      <w:pPr>
        <w:ind w:left="2390" w:hanging="420"/>
      </w:pPr>
    </w:lvl>
    <w:lvl w:ilvl="4" w:tentative="0">
      <w:start w:val="1"/>
      <w:numFmt w:val="lowerLetter"/>
      <w:lvlText w:val="%5)"/>
      <w:lvlJc w:val="left"/>
      <w:pPr>
        <w:ind w:left="2810" w:hanging="420"/>
      </w:pPr>
    </w:lvl>
    <w:lvl w:ilvl="5" w:tentative="0">
      <w:start w:val="1"/>
      <w:numFmt w:val="lowerRoman"/>
      <w:lvlText w:val="%6."/>
      <w:lvlJc w:val="right"/>
      <w:pPr>
        <w:ind w:left="3230" w:hanging="420"/>
      </w:pPr>
    </w:lvl>
    <w:lvl w:ilvl="6" w:tentative="0">
      <w:start w:val="1"/>
      <w:numFmt w:val="decimal"/>
      <w:lvlText w:val="%7."/>
      <w:lvlJc w:val="left"/>
      <w:pPr>
        <w:ind w:left="3650" w:hanging="420"/>
      </w:pPr>
    </w:lvl>
    <w:lvl w:ilvl="7" w:tentative="0">
      <w:start w:val="1"/>
      <w:numFmt w:val="lowerLetter"/>
      <w:lvlText w:val="%8)"/>
      <w:lvlJc w:val="left"/>
      <w:pPr>
        <w:ind w:left="4070" w:hanging="420"/>
      </w:pPr>
    </w:lvl>
    <w:lvl w:ilvl="8" w:tentative="0">
      <w:start w:val="1"/>
      <w:numFmt w:val="lowerRoman"/>
      <w:lvlText w:val="%9."/>
      <w:lvlJc w:val="right"/>
      <w:pPr>
        <w:ind w:left="4490" w:hanging="420"/>
      </w:pPr>
    </w:lvl>
  </w:abstractNum>
  <w:abstractNum w:abstractNumId="17">
    <w:nsid w:val="3FD271EE"/>
    <w:multiLevelType w:val="multilevel"/>
    <w:tmpl w:val="3FD271EE"/>
    <w:lvl w:ilvl="0" w:tentative="0">
      <w:start w:val="1"/>
      <w:numFmt w:val="decimal"/>
      <w:isLgl/>
      <w:suff w:val="space"/>
      <w:lvlText w:val="%1"/>
      <w:lvlJc w:val="left"/>
      <w:pPr>
        <w:ind w:left="0" w:firstLine="0"/>
      </w:pPr>
      <w:rPr>
        <w:rFonts w:hint="default" w:ascii="Times New Roman" w:hAnsi="Times New Roman" w:eastAsia="宋体"/>
        <w:b/>
        <w:i w:val="0"/>
        <w:sz w:val="32"/>
      </w:rPr>
    </w:lvl>
    <w:lvl w:ilvl="1" w:tentative="0">
      <w:start w:val="1"/>
      <w:numFmt w:val="decimal"/>
      <w:isLgl/>
      <w:suff w:val="space"/>
      <w:lvlText w:val="%1.%2"/>
      <w:lvlJc w:val="left"/>
      <w:pPr>
        <w:ind w:left="0" w:firstLine="0"/>
      </w:pPr>
      <w:rPr>
        <w:rFonts w:hint="default" w:ascii="Times New Roman" w:hAnsi="Times New Roman" w:eastAsia="宋体"/>
        <w:b/>
        <w:i w:val="0"/>
        <w:sz w:val="30"/>
      </w:rPr>
    </w:lvl>
    <w:lvl w:ilvl="2" w:tentative="0">
      <w:start w:val="1"/>
      <w:numFmt w:val="decimal"/>
      <w:isLgl/>
      <w:suff w:val="space"/>
      <w:lvlText w:val="%1.%2.%3"/>
      <w:lvlJc w:val="left"/>
      <w:pPr>
        <w:ind w:left="0" w:firstLine="0"/>
      </w:pPr>
      <w:rPr>
        <w:rFonts w:hint="default" w:ascii="Times New Roman" w:hAnsi="Times New Roman" w:eastAsia="宋体"/>
        <w:b/>
        <w:i w:val="0"/>
        <w:sz w:val="28"/>
      </w:rPr>
    </w:lvl>
    <w:lvl w:ilvl="3" w:tentative="0">
      <w:start w:val="1"/>
      <w:numFmt w:val="decimal"/>
      <w:pStyle w:val="60"/>
      <w:isLgl/>
      <w:suff w:val="space"/>
      <w:lvlText w:val="%1.%2.%3.%4"/>
      <w:lvlJc w:val="left"/>
      <w:pPr>
        <w:ind w:left="2730" w:firstLine="0"/>
      </w:pPr>
      <w:rPr>
        <w:rFonts w:hint="default" w:ascii="Times New Roman" w:hAnsi="Times New Roman" w:cs="Times New Roman"/>
        <w:b/>
        <w:bCs w:val="0"/>
        <w:i w:val="0"/>
        <w:iCs w:val="0"/>
        <w:caps w:val="0"/>
        <w:smallCaps w:val="0"/>
        <w:strike w:val="0"/>
        <w:dstrike w:val="0"/>
        <w:outline w:val="0"/>
        <w:shadow w:val="0"/>
        <w:emboss w:val="0"/>
        <w:imprint w:val="0"/>
        <w:vanish w:val="0"/>
        <w:spacing w:val="0"/>
        <w:position w:val="0"/>
        <w:u w:val="none"/>
        <w:vertAlign w:val="baseline"/>
      </w:rPr>
    </w:lvl>
    <w:lvl w:ilvl="4" w:tentative="0">
      <w:start w:val="1"/>
      <w:numFmt w:val="decimal"/>
      <w:lvlRestart w:val="2"/>
      <w:isLgl/>
      <w:lvlText w:val="表%1.%2-%5"/>
      <w:lvlJc w:val="left"/>
      <w:pPr>
        <w:tabs>
          <w:tab w:val="left" w:pos="0"/>
        </w:tabs>
        <w:ind w:left="7140" w:firstLine="0"/>
      </w:pPr>
      <w:rPr>
        <w:rFonts w:hint="default" w:ascii="Times New Roman" w:hAnsi="Times New Roman" w:cs="Times New Roman"/>
        <w:b/>
        <w:bCs w:val="0"/>
        <w:i w:val="0"/>
        <w:iCs w:val="0"/>
        <w:caps w:val="0"/>
        <w:smallCaps w:val="0"/>
        <w:strike w:val="0"/>
        <w:dstrike w:val="0"/>
        <w:outline w:val="0"/>
        <w:shadow w:val="0"/>
        <w:emboss w:val="0"/>
        <w:imprint w:val="0"/>
        <w:vanish w:val="0"/>
        <w:color w:val="000000"/>
        <w:spacing w:val="0"/>
        <w:kern w:val="0"/>
        <w:position w:val="0"/>
        <w:u w:val="none"/>
        <w:vertAlign w:val="baseline"/>
      </w:rPr>
    </w:lvl>
    <w:lvl w:ilvl="5" w:tentative="0">
      <w:start w:val="1"/>
      <w:numFmt w:val="decimal"/>
      <w:lvlRestart w:val="2"/>
      <w:pStyle w:val="57"/>
      <w:isLgl/>
      <w:lvlText w:val="图%1.%2-%6"/>
      <w:lvlJc w:val="left"/>
      <w:pPr>
        <w:ind w:left="6720" w:firstLine="0"/>
      </w:pPr>
      <w:rPr>
        <w:rFonts w:hint="default" w:ascii="Times New Roman" w:hAnsi="Times New Roman" w:eastAsia="宋体"/>
        <w:b/>
        <w:i w:val="0"/>
        <w:sz w:val="21"/>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18">
    <w:nsid w:val="43BC52D6"/>
    <w:multiLevelType w:val="singleLevel"/>
    <w:tmpl w:val="43BC52D6"/>
    <w:lvl w:ilvl="0" w:tentative="0">
      <w:start w:val="1"/>
      <w:numFmt w:val="decimal"/>
      <w:suff w:val="nothing"/>
      <w:lvlText w:val="%1、"/>
      <w:lvlJc w:val="left"/>
    </w:lvl>
  </w:abstractNum>
  <w:abstractNum w:abstractNumId="19">
    <w:nsid w:val="643D6717"/>
    <w:multiLevelType w:val="multilevel"/>
    <w:tmpl w:val="643D6717"/>
    <w:lvl w:ilvl="0" w:tentative="0">
      <w:start w:val="1"/>
      <w:numFmt w:val="decimal"/>
      <w:isLgl/>
      <w:suff w:val="space"/>
      <w:lvlText w:val="%1"/>
      <w:lvlJc w:val="left"/>
      <w:pPr>
        <w:ind w:left="0" w:firstLine="0"/>
      </w:pPr>
      <w:rPr>
        <w:rFonts w:hint="default" w:ascii="Times New Roman" w:hAnsi="Times New Roman" w:eastAsia="宋体"/>
        <w:b/>
        <w:i w:val="0"/>
        <w:sz w:val="32"/>
      </w:rPr>
    </w:lvl>
    <w:lvl w:ilvl="1" w:tentative="0">
      <w:start w:val="1"/>
      <w:numFmt w:val="decimal"/>
      <w:isLgl/>
      <w:suff w:val="space"/>
      <w:lvlText w:val="%1.%2"/>
      <w:lvlJc w:val="left"/>
      <w:pPr>
        <w:ind w:left="0" w:firstLine="0"/>
      </w:pPr>
      <w:rPr>
        <w:rFonts w:hint="default" w:ascii="Times New Roman" w:hAnsi="Times New Roman" w:eastAsia="宋体"/>
        <w:b/>
        <w:i w:val="0"/>
        <w:sz w:val="30"/>
      </w:rPr>
    </w:lvl>
    <w:lvl w:ilvl="2" w:tentative="0">
      <w:start w:val="1"/>
      <w:numFmt w:val="decimal"/>
      <w:isLgl/>
      <w:suff w:val="space"/>
      <w:lvlText w:val="%1.%2.%3"/>
      <w:lvlJc w:val="left"/>
      <w:pPr>
        <w:ind w:left="0" w:firstLine="0"/>
      </w:pPr>
      <w:rPr>
        <w:rFonts w:hint="default" w:ascii="Times New Roman" w:hAnsi="Times New Roman" w:eastAsia="宋体"/>
        <w:b/>
        <w:i w:val="0"/>
        <w:sz w:val="28"/>
      </w:rPr>
    </w:lvl>
    <w:lvl w:ilvl="3" w:tentative="0">
      <w:start w:val="1"/>
      <w:numFmt w:val="decimal"/>
      <w:isLgl/>
      <w:suff w:val="space"/>
      <w:lvlText w:val="%1.%2.%3.%4"/>
      <w:lvlJc w:val="left"/>
      <w:pPr>
        <w:ind w:left="2730" w:firstLine="0"/>
      </w:pPr>
      <w:rPr>
        <w:rFonts w:hint="default" w:ascii="Times New Roman" w:hAnsi="Times New Roman" w:cs="Times New Roman"/>
        <w:b/>
        <w:bCs w:val="0"/>
        <w:i w:val="0"/>
        <w:iCs w:val="0"/>
        <w:caps w:val="0"/>
        <w:smallCaps w:val="0"/>
        <w:strike w:val="0"/>
        <w:dstrike w:val="0"/>
        <w:outline w:val="0"/>
        <w:shadow w:val="0"/>
        <w:emboss w:val="0"/>
        <w:imprint w:val="0"/>
        <w:vanish w:val="0"/>
        <w:spacing w:val="0"/>
        <w:position w:val="0"/>
        <w:u w:val="none"/>
        <w:vertAlign w:val="baseline"/>
      </w:rPr>
    </w:lvl>
    <w:lvl w:ilvl="4" w:tentative="0">
      <w:start w:val="1"/>
      <w:numFmt w:val="decimal"/>
      <w:lvlRestart w:val="2"/>
      <w:pStyle w:val="61"/>
      <w:isLgl/>
      <w:lvlText w:val="表%1.%2-%5"/>
      <w:lvlJc w:val="left"/>
      <w:pPr>
        <w:tabs>
          <w:tab w:val="left" w:pos="0"/>
        </w:tabs>
        <w:ind w:left="7140" w:firstLine="0"/>
      </w:pPr>
      <w:rPr>
        <w:rFonts w:hint="default" w:ascii="Times New Roman" w:hAnsi="Times New Roman" w:cs="Times New Roman"/>
        <w:b/>
        <w:bCs w:val="0"/>
        <w:i w:val="0"/>
        <w:iCs w:val="0"/>
        <w:caps w:val="0"/>
        <w:smallCaps w:val="0"/>
        <w:strike w:val="0"/>
        <w:dstrike w:val="0"/>
        <w:outline w:val="0"/>
        <w:shadow w:val="0"/>
        <w:emboss w:val="0"/>
        <w:imprint w:val="0"/>
        <w:vanish w:val="0"/>
        <w:color w:val="000000"/>
        <w:spacing w:val="0"/>
        <w:kern w:val="0"/>
        <w:position w:val="0"/>
        <w:u w:val="none"/>
        <w:vertAlign w:val="baseline"/>
      </w:rPr>
    </w:lvl>
    <w:lvl w:ilvl="5" w:tentative="0">
      <w:start w:val="1"/>
      <w:numFmt w:val="decimal"/>
      <w:lvlRestart w:val="2"/>
      <w:isLgl/>
      <w:lvlText w:val="图%1.%2-%6"/>
      <w:lvlJc w:val="left"/>
      <w:pPr>
        <w:ind w:left="6720" w:firstLine="0"/>
      </w:pPr>
      <w:rPr>
        <w:rFonts w:hint="default" w:ascii="Times New Roman" w:hAnsi="Times New Roman" w:eastAsia="宋体"/>
        <w:b/>
        <w:i w:val="0"/>
        <w:sz w:val="21"/>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0">
    <w:nsid w:val="74A3E600"/>
    <w:multiLevelType w:val="singleLevel"/>
    <w:tmpl w:val="74A3E600"/>
    <w:lvl w:ilvl="0" w:tentative="0">
      <w:start w:val="2"/>
      <w:numFmt w:val="decimal"/>
      <w:suff w:val="nothing"/>
      <w:lvlText w:val="%1、"/>
      <w:lvlJc w:val="left"/>
    </w:lvl>
  </w:abstractNum>
  <w:abstractNum w:abstractNumId="21">
    <w:nsid w:val="74BC3170"/>
    <w:multiLevelType w:val="multilevel"/>
    <w:tmpl w:val="74BC3170"/>
    <w:lvl w:ilvl="0" w:tentative="0">
      <w:start w:val="1"/>
      <w:numFmt w:val="decimal"/>
      <w:lvlText w:val="%1."/>
      <w:lvlJc w:val="left"/>
      <w:pPr>
        <w:ind w:left="425" w:hanging="425"/>
      </w:pPr>
      <w:rPr>
        <w:rFonts w:hint="default" w:ascii="Times New Roman" w:hAnsi="Times New Roman" w:eastAsia="宋体"/>
        <w:b/>
        <w:i w:val="0"/>
        <w:caps w:val="0"/>
        <w:strike w:val="0"/>
        <w:dstrike w:val="0"/>
        <w:vanish w:val="0"/>
        <w:color w:val="auto"/>
        <w:spacing w:val="0"/>
        <w:w w:val="100"/>
        <w:kern w:val="10"/>
        <w:position w:val="0"/>
        <w:sz w:val="32"/>
        <w:szCs w:val="36"/>
        <w:u w:val="none"/>
        <w:vertAlign w:val="baseline"/>
      </w:rPr>
    </w:lvl>
    <w:lvl w:ilvl="1" w:tentative="0">
      <w:start w:val="1"/>
      <w:numFmt w:val="decimal"/>
      <w:lvlText w:val="%1.%2."/>
      <w:lvlJc w:val="left"/>
      <w:pPr>
        <w:ind w:left="425" w:hanging="425"/>
      </w:pPr>
      <w:rPr>
        <w:rFonts w:hint="default" w:ascii="Times New Roman" w:hAnsi="Times New Roman" w:eastAsia="宋体"/>
        <w:b/>
        <w:i w:val="0"/>
        <w:caps w:val="0"/>
        <w:strike w:val="0"/>
        <w:dstrike w:val="0"/>
        <w:vanish w:val="0"/>
        <w:color w:val="auto"/>
        <w:spacing w:val="0"/>
        <w:w w:val="100"/>
        <w:kern w:val="10"/>
        <w:position w:val="0"/>
        <w:sz w:val="30"/>
        <w:szCs w:val="30"/>
        <w:u w:val="none"/>
        <w:vertAlign w:val="baseline"/>
      </w:rPr>
    </w:lvl>
    <w:lvl w:ilvl="2" w:tentative="0">
      <w:start w:val="1"/>
      <w:numFmt w:val="decimal"/>
      <w:lvlText w:val="%1.%2.%3."/>
      <w:lvlJc w:val="left"/>
      <w:pPr>
        <w:ind w:left="425" w:hanging="425"/>
      </w:pPr>
      <w:rPr>
        <w:rFonts w:hint="default" w:ascii="Times New Roman" w:hAnsi="Times New Roman" w:eastAsia="宋体"/>
        <w:b/>
        <w:i w:val="0"/>
        <w:caps w:val="0"/>
        <w:strike w:val="0"/>
        <w:dstrike w:val="0"/>
        <w:vanish w:val="0"/>
        <w:color w:val="auto"/>
        <w:spacing w:val="0"/>
        <w:w w:val="100"/>
        <w:kern w:val="10"/>
        <w:position w:val="0"/>
        <w:sz w:val="28"/>
        <w:szCs w:val="28"/>
        <w:u w:val="none"/>
        <w:vertAlign w:val="baseline"/>
      </w:rPr>
    </w:lvl>
    <w:lvl w:ilvl="3" w:tentative="0">
      <w:start w:val="1"/>
      <w:numFmt w:val="decimal"/>
      <w:lvlText w:val="%1.%2.%3.%4."/>
      <w:lvlJc w:val="left"/>
      <w:pPr>
        <w:ind w:left="425" w:hanging="425"/>
      </w:pPr>
      <w:rPr>
        <w:rFonts w:hint="default" w:ascii="Times New Roman" w:hAnsi="Times New Roman" w:eastAsia="宋体"/>
        <w:b/>
        <w:bCs/>
        <w:i w:val="0"/>
        <w:iCs w:val="0"/>
        <w:caps w:val="0"/>
        <w:strike w:val="0"/>
        <w:dstrike w:val="0"/>
        <w:vanish w:val="0"/>
        <w:spacing w:val="0"/>
        <w:position w:val="0"/>
        <w:sz w:val="24"/>
        <w:u w:val="none"/>
        <w:vertAlign w:val="baseline"/>
      </w:rPr>
    </w:lvl>
    <w:lvl w:ilvl="4" w:tentative="0">
      <w:start w:val="1"/>
      <w:numFmt w:val="decimal"/>
      <w:suff w:val="space"/>
      <w:lvlText w:val="表%1.%2.%3-%4"/>
      <w:lvlJc w:val="left"/>
      <w:pPr>
        <w:ind w:left="4536" w:firstLine="0"/>
      </w:pPr>
      <w:rPr>
        <w:rFonts w:hint="default" w:ascii="Times New Roman" w:hAnsi="Times New Roman" w:eastAsia="黑体"/>
        <w:b/>
        <w:i w:val="0"/>
      </w:rPr>
    </w:lvl>
    <w:lvl w:ilvl="5" w:tentative="0">
      <w:start w:val="1"/>
      <w:numFmt w:val="none"/>
      <w:lvlRestart w:val="2"/>
      <w:pStyle w:val="8"/>
      <w:suff w:val="space"/>
      <w:lvlText w:val="图%1.%2-%4"/>
      <w:lvlJc w:val="left"/>
      <w:pPr>
        <w:ind w:left="425" w:hanging="425"/>
      </w:pPr>
      <w:rPr>
        <w:rFonts w:hint="default" w:ascii="Times New Roman" w:hAnsi="Times New Roman" w:eastAsia="黑体"/>
        <w:b/>
        <w:i w:val="0"/>
      </w:rPr>
    </w:lvl>
    <w:lvl w:ilvl="6" w:tentative="0">
      <w:start w:val="1"/>
      <w:numFmt w:val="decimal"/>
      <w:lvlText w:val="%1.%2.%3.%4.%5.%6.%7."/>
      <w:lvlJc w:val="left"/>
      <w:pPr>
        <w:ind w:left="425" w:hanging="425"/>
      </w:pPr>
      <w:rPr>
        <w:rFonts w:hint="eastAsia"/>
      </w:rPr>
    </w:lvl>
    <w:lvl w:ilvl="7" w:tentative="0">
      <w:start w:val="1"/>
      <w:numFmt w:val="decimal"/>
      <w:lvlText w:val="%1.%2.%3.%4.%5.%6.%7.%8."/>
      <w:lvlJc w:val="left"/>
      <w:pPr>
        <w:ind w:left="425" w:hanging="425"/>
      </w:pPr>
      <w:rPr>
        <w:rFonts w:hint="eastAsia"/>
      </w:rPr>
    </w:lvl>
    <w:lvl w:ilvl="8" w:tentative="0">
      <w:start w:val="1"/>
      <w:numFmt w:val="decimal"/>
      <w:lvlText w:val="%1.%2.%3.%4.%5.%6.%7.%8.%9."/>
      <w:lvlJc w:val="left"/>
      <w:pPr>
        <w:ind w:left="425" w:hanging="425"/>
      </w:pPr>
      <w:rPr>
        <w:rFonts w:hint="eastAsia"/>
      </w:rPr>
    </w:lvl>
  </w:abstractNum>
  <w:abstractNum w:abstractNumId="22">
    <w:nsid w:val="7AC9F940"/>
    <w:multiLevelType w:val="singleLevel"/>
    <w:tmpl w:val="7AC9F940"/>
    <w:lvl w:ilvl="0" w:tentative="0">
      <w:start w:val="2"/>
      <w:numFmt w:val="decimal"/>
      <w:suff w:val="nothing"/>
      <w:lvlText w:val="%1、"/>
      <w:lvlJc w:val="left"/>
    </w:lvl>
  </w:abstractNum>
  <w:abstractNum w:abstractNumId="23">
    <w:nsid w:val="7B7EF4DF"/>
    <w:multiLevelType w:val="singleLevel"/>
    <w:tmpl w:val="7B7EF4DF"/>
    <w:lvl w:ilvl="0" w:tentative="0">
      <w:start w:val="2"/>
      <w:numFmt w:val="decimal"/>
      <w:suff w:val="nothing"/>
      <w:lvlText w:val="%1）"/>
      <w:lvlJc w:val="left"/>
    </w:lvl>
  </w:abstractNum>
  <w:num w:numId="1">
    <w:abstractNumId w:val="21"/>
  </w:num>
  <w:num w:numId="2">
    <w:abstractNumId w:val="8"/>
  </w:num>
  <w:num w:numId="3">
    <w:abstractNumId w:val="17"/>
  </w:num>
  <w:num w:numId="4">
    <w:abstractNumId w:val="5"/>
  </w:num>
  <w:num w:numId="5">
    <w:abstractNumId w:val="19"/>
  </w:num>
  <w:num w:numId="6">
    <w:abstractNumId w:val="16"/>
  </w:num>
  <w:num w:numId="7">
    <w:abstractNumId w:val="12"/>
  </w:num>
  <w:num w:numId="8">
    <w:abstractNumId w:val="0"/>
  </w:num>
  <w:num w:numId="9">
    <w:abstractNumId w:val="11"/>
  </w:num>
  <w:num w:numId="10">
    <w:abstractNumId w:val="10"/>
  </w:num>
  <w:num w:numId="11">
    <w:abstractNumId w:val="7"/>
  </w:num>
  <w:num w:numId="12">
    <w:abstractNumId w:val="6"/>
  </w:num>
  <w:num w:numId="13">
    <w:abstractNumId w:val="18"/>
  </w:num>
  <w:num w:numId="14">
    <w:abstractNumId w:val="1"/>
  </w:num>
  <w:num w:numId="15">
    <w:abstractNumId w:val="4"/>
  </w:num>
  <w:num w:numId="16">
    <w:abstractNumId w:val="22"/>
  </w:num>
  <w:num w:numId="17">
    <w:abstractNumId w:val="14"/>
  </w:num>
  <w:num w:numId="18">
    <w:abstractNumId w:val="15"/>
  </w:num>
  <w:num w:numId="19">
    <w:abstractNumId w:val="13"/>
  </w:num>
  <w:num w:numId="20">
    <w:abstractNumId w:val="2"/>
  </w:num>
  <w:num w:numId="21">
    <w:abstractNumId w:val="3"/>
  </w:num>
  <w:num w:numId="22">
    <w:abstractNumId w:val="20"/>
  </w:num>
  <w:num w:numId="23">
    <w:abstractNumId w:val="23"/>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dit="trackedChanges" w:enforcement="0"/>
  <w:defaultTabStop w:val="420"/>
  <w:hyphenationZone w:val="36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lkOTA3MjhjMmM2ZDA2ZWFmYmNmZGVhN2I3MDZiYjQifQ=="/>
    <w:docVar w:name="KSO_WPS_MARK_KEY" w:val="c5f35071-9a90-40f3-a3df-4b69486ded60"/>
  </w:docVars>
  <w:rsids>
    <w:rsidRoot w:val="76891049"/>
    <w:rsid w:val="000060B3"/>
    <w:rsid w:val="0004364B"/>
    <w:rsid w:val="00056AF0"/>
    <w:rsid w:val="0006038D"/>
    <w:rsid w:val="00061B1F"/>
    <w:rsid w:val="000733C4"/>
    <w:rsid w:val="00074783"/>
    <w:rsid w:val="0008070B"/>
    <w:rsid w:val="000810AC"/>
    <w:rsid w:val="00081A02"/>
    <w:rsid w:val="00082231"/>
    <w:rsid w:val="00092D38"/>
    <w:rsid w:val="0009377B"/>
    <w:rsid w:val="000A20C9"/>
    <w:rsid w:val="000B058F"/>
    <w:rsid w:val="000B4467"/>
    <w:rsid w:val="000B4DB9"/>
    <w:rsid w:val="000C09AC"/>
    <w:rsid w:val="000C767F"/>
    <w:rsid w:val="000D5A44"/>
    <w:rsid w:val="000E3ED2"/>
    <w:rsid w:val="00131F42"/>
    <w:rsid w:val="001357F1"/>
    <w:rsid w:val="00140FA8"/>
    <w:rsid w:val="00142FEB"/>
    <w:rsid w:val="00143A2D"/>
    <w:rsid w:val="00145A41"/>
    <w:rsid w:val="00151675"/>
    <w:rsid w:val="00157435"/>
    <w:rsid w:val="0017504D"/>
    <w:rsid w:val="0017671A"/>
    <w:rsid w:val="00177422"/>
    <w:rsid w:val="00184590"/>
    <w:rsid w:val="001870D1"/>
    <w:rsid w:val="0018781E"/>
    <w:rsid w:val="0019262D"/>
    <w:rsid w:val="001A1B35"/>
    <w:rsid w:val="001A48A2"/>
    <w:rsid w:val="001A6F61"/>
    <w:rsid w:val="001B72B8"/>
    <w:rsid w:val="001C69B3"/>
    <w:rsid w:val="001D5595"/>
    <w:rsid w:val="001D7874"/>
    <w:rsid w:val="001D7F22"/>
    <w:rsid w:val="001F0F17"/>
    <w:rsid w:val="001F3347"/>
    <w:rsid w:val="001F69E4"/>
    <w:rsid w:val="002125B4"/>
    <w:rsid w:val="002138CE"/>
    <w:rsid w:val="002155B8"/>
    <w:rsid w:val="00224839"/>
    <w:rsid w:val="002249B2"/>
    <w:rsid w:val="00226574"/>
    <w:rsid w:val="002278EC"/>
    <w:rsid w:val="0023280E"/>
    <w:rsid w:val="002377D1"/>
    <w:rsid w:val="002506BC"/>
    <w:rsid w:val="00254345"/>
    <w:rsid w:val="002546CF"/>
    <w:rsid w:val="00264557"/>
    <w:rsid w:val="002805AB"/>
    <w:rsid w:val="00284204"/>
    <w:rsid w:val="00291773"/>
    <w:rsid w:val="002A168C"/>
    <w:rsid w:val="002A3DC7"/>
    <w:rsid w:val="002B49E2"/>
    <w:rsid w:val="002B7B00"/>
    <w:rsid w:val="002B7C44"/>
    <w:rsid w:val="002C2B17"/>
    <w:rsid w:val="002D3DD0"/>
    <w:rsid w:val="002E1F3A"/>
    <w:rsid w:val="002E298A"/>
    <w:rsid w:val="00301978"/>
    <w:rsid w:val="0030332C"/>
    <w:rsid w:val="003051C2"/>
    <w:rsid w:val="00312296"/>
    <w:rsid w:val="00314F0E"/>
    <w:rsid w:val="00321D8E"/>
    <w:rsid w:val="00325928"/>
    <w:rsid w:val="00332863"/>
    <w:rsid w:val="0033684D"/>
    <w:rsid w:val="00337B42"/>
    <w:rsid w:val="00341B42"/>
    <w:rsid w:val="0034348F"/>
    <w:rsid w:val="00356653"/>
    <w:rsid w:val="0035743F"/>
    <w:rsid w:val="003577A2"/>
    <w:rsid w:val="00357BE2"/>
    <w:rsid w:val="0036170C"/>
    <w:rsid w:val="00366E0F"/>
    <w:rsid w:val="00381A72"/>
    <w:rsid w:val="00384676"/>
    <w:rsid w:val="00390857"/>
    <w:rsid w:val="003A4BF3"/>
    <w:rsid w:val="003B420D"/>
    <w:rsid w:val="003C6C16"/>
    <w:rsid w:val="003D794D"/>
    <w:rsid w:val="003E3058"/>
    <w:rsid w:val="003E76A9"/>
    <w:rsid w:val="003F0809"/>
    <w:rsid w:val="003F6A8C"/>
    <w:rsid w:val="003F755C"/>
    <w:rsid w:val="00406F01"/>
    <w:rsid w:val="00416D50"/>
    <w:rsid w:val="00416FD5"/>
    <w:rsid w:val="00417772"/>
    <w:rsid w:val="00420E6A"/>
    <w:rsid w:val="00425A9E"/>
    <w:rsid w:val="00426D6B"/>
    <w:rsid w:val="00431E6C"/>
    <w:rsid w:val="00433CE7"/>
    <w:rsid w:val="00452738"/>
    <w:rsid w:val="00456091"/>
    <w:rsid w:val="00466321"/>
    <w:rsid w:val="00484B9B"/>
    <w:rsid w:val="004855F6"/>
    <w:rsid w:val="0048661E"/>
    <w:rsid w:val="00494670"/>
    <w:rsid w:val="004A3823"/>
    <w:rsid w:val="004E6946"/>
    <w:rsid w:val="004F1AD8"/>
    <w:rsid w:val="005039CB"/>
    <w:rsid w:val="0050558F"/>
    <w:rsid w:val="00506286"/>
    <w:rsid w:val="00510813"/>
    <w:rsid w:val="00511990"/>
    <w:rsid w:val="00511DE0"/>
    <w:rsid w:val="00514870"/>
    <w:rsid w:val="00514B9B"/>
    <w:rsid w:val="00517F02"/>
    <w:rsid w:val="00520460"/>
    <w:rsid w:val="00524303"/>
    <w:rsid w:val="005258A2"/>
    <w:rsid w:val="005401AE"/>
    <w:rsid w:val="00542E07"/>
    <w:rsid w:val="00545424"/>
    <w:rsid w:val="00554A7B"/>
    <w:rsid w:val="0055572C"/>
    <w:rsid w:val="0056106A"/>
    <w:rsid w:val="005720AE"/>
    <w:rsid w:val="00594D77"/>
    <w:rsid w:val="005969E4"/>
    <w:rsid w:val="005A06B7"/>
    <w:rsid w:val="005A1759"/>
    <w:rsid w:val="005A35A5"/>
    <w:rsid w:val="005A68A7"/>
    <w:rsid w:val="005D36AB"/>
    <w:rsid w:val="005D5D15"/>
    <w:rsid w:val="00617CC3"/>
    <w:rsid w:val="006377A6"/>
    <w:rsid w:val="00637A3D"/>
    <w:rsid w:val="006411EF"/>
    <w:rsid w:val="006748B8"/>
    <w:rsid w:val="006775C3"/>
    <w:rsid w:val="0069290A"/>
    <w:rsid w:val="0069775A"/>
    <w:rsid w:val="00697813"/>
    <w:rsid w:val="006A0AF0"/>
    <w:rsid w:val="006A3EE8"/>
    <w:rsid w:val="006A72BF"/>
    <w:rsid w:val="006B03F2"/>
    <w:rsid w:val="006B37DC"/>
    <w:rsid w:val="006B4F68"/>
    <w:rsid w:val="006C0592"/>
    <w:rsid w:val="006C272E"/>
    <w:rsid w:val="006C5479"/>
    <w:rsid w:val="006D13B5"/>
    <w:rsid w:val="006E12FF"/>
    <w:rsid w:val="006E607E"/>
    <w:rsid w:val="00706C5D"/>
    <w:rsid w:val="00723D6E"/>
    <w:rsid w:val="00732922"/>
    <w:rsid w:val="00750E35"/>
    <w:rsid w:val="0075162E"/>
    <w:rsid w:val="00754034"/>
    <w:rsid w:val="00756556"/>
    <w:rsid w:val="007618C4"/>
    <w:rsid w:val="00767980"/>
    <w:rsid w:val="00770B19"/>
    <w:rsid w:val="0077463F"/>
    <w:rsid w:val="007836EA"/>
    <w:rsid w:val="00784CDA"/>
    <w:rsid w:val="007906C4"/>
    <w:rsid w:val="007940EA"/>
    <w:rsid w:val="007967E8"/>
    <w:rsid w:val="007A2170"/>
    <w:rsid w:val="007A22BF"/>
    <w:rsid w:val="007A3323"/>
    <w:rsid w:val="007B72B8"/>
    <w:rsid w:val="007B7A58"/>
    <w:rsid w:val="007C21B5"/>
    <w:rsid w:val="007E4BD2"/>
    <w:rsid w:val="00801393"/>
    <w:rsid w:val="00802F88"/>
    <w:rsid w:val="0081293E"/>
    <w:rsid w:val="00815465"/>
    <w:rsid w:val="00817E9A"/>
    <w:rsid w:val="008306BD"/>
    <w:rsid w:val="00831A80"/>
    <w:rsid w:val="00833743"/>
    <w:rsid w:val="008340A4"/>
    <w:rsid w:val="00865661"/>
    <w:rsid w:val="0087135F"/>
    <w:rsid w:val="00872D94"/>
    <w:rsid w:val="00880364"/>
    <w:rsid w:val="00891592"/>
    <w:rsid w:val="00891E9E"/>
    <w:rsid w:val="008A29EE"/>
    <w:rsid w:val="008A2F68"/>
    <w:rsid w:val="008B4FA6"/>
    <w:rsid w:val="008B5282"/>
    <w:rsid w:val="008B7C17"/>
    <w:rsid w:val="008C2D01"/>
    <w:rsid w:val="008C40E6"/>
    <w:rsid w:val="008D0F7A"/>
    <w:rsid w:val="008D572F"/>
    <w:rsid w:val="008D68E4"/>
    <w:rsid w:val="008E0506"/>
    <w:rsid w:val="008E0CFF"/>
    <w:rsid w:val="008E5D6B"/>
    <w:rsid w:val="008E76F0"/>
    <w:rsid w:val="008F15FE"/>
    <w:rsid w:val="008F2D29"/>
    <w:rsid w:val="008F5187"/>
    <w:rsid w:val="008F60D8"/>
    <w:rsid w:val="00902727"/>
    <w:rsid w:val="0090312B"/>
    <w:rsid w:val="0091736D"/>
    <w:rsid w:val="0093037A"/>
    <w:rsid w:val="0094154D"/>
    <w:rsid w:val="0095155F"/>
    <w:rsid w:val="00954429"/>
    <w:rsid w:val="009563CE"/>
    <w:rsid w:val="00976328"/>
    <w:rsid w:val="0097680D"/>
    <w:rsid w:val="00982438"/>
    <w:rsid w:val="0098404C"/>
    <w:rsid w:val="00985283"/>
    <w:rsid w:val="00995992"/>
    <w:rsid w:val="009A03E5"/>
    <w:rsid w:val="009A0F3B"/>
    <w:rsid w:val="009A1BB4"/>
    <w:rsid w:val="009A2628"/>
    <w:rsid w:val="009A3200"/>
    <w:rsid w:val="009B0897"/>
    <w:rsid w:val="009B7BD9"/>
    <w:rsid w:val="009C7DD5"/>
    <w:rsid w:val="009E227D"/>
    <w:rsid w:val="009E5019"/>
    <w:rsid w:val="00A04F1B"/>
    <w:rsid w:val="00A0501B"/>
    <w:rsid w:val="00A14947"/>
    <w:rsid w:val="00A32A83"/>
    <w:rsid w:val="00A368DB"/>
    <w:rsid w:val="00A423AA"/>
    <w:rsid w:val="00A53EC6"/>
    <w:rsid w:val="00A55C0F"/>
    <w:rsid w:val="00A8713F"/>
    <w:rsid w:val="00A90BA1"/>
    <w:rsid w:val="00A94F11"/>
    <w:rsid w:val="00A97A9A"/>
    <w:rsid w:val="00AA0671"/>
    <w:rsid w:val="00AA2531"/>
    <w:rsid w:val="00AB1E09"/>
    <w:rsid w:val="00AB5330"/>
    <w:rsid w:val="00AB7747"/>
    <w:rsid w:val="00AC14CE"/>
    <w:rsid w:val="00AC2A56"/>
    <w:rsid w:val="00AD055E"/>
    <w:rsid w:val="00AD47A7"/>
    <w:rsid w:val="00AF0CBF"/>
    <w:rsid w:val="00AF257F"/>
    <w:rsid w:val="00AF33CF"/>
    <w:rsid w:val="00AF4D50"/>
    <w:rsid w:val="00AF6179"/>
    <w:rsid w:val="00B1295A"/>
    <w:rsid w:val="00B20A45"/>
    <w:rsid w:val="00B22C5C"/>
    <w:rsid w:val="00B24F30"/>
    <w:rsid w:val="00B31ABF"/>
    <w:rsid w:val="00B33BE3"/>
    <w:rsid w:val="00B53B5D"/>
    <w:rsid w:val="00B554CC"/>
    <w:rsid w:val="00B6055E"/>
    <w:rsid w:val="00B6317D"/>
    <w:rsid w:val="00B7723F"/>
    <w:rsid w:val="00B80534"/>
    <w:rsid w:val="00B8433C"/>
    <w:rsid w:val="00B87491"/>
    <w:rsid w:val="00BA29E9"/>
    <w:rsid w:val="00BA7142"/>
    <w:rsid w:val="00BB237C"/>
    <w:rsid w:val="00BB41A3"/>
    <w:rsid w:val="00BC32DC"/>
    <w:rsid w:val="00BC35B6"/>
    <w:rsid w:val="00BD1B51"/>
    <w:rsid w:val="00BD4596"/>
    <w:rsid w:val="00BE1405"/>
    <w:rsid w:val="00BE312D"/>
    <w:rsid w:val="00BF1C20"/>
    <w:rsid w:val="00C10578"/>
    <w:rsid w:val="00C135BC"/>
    <w:rsid w:val="00C15C95"/>
    <w:rsid w:val="00C2596A"/>
    <w:rsid w:val="00C26264"/>
    <w:rsid w:val="00C27537"/>
    <w:rsid w:val="00C328FE"/>
    <w:rsid w:val="00C33507"/>
    <w:rsid w:val="00C4409D"/>
    <w:rsid w:val="00C44E72"/>
    <w:rsid w:val="00C45A06"/>
    <w:rsid w:val="00C47E5B"/>
    <w:rsid w:val="00C61E4B"/>
    <w:rsid w:val="00C64BFF"/>
    <w:rsid w:val="00C704E9"/>
    <w:rsid w:val="00C763C9"/>
    <w:rsid w:val="00C80057"/>
    <w:rsid w:val="00C82232"/>
    <w:rsid w:val="00C82913"/>
    <w:rsid w:val="00C972B1"/>
    <w:rsid w:val="00CA2CCE"/>
    <w:rsid w:val="00CA43FD"/>
    <w:rsid w:val="00CA7EF8"/>
    <w:rsid w:val="00CB44AA"/>
    <w:rsid w:val="00CC489B"/>
    <w:rsid w:val="00CD2BCD"/>
    <w:rsid w:val="00CD3A4C"/>
    <w:rsid w:val="00CE10E9"/>
    <w:rsid w:val="00CE2910"/>
    <w:rsid w:val="00CE5393"/>
    <w:rsid w:val="00CF36BE"/>
    <w:rsid w:val="00CF6000"/>
    <w:rsid w:val="00D003F3"/>
    <w:rsid w:val="00D0364F"/>
    <w:rsid w:val="00D06834"/>
    <w:rsid w:val="00D308ED"/>
    <w:rsid w:val="00D36D86"/>
    <w:rsid w:val="00D428AA"/>
    <w:rsid w:val="00D50A34"/>
    <w:rsid w:val="00D53EFA"/>
    <w:rsid w:val="00D94A7C"/>
    <w:rsid w:val="00D95896"/>
    <w:rsid w:val="00D973E2"/>
    <w:rsid w:val="00DB2983"/>
    <w:rsid w:val="00DC1257"/>
    <w:rsid w:val="00DC3DC0"/>
    <w:rsid w:val="00DC5B2B"/>
    <w:rsid w:val="00DD318D"/>
    <w:rsid w:val="00DF2E12"/>
    <w:rsid w:val="00DF514A"/>
    <w:rsid w:val="00DF6690"/>
    <w:rsid w:val="00DF6804"/>
    <w:rsid w:val="00E0358D"/>
    <w:rsid w:val="00E04323"/>
    <w:rsid w:val="00E070A2"/>
    <w:rsid w:val="00E2656A"/>
    <w:rsid w:val="00E412D0"/>
    <w:rsid w:val="00E56322"/>
    <w:rsid w:val="00E60982"/>
    <w:rsid w:val="00E62C62"/>
    <w:rsid w:val="00E654C1"/>
    <w:rsid w:val="00E65D97"/>
    <w:rsid w:val="00E72A5A"/>
    <w:rsid w:val="00E73354"/>
    <w:rsid w:val="00E866AD"/>
    <w:rsid w:val="00E9242D"/>
    <w:rsid w:val="00EB5255"/>
    <w:rsid w:val="00EB5C47"/>
    <w:rsid w:val="00ED0639"/>
    <w:rsid w:val="00EF4755"/>
    <w:rsid w:val="00EF7135"/>
    <w:rsid w:val="00F027DB"/>
    <w:rsid w:val="00F14A7A"/>
    <w:rsid w:val="00F22985"/>
    <w:rsid w:val="00F30C23"/>
    <w:rsid w:val="00F3383E"/>
    <w:rsid w:val="00F465A7"/>
    <w:rsid w:val="00F50B7C"/>
    <w:rsid w:val="00F550E6"/>
    <w:rsid w:val="00F705B3"/>
    <w:rsid w:val="00F74345"/>
    <w:rsid w:val="00F80A0A"/>
    <w:rsid w:val="00F82B19"/>
    <w:rsid w:val="00F9212D"/>
    <w:rsid w:val="00F965DA"/>
    <w:rsid w:val="00FA406A"/>
    <w:rsid w:val="00FB503A"/>
    <w:rsid w:val="00FB516C"/>
    <w:rsid w:val="00FD0236"/>
    <w:rsid w:val="00FD18F4"/>
    <w:rsid w:val="00FD54DB"/>
    <w:rsid w:val="00FD619F"/>
    <w:rsid w:val="01046FFD"/>
    <w:rsid w:val="011116BD"/>
    <w:rsid w:val="011714FB"/>
    <w:rsid w:val="011B7373"/>
    <w:rsid w:val="01276DC9"/>
    <w:rsid w:val="01290F7E"/>
    <w:rsid w:val="01435889"/>
    <w:rsid w:val="01466B21"/>
    <w:rsid w:val="015829ED"/>
    <w:rsid w:val="015D1E09"/>
    <w:rsid w:val="017E3647"/>
    <w:rsid w:val="017E6F26"/>
    <w:rsid w:val="01803335"/>
    <w:rsid w:val="018C152A"/>
    <w:rsid w:val="019D115B"/>
    <w:rsid w:val="01A80409"/>
    <w:rsid w:val="01AB4418"/>
    <w:rsid w:val="01B933FE"/>
    <w:rsid w:val="01C00AC4"/>
    <w:rsid w:val="01F74D17"/>
    <w:rsid w:val="01FC403D"/>
    <w:rsid w:val="020F67FB"/>
    <w:rsid w:val="02163F7B"/>
    <w:rsid w:val="022045C5"/>
    <w:rsid w:val="023615AF"/>
    <w:rsid w:val="02364256"/>
    <w:rsid w:val="02385327"/>
    <w:rsid w:val="023D4F6A"/>
    <w:rsid w:val="024C13BA"/>
    <w:rsid w:val="025E43B6"/>
    <w:rsid w:val="025F342C"/>
    <w:rsid w:val="025F65C7"/>
    <w:rsid w:val="02677DC0"/>
    <w:rsid w:val="02697903"/>
    <w:rsid w:val="027042B9"/>
    <w:rsid w:val="027A7FFE"/>
    <w:rsid w:val="027E2B70"/>
    <w:rsid w:val="029046F4"/>
    <w:rsid w:val="029F6EF5"/>
    <w:rsid w:val="02A37090"/>
    <w:rsid w:val="02AF0023"/>
    <w:rsid w:val="02BA5DAD"/>
    <w:rsid w:val="02BB7D5D"/>
    <w:rsid w:val="02BF38C3"/>
    <w:rsid w:val="02C61501"/>
    <w:rsid w:val="02D33149"/>
    <w:rsid w:val="02EB3506"/>
    <w:rsid w:val="02ED79C5"/>
    <w:rsid w:val="02F24BAC"/>
    <w:rsid w:val="02F96569"/>
    <w:rsid w:val="0305402C"/>
    <w:rsid w:val="036A75EE"/>
    <w:rsid w:val="036D1E89"/>
    <w:rsid w:val="037705ED"/>
    <w:rsid w:val="037F3418"/>
    <w:rsid w:val="03AD764F"/>
    <w:rsid w:val="03BD2D21"/>
    <w:rsid w:val="03C10CDD"/>
    <w:rsid w:val="03C355AF"/>
    <w:rsid w:val="03DD4247"/>
    <w:rsid w:val="03EA7B21"/>
    <w:rsid w:val="03F4413D"/>
    <w:rsid w:val="041A2058"/>
    <w:rsid w:val="043324F7"/>
    <w:rsid w:val="043B4028"/>
    <w:rsid w:val="043B676F"/>
    <w:rsid w:val="04777ABE"/>
    <w:rsid w:val="04780A03"/>
    <w:rsid w:val="048C33CF"/>
    <w:rsid w:val="048D0B78"/>
    <w:rsid w:val="048F57D8"/>
    <w:rsid w:val="049732FC"/>
    <w:rsid w:val="04AF05BA"/>
    <w:rsid w:val="04BB4839"/>
    <w:rsid w:val="04BC76BD"/>
    <w:rsid w:val="04C47BFE"/>
    <w:rsid w:val="04CE277A"/>
    <w:rsid w:val="04CE570C"/>
    <w:rsid w:val="04D36877"/>
    <w:rsid w:val="04E57952"/>
    <w:rsid w:val="04E952F3"/>
    <w:rsid w:val="051B62B8"/>
    <w:rsid w:val="052B2AB2"/>
    <w:rsid w:val="0536088C"/>
    <w:rsid w:val="053E40BB"/>
    <w:rsid w:val="05404F0F"/>
    <w:rsid w:val="055147D9"/>
    <w:rsid w:val="05575000"/>
    <w:rsid w:val="05613232"/>
    <w:rsid w:val="05615641"/>
    <w:rsid w:val="05791EDF"/>
    <w:rsid w:val="057D227D"/>
    <w:rsid w:val="057D2BDD"/>
    <w:rsid w:val="05846253"/>
    <w:rsid w:val="05961E7C"/>
    <w:rsid w:val="05BF6A9D"/>
    <w:rsid w:val="05D36E18"/>
    <w:rsid w:val="05D9797A"/>
    <w:rsid w:val="05DA085B"/>
    <w:rsid w:val="05E41A72"/>
    <w:rsid w:val="05F83EAE"/>
    <w:rsid w:val="05FC48F5"/>
    <w:rsid w:val="060A718D"/>
    <w:rsid w:val="060B7A64"/>
    <w:rsid w:val="060E6AAE"/>
    <w:rsid w:val="0614531B"/>
    <w:rsid w:val="06175B96"/>
    <w:rsid w:val="061E3D49"/>
    <w:rsid w:val="061F1BA1"/>
    <w:rsid w:val="06204D6F"/>
    <w:rsid w:val="06346990"/>
    <w:rsid w:val="063A2C9B"/>
    <w:rsid w:val="063E7D85"/>
    <w:rsid w:val="065E696E"/>
    <w:rsid w:val="066A2759"/>
    <w:rsid w:val="066C5C8F"/>
    <w:rsid w:val="068A19E8"/>
    <w:rsid w:val="068A4514"/>
    <w:rsid w:val="06A13A7D"/>
    <w:rsid w:val="06A97BE2"/>
    <w:rsid w:val="06B31420"/>
    <w:rsid w:val="06BD4825"/>
    <w:rsid w:val="06CC764A"/>
    <w:rsid w:val="06DA5193"/>
    <w:rsid w:val="06DC0B5C"/>
    <w:rsid w:val="070A2B11"/>
    <w:rsid w:val="070E744F"/>
    <w:rsid w:val="070F467B"/>
    <w:rsid w:val="0711699F"/>
    <w:rsid w:val="07142B65"/>
    <w:rsid w:val="071614F3"/>
    <w:rsid w:val="07293586"/>
    <w:rsid w:val="07295285"/>
    <w:rsid w:val="072A7934"/>
    <w:rsid w:val="07382658"/>
    <w:rsid w:val="073A3C3A"/>
    <w:rsid w:val="073E600C"/>
    <w:rsid w:val="075A361A"/>
    <w:rsid w:val="07636392"/>
    <w:rsid w:val="07734A65"/>
    <w:rsid w:val="07770C56"/>
    <w:rsid w:val="07921A15"/>
    <w:rsid w:val="07A31495"/>
    <w:rsid w:val="07B26B97"/>
    <w:rsid w:val="07B668ED"/>
    <w:rsid w:val="07BC20D4"/>
    <w:rsid w:val="07CC27B2"/>
    <w:rsid w:val="07D0374E"/>
    <w:rsid w:val="07ED2FBA"/>
    <w:rsid w:val="08053EFD"/>
    <w:rsid w:val="081865FC"/>
    <w:rsid w:val="0821435D"/>
    <w:rsid w:val="08382A69"/>
    <w:rsid w:val="083D2E8A"/>
    <w:rsid w:val="08527B36"/>
    <w:rsid w:val="085F5129"/>
    <w:rsid w:val="086C0A19"/>
    <w:rsid w:val="087E269A"/>
    <w:rsid w:val="089E1016"/>
    <w:rsid w:val="08B74274"/>
    <w:rsid w:val="08BD0334"/>
    <w:rsid w:val="08BD0FB2"/>
    <w:rsid w:val="08F23074"/>
    <w:rsid w:val="09012917"/>
    <w:rsid w:val="090223EB"/>
    <w:rsid w:val="090E34D8"/>
    <w:rsid w:val="09130A15"/>
    <w:rsid w:val="09193BF9"/>
    <w:rsid w:val="091C7CA0"/>
    <w:rsid w:val="092217DD"/>
    <w:rsid w:val="093661CE"/>
    <w:rsid w:val="093834C7"/>
    <w:rsid w:val="093A7294"/>
    <w:rsid w:val="093B5A7A"/>
    <w:rsid w:val="09404ADB"/>
    <w:rsid w:val="0947170C"/>
    <w:rsid w:val="09487B84"/>
    <w:rsid w:val="09513A9E"/>
    <w:rsid w:val="09521C1D"/>
    <w:rsid w:val="095435F3"/>
    <w:rsid w:val="095762A7"/>
    <w:rsid w:val="095B72FF"/>
    <w:rsid w:val="096C19AA"/>
    <w:rsid w:val="096C7D50"/>
    <w:rsid w:val="0976550C"/>
    <w:rsid w:val="097A7ABD"/>
    <w:rsid w:val="09813F50"/>
    <w:rsid w:val="09842D22"/>
    <w:rsid w:val="09857B92"/>
    <w:rsid w:val="0988084D"/>
    <w:rsid w:val="099C7299"/>
    <w:rsid w:val="09A434A3"/>
    <w:rsid w:val="09AC6DDC"/>
    <w:rsid w:val="09BE1239"/>
    <w:rsid w:val="09C3085A"/>
    <w:rsid w:val="09C333A5"/>
    <w:rsid w:val="09C34CDE"/>
    <w:rsid w:val="09CF6B02"/>
    <w:rsid w:val="09D24107"/>
    <w:rsid w:val="09D61A33"/>
    <w:rsid w:val="09DE097E"/>
    <w:rsid w:val="09E3510C"/>
    <w:rsid w:val="09E53082"/>
    <w:rsid w:val="09EC0020"/>
    <w:rsid w:val="09FD33CC"/>
    <w:rsid w:val="09FF0EFE"/>
    <w:rsid w:val="0A1018A6"/>
    <w:rsid w:val="0A232253"/>
    <w:rsid w:val="0A263993"/>
    <w:rsid w:val="0A281784"/>
    <w:rsid w:val="0A284921"/>
    <w:rsid w:val="0A2D3298"/>
    <w:rsid w:val="0A2D3AC2"/>
    <w:rsid w:val="0A3A43A2"/>
    <w:rsid w:val="0A501322"/>
    <w:rsid w:val="0A8408B9"/>
    <w:rsid w:val="0A8E13F2"/>
    <w:rsid w:val="0AA64F1E"/>
    <w:rsid w:val="0AA755DF"/>
    <w:rsid w:val="0AB9467E"/>
    <w:rsid w:val="0ACB0111"/>
    <w:rsid w:val="0AD456B3"/>
    <w:rsid w:val="0ADE7F4E"/>
    <w:rsid w:val="0AE06F81"/>
    <w:rsid w:val="0AEB545F"/>
    <w:rsid w:val="0AEB7CEC"/>
    <w:rsid w:val="0B0C5100"/>
    <w:rsid w:val="0B120D44"/>
    <w:rsid w:val="0B180C8D"/>
    <w:rsid w:val="0B1922F0"/>
    <w:rsid w:val="0B2D7DE5"/>
    <w:rsid w:val="0B3152E6"/>
    <w:rsid w:val="0B3762EF"/>
    <w:rsid w:val="0B3B3B71"/>
    <w:rsid w:val="0B3D065E"/>
    <w:rsid w:val="0B6C419F"/>
    <w:rsid w:val="0B6E2FCA"/>
    <w:rsid w:val="0B800A36"/>
    <w:rsid w:val="0B825B94"/>
    <w:rsid w:val="0B8608A8"/>
    <w:rsid w:val="0B8723C9"/>
    <w:rsid w:val="0B887510"/>
    <w:rsid w:val="0B8C2428"/>
    <w:rsid w:val="0B913922"/>
    <w:rsid w:val="0BA006B7"/>
    <w:rsid w:val="0BAB7D4D"/>
    <w:rsid w:val="0BAC702B"/>
    <w:rsid w:val="0BAD6BF7"/>
    <w:rsid w:val="0BB20B2E"/>
    <w:rsid w:val="0BC750EB"/>
    <w:rsid w:val="0BD015D5"/>
    <w:rsid w:val="0BD15B5B"/>
    <w:rsid w:val="0BD27BF6"/>
    <w:rsid w:val="0BD50295"/>
    <w:rsid w:val="0BE010A6"/>
    <w:rsid w:val="0BEA1F27"/>
    <w:rsid w:val="0BF52FA0"/>
    <w:rsid w:val="0BFB62F2"/>
    <w:rsid w:val="0BFC2B79"/>
    <w:rsid w:val="0C1B686C"/>
    <w:rsid w:val="0C256993"/>
    <w:rsid w:val="0C3A3A1C"/>
    <w:rsid w:val="0C3B3C7D"/>
    <w:rsid w:val="0C4044B6"/>
    <w:rsid w:val="0C48406D"/>
    <w:rsid w:val="0C66481B"/>
    <w:rsid w:val="0C7D205E"/>
    <w:rsid w:val="0C990000"/>
    <w:rsid w:val="0CAB2EAE"/>
    <w:rsid w:val="0CB04D84"/>
    <w:rsid w:val="0CD05852"/>
    <w:rsid w:val="0CEA3C33"/>
    <w:rsid w:val="0CF61765"/>
    <w:rsid w:val="0D050FEF"/>
    <w:rsid w:val="0D0A2A62"/>
    <w:rsid w:val="0D1622A5"/>
    <w:rsid w:val="0D1C6C0F"/>
    <w:rsid w:val="0D263FCC"/>
    <w:rsid w:val="0D274CB2"/>
    <w:rsid w:val="0D3C3F10"/>
    <w:rsid w:val="0D455DEE"/>
    <w:rsid w:val="0D5E4993"/>
    <w:rsid w:val="0D621409"/>
    <w:rsid w:val="0D621C7D"/>
    <w:rsid w:val="0D6B620C"/>
    <w:rsid w:val="0D6C6BD5"/>
    <w:rsid w:val="0D785514"/>
    <w:rsid w:val="0D824B73"/>
    <w:rsid w:val="0D9603A0"/>
    <w:rsid w:val="0D9E1A87"/>
    <w:rsid w:val="0DA10A73"/>
    <w:rsid w:val="0DA754BC"/>
    <w:rsid w:val="0DAC089E"/>
    <w:rsid w:val="0DB85A96"/>
    <w:rsid w:val="0DB92586"/>
    <w:rsid w:val="0DBA4CD4"/>
    <w:rsid w:val="0DBD4932"/>
    <w:rsid w:val="0DC711D1"/>
    <w:rsid w:val="0DCD3EDB"/>
    <w:rsid w:val="0DD20ED1"/>
    <w:rsid w:val="0DDC692E"/>
    <w:rsid w:val="0E0103A9"/>
    <w:rsid w:val="0E013E37"/>
    <w:rsid w:val="0E022A37"/>
    <w:rsid w:val="0E025CAF"/>
    <w:rsid w:val="0E100E36"/>
    <w:rsid w:val="0E1A190D"/>
    <w:rsid w:val="0E5D3E04"/>
    <w:rsid w:val="0E623FEC"/>
    <w:rsid w:val="0E73034D"/>
    <w:rsid w:val="0E770527"/>
    <w:rsid w:val="0E9F0618"/>
    <w:rsid w:val="0EB71706"/>
    <w:rsid w:val="0EC33BBF"/>
    <w:rsid w:val="0ECC61C2"/>
    <w:rsid w:val="0ECE484B"/>
    <w:rsid w:val="0EEF3BF5"/>
    <w:rsid w:val="0EF66F23"/>
    <w:rsid w:val="0EF84ED4"/>
    <w:rsid w:val="0F0F3F9D"/>
    <w:rsid w:val="0F13775A"/>
    <w:rsid w:val="0F174090"/>
    <w:rsid w:val="0F28752E"/>
    <w:rsid w:val="0F3B4BB1"/>
    <w:rsid w:val="0F3C028F"/>
    <w:rsid w:val="0F447152"/>
    <w:rsid w:val="0F572266"/>
    <w:rsid w:val="0F5F45FE"/>
    <w:rsid w:val="0F5F67AF"/>
    <w:rsid w:val="0F675607"/>
    <w:rsid w:val="0F69442D"/>
    <w:rsid w:val="0F7E2314"/>
    <w:rsid w:val="0F8917D1"/>
    <w:rsid w:val="0F8963D2"/>
    <w:rsid w:val="0F8E4806"/>
    <w:rsid w:val="0F930041"/>
    <w:rsid w:val="0F9A112B"/>
    <w:rsid w:val="0FA36692"/>
    <w:rsid w:val="0FA64D6C"/>
    <w:rsid w:val="0FA86E22"/>
    <w:rsid w:val="0FA9736F"/>
    <w:rsid w:val="0FBF21B8"/>
    <w:rsid w:val="0FCC5E52"/>
    <w:rsid w:val="0FCE239C"/>
    <w:rsid w:val="0FD05314"/>
    <w:rsid w:val="0FDE6CCC"/>
    <w:rsid w:val="0FE41ECC"/>
    <w:rsid w:val="0FF511FF"/>
    <w:rsid w:val="10095EDA"/>
    <w:rsid w:val="10112A78"/>
    <w:rsid w:val="101532B4"/>
    <w:rsid w:val="1018701B"/>
    <w:rsid w:val="101B4131"/>
    <w:rsid w:val="10351F7D"/>
    <w:rsid w:val="103E49BC"/>
    <w:rsid w:val="104049F0"/>
    <w:rsid w:val="10417C47"/>
    <w:rsid w:val="10434F2D"/>
    <w:rsid w:val="104578F0"/>
    <w:rsid w:val="104A46D0"/>
    <w:rsid w:val="104D06B9"/>
    <w:rsid w:val="10551478"/>
    <w:rsid w:val="105E2D28"/>
    <w:rsid w:val="106D2F64"/>
    <w:rsid w:val="10753F9C"/>
    <w:rsid w:val="10B63710"/>
    <w:rsid w:val="10C627D2"/>
    <w:rsid w:val="10C714BF"/>
    <w:rsid w:val="10CA3AC0"/>
    <w:rsid w:val="10CE6334"/>
    <w:rsid w:val="10ED172F"/>
    <w:rsid w:val="10F05815"/>
    <w:rsid w:val="10F10820"/>
    <w:rsid w:val="10F70564"/>
    <w:rsid w:val="10F84CB7"/>
    <w:rsid w:val="110F7BA2"/>
    <w:rsid w:val="111575D2"/>
    <w:rsid w:val="111C2F7A"/>
    <w:rsid w:val="11251CFF"/>
    <w:rsid w:val="112A0B78"/>
    <w:rsid w:val="112B3607"/>
    <w:rsid w:val="112D4AA1"/>
    <w:rsid w:val="112F78F5"/>
    <w:rsid w:val="11381F20"/>
    <w:rsid w:val="113844B6"/>
    <w:rsid w:val="113D6D40"/>
    <w:rsid w:val="115B044C"/>
    <w:rsid w:val="11644DFC"/>
    <w:rsid w:val="11665CA1"/>
    <w:rsid w:val="116A3CF0"/>
    <w:rsid w:val="116E6670"/>
    <w:rsid w:val="11720608"/>
    <w:rsid w:val="117347E5"/>
    <w:rsid w:val="117A7867"/>
    <w:rsid w:val="118406AF"/>
    <w:rsid w:val="11875167"/>
    <w:rsid w:val="118E6257"/>
    <w:rsid w:val="119133DC"/>
    <w:rsid w:val="11C2737F"/>
    <w:rsid w:val="11CB4850"/>
    <w:rsid w:val="11CC5CC0"/>
    <w:rsid w:val="11DF5207"/>
    <w:rsid w:val="11E44B84"/>
    <w:rsid w:val="11E6072B"/>
    <w:rsid w:val="11EE3570"/>
    <w:rsid w:val="11F81716"/>
    <w:rsid w:val="11F84458"/>
    <w:rsid w:val="11FA7F03"/>
    <w:rsid w:val="120359F8"/>
    <w:rsid w:val="12047CDD"/>
    <w:rsid w:val="120D030E"/>
    <w:rsid w:val="121577DD"/>
    <w:rsid w:val="122D48B1"/>
    <w:rsid w:val="12333415"/>
    <w:rsid w:val="123F3CC6"/>
    <w:rsid w:val="12455F29"/>
    <w:rsid w:val="12491E74"/>
    <w:rsid w:val="1250500B"/>
    <w:rsid w:val="125515DD"/>
    <w:rsid w:val="1265642E"/>
    <w:rsid w:val="12767587"/>
    <w:rsid w:val="1277683F"/>
    <w:rsid w:val="127A7296"/>
    <w:rsid w:val="127D589D"/>
    <w:rsid w:val="127F49C8"/>
    <w:rsid w:val="12921A27"/>
    <w:rsid w:val="12A473D6"/>
    <w:rsid w:val="12AE45B0"/>
    <w:rsid w:val="12CF0956"/>
    <w:rsid w:val="12D3279A"/>
    <w:rsid w:val="12D44C99"/>
    <w:rsid w:val="12E52961"/>
    <w:rsid w:val="12E65C30"/>
    <w:rsid w:val="12ED0533"/>
    <w:rsid w:val="12EE329E"/>
    <w:rsid w:val="12F24523"/>
    <w:rsid w:val="1304327F"/>
    <w:rsid w:val="13127F45"/>
    <w:rsid w:val="1327103C"/>
    <w:rsid w:val="13340F2E"/>
    <w:rsid w:val="134C4D5C"/>
    <w:rsid w:val="134E184B"/>
    <w:rsid w:val="13545E37"/>
    <w:rsid w:val="137158AB"/>
    <w:rsid w:val="137E6912"/>
    <w:rsid w:val="13817D16"/>
    <w:rsid w:val="138354A5"/>
    <w:rsid w:val="13942F98"/>
    <w:rsid w:val="13951726"/>
    <w:rsid w:val="13984B99"/>
    <w:rsid w:val="139C018A"/>
    <w:rsid w:val="139D0587"/>
    <w:rsid w:val="13A61552"/>
    <w:rsid w:val="13B47EBF"/>
    <w:rsid w:val="13BE598A"/>
    <w:rsid w:val="13DD27B3"/>
    <w:rsid w:val="13F1736C"/>
    <w:rsid w:val="13F7737A"/>
    <w:rsid w:val="13FD3CDB"/>
    <w:rsid w:val="13FE695B"/>
    <w:rsid w:val="14000461"/>
    <w:rsid w:val="140C03C2"/>
    <w:rsid w:val="142474B9"/>
    <w:rsid w:val="142666E0"/>
    <w:rsid w:val="14396509"/>
    <w:rsid w:val="144203DE"/>
    <w:rsid w:val="14513191"/>
    <w:rsid w:val="14557301"/>
    <w:rsid w:val="145B7230"/>
    <w:rsid w:val="145E49C9"/>
    <w:rsid w:val="148B38B7"/>
    <w:rsid w:val="148C61A2"/>
    <w:rsid w:val="148E48BE"/>
    <w:rsid w:val="148F7C29"/>
    <w:rsid w:val="149A0483"/>
    <w:rsid w:val="14A05C86"/>
    <w:rsid w:val="14A43114"/>
    <w:rsid w:val="14A64372"/>
    <w:rsid w:val="14A65ABE"/>
    <w:rsid w:val="14A93472"/>
    <w:rsid w:val="14B22FDB"/>
    <w:rsid w:val="14B244B2"/>
    <w:rsid w:val="14BF4386"/>
    <w:rsid w:val="14C55FDA"/>
    <w:rsid w:val="14C751E8"/>
    <w:rsid w:val="14C8761C"/>
    <w:rsid w:val="14D82BDE"/>
    <w:rsid w:val="14DD2C3C"/>
    <w:rsid w:val="14F6200A"/>
    <w:rsid w:val="151D44A5"/>
    <w:rsid w:val="152A0F32"/>
    <w:rsid w:val="15383FC8"/>
    <w:rsid w:val="153B4593"/>
    <w:rsid w:val="15457792"/>
    <w:rsid w:val="15495E47"/>
    <w:rsid w:val="15497051"/>
    <w:rsid w:val="154D0390"/>
    <w:rsid w:val="15544A4C"/>
    <w:rsid w:val="15622F1E"/>
    <w:rsid w:val="156812ED"/>
    <w:rsid w:val="156A6351"/>
    <w:rsid w:val="15797590"/>
    <w:rsid w:val="15881B93"/>
    <w:rsid w:val="159149FE"/>
    <w:rsid w:val="15A30C1E"/>
    <w:rsid w:val="15A97634"/>
    <w:rsid w:val="15AB1F17"/>
    <w:rsid w:val="15B611E5"/>
    <w:rsid w:val="15C10431"/>
    <w:rsid w:val="15E83086"/>
    <w:rsid w:val="15EA26A6"/>
    <w:rsid w:val="15EF1703"/>
    <w:rsid w:val="15FF151E"/>
    <w:rsid w:val="1607070C"/>
    <w:rsid w:val="16087E1D"/>
    <w:rsid w:val="160E6408"/>
    <w:rsid w:val="160F7AB4"/>
    <w:rsid w:val="16147232"/>
    <w:rsid w:val="1615537A"/>
    <w:rsid w:val="162741D4"/>
    <w:rsid w:val="163761E4"/>
    <w:rsid w:val="16382B13"/>
    <w:rsid w:val="16487821"/>
    <w:rsid w:val="16541E81"/>
    <w:rsid w:val="1657077D"/>
    <w:rsid w:val="165C5811"/>
    <w:rsid w:val="166C01D4"/>
    <w:rsid w:val="167142F4"/>
    <w:rsid w:val="1677786C"/>
    <w:rsid w:val="167950C1"/>
    <w:rsid w:val="167D0758"/>
    <w:rsid w:val="167D3BF3"/>
    <w:rsid w:val="167E5556"/>
    <w:rsid w:val="168522FD"/>
    <w:rsid w:val="1688296A"/>
    <w:rsid w:val="16A038CC"/>
    <w:rsid w:val="16A37F4C"/>
    <w:rsid w:val="16A612D2"/>
    <w:rsid w:val="16A70509"/>
    <w:rsid w:val="16B73EFE"/>
    <w:rsid w:val="16B85EF0"/>
    <w:rsid w:val="16BF6CBB"/>
    <w:rsid w:val="16C531CB"/>
    <w:rsid w:val="16C62E8D"/>
    <w:rsid w:val="16CE3FD4"/>
    <w:rsid w:val="16D355F2"/>
    <w:rsid w:val="16DE4C34"/>
    <w:rsid w:val="16E27238"/>
    <w:rsid w:val="16F70EB5"/>
    <w:rsid w:val="16FC1200"/>
    <w:rsid w:val="171C40A7"/>
    <w:rsid w:val="17206267"/>
    <w:rsid w:val="172F485A"/>
    <w:rsid w:val="1735410C"/>
    <w:rsid w:val="1739750B"/>
    <w:rsid w:val="17425168"/>
    <w:rsid w:val="175E1DE2"/>
    <w:rsid w:val="1764070A"/>
    <w:rsid w:val="17677109"/>
    <w:rsid w:val="176D29FB"/>
    <w:rsid w:val="17701D14"/>
    <w:rsid w:val="17735226"/>
    <w:rsid w:val="17772274"/>
    <w:rsid w:val="17C16B92"/>
    <w:rsid w:val="17D30E04"/>
    <w:rsid w:val="17D47365"/>
    <w:rsid w:val="17E04544"/>
    <w:rsid w:val="17EE0BB3"/>
    <w:rsid w:val="17FD1BB2"/>
    <w:rsid w:val="1803290E"/>
    <w:rsid w:val="18060F62"/>
    <w:rsid w:val="180933A5"/>
    <w:rsid w:val="18096E37"/>
    <w:rsid w:val="180E00E8"/>
    <w:rsid w:val="18362F1D"/>
    <w:rsid w:val="184F6023"/>
    <w:rsid w:val="185003A5"/>
    <w:rsid w:val="18534811"/>
    <w:rsid w:val="18815EFB"/>
    <w:rsid w:val="18817097"/>
    <w:rsid w:val="1882233D"/>
    <w:rsid w:val="189370E7"/>
    <w:rsid w:val="189F624C"/>
    <w:rsid w:val="18A455D1"/>
    <w:rsid w:val="18AB54C4"/>
    <w:rsid w:val="18B14DC7"/>
    <w:rsid w:val="18E3708F"/>
    <w:rsid w:val="18E606CF"/>
    <w:rsid w:val="18EB68AC"/>
    <w:rsid w:val="18ED1065"/>
    <w:rsid w:val="18F06E9E"/>
    <w:rsid w:val="1906684F"/>
    <w:rsid w:val="19121288"/>
    <w:rsid w:val="191509F0"/>
    <w:rsid w:val="192E6F07"/>
    <w:rsid w:val="194C43E4"/>
    <w:rsid w:val="195447FF"/>
    <w:rsid w:val="19566DAA"/>
    <w:rsid w:val="195A327A"/>
    <w:rsid w:val="196547FC"/>
    <w:rsid w:val="196E7660"/>
    <w:rsid w:val="19701E85"/>
    <w:rsid w:val="19720CC7"/>
    <w:rsid w:val="19875DCD"/>
    <w:rsid w:val="198D2152"/>
    <w:rsid w:val="19940408"/>
    <w:rsid w:val="19944092"/>
    <w:rsid w:val="19AB39A3"/>
    <w:rsid w:val="19BC5474"/>
    <w:rsid w:val="19D27BE4"/>
    <w:rsid w:val="19FA498C"/>
    <w:rsid w:val="1A0021B2"/>
    <w:rsid w:val="1A017FA4"/>
    <w:rsid w:val="1A0E2988"/>
    <w:rsid w:val="1A0F79E7"/>
    <w:rsid w:val="1A1C66C0"/>
    <w:rsid w:val="1A1D62FC"/>
    <w:rsid w:val="1A2353BB"/>
    <w:rsid w:val="1A417523"/>
    <w:rsid w:val="1A42393B"/>
    <w:rsid w:val="1A453CEE"/>
    <w:rsid w:val="1A5031A4"/>
    <w:rsid w:val="1A5506A3"/>
    <w:rsid w:val="1A5D5462"/>
    <w:rsid w:val="1A5D553D"/>
    <w:rsid w:val="1A5F5998"/>
    <w:rsid w:val="1A6310D2"/>
    <w:rsid w:val="1A777349"/>
    <w:rsid w:val="1A862D51"/>
    <w:rsid w:val="1A981C6C"/>
    <w:rsid w:val="1A9C69C7"/>
    <w:rsid w:val="1AAD45DE"/>
    <w:rsid w:val="1AB85266"/>
    <w:rsid w:val="1ABB1186"/>
    <w:rsid w:val="1AC65DBE"/>
    <w:rsid w:val="1ACC43C4"/>
    <w:rsid w:val="1AE00C00"/>
    <w:rsid w:val="1AE6371B"/>
    <w:rsid w:val="1AED1E97"/>
    <w:rsid w:val="1AFF4898"/>
    <w:rsid w:val="1B013CA3"/>
    <w:rsid w:val="1B035A42"/>
    <w:rsid w:val="1B046F80"/>
    <w:rsid w:val="1B0D1E12"/>
    <w:rsid w:val="1B16532C"/>
    <w:rsid w:val="1B285DA2"/>
    <w:rsid w:val="1B2E4176"/>
    <w:rsid w:val="1B3267B5"/>
    <w:rsid w:val="1B3C498F"/>
    <w:rsid w:val="1B40161D"/>
    <w:rsid w:val="1B43165B"/>
    <w:rsid w:val="1B441859"/>
    <w:rsid w:val="1B50088D"/>
    <w:rsid w:val="1B5216E8"/>
    <w:rsid w:val="1B6606B1"/>
    <w:rsid w:val="1B67154F"/>
    <w:rsid w:val="1B6B1523"/>
    <w:rsid w:val="1B744685"/>
    <w:rsid w:val="1B900A70"/>
    <w:rsid w:val="1B9F1AB4"/>
    <w:rsid w:val="1BA5481B"/>
    <w:rsid w:val="1BB232BE"/>
    <w:rsid w:val="1BC5230F"/>
    <w:rsid w:val="1BCB2870"/>
    <w:rsid w:val="1BD143CB"/>
    <w:rsid w:val="1BD17BF9"/>
    <w:rsid w:val="1C021103"/>
    <w:rsid w:val="1C0A763D"/>
    <w:rsid w:val="1C135C1C"/>
    <w:rsid w:val="1C166EB7"/>
    <w:rsid w:val="1C265707"/>
    <w:rsid w:val="1C2E55B9"/>
    <w:rsid w:val="1C3F662A"/>
    <w:rsid w:val="1C477A12"/>
    <w:rsid w:val="1C534746"/>
    <w:rsid w:val="1C542158"/>
    <w:rsid w:val="1C5E7925"/>
    <w:rsid w:val="1C6074FD"/>
    <w:rsid w:val="1C6734F6"/>
    <w:rsid w:val="1C792A3D"/>
    <w:rsid w:val="1C7D020A"/>
    <w:rsid w:val="1C857833"/>
    <w:rsid w:val="1C8D5F41"/>
    <w:rsid w:val="1C8E6478"/>
    <w:rsid w:val="1CC65A7A"/>
    <w:rsid w:val="1CE376EC"/>
    <w:rsid w:val="1CF94B85"/>
    <w:rsid w:val="1CFD070F"/>
    <w:rsid w:val="1CFF39F2"/>
    <w:rsid w:val="1D074CEC"/>
    <w:rsid w:val="1D164412"/>
    <w:rsid w:val="1D200AF4"/>
    <w:rsid w:val="1D267DE7"/>
    <w:rsid w:val="1D270559"/>
    <w:rsid w:val="1D2C4818"/>
    <w:rsid w:val="1D34724E"/>
    <w:rsid w:val="1D49350B"/>
    <w:rsid w:val="1D594121"/>
    <w:rsid w:val="1D5F6196"/>
    <w:rsid w:val="1D60275D"/>
    <w:rsid w:val="1D6132A5"/>
    <w:rsid w:val="1D6632D9"/>
    <w:rsid w:val="1D682867"/>
    <w:rsid w:val="1D712A8C"/>
    <w:rsid w:val="1D724B9B"/>
    <w:rsid w:val="1D7E531C"/>
    <w:rsid w:val="1D8D4321"/>
    <w:rsid w:val="1D8E56D5"/>
    <w:rsid w:val="1D9C62FE"/>
    <w:rsid w:val="1DD501E3"/>
    <w:rsid w:val="1DEA10F1"/>
    <w:rsid w:val="1DEE15DC"/>
    <w:rsid w:val="1E1337DE"/>
    <w:rsid w:val="1E1C514F"/>
    <w:rsid w:val="1E262080"/>
    <w:rsid w:val="1E396257"/>
    <w:rsid w:val="1E3C4842"/>
    <w:rsid w:val="1E483372"/>
    <w:rsid w:val="1E4A5B39"/>
    <w:rsid w:val="1E4D7894"/>
    <w:rsid w:val="1E7A43DA"/>
    <w:rsid w:val="1E7E49A7"/>
    <w:rsid w:val="1E89308B"/>
    <w:rsid w:val="1E8C3F14"/>
    <w:rsid w:val="1E9C3E39"/>
    <w:rsid w:val="1EAB6B53"/>
    <w:rsid w:val="1EB970A1"/>
    <w:rsid w:val="1EC20758"/>
    <w:rsid w:val="1EEC0E14"/>
    <w:rsid w:val="1EF93CC5"/>
    <w:rsid w:val="1F04156B"/>
    <w:rsid w:val="1F246556"/>
    <w:rsid w:val="1F36449C"/>
    <w:rsid w:val="1F3979FF"/>
    <w:rsid w:val="1F4C7C05"/>
    <w:rsid w:val="1F607F5D"/>
    <w:rsid w:val="1F623117"/>
    <w:rsid w:val="1F703945"/>
    <w:rsid w:val="1F7862C3"/>
    <w:rsid w:val="1F7903D6"/>
    <w:rsid w:val="1F847550"/>
    <w:rsid w:val="1F8F3953"/>
    <w:rsid w:val="1FA87676"/>
    <w:rsid w:val="1FBA6988"/>
    <w:rsid w:val="1FC54F2C"/>
    <w:rsid w:val="1FE7539E"/>
    <w:rsid w:val="1FED5F6A"/>
    <w:rsid w:val="1FF93CA5"/>
    <w:rsid w:val="200309C1"/>
    <w:rsid w:val="20085EE1"/>
    <w:rsid w:val="20112A64"/>
    <w:rsid w:val="201C39B3"/>
    <w:rsid w:val="20293840"/>
    <w:rsid w:val="202D5948"/>
    <w:rsid w:val="204B25CF"/>
    <w:rsid w:val="204B2BE0"/>
    <w:rsid w:val="20577816"/>
    <w:rsid w:val="20671BE0"/>
    <w:rsid w:val="20751D38"/>
    <w:rsid w:val="2082617A"/>
    <w:rsid w:val="208320A8"/>
    <w:rsid w:val="208C5865"/>
    <w:rsid w:val="20901FC9"/>
    <w:rsid w:val="20953EBE"/>
    <w:rsid w:val="20963CB8"/>
    <w:rsid w:val="20973392"/>
    <w:rsid w:val="20A81A1B"/>
    <w:rsid w:val="20B07FB6"/>
    <w:rsid w:val="20B322F1"/>
    <w:rsid w:val="20B646FB"/>
    <w:rsid w:val="20BD3A99"/>
    <w:rsid w:val="20BE2F7E"/>
    <w:rsid w:val="20C476F2"/>
    <w:rsid w:val="20E854DB"/>
    <w:rsid w:val="20E9058E"/>
    <w:rsid w:val="20EC268D"/>
    <w:rsid w:val="20EE4768"/>
    <w:rsid w:val="20F866E5"/>
    <w:rsid w:val="21033FD8"/>
    <w:rsid w:val="21090163"/>
    <w:rsid w:val="210E270B"/>
    <w:rsid w:val="2110661E"/>
    <w:rsid w:val="211A3BAD"/>
    <w:rsid w:val="211D75C1"/>
    <w:rsid w:val="21234A31"/>
    <w:rsid w:val="2127450B"/>
    <w:rsid w:val="213B74B1"/>
    <w:rsid w:val="21451EF5"/>
    <w:rsid w:val="214C4CB2"/>
    <w:rsid w:val="215A2310"/>
    <w:rsid w:val="216A5F16"/>
    <w:rsid w:val="218262A8"/>
    <w:rsid w:val="21983CBB"/>
    <w:rsid w:val="219B433F"/>
    <w:rsid w:val="219C25FA"/>
    <w:rsid w:val="219F28A6"/>
    <w:rsid w:val="219F7037"/>
    <w:rsid w:val="21C50795"/>
    <w:rsid w:val="21CE4818"/>
    <w:rsid w:val="21CF617A"/>
    <w:rsid w:val="21DB158F"/>
    <w:rsid w:val="21DD7EA6"/>
    <w:rsid w:val="21DE318A"/>
    <w:rsid w:val="21E00000"/>
    <w:rsid w:val="21E17438"/>
    <w:rsid w:val="21EF5B80"/>
    <w:rsid w:val="21F13B08"/>
    <w:rsid w:val="21F27B93"/>
    <w:rsid w:val="21FC0742"/>
    <w:rsid w:val="21FD08D3"/>
    <w:rsid w:val="21FF565D"/>
    <w:rsid w:val="220D7D8E"/>
    <w:rsid w:val="220F411A"/>
    <w:rsid w:val="221B1162"/>
    <w:rsid w:val="22356F2A"/>
    <w:rsid w:val="22387DBB"/>
    <w:rsid w:val="223B0B30"/>
    <w:rsid w:val="2242148E"/>
    <w:rsid w:val="22473C82"/>
    <w:rsid w:val="22576990"/>
    <w:rsid w:val="226D425E"/>
    <w:rsid w:val="22CD72EB"/>
    <w:rsid w:val="22D71C3B"/>
    <w:rsid w:val="22E220F2"/>
    <w:rsid w:val="22F47480"/>
    <w:rsid w:val="22FE6843"/>
    <w:rsid w:val="23031736"/>
    <w:rsid w:val="23077A2C"/>
    <w:rsid w:val="2311481E"/>
    <w:rsid w:val="23240D44"/>
    <w:rsid w:val="232A20B5"/>
    <w:rsid w:val="232B1B53"/>
    <w:rsid w:val="23307ABC"/>
    <w:rsid w:val="23465D82"/>
    <w:rsid w:val="2350115A"/>
    <w:rsid w:val="23675787"/>
    <w:rsid w:val="237405DA"/>
    <w:rsid w:val="23812CB9"/>
    <w:rsid w:val="23822169"/>
    <w:rsid w:val="238C1B36"/>
    <w:rsid w:val="23957715"/>
    <w:rsid w:val="23974E66"/>
    <w:rsid w:val="23993679"/>
    <w:rsid w:val="239B4A9D"/>
    <w:rsid w:val="239D2EFF"/>
    <w:rsid w:val="23A777BF"/>
    <w:rsid w:val="23B91501"/>
    <w:rsid w:val="23C52562"/>
    <w:rsid w:val="23CD5D7D"/>
    <w:rsid w:val="23CE6FA1"/>
    <w:rsid w:val="23CF7602"/>
    <w:rsid w:val="23D66F76"/>
    <w:rsid w:val="23DD6C47"/>
    <w:rsid w:val="23DE1C48"/>
    <w:rsid w:val="23E27859"/>
    <w:rsid w:val="23E30C2A"/>
    <w:rsid w:val="23E3562A"/>
    <w:rsid w:val="23EB78FC"/>
    <w:rsid w:val="23F36911"/>
    <w:rsid w:val="24001953"/>
    <w:rsid w:val="240210CD"/>
    <w:rsid w:val="24021E33"/>
    <w:rsid w:val="241C5626"/>
    <w:rsid w:val="241D6502"/>
    <w:rsid w:val="2424727E"/>
    <w:rsid w:val="24344B09"/>
    <w:rsid w:val="2447728E"/>
    <w:rsid w:val="244A447E"/>
    <w:rsid w:val="246429CB"/>
    <w:rsid w:val="24692541"/>
    <w:rsid w:val="246925B1"/>
    <w:rsid w:val="246F4A8F"/>
    <w:rsid w:val="24703FCB"/>
    <w:rsid w:val="24770DC5"/>
    <w:rsid w:val="248A3C44"/>
    <w:rsid w:val="24980EAC"/>
    <w:rsid w:val="24981CB4"/>
    <w:rsid w:val="249B2787"/>
    <w:rsid w:val="24A75D1C"/>
    <w:rsid w:val="24BF09F7"/>
    <w:rsid w:val="24C527CD"/>
    <w:rsid w:val="24C848FC"/>
    <w:rsid w:val="24CA19B7"/>
    <w:rsid w:val="24D85969"/>
    <w:rsid w:val="24DB355B"/>
    <w:rsid w:val="24EB5441"/>
    <w:rsid w:val="24F04E11"/>
    <w:rsid w:val="24F12D19"/>
    <w:rsid w:val="24F66685"/>
    <w:rsid w:val="250504C2"/>
    <w:rsid w:val="25194E48"/>
    <w:rsid w:val="251E05F6"/>
    <w:rsid w:val="252052FF"/>
    <w:rsid w:val="252D53FE"/>
    <w:rsid w:val="25315477"/>
    <w:rsid w:val="255671A0"/>
    <w:rsid w:val="2558271C"/>
    <w:rsid w:val="256611C3"/>
    <w:rsid w:val="256B6C1B"/>
    <w:rsid w:val="25775CE2"/>
    <w:rsid w:val="25820B9E"/>
    <w:rsid w:val="25865295"/>
    <w:rsid w:val="259167EB"/>
    <w:rsid w:val="25925C9D"/>
    <w:rsid w:val="25933B26"/>
    <w:rsid w:val="259E4340"/>
    <w:rsid w:val="25A749A6"/>
    <w:rsid w:val="25C41789"/>
    <w:rsid w:val="25EB0BBC"/>
    <w:rsid w:val="25EC2D81"/>
    <w:rsid w:val="25F42812"/>
    <w:rsid w:val="26112BE1"/>
    <w:rsid w:val="2628447E"/>
    <w:rsid w:val="262A6195"/>
    <w:rsid w:val="263E2887"/>
    <w:rsid w:val="2640192D"/>
    <w:rsid w:val="264469C0"/>
    <w:rsid w:val="26471B96"/>
    <w:rsid w:val="264E532A"/>
    <w:rsid w:val="26525B4A"/>
    <w:rsid w:val="26590BAD"/>
    <w:rsid w:val="265C31E8"/>
    <w:rsid w:val="266710A6"/>
    <w:rsid w:val="268C7DD1"/>
    <w:rsid w:val="269319AE"/>
    <w:rsid w:val="26971D6D"/>
    <w:rsid w:val="26990C87"/>
    <w:rsid w:val="269F014D"/>
    <w:rsid w:val="26AA7CF2"/>
    <w:rsid w:val="26B2202C"/>
    <w:rsid w:val="26B52F25"/>
    <w:rsid w:val="26C519D6"/>
    <w:rsid w:val="26C762AA"/>
    <w:rsid w:val="26DD40FE"/>
    <w:rsid w:val="26E222DC"/>
    <w:rsid w:val="26E96EC8"/>
    <w:rsid w:val="26F62C24"/>
    <w:rsid w:val="26F72E25"/>
    <w:rsid w:val="270F2CE4"/>
    <w:rsid w:val="271138CD"/>
    <w:rsid w:val="27125605"/>
    <w:rsid w:val="272B7F2F"/>
    <w:rsid w:val="273604C8"/>
    <w:rsid w:val="2746497C"/>
    <w:rsid w:val="275B0EAC"/>
    <w:rsid w:val="277057A2"/>
    <w:rsid w:val="2782799A"/>
    <w:rsid w:val="27881F2E"/>
    <w:rsid w:val="278B579D"/>
    <w:rsid w:val="279F53B5"/>
    <w:rsid w:val="27AE439F"/>
    <w:rsid w:val="27B95C11"/>
    <w:rsid w:val="27C21382"/>
    <w:rsid w:val="27D37238"/>
    <w:rsid w:val="27DC56B4"/>
    <w:rsid w:val="27E215CD"/>
    <w:rsid w:val="27E45582"/>
    <w:rsid w:val="27E51F89"/>
    <w:rsid w:val="27E61D63"/>
    <w:rsid w:val="27F9663D"/>
    <w:rsid w:val="28086978"/>
    <w:rsid w:val="282D0B90"/>
    <w:rsid w:val="28447D73"/>
    <w:rsid w:val="28584263"/>
    <w:rsid w:val="287513AB"/>
    <w:rsid w:val="28837A35"/>
    <w:rsid w:val="288B0474"/>
    <w:rsid w:val="289F673F"/>
    <w:rsid w:val="28AF7CC5"/>
    <w:rsid w:val="28B74948"/>
    <w:rsid w:val="28B77AFE"/>
    <w:rsid w:val="28BF3F21"/>
    <w:rsid w:val="28D15A0A"/>
    <w:rsid w:val="28F113E6"/>
    <w:rsid w:val="28F72FB7"/>
    <w:rsid w:val="29014126"/>
    <w:rsid w:val="29055B23"/>
    <w:rsid w:val="290A25B6"/>
    <w:rsid w:val="290A2CB9"/>
    <w:rsid w:val="29132841"/>
    <w:rsid w:val="29206EB8"/>
    <w:rsid w:val="2943566D"/>
    <w:rsid w:val="294F4C85"/>
    <w:rsid w:val="295167BB"/>
    <w:rsid w:val="29595666"/>
    <w:rsid w:val="296E61C0"/>
    <w:rsid w:val="297A205D"/>
    <w:rsid w:val="29822860"/>
    <w:rsid w:val="29874881"/>
    <w:rsid w:val="298813EF"/>
    <w:rsid w:val="2994567F"/>
    <w:rsid w:val="29AF6D9C"/>
    <w:rsid w:val="29C110F1"/>
    <w:rsid w:val="29C4667E"/>
    <w:rsid w:val="29C54C6B"/>
    <w:rsid w:val="29CA6A53"/>
    <w:rsid w:val="29DA11C0"/>
    <w:rsid w:val="29E325E0"/>
    <w:rsid w:val="29E33F46"/>
    <w:rsid w:val="29E928DF"/>
    <w:rsid w:val="2A025B91"/>
    <w:rsid w:val="2A0865AD"/>
    <w:rsid w:val="2A452503"/>
    <w:rsid w:val="2A493872"/>
    <w:rsid w:val="2A6C5B77"/>
    <w:rsid w:val="2A721D54"/>
    <w:rsid w:val="2A7508C4"/>
    <w:rsid w:val="2A756D7C"/>
    <w:rsid w:val="2A7A52BB"/>
    <w:rsid w:val="2A7B4FE8"/>
    <w:rsid w:val="2A840A03"/>
    <w:rsid w:val="2A877F4E"/>
    <w:rsid w:val="2A916543"/>
    <w:rsid w:val="2A936ECC"/>
    <w:rsid w:val="2AA2173D"/>
    <w:rsid w:val="2AA35184"/>
    <w:rsid w:val="2AAE5AB7"/>
    <w:rsid w:val="2AB7478C"/>
    <w:rsid w:val="2ABE7B40"/>
    <w:rsid w:val="2AC35591"/>
    <w:rsid w:val="2ACC5D29"/>
    <w:rsid w:val="2AD223FF"/>
    <w:rsid w:val="2AEC0E01"/>
    <w:rsid w:val="2AFB6D6E"/>
    <w:rsid w:val="2AFD5D48"/>
    <w:rsid w:val="2B0600F7"/>
    <w:rsid w:val="2B200C98"/>
    <w:rsid w:val="2B271311"/>
    <w:rsid w:val="2B284D44"/>
    <w:rsid w:val="2B557953"/>
    <w:rsid w:val="2B5E2F2B"/>
    <w:rsid w:val="2B704CAF"/>
    <w:rsid w:val="2B861BC3"/>
    <w:rsid w:val="2B937349"/>
    <w:rsid w:val="2B9C7EEA"/>
    <w:rsid w:val="2BA936A8"/>
    <w:rsid w:val="2BD5567E"/>
    <w:rsid w:val="2BDF617E"/>
    <w:rsid w:val="2BE5650B"/>
    <w:rsid w:val="2BEA7371"/>
    <w:rsid w:val="2BFC3EDF"/>
    <w:rsid w:val="2C050D87"/>
    <w:rsid w:val="2C091DB3"/>
    <w:rsid w:val="2C1B2173"/>
    <w:rsid w:val="2C315A5A"/>
    <w:rsid w:val="2C4B1C25"/>
    <w:rsid w:val="2C4D080C"/>
    <w:rsid w:val="2C4D17EE"/>
    <w:rsid w:val="2C4E5E17"/>
    <w:rsid w:val="2C695F59"/>
    <w:rsid w:val="2C6A341B"/>
    <w:rsid w:val="2C8F31F9"/>
    <w:rsid w:val="2C8F7FFF"/>
    <w:rsid w:val="2C9C5AD8"/>
    <w:rsid w:val="2CA857E6"/>
    <w:rsid w:val="2CAE1B1C"/>
    <w:rsid w:val="2CB6557A"/>
    <w:rsid w:val="2CBB0275"/>
    <w:rsid w:val="2CBD4A23"/>
    <w:rsid w:val="2CDD3B24"/>
    <w:rsid w:val="2CEB7369"/>
    <w:rsid w:val="2CF81ADB"/>
    <w:rsid w:val="2CFE14C3"/>
    <w:rsid w:val="2D0340F0"/>
    <w:rsid w:val="2D156024"/>
    <w:rsid w:val="2D272443"/>
    <w:rsid w:val="2D2E5D15"/>
    <w:rsid w:val="2D2F5390"/>
    <w:rsid w:val="2D362587"/>
    <w:rsid w:val="2D41431C"/>
    <w:rsid w:val="2D527AC1"/>
    <w:rsid w:val="2D572FF3"/>
    <w:rsid w:val="2D5837D5"/>
    <w:rsid w:val="2D6F45DB"/>
    <w:rsid w:val="2D7029AC"/>
    <w:rsid w:val="2D7A36C1"/>
    <w:rsid w:val="2D7E17B7"/>
    <w:rsid w:val="2D97504F"/>
    <w:rsid w:val="2D9E56F5"/>
    <w:rsid w:val="2DC72B01"/>
    <w:rsid w:val="2DCC49F2"/>
    <w:rsid w:val="2DD17EA3"/>
    <w:rsid w:val="2DD648DA"/>
    <w:rsid w:val="2DEF733C"/>
    <w:rsid w:val="2DF05D58"/>
    <w:rsid w:val="2DF51C6F"/>
    <w:rsid w:val="2DF62E59"/>
    <w:rsid w:val="2DF651F9"/>
    <w:rsid w:val="2DF655F8"/>
    <w:rsid w:val="2DFD7149"/>
    <w:rsid w:val="2E0379EC"/>
    <w:rsid w:val="2E2774E5"/>
    <w:rsid w:val="2E3075B0"/>
    <w:rsid w:val="2E393710"/>
    <w:rsid w:val="2E3D4F29"/>
    <w:rsid w:val="2E497DF1"/>
    <w:rsid w:val="2E4D1EA6"/>
    <w:rsid w:val="2E590824"/>
    <w:rsid w:val="2E644C2A"/>
    <w:rsid w:val="2E667F96"/>
    <w:rsid w:val="2E741D36"/>
    <w:rsid w:val="2E8226AB"/>
    <w:rsid w:val="2EA17CB1"/>
    <w:rsid w:val="2EAC5040"/>
    <w:rsid w:val="2EBD2BD9"/>
    <w:rsid w:val="2EC6022A"/>
    <w:rsid w:val="2ED65ADD"/>
    <w:rsid w:val="2ED81528"/>
    <w:rsid w:val="2EE42BD4"/>
    <w:rsid w:val="2EF4409E"/>
    <w:rsid w:val="2EF5471E"/>
    <w:rsid w:val="2F060479"/>
    <w:rsid w:val="2F194405"/>
    <w:rsid w:val="2F4A5323"/>
    <w:rsid w:val="2F4C2EF0"/>
    <w:rsid w:val="2F530C65"/>
    <w:rsid w:val="2F6B5A91"/>
    <w:rsid w:val="2F6C5006"/>
    <w:rsid w:val="2F6D1949"/>
    <w:rsid w:val="2F6D7B0F"/>
    <w:rsid w:val="2F6D7C8A"/>
    <w:rsid w:val="2F702C86"/>
    <w:rsid w:val="2F826F25"/>
    <w:rsid w:val="2F9668B7"/>
    <w:rsid w:val="2F9B290C"/>
    <w:rsid w:val="2FA42BED"/>
    <w:rsid w:val="2FB55AB4"/>
    <w:rsid w:val="2FB76626"/>
    <w:rsid w:val="2FD065E6"/>
    <w:rsid w:val="2FD96870"/>
    <w:rsid w:val="2FF83A39"/>
    <w:rsid w:val="2FFA3CC8"/>
    <w:rsid w:val="2FFD0E93"/>
    <w:rsid w:val="301161D9"/>
    <w:rsid w:val="30157776"/>
    <w:rsid w:val="303348B4"/>
    <w:rsid w:val="303E3B81"/>
    <w:rsid w:val="304209D1"/>
    <w:rsid w:val="30580BC9"/>
    <w:rsid w:val="305A3B9E"/>
    <w:rsid w:val="305A5693"/>
    <w:rsid w:val="3070755D"/>
    <w:rsid w:val="307D7908"/>
    <w:rsid w:val="30815A6C"/>
    <w:rsid w:val="308A2F3D"/>
    <w:rsid w:val="30AA5D9A"/>
    <w:rsid w:val="30AE04B0"/>
    <w:rsid w:val="30CA61C8"/>
    <w:rsid w:val="30DD4287"/>
    <w:rsid w:val="30E03D81"/>
    <w:rsid w:val="30FB06DC"/>
    <w:rsid w:val="30FD094C"/>
    <w:rsid w:val="30FD1689"/>
    <w:rsid w:val="31134209"/>
    <w:rsid w:val="31197F4E"/>
    <w:rsid w:val="311D1194"/>
    <w:rsid w:val="311E2ED7"/>
    <w:rsid w:val="31293256"/>
    <w:rsid w:val="31330D48"/>
    <w:rsid w:val="31471D7E"/>
    <w:rsid w:val="315118EE"/>
    <w:rsid w:val="31555405"/>
    <w:rsid w:val="315619EE"/>
    <w:rsid w:val="31572874"/>
    <w:rsid w:val="315C449C"/>
    <w:rsid w:val="315E605F"/>
    <w:rsid w:val="315F5AF9"/>
    <w:rsid w:val="31616787"/>
    <w:rsid w:val="316312C2"/>
    <w:rsid w:val="3163299D"/>
    <w:rsid w:val="316C7BDA"/>
    <w:rsid w:val="316F5B66"/>
    <w:rsid w:val="317079AD"/>
    <w:rsid w:val="317B71DA"/>
    <w:rsid w:val="319B350C"/>
    <w:rsid w:val="31A851F8"/>
    <w:rsid w:val="31B82709"/>
    <w:rsid w:val="31BE0AF5"/>
    <w:rsid w:val="31D05482"/>
    <w:rsid w:val="31E90D1D"/>
    <w:rsid w:val="31EE6DFB"/>
    <w:rsid w:val="32012284"/>
    <w:rsid w:val="32110481"/>
    <w:rsid w:val="321F40A0"/>
    <w:rsid w:val="322050B2"/>
    <w:rsid w:val="32400B34"/>
    <w:rsid w:val="32790A5D"/>
    <w:rsid w:val="32796827"/>
    <w:rsid w:val="327B4074"/>
    <w:rsid w:val="328F5FEE"/>
    <w:rsid w:val="329718E7"/>
    <w:rsid w:val="32983E21"/>
    <w:rsid w:val="329E4DE0"/>
    <w:rsid w:val="329E6876"/>
    <w:rsid w:val="32CC462F"/>
    <w:rsid w:val="32CC6934"/>
    <w:rsid w:val="32D7786F"/>
    <w:rsid w:val="32EB02F4"/>
    <w:rsid w:val="32F05708"/>
    <w:rsid w:val="32FE5D4D"/>
    <w:rsid w:val="32FE7317"/>
    <w:rsid w:val="330132A5"/>
    <w:rsid w:val="33072028"/>
    <w:rsid w:val="330963CB"/>
    <w:rsid w:val="331035D3"/>
    <w:rsid w:val="333015F2"/>
    <w:rsid w:val="3332461E"/>
    <w:rsid w:val="334B6320"/>
    <w:rsid w:val="334C40DF"/>
    <w:rsid w:val="336C1F3A"/>
    <w:rsid w:val="33703CDA"/>
    <w:rsid w:val="337B284F"/>
    <w:rsid w:val="33837901"/>
    <w:rsid w:val="338463F6"/>
    <w:rsid w:val="33846E9E"/>
    <w:rsid w:val="338B433A"/>
    <w:rsid w:val="339266FB"/>
    <w:rsid w:val="33952620"/>
    <w:rsid w:val="33A32884"/>
    <w:rsid w:val="33A34B8A"/>
    <w:rsid w:val="33BF105B"/>
    <w:rsid w:val="33D143D8"/>
    <w:rsid w:val="33D934D4"/>
    <w:rsid w:val="33E30E96"/>
    <w:rsid w:val="33E617F3"/>
    <w:rsid w:val="33E82E50"/>
    <w:rsid w:val="33EA777B"/>
    <w:rsid w:val="33F22815"/>
    <w:rsid w:val="33F90A04"/>
    <w:rsid w:val="33FE2F6A"/>
    <w:rsid w:val="340E07E5"/>
    <w:rsid w:val="34235BF7"/>
    <w:rsid w:val="3431749E"/>
    <w:rsid w:val="34424024"/>
    <w:rsid w:val="34437E2E"/>
    <w:rsid w:val="344B435E"/>
    <w:rsid w:val="34681C50"/>
    <w:rsid w:val="347671FB"/>
    <w:rsid w:val="347E1584"/>
    <w:rsid w:val="348C733A"/>
    <w:rsid w:val="34957A6F"/>
    <w:rsid w:val="34A11040"/>
    <w:rsid w:val="34BA4369"/>
    <w:rsid w:val="34C32607"/>
    <w:rsid w:val="34C44675"/>
    <w:rsid w:val="34CD4337"/>
    <w:rsid w:val="34D00BEC"/>
    <w:rsid w:val="34D922F9"/>
    <w:rsid w:val="34EE245A"/>
    <w:rsid w:val="34EE6478"/>
    <w:rsid w:val="34FA3E43"/>
    <w:rsid w:val="351153E0"/>
    <w:rsid w:val="35154780"/>
    <w:rsid w:val="351572CF"/>
    <w:rsid w:val="351E7DA1"/>
    <w:rsid w:val="351F2807"/>
    <w:rsid w:val="351F3765"/>
    <w:rsid w:val="35285C1B"/>
    <w:rsid w:val="353367CB"/>
    <w:rsid w:val="354031E1"/>
    <w:rsid w:val="3542664F"/>
    <w:rsid w:val="35537596"/>
    <w:rsid w:val="3557791D"/>
    <w:rsid w:val="357228A9"/>
    <w:rsid w:val="357339A5"/>
    <w:rsid w:val="358C5FA8"/>
    <w:rsid w:val="359D374B"/>
    <w:rsid w:val="35A84650"/>
    <w:rsid w:val="35BA451C"/>
    <w:rsid w:val="35C15DF1"/>
    <w:rsid w:val="35C50CA5"/>
    <w:rsid w:val="35D86614"/>
    <w:rsid w:val="35DD7EF8"/>
    <w:rsid w:val="35DE7A8F"/>
    <w:rsid w:val="35E70DD6"/>
    <w:rsid w:val="35EF7E88"/>
    <w:rsid w:val="35F87A38"/>
    <w:rsid w:val="36074A7F"/>
    <w:rsid w:val="360B1D2E"/>
    <w:rsid w:val="36154A5C"/>
    <w:rsid w:val="361F3508"/>
    <w:rsid w:val="3621117D"/>
    <w:rsid w:val="362F491D"/>
    <w:rsid w:val="364542F2"/>
    <w:rsid w:val="3650740C"/>
    <w:rsid w:val="36533AF4"/>
    <w:rsid w:val="367340A3"/>
    <w:rsid w:val="367B7945"/>
    <w:rsid w:val="368C2A32"/>
    <w:rsid w:val="368F656A"/>
    <w:rsid w:val="36923549"/>
    <w:rsid w:val="369D173A"/>
    <w:rsid w:val="36A31A30"/>
    <w:rsid w:val="36AE3FCA"/>
    <w:rsid w:val="36B22DC6"/>
    <w:rsid w:val="36B4392C"/>
    <w:rsid w:val="36B75FBF"/>
    <w:rsid w:val="36BD0C45"/>
    <w:rsid w:val="36C5214A"/>
    <w:rsid w:val="36D12F16"/>
    <w:rsid w:val="36D44054"/>
    <w:rsid w:val="36D667FF"/>
    <w:rsid w:val="36D952B3"/>
    <w:rsid w:val="36DA4E59"/>
    <w:rsid w:val="371615B1"/>
    <w:rsid w:val="37196081"/>
    <w:rsid w:val="37233C8C"/>
    <w:rsid w:val="37244DCF"/>
    <w:rsid w:val="3734560D"/>
    <w:rsid w:val="374D5318"/>
    <w:rsid w:val="375B45D8"/>
    <w:rsid w:val="3766420F"/>
    <w:rsid w:val="376A1BE6"/>
    <w:rsid w:val="376A53EB"/>
    <w:rsid w:val="376E08C8"/>
    <w:rsid w:val="3783025E"/>
    <w:rsid w:val="37914063"/>
    <w:rsid w:val="379D09CD"/>
    <w:rsid w:val="37A17A30"/>
    <w:rsid w:val="37B45DA2"/>
    <w:rsid w:val="37B57919"/>
    <w:rsid w:val="37B6496A"/>
    <w:rsid w:val="37B74336"/>
    <w:rsid w:val="37BF5E0D"/>
    <w:rsid w:val="37C254A6"/>
    <w:rsid w:val="37E00298"/>
    <w:rsid w:val="37E24971"/>
    <w:rsid w:val="37EE2B74"/>
    <w:rsid w:val="37F924EA"/>
    <w:rsid w:val="37FD67AF"/>
    <w:rsid w:val="37FE61DE"/>
    <w:rsid w:val="38055D41"/>
    <w:rsid w:val="380B7454"/>
    <w:rsid w:val="38191A0F"/>
    <w:rsid w:val="381B7B44"/>
    <w:rsid w:val="38233987"/>
    <w:rsid w:val="382E6581"/>
    <w:rsid w:val="38361D70"/>
    <w:rsid w:val="3839615A"/>
    <w:rsid w:val="38540161"/>
    <w:rsid w:val="38610BBF"/>
    <w:rsid w:val="386460FE"/>
    <w:rsid w:val="38A96865"/>
    <w:rsid w:val="38AE0699"/>
    <w:rsid w:val="38B302F9"/>
    <w:rsid w:val="38BD2967"/>
    <w:rsid w:val="38CA6C4D"/>
    <w:rsid w:val="38E32A2B"/>
    <w:rsid w:val="38F12CD3"/>
    <w:rsid w:val="38F94775"/>
    <w:rsid w:val="38F971BE"/>
    <w:rsid w:val="390250BB"/>
    <w:rsid w:val="390F3487"/>
    <w:rsid w:val="39116BEE"/>
    <w:rsid w:val="391A7775"/>
    <w:rsid w:val="392971ED"/>
    <w:rsid w:val="392F45FD"/>
    <w:rsid w:val="39325651"/>
    <w:rsid w:val="3942293E"/>
    <w:rsid w:val="395E3CAB"/>
    <w:rsid w:val="39712055"/>
    <w:rsid w:val="39717914"/>
    <w:rsid w:val="39784BA9"/>
    <w:rsid w:val="3996193A"/>
    <w:rsid w:val="399B6ED0"/>
    <w:rsid w:val="399F35FB"/>
    <w:rsid w:val="39A75A1A"/>
    <w:rsid w:val="39BC7510"/>
    <w:rsid w:val="39D845CC"/>
    <w:rsid w:val="39DE2D6D"/>
    <w:rsid w:val="39E17933"/>
    <w:rsid w:val="39E76710"/>
    <w:rsid w:val="39EC3904"/>
    <w:rsid w:val="39FE23D7"/>
    <w:rsid w:val="3A181EA8"/>
    <w:rsid w:val="3A2548C6"/>
    <w:rsid w:val="3A266515"/>
    <w:rsid w:val="3A2853BF"/>
    <w:rsid w:val="3A387D71"/>
    <w:rsid w:val="3A3B275E"/>
    <w:rsid w:val="3A4E02D2"/>
    <w:rsid w:val="3A60067E"/>
    <w:rsid w:val="3A7B2971"/>
    <w:rsid w:val="3A7E348D"/>
    <w:rsid w:val="3A7F7420"/>
    <w:rsid w:val="3A872856"/>
    <w:rsid w:val="3A8C139F"/>
    <w:rsid w:val="3A8C60D4"/>
    <w:rsid w:val="3A8F37FB"/>
    <w:rsid w:val="3A9129E4"/>
    <w:rsid w:val="3A961814"/>
    <w:rsid w:val="3A97110D"/>
    <w:rsid w:val="3A9C399E"/>
    <w:rsid w:val="3A9D56E6"/>
    <w:rsid w:val="3AB3779B"/>
    <w:rsid w:val="3AC77B94"/>
    <w:rsid w:val="3ACB5091"/>
    <w:rsid w:val="3ACB7F34"/>
    <w:rsid w:val="3AE4372D"/>
    <w:rsid w:val="3AF638CB"/>
    <w:rsid w:val="3AFC7BC6"/>
    <w:rsid w:val="3AFD3C27"/>
    <w:rsid w:val="3AFE0DDB"/>
    <w:rsid w:val="3B1034AE"/>
    <w:rsid w:val="3B1A3ABC"/>
    <w:rsid w:val="3B1C276F"/>
    <w:rsid w:val="3B2743D0"/>
    <w:rsid w:val="3B361EE7"/>
    <w:rsid w:val="3B3763D1"/>
    <w:rsid w:val="3B3F390B"/>
    <w:rsid w:val="3B425E7B"/>
    <w:rsid w:val="3B446989"/>
    <w:rsid w:val="3B4509B3"/>
    <w:rsid w:val="3B562BB2"/>
    <w:rsid w:val="3B6175DA"/>
    <w:rsid w:val="3B753225"/>
    <w:rsid w:val="3B780EFD"/>
    <w:rsid w:val="3B7B5B49"/>
    <w:rsid w:val="3B7F2ECF"/>
    <w:rsid w:val="3B800BCA"/>
    <w:rsid w:val="3BA36801"/>
    <w:rsid w:val="3BA93B77"/>
    <w:rsid w:val="3BB709E4"/>
    <w:rsid w:val="3BCD033F"/>
    <w:rsid w:val="3BE32C73"/>
    <w:rsid w:val="3BE3744B"/>
    <w:rsid w:val="3BE64537"/>
    <w:rsid w:val="3BED4272"/>
    <w:rsid w:val="3C003629"/>
    <w:rsid w:val="3C0456C9"/>
    <w:rsid w:val="3C096E72"/>
    <w:rsid w:val="3C2F6E1E"/>
    <w:rsid w:val="3C330441"/>
    <w:rsid w:val="3C4A6BE9"/>
    <w:rsid w:val="3C4F64BA"/>
    <w:rsid w:val="3C5C0FE2"/>
    <w:rsid w:val="3C5C5193"/>
    <w:rsid w:val="3C6E4F34"/>
    <w:rsid w:val="3C97635D"/>
    <w:rsid w:val="3C9A5548"/>
    <w:rsid w:val="3C9D0409"/>
    <w:rsid w:val="3C9E674D"/>
    <w:rsid w:val="3CA419F5"/>
    <w:rsid w:val="3CAF55E4"/>
    <w:rsid w:val="3CC83639"/>
    <w:rsid w:val="3CD86782"/>
    <w:rsid w:val="3CDA245A"/>
    <w:rsid w:val="3D0E0A21"/>
    <w:rsid w:val="3D1E06B7"/>
    <w:rsid w:val="3D22745D"/>
    <w:rsid w:val="3D3103FD"/>
    <w:rsid w:val="3D3A0B47"/>
    <w:rsid w:val="3D3C5B75"/>
    <w:rsid w:val="3D3E7B37"/>
    <w:rsid w:val="3D4314E2"/>
    <w:rsid w:val="3D516E6F"/>
    <w:rsid w:val="3D541879"/>
    <w:rsid w:val="3D5933AC"/>
    <w:rsid w:val="3D6F3551"/>
    <w:rsid w:val="3D793EF7"/>
    <w:rsid w:val="3D8210AE"/>
    <w:rsid w:val="3D8707E4"/>
    <w:rsid w:val="3D960154"/>
    <w:rsid w:val="3DB56CA6"/>
    <w:rsid w:val="3DBA4867"/>
    <w:rsid w:val="3DC94178"/>
    <w:rsid w:val="3DDA4356"/>
    <w:rsid w:val="3DFB4AD5"/>
    <w:rsid w:val="3DFE739D"/>
    <w:rsid w:val="3E0D2D58"/>
    <w:rsid w:val="3E1366F6"/>
    <w:rsid w:val="3E3034A6"/>
    <w:rsid w:val="3E3F1772"/>
    <w:rsid w:val="3E4011FA"/>
    <w:rsid w:val="3E434956"/>
    <w:rsid w:val="3E451749"/>
    <w:rsid w:val="3E466819"/>
    <w:rsid w:val="3E494105"/>
    <w:rsid w:val="3E4C353E"/>
    <w:rsid w:val="3E55380D"/>
    <w:rsid w:val="3E5B3174"/>
    <w:rsid w:val="3E5C2C96"/>
    <w:rsid w:val="3E647592"/>
    <w:rsid w:val="3E693DB3"/>
    <w:rsid w:val="3E8F11FC"/>
    <w:rsid w:val="3EBE6F89"/>
    <w:rsid w:val="3ED903DC"/>
    <w:rsid w:val="3EDA0523"/>
    <w:rsid w:val="3EDF2DE4"/>
    <w:rsid w:val="3EEC6EDB"/>
    <w:rsid w:val="3EED6A1B"/>
    <w:rsid w:val="3EEE3AAF"/>
    <w:rsid w:val="3EF522CE"/>
    <w:rsid w:val="3F1E4A83"/>
    <w:rsid w:val="3F274DF2"/>
    <w:rsid w:val="3F317B16"/>
    <w:rsid w:val="3F3B25E2"/>
    <w:rsid w:val="3F3D0D0D"/>
    <w:rsid w:val="3F4A59E1"/>
    <w:rsid w:val="3F513FD3"/>
    <w:rsid w:val="3F51696A"/>
    <w:rsid w:val="3F520261"/>
    <w:rsid w:val="3F5B2E3D"/>
    <w:rsid w:val="3F653E87"/>
    <w:rsid w:val="3F686F54"/>
    <w:rsid w:val="3F6E3FAD"/>
    <w:rsid w:val="3F7745E8"/>
    <w:rsid w:val="3FA330D9"/>
    <w:rsid w:val="3FA61FB9"/>
    <w:rsid w:val="3FA71EB4"/>
    <w:rsid w:val="3FA94406"/>
    <w:rsid w:val="3FAC63F6"/>
    <w:rsid w:val="3FB30946"/>
    <w:rsid w:val="3FB47094"/>
    <w:rsid w:val="3FB97D26"/>
    <w:rsid w:val="3FBB78B9"/>
    <w:rsid w:val="3FC15BBD"/>
    <w:rsid w:val="3FC77C4D"/>
    <w:rsid w:val="3FC86200"/>
    <w:rsid w:val="3FD35EDE"/>
    <w:rsid w:val="3FDB282E"/>
    <w:rsid w:val="3FE6385B"/>
    <w:rsid w:val="3FF00AE9"/>
    <w:rsid w:val="400022D9"/>
    <w:rsid w:val="40017525"/>
    <w:rsid w:val="4012241B"/>
    <w:rsid w:val="401C75C7"/>
    <w:rsid w:val="4020260C"/>
    <w:rsid w:val="4022124D"/>
    <w:rsid w:val="403D0465"/>
    <w:rsid w:val="40436F93"/>
    <w:rsid w:val="404D256C"/>
    <w:rsid w:val="40591E69"/>
    <w:rsid w:val="4072127D"/>
    <w:rsid w:val="407A6407"/>
    <w:rsid w:val="408C6543"/>
    <w:rsid w:val="40A25F12"/>
    <w:rsid w:val="40B16CC0"/>
    <w:rsid w:val="40C057A2"/>
    <w:rsid w:val="40C702FD"/>
    <w:rsid w:val="40DA0DA2"/>
    <w:rsid w:val="40E13383"/>
    <w:rsid w:val="40EC5302"/>
    <w:rsid w:val="41074A12"/>
    <w:rsid w:val="411970AA"/>
    <w:rsid w:val="412575B7"/>
    <w:rsid w:val="412F395A"/>
    <w:rsid w:val="412F3DDF"/>
    <w:rsid w:val="413B2AA8"/>
    <w:rsid w:val="413B2F30"/>
    <w:rsid w:val="415A53A6"/>
    <w:rsid w:val="41636E48"/>
    <w:rsid w:val="41827509"/>
    <w:rsid w:val="418C4586"/>
    <w:rsid w:val="41903693"/>
    <w:rsid w:val="41AA6A78"/>
    <w:rsid w:val="41B00CCA"/>
    <w:rsid w:val="41B027EB"/>
    <w:rsid w:val="41B16CFF"/>
    <w:rsid w:val="41C160BB"/>
    <w:rsid w:val="41C55BF6"/>
    <w:rsid w:val="41F67D28"/>
    <w:rsid w:val="41FF08E6"/>
    <w:rsid w:val="4200449D"/>
    <w:rsid w:val="420A3160"/>
    <w:rsid w:val="4212697B"/>
    <w:rsid w:val="423154AA"/>
    <w:rsid w:val="423A3BCC"/>
    <w:rsid w:val="423C5459"/>
    <w:rsid w:val="423F530E"/>
    <w:rsid w:val="424E54EE"/>
    <w:rsid w:val="424E57D2"/>
    <w:rsid w:val="425A2175"/>
    <w:rsid w:val="4269773F"/>
    <w:rsid w:val="427020E0"/>
    <w:rsid w:val="42933833"/>
    <w:rsid w:val="42B26C49"/>
    <w:rsid w:val="42B575AC"/>
    <w:rsid w:val="42BF1F51"/>
    <w:rsid w:val="42C1479E"/>
    <w:rsid w:val="42D67331"/>
    <w:rsid w:val="42F03287"/>
    <w:rsid w:val="42F14BFF"/>
    <w:rsid w:val="43045AF0"/>
    <w:rsid w:val="431B67F0"/>
    <w:rsid w:val="432B3360"/>
    <w:rsid w:val="432D2E99"/>
    <w:rsid w:val="433A6FE6"/>
    <w:rsid w:val="433F7E49"/>
    <w:rsid w:val="43480868"/>
    <w:rsid w:val="434F5A51"/>
    <w:rsid w:val="4350713C"/>
    <w:rsid w:val="43552B57"/>
    <w:rsid w:val="436037BB"/>
    <w:rsid w:val="4363491A"/>
    <w:rsid w:val="436620AE"/>
    <w:rsid w:val="436653E0"/>
    <w:rsid w:val="436E4F7B"/>
    <w:rsid w:val="437C483E"/>
    <w:rsid w:val="4388020A"/>
    <w:rsid w:val="43973328"/>
    <w:rsid w:val="43A16AE4"/>
    <w:rsid w:val="43A318F9"/>
    <w:rsid w:val="43AA4D46"/>
    <w:rsid w:val="43C309E0"/>
    <w:rsid w:val="43C43AA8"/>
    <w:rsid w:val="43C4431A"/>
    <w:rsid w:val="43DD4E0B"/>
    <w:rsid w:val="43DD5F52"/>
    <w:rsid w:val="43F40FF3"/>
    <w:rsid w:val="43F42668"/>
    <w:rsid w:val="44105EA3"/>
    <w:rsid w:val="441D69C7"/>
    <w:rsid w:val="44375309"/>
    <w:rsid w:val="444116D6"/>
    <w:rsid w:val="44447E4B"/>
    <w:rsid w:val="44464BE4"/>
    <w:rsid w:val="444B0F12"/>
    <w:rsid w:val="445B5EF7"/>
    <w:rsid w:val="445C0823"/>
    <w:rsid w:val="44603ECA"/>
    <w:rsid w:val="446323BD"/>
    <w:rsid w:val="446E5122"/>
    <w:rsid w:val="44705A0A"/>
    <w:rsid w:val="44730BFC"/>
    <w:rsid w:val="447A0815"/>
    <w:rsid w:val="447C2C33"/>
    <w:rsid w:val="44891BAE"/>
    <w:rsid w:val="44B303B4"/>
    <w:rsid w:val="44B64F67"/>
    <w:rsid w:val="44B951CC"/>
    <w:rsid w:val="44C10375"/>
    <w:rsid w:val="44C50800"/>
    <w:rsid w:val="44CD14E0"/>
    <w:rsid w:val="44CE52DD"/>
    <w:rsid w:val="44F20B0B"/>
    <w:rsid w:val="44F93EC7"/>
    <w:rsid w:val="44FB022F"/>
    <w:rsid w:val="4511583E"/>
    <w:rsid w:val="45126858"/>
    <w:rsid w:val="45126AFA"/>
    <w:rsid w:val="45146CA3"/>
    <w:rsid w:val="451B5AFC"/>
    <w:rsid w:val="452C56B4"/>
    <w:rsid w:val="452E5F4C"/>
    <w:rsid w:val="453C76CF"/>
    <w:rsid w:val="454071F0"/>
    <w:rsid w:val="45407F1D"/>
    <w:rsid w:val="45454D26"/>
    <w:rsid w:val="45472C81"/>
    <w:rsid w:val="45475CFB"/>
    <w:rsid w:val="45612018"/>
    <w:rsid w:val="45667082"/>
    <w:rsid w:val="456F5640"/>
    <w:rsid w:val="457762D5"/>
    <w:rsid w:val="457A57E5"/>
    <w:rsid w:val="45884245"/>
    <w:rsid w:val="458946E9"/>
    <w:rsid w:val="45A47C0E"/>
    <w:rsid w:val="45A87B1F"/>
    <w:rsid w:val="45AC3281"/>
    <w:rsid w:val="45B768BA"/>
    <w:rsid w:val="45CE29A9"/>
    <w:rsid w:val="45D05B61"/>
    <w:rsid w:val="45E24B04"/>
    <w:rsid w:val="45E60FE7"/>
    <w:rsid w:val="45E73543"/>
    <w:rsid w:val="45F15C30"/>
    <w:rsid w:val="45F655D6"/>
    <w:rsid w:val="46177C02"/>
    <w:rsid w:val="462C7401"/>
    <w:rsid w:val="463072A0"/>
    <w:rsid w:val="4636307D"/>
    <w:rsid w:val="4640380C"/>
    <w:rsid w:val="46446CA8"/>
    <w:rsid w:val="46501304"/>
    <w:rsid w:val="46577FD6"/>
    <w:rsid w:val="46583281"/>
    <w:rsid w:val="465D6AE2"/>
    <w:rsid w:val="46690B91"/>
    <w:rsid w:val="466E74EC"/>
    <w:rsid w:val="468C48C7"/>
    <w:rsid w:val="468F720F"/>
    <w:rsid w:val="46A47C7E"/>
    <w:rsid w:val="46AA42BA"/>
    <w:rsid w:val="46B67948"/>
    <w:rsid w:val="46BD246D"/>
    <w:rsid w:val="46C07016"/>
    <w:rsid w:val="46C7617A"/>
    <w:rsid w:val="46CB63CF"/>
    <w:rsid w:val="46D955A7"/>
    <w:rsid w:val="46DB33FC"/>
    <w:rsid w:val="46DF1538"/>
    <w:rsid w:val="46EA05E3"/>
    <w:rsid w:val="46FF0237"/>
    <w:rsid w:val="470C1E43"/>
    <w:rsid w:val="470F54E9"/>
    <w:rsid w:val="47133957"/>
    <w:rsid w:val="47142380"/>
    <w:rsid w:val="471827CF"/>
    <w:rsid w:val="47261E25"/>
    <w:rsid w:val="47282CAB"/>
    <w:rsid w:val="47290E32"/>
    <w:rsid w:val="472E2F12"/>
    <w:rsid w:val="47414F5A"/>
    <w:rsid w:val="474D57BD"/>
    <w:rsid w:val="476B553B"/>
    <w:rsid w:val="47700805"/>
    <w:rsid w:val="47A07E0C"/>
    <w:rsid w:val="47A21BCB"/>
    <w:rsid w:val="47AD1D94"/>
    <w:rsid w:val="47BE28FC"/>
    <w:rsid w:val="47C5790E"/>
    <w:rsid w:val="47CD5577"/>
    <w:rsid w:val="47D2002E"/>
    <w:rsid w:val="47D21CD5"/>
    <w:rsid w:val="47D34679"/>
    <w:rsid w:val="47DF3C3C"/>
    <w:rsid w:val="47EA40EA"/>
    <w:rsid w:val="47ED75E7"/>
    <w:rsid w:val="47F05C1A"/>
    <w:rsid w:val="47F6208A"/>
    <w:rsid w:val="48036C45"/>
    <w:rsid w:val="48043530"/>
    <w:rsid w:val="48263B99"/>
    <w:rsid w:val="482956BD"/>
    <w:rsid w:val="482F1D57"/>
    <w:rsid w:val="48327180"/>
    <w:rsid w:val="483C5684"/>
    <w:rsid w:val="484127C0"/>
    <w:rsid w:val="4843590A"/>
    <w:rsid w:val="484E67AC"/>
    <w:rsid w:val="486179AB"/>
    <w:rsid w:val="48682955"/>
    <w:rsid w:val="4870272E"/>
    <w:rsid w:val="48703314"/>
    <w:rsid w:val="48752DDD"/>
    <w:rsid w:val="48770B34"/>
    <w:rsid w:val="48887E14"/>
    <w:rsid w:val="488E20A8"/>
    <w:rsid w:val="48A347B0"/>
    <w:rsid w:val="48AE7233"/>
    <w:rsid w:val="48DD58AD"/>
    <w:rsid w:val="48E058A4"/>
    <w:rsid w:val="48EE7D0B"/>
    <w:rsid w:val="48F900F0"/>
    <w:rsid w:val="48FB64BA"/>
    <w:rsid w:val="48FF089A"/>
    <w:rsid w:val="49171482"/>
    <w:rsid w:val="49202576"/>
    <w:rsid w:val="49205CB0"/>
    <w:rsid w:val="492C4AC1"/>
    <w:rsid w:val="492D48EC"/>
    <w:rsid w:val="4936448C"/>
    <w:rsid w:val="49463F40"/>
    <w:rsid w:val="494B0580"/>
    <w:rsid w:val="494F470A"/>
    <w:rsid w:val="495E7A53"/>
    <w:rsid w:val="49610A1C"/>
    <w:rsid w:val="496B4CFB"/>
    <w:rsid w:val="496E3375"/>
    <w:rsid w:val="49724D8A"/>
    <w:rsid w:val="49790293"/>
    <w:rsid w:val="49871E0C"/>
    <w:rsid w:val="498A6091"/>
    <w:rsid w:val="49923DA6"/>
    <w:rsid w:val="49B33717"/>
    <w:rsid w:val="49B846CB"/>
    <w:rsid w:val="49D9309B"/>
    <w:rsid w:val="49DC7715"/>
    <w:rsid w:val="49F86790"/>
    <w:rsid w:val="49FD6AB2"/>
    <w:rsid w:val="4A023139"/>
    <w:rsid w:val="4A0E0AAF"/>
    <w:rsid w:val="4A0E4047"/>
    <w:rsid w:val="4A104323"/>
    <w:rsid w:val="4A1422D6"/>
    <w:rsid w:val="4A1D432E"/>
    <w:rsid w:val="4A246BF9"/>
    <w:rsid w:val="4A2F12CB"/>
    <w:rsid w:val="4A312BCD"/>
    <w:rsid w:val="4A34658C"/>
    <w:rsid w:val="4A3B54DD"/>
    <w:rsid w:val="4A5373A8"/>
    <w:rsid w:val="4A5D0F91"/>
    <w:rsid w:val="4A713C16"/>
    <w:rsid w:val="4A7B576F"/>
    <w:rsid w:val="4A890635"/>
    <w:rsid w:val="4A8E1C63"/>
    <w:rsid w:val="4A9923D4"/>
    <w:rsid w:val="4A9D5CC9"/>
    <w:rsid w:val="4A9F17C4"/>
    <w:rsid w:val="4AA219D3"/>
    <w:rsid w:val="4AA850F8"/>
    <w:rsid w:val="4AAB15F4"/>
    <w:rsid w:val="4AB03085"/>
    <w:rsid w:val="4AB64E00"/>
    <w:rsid w:val="4ABA703C"/>
    <w:rsid w:val="4AC10EEE"/>
    <w:rsid w:val="4AC472C2"/>
    <w:rsid w:val="4AC77879"/>
    <w:rsid w:val="4AD537F1"/>
    <w:rsid w:val="4AE247D5"/>
    <w:rsid w:val="4AEB4590"/>
    <w:rsid w:val="4AF40C8C"/>
    <w:rsid w:val="4AF561A9"/>
    <w:rsid w:val="4AFC7811"/>
    <w:rsid w:val="4B304B51"/>
    <w:rsid w:val="4B392FB2"/>
    <w:rsid w:val="4B3A09DD"/>
    <w:rsid w:val="4B48523A"/>
    <w:rsid w:val="4B4C2BEF"/>
    <w:rsid w:val="4B594FFF"/>
    <w:rsid w:val="4B6073B7"/>
    <w:rsid w:val="4B7172C7"/>
    <w:rsid w:val="4B794291"/>
    <w:rsid w:val="4B837DA7"/>
    <w:rsid w:val="4BA16D4D"/>
    <w:rsid w:val="4BAA1BE2"/>
    <w:rsid w:val="4BAA3890"/>
    <w:rsid w:val="4BB91A1F"/>
    <w:rsid w:val="4BBB16D1"/>
    <w:rsid w:val="4BC0394E"/>
    <w:rsid w:val="4BCE6AC5"/>
    <w:rsid w:val="4BCF6F1E"/>
    <w:rsid w:val="4BE56089"/>
    <w:rsid w:val="4BE6283E"/>
    <w:rsid w:val="4BED1A98"/>
    <w:rsid w:val="4BF67FB4"/>
    <w:rsid w:val="4C012372"/>
    <w:rsid w:val="4C0536A2"/>
    <w:rsid w:val="4C0757F7"/>
    <w:rsid w:val="4C0D6036"/>
    <w:rsid w:val="4C105629"/>
    <w:rsid w:val="4C136DC2"/>
    <w:rsid w:val="4C211B05"/>
    <w:rsid w:val="4C211F55"/>
    <w:rsid w:val="4C234194"/>
    <w:rsid w:val="4C245A3B"/>
    <w:rsid w:val="4C2927B2"/>
    <w:rsid w:val="4C294C22"/>
    <w:rsid w:val="4C3228A5"/>
    <w:rsid w:val="4C3F20DF"/>
    <w:rsid w:val="4C40062D"/>
    <w:rsid w:val="4C4460A0"/>
    <w:rsid w:val="4C4A0649"/>
    <w:rsid w:val="4C5455B9"/>
    <w:rsid w:val="4C713D51"/>
    <w:rsid w:val="4C7E5ECA"/>
    <w:rsid w:val="4C876AA5"/>
    <w:rsid w:val="4C9A0CAB"/>
    <w:rsid w:val="4CB71DDD"/>
    <w:rsid w:val="4CBC484E"/>
    <w:rsid w:val="4CC8022E"/>
    <w:rsid w:val="4CCB1F1D"/>
    <w:rsid w:val="4CD15127"/>
    <w:rsid w:val="4CE12D46"/>
    <w:rsid w:val="4CE233FA"/>
    <w:rsid w:val="4CE3799B"/>
    <w:rsid w:val="4CEC26B7"/>
    <w:rsid w:val="4CF33298"/>
    <w:rsid w:val="4CFE5DF2"/>
    <w:rsid w:val="4D027527"/>
    <w:rsid w:val="4D0E00FB"/>
    <w:rsid w:val="4D176606"/>
    <w:rsid w:val="4D305177"/>
    <w:rsid w:val="4D356342"/>
    <w:rsid w:val="4D481A24"/>
    <w:rsid w:val="4D507A6A"/>
    <w:rsid w:val="4D690663"/>
    <w:rsid w:val="4D89741D"/>
    <w:rsid w:val="4DD24948"/>
    <w:rsid w:val="4DD9276E"/>
    <w:rsid w:val="4DD965C2"/>
    <w:rsid w:val="4DDA34C8"/>
    <w:rsid w:val="4DEC4FB0"/>
    <w:rsid w:val="4E027FE8"/>
    <w:rsid w:val="4E075D8A"/>
    <w:rsid w:val="4E0A2168"/>
    <w:rsid w:val="4E0B6C2B"/>
    <w:rsid w:val="4E2E4257"/>
    <w:rsid w:val="4E3B5269"/>
    <w:rsid w:val="4E474AEA"/>
    <w:rsid w:val="4E4E711F"/>
    <w:rsid w:val="4E552033"/>
    <w:rsid w:val="4E5802C3"/>
    <w:rsid w:val="4E6B3840"/>
    <w:rsid w:val="4E7547A6"/>
    <w:rsid w:val="4E81452A"/>
    <w:rsid w:val="4E861325"/>
    <w:rsid w:val="4E87611C"/>
    <w:rsid w:val="4E8C03B5"/>
    <w:rsid w:val="4EAF4F2B"/>
    <w:rsid w:val="4EB85C20"/>
    <w:rsid w:val="4EB86BA1"/>
    <w:rsid w:val="4EB95893"/>
    <w:rsid w:val="4EBE0DAC"/>
    <w:rsid w:val="4EC00FAD"/>
    <w:rsid w:val="4EE916B0"/>
    <w:rsid w:val="4EF65D03"/>
    <w:rsid w:val="4EF97638"/>
    <w:rsid w:val="4EFA2B5A"/>
    <w:rsid w:val="4EFE5C6F"/>
    <w:rsid w:val="4F092218"/>
    <w:rsid w:val="4F1E3541"/>
    <w:rsid w:val="4F22458E"/>
    <w:rsid w:val="4F234EFA"/>
    <w:rsid w:val="4F337FD5"/>
    <w:rsid w:val="4F340565"/>
    <w:rsid w:val="4F3555BB"/>
    <w:rsid w:val="4F6B06D0"/>
    <w:rsid w:val="4F6D70FC"/>
    <w:rsid w:val="4F7702D1"/>
    <w:rsid w:val="4F873DE4"/>
    <w:rsid w:val="4F876CB5"/>
    <w:rsid w:val="4F930A22"/>
    <w:rsid w:val="4F936FEF"/>
    <w:rsid w:val="4F9843DC"/>
    <w:rsid w:val="4F9A65A3"/>
    <w:rsid w:val="4FA677FB"/>
    <w:rsid w:val="4FA73B3B"/>
    <w:rsid w:val="4FB63301"/>
    <w:rsid w:val="4FC569FE"/>
    <w:rsid w:val="4FC62A8C"/>
    <w:rsid w:val="4FC91CCD"/>
    <w:rsid w:val="4FCB2E6F"/>
    <w:rsid w:val="4FD33B58"/>
    <w:rsid w:val="4FD51C3E"/>
    <w:rsid w:val="4FDD3FC0"/>
    <w:rsid w:val="4FE20F0D"/>
    <w:rsid w:val="4FE51552"/>
    <w:rsid w:val="4FF02C83"/>
    <w:rsid w:val="4FF80FCA"/>
    <w:rsid w:val="501F6657"/>
    <w:rsid w:val="50262F72"/>
    <w:rsid w:val="502A555D"/>
    <w:rsid w:val="5031309B"/>
    <w:rsid w:val="504537B0"/>
    <w:rsid w:val="50504C4B"/>
    <w:rsid w:val="5052092F"/>
    <w:rsid w:val="50596C6B"/>
    <w:rsid w:val="506348EA"/>
    <w:rsid w:val="507417D1"/>
    <w:rsid w:val="50780470"/>
    <w:rsid w:val="507E2A80"/>
    <w:rsid w:val="50822794"/>
    <w:rsid w:val="509532E5"/>
    <w:rsid w:val="509727E6"/>
    <w:rsid w:val="509C6E7C"/>
    <w:rsid w:val="50A4500D"/>
    <w:rsid w:val="50AB55B0"/>
    <w:rsid w:val="50AF07A1"/>
    <w:rsid w:val="50B45D32"/>
    <w:rsid w:val="50BC41E1"/>
    <w:rsid w:val="50C72E2A"/>
    <w:rsid w:val="50C77D41"/>
    <w:rsid w:val="50CC7199"/>
    <w:rsid w:val="50E559EC"/>
    <w:rsid w:val="50ED70CE"/>
    <w:rsid w:val="50F617C5"/>
    <w:rsid w:val="50FF12E0"/>
    <w:rsid w:val="510F4A72"/>
    <w:rsid w:val="51114346"/>
    <w:rsid w:val="51156A77"/>
    <w:rsid w:val="511E6345"/>
    <w:rsid w:val="51246FB0"/>
    <w:rsid w:val="51251809"/>
    <w:rsid w:val="512C55AF"/>
    <w:rsid w:val="514067BA"/>
    <w:rsid w:val="514F080D"/>
    <w:rsid w:val="51510229"/>
    <w:rsid w:val="5162104E"/>
    <w:rsid w:val="51631F6F"/>
    <w:rsid w:val="51860D0C"/>
    <w:rsid w:val="51891E31"/>
    <w:rsid w:val="51A152D4"/>
    <w:rsid w:val="51AA7034"/>
    <w:rsid w:val="51AE4142"/>
    <w:rsid w:val="51B90D2A"/>
    <w:rsid w:val="51BB775F"/>
    <w:rsid w:val="51C033A9"/>
    <w:rsid w:val="51CA59BD"/>
    <w:rsid w:val="51E703F6"/>
    <w:rsid w:val="51E8779D"/>
    <w:rsid w:val="51ED32A7"/>
    <w:rsid w:val="52053FBD"/>
    <w:rsid w:val="52054680"/>
    <w:rsid w:val="52093EE8"/>
    <w:rsid w:val="52185D5C"/>
    <w:rsid w:val="521C2F5D"/>
    <w:rsid w:val="522560A8"/>
    <w:rsid w:val="523A1DF2"/>
    <w:rsid w:val="52494C03"/>
    <w:rsid w:val="5257370D"/>
    <w:rsid w:val="526F79FC"/>
    <w:rsid w:val="52701DAE"/>
    <w:rsid w:val="527032EE"/>
    <w:rsid w:val="5275707F"/>
    <w:rsid w:val="52822868"/>
    <w:rsid w:val="528425ED"/>
    <w:rsid w:val="528D37FC"/>
    <w:rsid w:val="529A7EF7"/>
    <w:rsid w:val="52B47C23"/>
    <w:rsid w:val="52B538A5"/>
    <w:rsid w:val="52BB7530"/>
    <w:rsid w:val="52E25022"/>
    <w:rsid w:val="52EA12F3"/>
    <w:rsid w:val="52F50845"/>
    <w:rsid w:val="52FD1026"/>
    <w:rsid w:val="531964EA"/>
    <w:rsid w:val="532F147B"/>
    <w:rsid w:val="53342BC2"/>
    <w:rsid w:val="53401F7C"/>
    <w:rsid w:val="53415185"/>
    <w:rsid w:val="53511228"/>
    <w:rsid w:val="535552AC"/>
    <w:rsid w:val="53581E4E"/>
    <w:rsid w:val="53671AF5"/>
    <w:rsid w:val="536E59D1"/>
    <w:rsid w:val="53792CAA"/>
    <w:rsid w:val="538A0C69"/>
    <w:rsid w:val="538F7178"/>
    <w:rsid w:val="53955B7F"/>
    <w:rsid w:val="539A4FD0"/>
    <w:rsid w:val="539C07E0"/>
    <w:rsid w:val="53A039CC"/>
    <w:rsid w:val="53A1505A"/>
    <w:rsid w:val="53B07F0B"/>
    <w:rsid w:val="53C11B09"/>
    <w:rsid w:val="53C5247C"/>
    <w:rsid w:val="53CE40CB"/>
    <w:rsid w:val="53D71055"/>
    <w:rsid w:val="53EF553F"/>
    <w:rsid w:val="53FF0A0A"/>
    <w:rsid w:val="54063E08"/>
    <w:rsid w:val="54065CB8"/>
    <w:rsid w:val="54134879"/>
    <w:rsid w:val="54166292"/>
    <w:rsid w:val="54336F0B"/>
    <w:rsid w:val="543437E8"/>
    <w:rsid w:val="543D6241"/>
    <w:rsid w:val="543F4673"/>
    <w:rsid w:val="54423C90"/>
    <w:rsid w:val="54441746"/>
    <w:rsid w:val="544E2AC6"/>
    <w:rsid w:val="54657329"/>
    <w:rsid w:val="5467528D"/>
    <w:rsid w:val="546B3774"/>
    <w:rsid w:val="54726939"/>
    <w:rsid w:val="54811043"/>
    <w:rsid w:val="548272ED"/>
    <w:rsid w:val="54874762"/>
    <w:rsid w:val="548C58F1"/>
    <w:rsid w:val="548F3B7B"/>
    <w:rsid w:val="54943B5F"/>
    <w:rsid w:val="54A139B0"/>
    <w:rsid w:val="54A519AF"/>
    <w:rsid w:val="54A71BB4"/>
    <w:rsid w:val="54C613EE"/>
    <w:rsid w:val="54C82162"/>
    <w:rsid w:val="54E147A0"/>
    <w:rsid w:val="54F73313"/>
    <w:rsid w:val="54F80955"/>
    <w:rsid w:val="54F964E6"/>
    <w:rsid w:val="55035C16"/>
    <w:rsid w:val="550D5968"/>
    <w:rsid w:val="55106576"/>
    <w:rsid w:val="55207745"/>
    <w:rsid w:val="55236B4F"/>
    <w:rsid w:val="552C4ECB"/>
    <w:rsid w:val="553C0EAD"/>
    <w:rsid w:val="55475FB0"/>
    <w:rsid w:val="555170A7"/>
    <w:rsid w:val="556A7BE5"/>
    <w:rsid w:val="556C1424"/>
    <w:rsid w:val="557130E4"/>
    <w:rsid w:val="55713E74"/>
    <w:rsid w:val="557E6033"/>
    <w:rsid w:val="5587536D"/>
    <w:rsid w:val="5588647D"/>
    <w:rsid w:val="5599689D"/>
    <w:rsid w:val="559B174B"/>
    <w:rsid w:val="55A42908"/>
    <w:rsid w:val="55BA11AB"/>
    <w:rsid w:val="55C92DED"/>
    <w:rsid w:val="55CD60A3"/>
    <w:rsid w:val="55CE0CF4"/>
    <w:rsid w:val="55D34CF0"/>
    <w:rsid w:val="56056043"/>
    <w:rsid w:val="560C4AE1"/>
    <w:rsid w:val="561051FE"/>
    <w:rsid w:val="56153718"/>
    <w:rsid w:val="561D54E8"/>
    <w:rsid w:val="562B3BC2"/>
    <w:rsid w:val="563A392B"/>
    <w:rsid w:val="563C2915"/>
    <w:rsid w:val="5643347B"/>
    <w:rsid w:val="564954BE"/>
    <w:rsid w:val="564E7E88"/>
    <w:rsid w:val="565B5F06"/>
    <w:rsid w:val="567B6E8C"/>
    <w:rsid w:val="569940A6"/>
    <w:rsid w:val="56B22A9C"/>
    <w:rsid w:val="56C27CAE"/>
    <w:rsid w:val="56C46876"/>
    <w:rsid w:val="56CF05B0"/>
    <w:rsid w:val="56D50FF2"/>
    <w:rsid w:val="56D62DA6"/>
    <w:rsid w:val="57102768"/>
    <w:rsid w:val="571A12C8"/>
    <w:rsid w:val="571A313A"/>
    <w:rsid w:val="571A75C7"/>
    <w:rsid w:val="573057CC"/>
    <w:rsid w:val="57305EBC"/>
    <w:rsid w:val="57343E1C"/>
    <w:rsid w:val="573870A7"/>
    <w:rsid w:val="57516D23"/>
    <w:rsid w:val="57592AD7"/>
    <w:rsid w:val="576A65C3"/>
    <w:rsid w:val="57724E36"/>
    <w:rsid w:val="57B72A76"/>
    <w:rsid w:val="57C3426C"/>
    <w:rsid w:val="57C65052"/>
    <w:rsid w:val="57CE1F93"/>
    <w:rsid w:val="57CE5E9C"/>
    <w:rsid w:val="57DA05D2"/>
    <w:rsid w:val="57DE77CA"/>
    <w:rsid w:val="57F2565C"/>
    <w:rsid w:val="57F343CC"/>
    <w:rsid w:val="57FB0B32"/>
    <w:rsid w:val="580A1AEF"/>
    <w:rsid w:val="580A34E7"/>
    <w:rsid w:val="580A7A4F"/>
    <w:rsid w:val="581273A8"/>
    <w:rsid w:val="58330E30"/>
    <w:rsid w:val="58435C71"/>
    <w:rsid w:val="58573DCD"/>
    <w:rsid w:val="58675A8F"/>
    <w:rsid w:val="588743D1"/>
    <w:rsid w:val="5887701A"/>
    <w:rsid w:val="58A44797"/>
    <w:rsid w:val="58A7181D"/>
    <w:rsid w:val="58AE006E"/>
    <w:rsid w:val="58CA736E"/>
    <w:rsid w:val="58CE0BF8"/>
    <w:rsid w:val="58D00AFE"/>
    <w:rsid w:val="58F51AD0"/>
    <w:rsid w:val="590321B7"/>
    <w:rsid w:val="590919C8"/>
    <w:rsid w:val="590A276D"/>
    <w:rsid w:val="591244E8"/>
    <w:rsid w:val="591C33CB"/>
    <w:rsid w:val="593A161A"/>
    <w:rsid w:val="594B13E1"/>
    <w:rsid w:val="594B595B"/>
    <w:rsid w:val="59571FF0"/>
    <w:rsid w:val="595835CF"/>
    <w:rsid w:val="596C5919"/>
    <w:rsid w:val="59820F00"/>
    <w:rsid w:val="59895300"/>
    <w:rsid w:val="59977B2A"/>
    <w:rsid w:val="599E727B"/>
    <w:rsid w:val="599F4CC7"/>
    <w:rsid w:val="59B76FE1"/>
    <w:rsid w:val="59BD0E36"/>
    <w:rsid w:val="59BE78AA"/>
    <w:rsid w:val="59C0439F"/>
    <w:rsid w:val="59C41415"/>
    <w:rsid w:val="59C93441"/>
    <w:rsid w:val="59CC25AF"/>
    <w:rsid w:val="59D007BD"/>
    <w:rsid w:val="59D74C2F"/>
    <w:rsid w:val="59E8264B"/>
    <w:rsid w:val="59E920E5"/>
    <w:rsid w:val="59EF3361"/>
    <w:rsid w:val="59F16759"/>
    <w:rsid w:val="59F517CA"/>
    <w:rsid w:val="5A0A731D"/>
    <w:rsid w:val="5A156068"/>
    <w:rsid w:val="5A191F2D"/>
    <w:rsid w:val="5A4D158B"/>
    <w:rsid w:val="5A50796D"/>
    <w:rsid w:val="5A541E70"/>
    <w:rsid w:val="5A5858D4"/>
    <w:rsid w:val="5A5D38BA"/>
    <w:rsid w:val="5A6A6B73"/>
    <w:rsid w:val="5A837704"/>
    <w:rsid w:val="5A8C7595"/>
    <w:rsid w:val="5AAD0884"/>
    <w:rsid w:val="5AAF5FF5"/>
    <w:rsid w:val="5AB06916"/>
    <w:rsid w:val="5ABE2233"/>
    <w:rsid w:val="5AC21AD3"/>
    <w:rsid w:val="5B084CB5"/>
    <w:rsid w:val="5B0D0B31"/>
    <w:rsid w:val="5B406831"/>
    <w:rsid w:val="5B4C01AB"/>
    <w:rsid w:val="5B5D4E3E"/>
    <w:rsid w:val="5B625B68"/>
    <w:rsid w:val="5B661A68"/>
    <w:rsid w:val="5B732F2E"/>
    <w:rsid w:val="5B774F15"/>
    <w:rsid w:val="5B81701B"/>
    <w:rsid w:val="5B8775C6"/>
    <w:rsid w:val="5B991B08"/>
    <w:rsid w:val="5BA93D23"/>
    <w:rsid w:val="5BB578E4"/>
    <w:rsid w:val="5BB84DE8"/>
    <w:rsid w:val="5BC34EB3"/>
    <w:rsid w:val="5BC52C08"/>
    <w:rsid w:val="5BD27459"/>
    <w:rsid w:val="5BD34EA5"/>
    <w:rsid w:val="5BD35D78"/>
    <w:rsid w:val="5BDF5D95"/>
    <w:rsid w:val="5BE21D9D"/>
    <w:rsid w:val="5BE76F0B"/>
    <w:rsid w:val="5BFB6408"/>
    <w:rsid w:val="5BFE7528"/>
    <w:rsid w:val="5C0334E5"/>
    <w:rsid w:val="5C186ED1"/>
    <w:rsid w:val="5C1B541E"/>
    <w:rsid w:val="5C2A754E"/>
    <w:rsid w:val="5C521B17"/>
    <w:rsid w:val="5C5571AB"/>
    <w:rsid w:val="5C565B1D"/>
    <w:rsid w:val="5C672D1A"/>
    <w:rsid w:val="5C6953C4"/>
    <w:rsid w:val="5C695D93"/>
    <w:rsid w:val="5C787020"/>
    <w:rsid w:val="5C82602E"/>
    <w:rsid w:val="5C8A3280"/>
    <w:rsid w:val="5CC2205C"/>
    <w:rsid w:val="5CCE2BAC"/>
    <w:rsid w:val="5CCE7A61"/>
    <w:rsid w:val="5CF804F4"/>
    <w:rsid w:val="5D066328"/>
    <w:rsid w:val="5D097BBD"/>
    <w:rsid w:val="5D0C4B9F"/>
    <w:rsid w:val="5D1A4DD9"/>
    <w:rsid w:val="5D324BD9"/>
    <w:rsid w:val="5D335B6F"/>
    <w:rsid w:val="5D3E498C"/>
    <w:rsid w:val="5D6B3173"/>
    <w:rsid w:val="5D8341DD"/>
    <w:rsid w:val="5D8C26C5"/>
    <w:rsid w:val="5D9316CA"/>
    <w:rsid w:val="5DB3611B"/>
    <w:rsid w:val="5DC80DAA"/>
    <w:rsid w:val="5DC81231"/>
    <w:rsid w:val="5DE0011A"/>
    <w:rsid w:val="5DF027AD"/>
    <w:rsid w:val="5DF819C2"/>
    <w:rsid w:val="5DFD7A4D"/>
    <w:rsid w:val="5E0164A2"/>
    <w:rsid w:val="5E22115F"/>
    <w:rsid w:val="5E2467F1"/>
    <w:rsid w:val="5E266F7E"/>
    <w:rsid w:val="5E3076E4"/>
    <w:rsid w:val="5E433269"/>
    <w:rsid w:val="5E7031E4"/>
    <w:rsid w:val="5E737395"/>
    <w:rsid w:val="5E740737"/>
    <w:rsid w:val="5E7F0526"/>
    <w:rsid w:val="5E806F75"/>
    <w:rsid w:val="5E8655B2"/>
    <w:rsid w:val="5E8F2D4E"/>
    <w:rsid w:val="5E8F5264"/>
    <w:rsid w:val="5E9B3119"/>
    <w:rsid w:val="5EA33DFC"/>
    <w:rsid w:val="5EB10319"/>
    <w:rsid w:val="5EB309FA"/>
    <w:rsid w:val="5EB71A7A"/>
    <w:rsid w:val="5EC23124"/>
    <w:rsid w:val="5ED369A0"/>
    <w:rsid w:val="5EDA15AD"/>
    <w:rsid w:val="5EDC5FB5"/>
    <w:rsid w:val="5EE333E2"/>
    <w:rsid w:val="5EE8419F"/>
    <w:rsid w:val="5EED18E9"/>
    <w:rsid w:val="5F016891"/>
    <w:rsid w:val="5F137952"/>
    <w:rsid w:val="5F1A2B43"/>
    <w:rsid w:val="5F275281"/>
    <w:rsid w:val="5F277643"/>
    <w:rsid w:val="5F377888"/>
    <w:rsid w:val="5F475D76"/>
    <w:rsid w:val="5F4B5627"/>
    <w:rsid w:val="5F4F65B8"/>
    <w:rsid w:val="5F596D72"/>
    <w:rsid w:val="5F5A6834"/>
    <w:rsid w:val="5F633E28"/>
    <w:rsid w:val="5F7D0E68"/>
    <w:rsid w:val="5F8407FE"/>
    <w:rsid w:val="5F8B3928"/>
    <w:rsid w:val="5FB837BB"/>
    <w:rsid w:val="5FCF285D"/>
    <w:rsid w:val="5FD20989"/>
    <w:rsid w:val="5FD8063C"/>
    <w:rsid w:val="600A7178"/>
    <w:rsid w:val="600F38F4"/>
    <w:rsid w:val="60104FD4"/>
    <w:rsid w:val="601F6461"/>
    <w:rsid w:val="6021402E"/>
    <w:rsid w:val="603142CE"/>
    <w:rsid w:val="60397EC2"/>
    <w:rsid w:val="603D5512"/>
    <w:rsid w:val="60420D23"/>
    <w:rsid w:val="604F2EE5"/>
    <w:rsid w:val="604F4235"/>
    <w:rsid w:val="60512062"/>
    <w:rsid w:val="607249B3"/>
    <w:rsid w:val="607417FE"/>
    <w:rsid w:val="6092396C"/>
    <w:rsid w:val="609449F3"/>
    <w:rsid w:val="60953676"/>
    <w:rsid w:val="60A67530"/>
    <w:rsid w:val="60C74A21"/>
    <w:rsid w:val="60CA68A4"/>
    <w:rsid w:val="60CC405A"/>
    <w:rsid w:val="60D66F2E"/>
    <w:rsid w:val="60DB74E4"/>
    <w:rsid w:val="60EE4DDE"/>
    <w:rsid w:val="60F17D0A"/>
    <w:rsid w:val="60F44282"/>
    <w:rsid w:val="60FA4A06"/>
    <w:rsid w:val="61281578"/>
    <w:rsid w:val="612B5876"/>
    <w:rsid w:val="61333B9A"/>
    <w:rsid w:val="61404FC2"/>
    <w:rsid w:val="61455A59"/>
    <w:rsid w:val="615A7643"/>
    <w:rsid w:val="616404C2"/>
    <w:rsid w:val="61684140"/>
    <w:rsid w:val="616A6061"/>
    <w:rsid w:val="61706E67"/>
    <w:rsid w:val="617A3B4C"/>
    <w:rsid w:val="619C4FB2"/>
    <w:rsid w:val="61A339A9"/>
    <w:rsid w:val="61AC5DF8"/>
    <w:rsid w:val="61AE08FB"/>
    <w:rsid w:val="61B549E5"/>
    <w:rsid w:val="61B86E7E"/>
    <w:rsid w:val="61BD556F"/>
    <w:rsid w:val="61D265EB"/>
    <w:rsid w:val="61D84CF2"/>
    <w:rsid w:val="61E215D8"/>
    <w:rsid w:val="61F97CAB"/>
    <w:rsid w:val="61FB3A15"/>
    <w:rsid w:val="6206043B"/>
    <w:rsid w:val="620E3B25"/>
    <w:rsid w:val="621B3775"/>
    <w:rsid w:val="621E4F2C"/>
    <w:rsid w:val="6223212B"/>
    <w:rsid w:val="62364782"/>
    <w:rsid w:val="624121DF"/>
    <w:rsid w:val="624E0E08"/>
    <w:rsid w:val="624E23E6"/>
    <w:rsid w:val="62551E47"/>
    <w:rsid w:val="6258093D"/>
    <w:rsid w:val="625A1415"/>
    <w:rsid w:val="625B3517"/>
    <w:rsid w:val="625B5132"/>
    <w:rsid w:val="625F280C"/>
    <w:rsid w:val="62600C89"/>
    <w:rsid w:val="626734A6"/>
    <w:rsid w:val="626D4AA2"/>
    <w:rsid w:val="626E0CD0"/>
    <w:rsid w:val="6277712D"/>
    <w:rsid w:val="62816858"/>
    <w:rsid w:val="628A292F"/>
    <w:rsid w:val="62A41206"/>
    <w:rsid w:val="62A63640"/>
    <w:rsid w:val="62B4058A"/>
    <w:rsid w:val="62C21944"/>
    <w:rsid w:val="62C67A66"/>
    <w:rsid w:val="62D11793"/>
    <w:rsid w:val="62E047B7"/>
    <w:rsid w:val="62EE1F7E"/>
    <w:rsid w:val="62EE7796"/>
    <w:rsid w:val="63153904"/>
    <w:rsid w:val="63400F42"/>
    <w:rsid w:val="63492A33"/>
    <w:rsid w:val="634D710C"/>
    <w:rsid w:val="63537E5D"/>
    <w:rsid w:val="636436FC"/>
    <w:rsid w:val="637E766E"/>
    <w:rsid w:val="63821585"/>
    <w:rsid w:val="6394356A"/>
    <w:rsid w:val="63A150EA"/>
    <w:rsid w:val="63B84845"/>
    <w:rsid w:val="63C26B06"/>
    <w:rsid w:val="63C61B2C"/>
    <w:rsid w:val="63CE40F1"/>
    <w:rsid w:val="63D40BE9"/>
    <w:rsid w:val="63D82893"/>
    <w:rsid w:val="63D96626"/>
    <w:rsid w:val="63E72CEA"/>
    <w:rsid w:val="63ED1447"/>
    <w:rsid w:val="63F635BE"/>
    <w:rsid w:val="640C267C"/>
    <w:rsid w:val="64102431"/>
    <w:rsid w:val="6411133B"/>
    <w:rsid w:val="64120A7D"/>
    <w:rsid w:val="64150FA8"/>
    <w:rsid w:val="64244EF5"/>
    <w:rsid w:val="644118CB"/>
    <w:rsid w:val="644145CF"/>
    <w:rsid w:val="645F0E88"/>
    <w:rsid w:val="6469281D"/>
    <w:rsid w:val="646C01A8"/>
    <w:rsid w:val="647268FA"/>
    <w:rsid w:val="6477531D"/>
    <w:rsid w:val="647C17A3"/>
    <w:rsid w:val="647E68CA"/>
    <w:rsid w:val="64840233"/>
    <w:rsid w:val="64905A72"/>
    <w:rsid w:val="649208F0"/>
    <w:rsid w:val="64A315E3"/>
    <w:rsid w:val="64A5243A"/>
    <w:rsid w:val="64A93523"/>
    <w:rsid w:val="64AB1C95"/>
    <w:rsid w:val="64B228EB"/>
    <w:rsid w:val="64B7331A"/>
    <w:rsid w:val="64B85F97"/>
    <w:rsid w:val="64C07E7A"/>
    <w:rsid w:val="64D068F1"/>
    <w:rsid w:val="64D45556"/>
    <w:rsid w:val="64E40679"/>
    <w:rsid w:val="64F12828"/>
    <w:rsid w:val="64F531DE"/>
    <w:rsid w:val="6500626F"/>
    <w:rsid w:val="65007755"/>
    <w:rsid w:val="65033267"/>
    <w:rsid w:val="65136487"/>
    <w:rsid w:val="6516594F"/>
    <w:rsid w:val="65183F78"/>
    <w:rsid w:val="651A07FD"/>
    <w:rsid w:val="651F73FE"/>
    <w:rsid w:val="65204005"/>
    <w:rsid w:val="652D2C9D"/>
    <w:rsid w:val="65373578"/>
    <w:rsid w:val="65596766"/>
    <w:rsid w:val="656C39EF"/>
    <w:rsid w:val="656F7B9B"/>
    <w:rsid w:val="65707208"/>
    <w:rsid w:val="65757F28"/>
    <w:rsid w:val="6587460A"/>
    <w:rsid w:val="65896E2B"/>
    <w:rsid w:val="659208FA"/>
    <w:rsid w:val="65927D6D"/>
    <w:rsid w:val="659412EB"/>
    <w:rsid w:val="6596397D"/>
    <w:rsid w:val="659917E5"/>
    <w:rsid w:val="65C138BE"/>
    <w:rsid w:val="65C15E2D"/>
    <w:rsid w:val="65EB3DAE"/>
    <w:rsid w:val="6607321C"/>
    <w:rsid w:val="66224CAE"/>
    <w:rsid w:val="662E5C0D"/>
    <w:rsid w:val="664E2DB0"/>
    <w:rsid w:val="6653201B"/>
    <w:rsid w:val="665C14BD"/>
    <w:rsid w:val="66606EC0"/>
    <w:rsid w:val="666A2D11"/>
    <w:rsid w:val="666B5841"/>
    <w:rsid w:val="6672019F"/>
    <w:rsid w:val="668079D7"/>
    <w:rsid w:val="668D093F"/>
    <w:rsid w:val="669169B1"/>
    <w:rsid w:val="66A06402"/>
    <w:rsid w:val="66AB5175"/>
    <w:rsid w:val="66B32E0C"/>
    <w:rsid w:val="66C6592C"/>
    <w:rsid w:val="66D0744F"/>
    <w:rsid w:val="66E22BA4"/>
    <w:rsid w:val="66E85AEF"/>
    <w:rsid w:val="66F72F10"/>
    <w:rsid w:val="66F85737"/>
    <w:rsid w:val="66F916AD"/>
    <w:rsid w:val="6700022A"/>
    <w:rsid w:val="67054F56"/>
    <w:rsid w:val="67075C19"/>
    <w:rsid w:val="671D576F"/>
    <w:rsid w:val="671F124A"/>
    <w:rsid w:val="67286B08"/>
    <w:rsid w:val="672A6322"/>
    <w:rsid w:val="672D118B"/>
    <w:rsid w:val="673D460B"/>
    <w:rsid w:val="673E29E9"/>
    <w:rsid w:val="673E2FBF"/>
    <w:rsid w:val="673E3563"/>
    <w:rsid w:val="6766727F"/>
    <w:rsid w:val="676C7513"/>
    <w:rsid w:val="676E6C28"/>
    <w:rsid w:val="677A33C6"/>
    <w:rsid w:val="67947960"/>
    <w:rsid w:val="67965B4A"/>
    <w:rsid w:val="67A23843"/>
    <w:rsid w:val="67A267CA"/>
    <w:rsid w:val="67AA1CD2"/>
    <w:rsid w:val="67B6759E"/>
    <w:rsid w:val="67C03E13"/>
    <w:rsid w:val="67CB035F"/>
    <w:rsid w:val="67D110C9"/>
    <w:rsid w:val="67D478A2"/>
    <w:rsid w:val="67DA78CF"/>
    <w:rsid w:val="67F14442"/>
    <w:rsid w:val="67F548EC"/>
    <w:rsid w:val="67FD47EE"/>
    <w:rsid w:val="68100762"/>
    <w:rsid w:val="68127C8B"/>
    <w:rsid w:val="681976D6"/>
    <w:rsid w:val="681F20B2"/>
    <w:rsid w:val="681F6961"/>
    <w:rsid w:val="682F5EAD"/>
    <w:rsid w:val="683E6069"/>
    <w:rsid w:val="68427840"/>
    <w:rsid w:val="68507A42"/>
    <w:rsid w:val="68610A2F"/>
    <w:rsid w:val="686126CC"/>
    <w:rsid w:val="68677ECB"/>
    <w:rsid w:val="686E1C26"/>
    <w:rsid w:val="68805514"/>
    <w:rsid w:val="68841711"/>
    <w:rsid w:val="689901A4"/>
    <w:rsid w:val="689F5880"/>
    <w:rsid w:val="68BB3B7A"/>
    <w:rsid w:val="68C8653F"/>
    <w:rsid w:val="68CF4DBB"/>
    <w:rsid w:val="68D02E2F"/>
    <w:rsid w:val="68D05400"/>
    <w:rsid w:val="68D1750B"/>
    <w:rsid w:val="68D92333"/>
    <w:rsid w:val="68DC5653"/>
    <w:rsid w:val="68DF4AA4"/>
    <w:rsid w:val="68E80B34"/>
    <w:rsid w:val="68F21CDF"/>
    <w:rsid w:val="68F745B7"/>
    <w:rsid w:val="68F913FD"/>
    <w:rsid w:val="690309F1"/>
    <w:rsid w:val="69090E33"/>
    <w:rsid w:val="690A194F"/>
    <w:rsid w:val="690E4CB3"/>
    <w:rsid w:val="691B2C87"/>
    <w:rsid w:val="69251995"/>
    <w:rsid w:val="69316E2F"/>
    <w:rsid w:val="69383FBF"/>
    <w:rsid w:val="693D7703"/>
    <w:rsid w:val="69457531"/>
    <w:rsid w:val="694A6D36"/>
    <w:rsid w:val="694E2071"/>
    <w:rsid w:val="6953779A"/>
    <w:rsid w:val="69766163"/>
    <w:rsid w:val="697A3B33"/>
    <w:rsid w:val="69987899"/>
    <w:rsid w:val="69A00262"/>
    <w:rsid w:val="69A6184D"/>
    <w:rsid w:val="69A84A39"/>
    <w:rsid w:val="69C42E78"/>
    <w:rsid w:val="69CD316A"/>
    <w:rsid w:val="69D44760"/>
    <w:rsid w:val="69F17E9C"/>
    <w:rsid w:val="6A022F6E"/>
    <w:rsid w:val="6A0960AB"/>
    <w:rsid w:val="6A0C7949"/>
    <w:rsid w:val="6A1D4C33"/>
    <w:rsid w:val="6A233A15"/>
    <w:rsid w:val="6A281BFA"/>
    <w:rsid w:val="6A316BAF"/>
    <w:rsid w:val="6A3E1864"/>
    <w:rsid w:val="6A43316E"/>
    <w:rsid w:val="6A4C5F97"/>
    <w:rsid w:val="6A520EC7"/>
    <w:rsid w:val="6A6C338F"/>
    <w:rsid w:val="6A875590"/>
    <w:rsid w:val="6A931464"/>
    <w:rsid w:val="6AA9665C"/>
    <w:rsid w:val="6AB963CC"/>
    <w:rsid w:val="6ABA7B58"/>
    <w:rsid w:val="6ABE0286"/>
    <w:rsid w:val="6AC91366"/>
    <w:rsid w:val="6AE817CB"/>
    <w:rsid w:val="6AED32D6"/>
    <w:rsid w:val="6AF04005"/>
    <w:rsid w:val="6AF87E20"/>
    <w:rsid w:val="6AF91965"/>
    <w:rsid w:val="6AFF300A"/>
    <w:rsid w:val="6B062CFB"/>
    <w:rsid w:val="6B1E48B5"/>
    <w:rsid w:val="6B2D5DC9"/>
    <w:rsid w:val="6B302D18"/>
    <w:rsid w:val="6B322639"/>
    <w:rsid w:val="6B3F2608"/>
    <w:rsid w:val="6B442F89"/>
    <w:rsid w:val="6B52536A"/>
    <w:rsid w:val="6B614ABA"/>
    <w:rsid w:val="6B694131"/>
    <w:rsid w:val="6B724DDA"/>
    <w:rsid w:val="6B8E5DCB"/>
    <w:rsid w:val="6BA80FF2"/>
    <w:rsid w:val="6BA848DB"/>
    <w:rsid w:val="6BAD7461"/>
    <w:rsid w:val="6BBA0F05"/>
    <w:rsid w:val="6BBC6E63"/>
    <w:rsid w:val="6BBC7B59"/>
    <w:rsid w:val="6BBF0836"/>
    <w:rsid w:val="6BC70155"/>
    <w:rsid w:val="6BDC3D7B"/>
    <w:rsid w:val="6BEA065C"/>
    <w:rsid w:val="6C041356"/>
    <w:rsid w:val="6C042C84"/>
    <w:rsid w:val="6C0E1B17"/>
    <w:rsid w:val="6C172D01"/>
    <w:rsid w:val="6C1A75F4"/>
    <w:rsid w:val="6C35572A"/>
    <w:rsid w:val="6C473AD0"/>
    <w:rsid w:val="6C4B6211"/>
    <w:rsid w:val="6C5341FB"/>
    <w:rsid w:val="6C5C22BC"/>
    <w:rsid w:val="6C5D07D4"/>
    <w:rsid w:val="6C5E367E"/>
    <w:rsid w:val="6C61433A"/>
    <w:rsid w:val="6C636C38"/>
    <w:rsid w:val="6C7536DD"/>
    <w:rsid w:val="6C757A27"/>
    <w:rsid w:val="6CA85EC4"/>
    <w:rsid w:val="6CAF0BED"/>
    <w:rsid w:val="6CB43099"/>
    <w:rsid w:val="6D063FF3"/>
    <w:rsid w:val="6D104BCF"/>
    <w:rsid w:val="6D110793"/>
    <w:rsid w:val="6D297B6A"/>
    <w:rsid w:val="6D2D60A4"/>
    <w:rsid w:val="6D2E765D"/>
    <w:rsid w:val="6D316F3B"/>
    <w:rsid w:val="6D443045"/>
    <w:rsid w:val="6D526D88"/>
    <w:rsid w:val="6D5B0A03"/>
    <w:rsid w:val="6D5D1C47"/>
    <w:rsid w:val="6D6E2CE4"/>
    <w:rsid w:val="6D7D071A"/>
    <w:rsid w:val="6D847C49"/>
    <w:rsid w:val="6D9009F3"/>
    <w:rsid w:val="6DB34098"/>
    <w:rsid w:val="6DB545B6"/>
    <w:rsid w:val="6DC1264E"/>
    <w:rsid w:val="6DCC4619"/>
    <w:rsid w:val="6DDC657E"/>
    <w:rsid w:val="6DE02FB4"/>
    <w:rsid w:val="6DE76285"/>
    <w:rsid w:val="6DEA303D"/>
    <w:rsid w:val="6DEC21A3"/>
    <w:rsid w:val="6DF21DC4"/>
    <w:rsid w:val="6DF221D5"/>
    <w:rsid w:val="6DF539CD"/>
    <w:rsid w:val="6E133421"/>
    <w:rsid w:val="6E2301CF"/>
    <w:rsid w:val="6E3172D2"/>
    <w:rsid w:val="6E343FF2"/>
    <w:rsid w:val="6E3F4B10"/>
    <w:rsid w:val="6E3F65EA"/>
    <w:rsid w:val="6E4009D8"/>
    <w:rsid w:val="6E4D18F9"/>
    <w:rsid w:val="6E514CED"/>
    <w:rsid w:val="6E667DD8"/>
    <w:rsid w:val="6E6F4F9D"/>
    <w:rsid w:val="6E7512C7"/>
    <w:rsid w:val="6E7E692C"/>
    <w:rsid w:val="6E857979"/>
    <w:rsid w:val="6E946CE6"/>
    <w:rsid w:val="6E950B0E"/>
    <w:rsid w:val="6E9529D0"/>
    <w:rsid w:val="6E986077"/>
    <w:rsid w:val="6EAA11A4"/>
    <w:rsid w:val="6EB10BA9"/>
    <w:rsid w:val="6EB563A0"/>
    <w:rsid w:val="6EB563D5"/>
    <w:rsid w:val="6ECD0FBE"/>
    <w:rsid w:val="6ED25B0D"/>
    <w:rsid w:val="6ED5402B"/>
    <w:rsid w:val="6ED736D4"/>
    <w:rsid w:val="6ED92677"/>
    <w:rsid w:val="6EFC0186"/>
    <w:rsid w:val="6F036BB5"/>
    <w:rsid w:val="6F053E85"/>
    <w:rsid w:val="6F0836EB"/>
    <w:rsid w:val="6F225983"/>
    <w:rsid w:val="6F251194"/>
    <w:rsid w:val="6F275E4F"/>
    <w:rsid w:val="6F2E3655"/>
    <w:rsid w:val="6F35025E"/>
    <w:rsid w:val="6F356373"/>
    <w:rsid w:val="6F3C4BED"/>
    <w:rsid w:val="6F802CA1"/>
    <w:rsid w:val="6F9740C1"/>
    <w:rsid w:val="6F980C7A"/>
    <w:rsid w:val="6FAC35B9"/>
    <w:rsid w:val="6FAF1D1A"/>
    <w:rsid w:val="6FB67EC0"/>
    <w:rsid w:val="6FBD0B8A"/>
    <w:rsid w:val="6FD00885"/>
    <w:rsid w:val="6FE93FDC"/>
    <w:rsid w:val="6FEE164F"/>
    <w:rsid w:val="6FF02DB6"/>
    <w:rsid w:val="6FF975B4"/>
    <w:rsid w:val="6FFC5590"/>
    <w:rsid w:val="70023C41"/>
    <w:rsid w:val="70035481"/>
    <w:rsid w:val="700E2FBE"/>
    <w:rsid w:val="701676CF"/>
    <w:rsid w:val="702B7738"/>
    <w:rsid w:val="702F3C4F"/>
    <w:rsid w:val="703744E6"/>
    <w:rsid w:val="703C5BB3"/>
    <w:rsid w:val="703E2845"/>
    <w:rsid w:val="70440F33"/>
    <w:rsid w:val="704B55EA"/>
    <w:rsid w:val="706D1DD0"/>
    <w:rsid w:val="707A402A"/>
    <w:rsid w:val="70856B87"/>
    <w:rsid w:val="70AC51DB"/>
    <w:rsid w:val="70B06CE4"/>
    <w:rsid w:val="70B15EA5"/>
    <w:rsid w:val="70BD7BEF"/>
    <w:rsid w:val="70CB6A7A"/>
    <w:rsid w:val="70D048D8"/>
    <w:rsid w:val="70D527EE"/>
    <w:rsid w:val="70E637D8"/>
    <w:rsid w:val="70E64144"/>
    <w:rsid w:val="70F13A36"/>
    <w:rsid w:val="70FD6E7A"/>
    <w:rsid w:val="71070754"/>
    <w:rsid w:val="71114454"/>
    <w:rsid w:val="7127501E"/>
    <w:rsid w:val="712967C7"/>
    <w:rsid w:val="712B4F0A"/>
    <w:rsid w:val="712F3803"/>
    <w:rsid w:val="71323E1F"/>
    <w:rsid w:val="71407713"/>
    <w:rsid w:val="714978A7"/>
    <w:rsid w:val="715B5300"/>
    <w:rsid w:val="71620D70"/>
    <w:rsid w:val="71677257"/>
    <w:rsid w:val="71692535"/>
    <w:rsid w:val="716F1E85"/>
    <w:rsid w:val="717A702B"/>
    <w:rsid w:val="718D79DD"/>
    <w:rsid w:val="71934C60"/>
    <w:rsid w:val="71993924"/>
    <w:rsid w:val="719C4CDA"/>
    <w:rsid w:val="71A241D4"/>
    <w:rsid w:val="71BB4DD9"/>
    <w:rsid w:val="71C405B0"/>
    <w:rsid w:val="71C76370"/>
    <w:rsid w:val="71CA14CC"/>
    <w:rsid w:val="71D27F8A"/>
    <w:rsid w:val="71D50229"/>
    <w:rsid w:val="71D70E0F"/>
    <w:rsid w:val="71E73175"/>
    <w:rsid w:val="71EA27A7"/>
    <w:rsid w:val="71EA5C1A"/>
    <w:rsid w:val="71EF04D8"/>
    <w:rsid w:val="71F25866"/>
    <w:rsid w:val="72083E5F"/>
    <w:rsid w:val="72090861"/>
    <w:rsid w:val="720933A2"/>
    <w:rsid w:val="72192B2A"/>
    <w:rsid w:val="721C6E70"/>
    <w:rsid w:val="72247288"/>
    <w:rsid w:val="722D66AE"/>
    <w:rsid w:val="723C3947"/>
    <w:rsid w:val="72553024"/>
    <w:rsid w:val="72601F72"/>
    <w:rsid w:val="726C0D29"/>
    <w:rsid w:val="727D5A5E"/>
    <w:rsid w:val="72AE7062"/>
    <w:rsid w:val="72B009B8"/>
    <w:rsid w:val="72B90ACD"/>
    <w:rsid w:val="72C25662"/>
    <w:rsid w:val="72C9087F"/>
    <w:rsid w:val="72CD2089"/>
    <w:rsid w:val="72D7078C"/>
    <w:rsid w:val="72E04BD6"/>
    <w:rsid w:val="72E7138B"/>
    <w:rsid w:val="72EE4AE1"/>
    <w:rsid w:val="72F072A6"/>
    <w:rsid w:val="73006430"/>
    <w:rsid w:val="73030549"/>
    <w:rsid w:val="73056DE1"/>
    <w:rsid w:val="730A40C3"/>
    <w:rsid w:val="73122968"/>
    <w:rsid w:val="731F5D5E"/>
    <w:rsid w:val="732148AB"/>
    <w:rsid w:val="732A384D"/>
    <w:rsid w:val="732D4269"/>
    <w:rsid w:val="73300432"/>
    <w:rsid w:val="73323BE8"/>
    <w:rsid w:val="734567B6"/>
    <w:rsid w:val="735D5ECA"/>
    <w:rsid w:val="737F4120"/>
    <w:rsid w:val="737F78B4"/>
    <w:rsid w:val="738B1426"/>
    <w:rsid w:val="73995FF9"/>
    <w:rsid w:val="73B338BE"/>
    <w:rsid w:val="73BD0201"/>
    <w:rsid w:val="73C51AD5"/>
    <w:rsid w:val="73C60C84"/>
    <w:rsid w:val="73E05EB1"/>
    <w:rsid w:val="73E7507D"/>
    <w:rsid w:val="73F22ED3"/>
    <w:rsid w:val="741178B5"/>
    <w:rsid w:val="741E4F0E"/>
    <w:rsid w:val="741E793C"/>
    <w:rsid w:val="74201107"/>
    <w:rsid w:val="742A4197"/>
    <w:rsid w:val="7431379A"/>
    <w:rsid w:val="743C33B5"/>
    <w:rsid w:val="745A0569"/>
    <w:rsid w:val="745C7648"/>
    <w:rsid w:val="745E3944"/>
    <w:rsid w:val="7466310E"/>
    <w:rsid w:val="747B1CDF"/>
    <w:rsid w:val="747F1591"/>
    <w:rsid w:val="748944D6"/>
    <w:rsid w:val="748B7579"/>
    <w:rsid w:val="748D047A"/>
    <w:rsid w:val="748D7FE1"/>
    <w:rsid w:val="749758BA"/>
    <w:rsid w:val="749D7B1B"/>
    <w:rsid w:val="74A24556"/>
    <w:rsid w:val="74A60E67"/>
    <w:rsid w:val="74A92334"/>
    <w:rsid w:val="74AD5F89"/>
    <w:rsid w:val="74B90DD3"/>
    <w:rsid w:val="74C972C2"/>
    <w:rsid w:val="74D13D8C"/>
    <w:rsid w:val="74D31EBD"/>
    <w:rsid w:val="74D37720"/>
    <w:rsid w:val="74D6491B"/>
    <w:rsid w:val="74E0216F"/>
    <w:rsid w:val="74E53270"/>
    <w:rsid w:val="752B32FF"/>
    <w:rsid w:val="752E10BB"/>
    <w:rsid w:val="75331951"/>
    <w:rsid w:val="75392417"/>
    <w:rsid w:val="753B0836"/>
    <w:rsid w:val="754D3730"/>
    <w:rsid w:val="75530769"/>
    <w:rsid w:val="755E145E"/>
    <w:rsid w:val="756172D2"/>
    <w:rsid w:val="75617F6B"/>
    <w:rsid w:val="75653005"/>
    <w:rsid w:val="75770CFB"/>
    <w:rsid w:val="758D4DE7"/>
    <w:rsid w:val="75A135F1"/>
    <w:rsid w:val="75A50A64"/>
    <w:rsid w:val="75AB270C"/>
    <w:rsid w:val="75AF1D85"/>
    <w:rsid w:val="75C31803"/>
    <w:rsid w:val="75C55A92"/>
    <w:rsid w:val="75CD3D4A"/>
    <w:rsid w:val="75D1660C"/>
    <w:rsid w:val="75D81D76"/>
    <w:rsid w:val="75D827E9"/>
    <w:rsid w:val="75E805EA"/>
    <w:rsid w:val="75F40EF5"/>
    <w:rsid w:val="75F83D1A"/>
    <w:rsid w:val="760F36D7"/>
    <w:rsid w:val="761614DD"/>
    <w:rsid w:val="761E0AEC"/>
    <w:rsid w:val="761E4C73"/>
    <w:rsid w:val="76295990"/>
    <w:rsid w:val="762B77A4"/>
    <w:rsid w:val="762F3002"/>
    <w:rsid w:val="7635099D"/>
    <w:rsid w:val="763663F2"/>
    <w:rsid w:val="76367B41"/>
    <w:rsid w:val="76440EC6"/>
    <w:rsid w:val="764D2E10"/>
    <w:rsid w:val="7650700B"/>
    <w:rsid w:val="76515210"/>
    <w:rsid w:val="765A01DA"/>
    <w:rsid w:val="766063C8"/>
    <w:rsid w:val="766B126E"/>
    <w:rsid w:val="76727E27"/>
    <w:rsid w:val="76871948"/>
    <w:rsid w:val="76891049"/>
    <w:rsid w:val="768E168E"/>
    <w:rsid w:val="76953302"/>
    <w:rsid w:val="76A67485"/>
    <w:rsid w:val="76AC2297"/>
    <w:rsid w:val="76DA10B4"/>
    <w:rsid w:val="76DE4B6E"/>
    <w:rsid w:val="76E57EB6"/>
    <w:rsid w:val="771E0262"/>
    <w:rsid w:val="772F3627"/>
    <w:rsid w:val="773523C0"/>
    <w:rsid w:val="77396D84"/>
    <w:rsid w:val="77457599"/>
    <w:rsid w:val="77472D36"/>
    <w:rsid w:val="77520EDA"/>
    <w:rsid w:val="77567601"/>
    <w:rsid w:val="775E0168"/>
    <w:rsid w:val="77762421"/>
    <w:rsid w:val="77795EB3"/>
    <w:rsid w:val="777D6334"/>
    <w:rsid w:val="778B1CFB"/>
    <w:rsid w:val="7791221B"/>
    <w:rsid w:val="77A54235"/>
    <w:rsid w:val="77A63D73"/>
    <w:rsid w:val="77B15791"/>
    <w:rsid w:val="77B56B1F"/>
    <w:rsid w:val="77B65C4A"/>
    <w:rsid w:val="77B83640"/>
    <w:rsid w:val="77EE500B"/>
    <w:rsid w:val="780A371A"/>
    <w:rsid w:val="780C028E"/>
    <w:rsid w:val="780E4503"/>
    <w:rsid w:val="780F09F4"/>
    <w:rsid w:val="780F6F82"/>
    <w:rsid w:val="78104AA8"/>
    <w:rsid w:val="782057F1"/>
    <w:rsid w:val="78243172"/>
    <w:rsid w:val="78277BA3"/>
    <w:rsid w:val="7828377A"/>
    <w:rsid w:val="782A2284"/>
    <w:rsid w:val="78307EC1"/>
    <w:rsid w:val="783677D8"/>
    <w:rsid w:val="787909FD"/>
    <w:rsid w:val="788066CB"/>
    <w:rsid w:val="78852292"/>
    <w:rsid w:val="788E4D1B"/>
    <w:rsid w:val="788E7699"/>
    <w:rsid w:val="7890117A"/>
    <w:rsid w:val="78A829FE"/>
    <w:rsid w:val="78A90480"/>
    <w:rsid w:val="78B2790D"/>
    <w:rsid w:val="78CC38C0"/>
    <w:rsid w:val="78D93DA4"/>
    <w:rsid w:val="78EF0D33"/>
    <w:rsid w:val="78F15F48"/>
    <w:rsid w:val="78F522DF"/>
    <w:rsid w:val="78F63E7D"/>
    <w:rsid w:val="78FC06D4"/>
    <w:rsid w:val="78FF05AB"/>
    <w:rsid w:val="79142685"/>
    <w:rsid w:val="792027D5"/>
    <w:rsid w:val="792C136E"/>
    <w:rsid w:val="79565840"/>
    <w:rsid w:val="795F6904"/>
    <w:rsid w:val="79601055"/>
    <w:rsid w:val="796A0E19"/>
    <w:rsid w:val="797706AB"/>
    <w:rsid w:val="79AA2143"/>
    <w:rsid w:val="79AE45B8"/>
    <w:rsid w:val="79EA5ACC"/>
    <w:rsid w:val="79EE4F32"/>
    <w:rsid w:val="7A1B6E2D"/>
    <w:rsid w:val="7A364017"/>
    <w:rsid w:val="7A3D53AC"/>
    <w:rsid w:val="7A4131D7"/>
    <w:rsid w:val="7A4B6A80"/>
    <w:rsid w:val="7A4C2477"/>
    <w:rsid w:val="7A5744D5"/>
    <w:rsid w:val="7A5C04F1"/>
    <w:rsid w:val="7A77428C"/>
    <w:rsid w:val="7A8265E1"/>
    <w:rsid w:val="7A8B49E9"/>
    <w:rsid w:val="7A942E78"/>
    <w:rsid w:val="7A990E25"/>
    <w:rsid w:val="7A9B2272"/>
    <w:rsid w:val="7A9D453E"/>
    <w:rsid w:val="7AB00201"/>
    <w:rsid w:val="7AB53DFD"/>
    <w:rsid w:val="7AB936E3"/>
    <w:rsid w:val="7AC66ADF"/>
    <w:rsid w:val="7AD9057C"/>
    <w:rsid w:val="7AD95B9E"/>
    <w:rsid w:val="7ADD144E"/>
    <w:rsid w:val="7ADF1740"/>
    <w:rsid w:val="7B007F50"/>
    <w:rsid w:val="7B022489"/>
    <w:rsid w:val="7B0B2B22"/>
    <w:rsid w:val="7B0D166C"/>
    <w:rsid w:val="7B0D3DB2"/>
    <w:rsid w:val="7B106586"/>
    <w:rsid w:val="7B167964"/>
    <w:rsid w:val="7B365221"/>
    <w:rsid w:val="7B461E04"/>
    <w:rsid w:val="7B514275"/>
    <w:rsid w:val="7B58763B"/>
    <w:rsid w:val="7B603873"/>
    <w:rsid w:val="7B63673B"/>
    <w:rsid w:val="7B653D9D"/>
    <w:rsid w:val="7B686D42"/>
    <w:rsid w:val="7B6A06A9"/>
    <w:rsid w:val="7B73266E"/>
    <w:rsid w:val="7B7A062D"/>
    <w:rsid w:val="7B80276C"/>
    <w:rsid w:val="7B841746"/>
    <w:rsid w:val="7B853E04"/>
    <w:rsid w:val="7B882D1D"/>
    <w:rsid w:val="7B8B64BD"/>
    <w:rsid w:val="7B8B6F0A"/>
    <w:rsid w:val="7B8C4938"/>
    <w:rsid w:val="7B90075D"/>
    <w:rsid w:val="7BA721F4"/>
    <w:rsid w:val="7BB36EBD"/>
    <w:rsid w:val="7BBD1629"/>
    <w:rsid w:val="7BD61B37"/>
    <w:rsid w:val="7BE25AC7"/>
    <w:rsid w:val="7BE42FD6"/>
    <w:rsid w:val="7C083E14"/>
    <w:rsid w:val="7C1417AB"/>
    <w:rsid w:val="7C191427"/>
    <w:rsid w:val="7C371D55"/>
    <w:rsid w:val="7C3D10F2"/>
    <w:rsid w:val="7C5A4544"/>
    <w:rsid w:val="7C650EA5"/>
    <w:rsid w:val="7C652DE6"/>
    <w:rsid w:val="7C6C5AC7"/>
    <w:rsid w:val="7C731F09"/>
    <w:rsid w:val="7C7C55E7"/>
    <w:rsid w:val="7C825C9D"/>
    <w:rsid w:val="7C96089F"/>
    <w:rsid w:val="7CA1068B"/>
    <w:rsid w:val="7CA1589E"/>
    <w:rsid w:val="7CB1304A"/>
    <w:rsid w:val="7CC217D0"/>
    <w:rsid w:val="7CC6544B"/>
    <w:rsid w:val="7CCE50C5"/>
    <w:rsid w:val="7CD800FC"/>
    <w:rsid w:val="7CDF440F"/>
    <w:rsid w:val="7CE82207"/>
    <w:rsid w:val="7CEB2858"/>
    <w:rsid w:val="7CF017EF"/>
    <w:rsid w:val="7CF57EBC"/>
    <w:rsid w:val="7D0239FF"/>
    <w:rsid w:val="7D18183D"/>
    <w:rsid w:val="7D1C5686"/>
    <w:rsid w:val="7D1D6332"/>
    <w:rsid w:val="7D2748B4"/>
    <w:rsid w:val="7D332485"/>
    <w:rsid w:val="7D4430F3"/>
    <w:rsid w:val="7D522BFE"/>
    <w:rsid w:val="7D53794A"/>
    <w:rsid w:val="7D5E40CD"/>
    <w:rsid w:val="7D6A7BFA"/>
    <w:rsid w:val="7D7546CD"/>
    <w:rsid w:val="7D845C41"/>
    <w:rsid w:val="7D887C65"/>
    <w:rsid w:val="7D9E76E0"/>
    <w:rsid w:val="7DB31D45"/>
    <w:rsid w:val="7DB60F2A"/>
    <w:rsid w:val="7DBC4201"/>
    <w:rsid w:val="7DCD56F2"/>
    <w:rsid w:val="7DD56821"/>
    <w:rsid w:val="7DDD3C51"/>
    <w:rsid w:val="7DED1B13"/>
    <w:rsid w:val="7DF52F5E"/>
    <w:rsid w:val="7DFC6326"/>
    <w:rsid w:val="7DFE2377"/>
    <w:rsid w:val="7E0F7C8B"/>
    <w:rsid w:val="7E137397"/>
    <w:rsid w:val="7E163D9C"/>
    <w:rsid w:val="7E2B6E72"/>
    <w:rsid w:val="7E33549C"/>
    <w:rsid w:val="7E3E2A8D"/>
    <w:rsid w:val="7E4340A8"/>
    <w:rsid w:val="7E581809"/>
    <w:rsid w:val="7E5F3E0A"/>
    <w:rsid w:val="7E643C46"/>
    <w:rsid w:val="7E644FBA"/>
    <w:rsid w:val="7E645995"/>
    <w:rsid w:val="7E6921F8"/>
    <w:rsid w:val="7E6B05A9"/>
    <w:rsid w:val="7E796FBC"/>
    <w:rsid w:val="7E84263A"/>
    <w:rsid w:val="7E8D2429"/>
    <w:rsid w:val="7E97416E"/>
    <w:rsid w:val="7EA479B8"/>
    <w:rsid w:val="7EB13532"/>
    <w:rsid w:val="7EB46887"/>
    <w:rsid w:val="7ED87E4E"/>
    <w:rsid w:val="7EDB57A2"/>
    <w:rsid w:val="7EEB5927"/>
    <w:rsid w:val="7EEC48B8"/>
    <w:rsid w:val="7F001CE7"/>
    <w:rsid w:val="7F130465"/>
    <w:rsid w:val="7F2263A4"/>
    <w:rsid w:val="7F5C35D2"/>
    <w:rsid w:val="7F6D258F"/>
    <w:rsid w:val="7F920DCE"/>
    <w:rsid w:val="7FB144D9"/>
    <w:rsid w:val="7FB40F28"/>
    <w:rsid w:val="7FB44329"/>
    <w:rsid w:val="7FBB4699"/>
    <w:rsid w:val="7FC028DF"/>
    <w:rsid w:val="7FCF6142"/>
    <w:rsid w:val="7FD3521A"/>
    <w:rsid w:val="7FDE1215"/>
    <w:rsid w:val="7FE47E50"/>
    <w:rsid w:val="7FE843CD"/>
    <w:rsid w:val="7FF12B84"/>
    <w:rsid w:val="7FFB194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0" w:semiHidden="0" w:name="heading 2" w:locked="1"/>
    <w:lsdException w:qFormat="1" w:unhideWhenUsed="0" w:uiPriority="9" w:semiHidden="0" w:name="heading 3" w:locked="1"/>
    <w:lsdException w:qFormat="1" w:unhideWhenUsed="0" w:uiPriority="9" w:semiHidden="0" w:name="heading 4" w:locked="1"/>
    <w:lsdException w:qFormat="1" w:unhideWhenUsed="0" w:uiPriority="0" w:semiHidden="0" w:name="heading 5" w:locked="1"/>
    <w:lsdException w:qFormat="1" w:unhideWhenUsed="0" w:uiPriority="0" w:semiHidden="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unhideWhenUsed="0" w:uiPriority="0" w:semiHidden="0" w:name="index 9" w:locked="1"/>
    <w:lsdException w:qFormat="1" w:uiPriority="39" w:semiHidden="0" w:name="toc 1" w:locked="1"/>
    <w:lsdException w:qFormat="1" w:unhideWhenUsed="0" w:uiPriority="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ocked="1"/>
    <w:lsdException w:unhideWhenUsed="0" w:uiPriority="0" w:semiHidden="0" w:name="footnote text" w:locked="1"/>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ocked="1"/>
    <w:lsdException w:qFormat="1" w:uiPriority="0" w:semiHidden="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qFormat="1" w:unhideWhenUsed="0"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qFormat="1"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qFormat="1"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qFormat="1" w:unhideWhenUsed="0" w:uiPriority="0" w:semiHidden="0" w:name="Subtitle" w:locked="1"/>
    <w:lsdException w:unhideWhenUsed="0" w:uiPriority="0" w:semiHidden="0" w:name="Salutation" w:locked="1"/>
    <w:lsdException w:qFormat="1" w:unhideWhenUsed="0" w:uiPriority="0" w:semiHidden="0" w:name="Date"/>
    <w:lsdException w:qFormat="1" w:unhideWhenUsed="0" w:uiPriority="0" w:semiHidden="0" w:name="Body Text First Indent" w:locked="1"/>
    <w:lsdException w:qFormat="1" w:unhideWhenUsed="0" w:uiPriority="0" w:semiHidden="0" w:name="Body Text First Indent 2" w:locked="1"/>
    <w:lsdException w:qFormat="1" w:unhideWhenUsed="0" w:uiPriority="0" w:semiHidden="0" w:name="Note Heading" w:locked="1"/>
    <w:lsdException w:qFormat="1" w:unhideWhenUsed="0" w:uiPriority="0" w:semiHidden="0" w:name="Body Text 2" w:locked="1"/>
    <w:lsdException w:unhideWhenUsed="0" w:uiPriority="0" w:semiHidden="0" w:name="Body Text 3" w:locked="1"/>
    <w:lsdException w:unhideWhenUsed="0" w:uiPriority="0" w:semiHidden="0" w:name="Body Text Indent 2" w:locked="1"/>
    <w:lsdException w:qFormat="1" w:unhideWhenUsed="0" w:uiPriority="0" w:semiHidden="0" w:name="Body Text Indent 3" w:locked="1"/>
    <w:lsdException w:qFormat="1" w:unhideWhenUsed="0" w:uiPriority="0" w:semiHidden="0" w:name="Block Text" w:locked="1"/>
    <w:lsdException w:qFormat="1" w:unhideWhenUsed="0" w:uiPriority="0" w:semiHidden="0" w:name="Hyperlink" w:locked="1"/>
    <w:lsdException w:unhideWhenUsed="0" w:uiPriority="0" w:semiHidden="0" w:name="FollowedHyperlink" w:locked="1"/>
    <w:lsdException w:qFormat="1" w:unhideWhenUsed="0" w:uiPriority="0" w:semiHidden="0" w:name="Strong" w:locked="1"/>
    <w:lsdException w:qFormat="1" w:unhideWhenUsed="0" w:uiPriority="0" w:semiHidden="0" w:name="Emphasis" w:locked="1"/>
    <w:lsdException w:unhideWhenUsed="0" w:uiPriority="0" w:semiHidden="0" w:name="Document Map" w:locked="1"/>
    <w:lsdException w:qFormat="1" w:unhideWhenUsed="0" w:uiPriority="0" w:semiHidden="0" w:name="Plain Text" w:locked="1"/>
    <w:lsdException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nhideWhenUsed="0" w:uiPriority="0" w:name="Normal Table"/>
    <w:lsdException w:qFormat="1" w:unhideWhenUsed="0" w:uiPriority="0"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qFormat="1" w:unhideWhenUsed="0" w:uiPriority="0" w:name="Balloon Text"/>
    <w:lsdException w:qFormat="1" w:unhideWhenUsed="0" w:uiPriority="0" w:semiHidden="0" w:name="Table Grid"/>
    <w:lsdException w:unhideWhenUsed="0" w:uiPriority="0" w:semiHidden="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locked/>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1"/>
    <w:qFormat/>
    <w:locked/>
    <w:uiPriority w:val="0"/>
    <w:pPr>
      <w:keepNext/>
      <w:keepLines/>
      <w:spacing w:before="260" w:after="260" w:line="416" w:lineRule="auto"/>
      <w:outlineLvl w:val="1"/>
    </w:pPr>
    <w:rPr>
      <w:rFonts w:ascii="Arial" w:hAnsi="Arial" w:eastAsia="黑体"/>
      <w:sz w:val="32"/>
    </w:rPr>
  </w:style>
  <w:style w:type="paragraph" w:styleId="4">
    <w:name w:val="heading 3"/>
    <w:basedOn w:val="1"/>
    <w:next w:val="1"/>
    <w:qFormat/>
    <w:locked/>
    <w:uiPriority w:val="9"/>
    <w:pPr>
      <w:spacing w:line="440" w:lineRule="exact"/>
      <w:ind w:firstLine="200" w:firstLineChars="200"/>
      <w:outlineLvl w:val="2"/>
    </w:pPr>
    <w:rPr>
      <w:rFonts w:ascii="Times New Roman" w:hAnsi="Times New Roman"/>
      <w:b/>
      <w:bCs/>
      <w:kern w:val="2"/>
      <w:sz w:val="24"/>
      <w:szCs w:val="22"/>
      <w:lang w:bidi="ar-SA"/>
    </w:rPr>
  </w:style>
  <w:style w:type="paragraph" w:styleId="5">
    <w:name w:val="heading 4"/>
    <w:basedOn w:val="1"/>
    <w:next w:val="6"/>
    <w:qFormat/>
    <w:locked/>
    <w:uiPriority w:val="9"/>
    <w:pPr>
      <w:keepNext/>
      <w:keepLines/>
      <w:spacing w:line="440" w:lineRule="exact"/>
      <w:ind w:firstLine="200" w:firstLineChars="200"/>
      <w:outlineLvl w:val="3"/>
    </w:pPr>
    <w:rPr>
      <w:rFonts w:ascii="Calibri Light" w:hAnsi="Calibri Light"/>
      <w:bCs/>
      <w:kern w:val="2"/>
      <w:sz w:val="24"/>
      <w:szCs w:val="28"/>
      <w:lang w:bidi="ar-SA"/>
    </w:rPr>
  </w:style>
  <w:style w:type="paragraph" w:styleId="7">
    <w:name w:val="heading 5"/>
    <w:basedOn w:val="1"/>
    <w:next w:val="1"/>
    <w:qFormat/>
    <w:locked/>
    <w:uiPriority w:val="0"/>
    <w:pPr>
      <w:keepNext/>
      <w:keepLines/>
      <w:tabs>
        <w:tab w:val="left" w:pos="1843"/>
      </w:tabs>
      <w:jc w:val="center"/>
      <w:outlineLvl w:val="4"/>
    </w:pPr>
    <w:rPr>
      <w:rFonts w:ascii="Times New Roman" w:hAnsi="Times New Roman" w:eastAsia="黑体"/>
      <w:bCs/>
      <w:kern w:val="24"/>
      <w:sz w:val="24"/>
      <w:szCs w:val="24"/>
      <w:lang w:bidi="en-US"/>
    </w:rPr>
  </w:style>
  <w:style w:type="paragraph" w:styleId="8">
    <w:name w:val="heading 6"/>
    <w:basedOn w:val="1"/>
    <w:next w:val="1"/>
    <w:qFormat/>
    <w:locked/>
    <w:uiPriority w:val="0"/>
    <w:pPr>
      <w:keepNext/>
      <w:keepLines/>
      <w:numPr>
        <w:ilvl w:val="5"/>
        <w:numId w:val="1"/>
      </w:numPr>
      <w:tabs>
        <w:tab w:val="left" w:pos="0"/>
      </w:tabs>
      <w:jc w:val="center"/>
      <w:outlineLvl w:val="5"/>
    </w:pPr>
    <w:rPr>
      <w:rFonts w:ascii="Times New Roman" w:hAnsi="Times New Roman" w:eastAsia="黑体"/>
      <w:kern w:val="24"/>
      <w:sz w:val="24"/>
      <w:szCs w:val="24"/>
    </w:rPr>
  </w:style>
  <w:style w:type="character" w:default="1" w:styleId="36">
    <w:name w:val="Default Paragraph Font"/>
    <w:link w:val="37"/>
    <w:semiHidden/>
    <w:qFormat/>
    <w:uiPriority w:val="0"/>
    <w:rPr>
      <w:color w:val="000000"/>
      <w:kern w:val="0"/>
      <w:u w:val="none" w:color="000000"/>
    </w:rPr>
  </w:style>
  <w:style w:type="table" w:default="1" w:styleId="34">
    <w:name w:val="Normal Table"/>
    <w:semiHidden/>
    <w:qFormat/>
    <w:uiPriority w:val="0"/>
    <w:tblPr>
      <w:tblCellMar>
        <w:top w:w="0" w:type="dxa"/>
        <w:left w:w="108" w:type="dxa"/>
        <w:bottom w:w="0" w:type="dxa"/>
        <w:right w:w="108" w:type="dxa"/>
      </w:tblCellMar>
    </w:tblPr>
  </w:style>
  <w:style w:type="paragraph" w:styleId="6">
    <w:name w:val="Normal Indent"/>
    <w:basedOn w:val="1"/>
    <w:next w:val="5"/>
    <w:qFormat/>
    <w:locked/>
    <w:uiPriority w:val="0"/>
    <w:pPr>
      <w:adjustRightInd w:val="0"/>
      <w:snapToGrid w:val="0"/>
      <w:spacing w:line="460" w:lineRule="atLeast"/>
      <w:ind w:firstLine="200" w:firstLineChars="200"/>
    </w:pPr>
    <w:rPr>
      <w:sz w:val="28"/>
    </w:rPr>
  </w:style>
  <w:style w:type="paragraph" w:styleId="9">
    <w:name w:val="Note Heading"/>
    <w:basedOn w:val="1"/>
    <w:next w:val="1"/>
    <w:qFormat/>
    <w:locked/>
    <w:uiPriority w:val="0"/>
    <w:pPr>
      <w:jc w:val="center"/>
    </w:pPr>
    <w:rPr>
      <w:rFonts w:hint="eastAsia" w:ascii="宋体"/>
      <w:sz w:val="24"/>
    </w:rPr>
  </w:style>
  <w:style w:type="paragraph" w:styleId="10">
    <w:name w:val="caption"/>
    <w:basedOn w:val="1"/>
    <w:next w:val="1"/>
    <w:unhideWhenUsed/>
    <w:qFormat/>
    <w:locked/>
    <w:uiPriority w:val="0"/>
    <w:pPr>
      <w:spacing w:line="240" w:lineRule="auto"/>
      <w:ind w:firstLine="0" w:firstLineChars="0"/>
      <w:jc w:val="center"/>
    </w:pPr>
    <w:rPr>
      <w:rFonts w:ascii="Times New Roman" w:hAnsi="Times New Roman" w:eastAsia="宋体"/>
      <w:b/>
    </w:rPr>
  </w:style>
  <w:style w:type="paragraph" w:styleId="11">
    <w:name w:val="annotation text"/>
    <w:basedOn w:val="1"/>
    <w:link w:val="46"/>
    <w:semiHidden/>
    <w:qFormat/>
    <w:uiPriority w:val="0"/>
    <w:pPr>
      <w:jc w:val="left"/>
    </w:pPr>
    <w:rPr>
      <w:kern w:val="0"/>
      <w:sz w:val="24"/>
      <w:szCs w:val="20"/>
    </w:rPr>
  </w:style>
  <w:style w:type="paragraph" w:styleId="12">
    <w:name w:val="Body Text"/>
    <w:basedOn w:val="1"/>
    <w:next w:val="13"/>
    <w:link w:val="47"/>
    <w:qFormat/>
    <w:uiPriority w:val="0"/>
    <w:pPr>
      <w:widowControl/>
      <w:snapToGrid w:val="0"/>
      <w:spacing w:before="60" w:after="160" w:line="259" w:lineRule="auto"/>
      <w:ind w:right="113"/>
    </w:pPr>
    <w:rPr>
      <w:kern w:val="0"/>
      <w:sz w:val="18"/>
      <w:szCs w:val="20"/>
    </w:rPr>
  </w:style>
  <w:style w:type="paragraph" w:styleId="13">
    <w:name w:val="List Bullet 5"/>
    <w:basedOn w:val="1"/>
    <w:qFormat/>
    <w:locked/>
    <w:uiPriority w:val="0"/>
    <w:pPr>
      <w:numPr>
        <w:ilvl w:val="0"/>
        <w:numId w:val="2"/>
      </w:numPr>
    </w:pPr>
  </w:style>
  <w:style w:type="paragraph" w:styleId="14">
    <w:name w:val="Body Text Indent"/>
    <w:basedOn w:val="1"/>
    <w:next w:val="10"/>
    <w:link w:val="48"/>
    <w:qFormat/>
    <w:uiPriority w:val="0"/>
    <w:pPr>
      <w:spacing w:after="120"/>
      <w:ind w:left="420" w:leftChars="200"/>
    </w:pPr>
    <w:rPr>
      <w:kern w:val="0"/>
      <w:sz w:val="24"/>
      <w:szCs w:val="20"/>
    </w:rPr>
  </w:style>
  <w:style w:type="paragraph" w:styleId="15">
    <w:name w:val="Block Text"/>
    <w:basedOn w:val="1"/>
    <w:next w:val="1"/>
    <w:qFormat/>
    <w:locked/>
    <w:uiPriority w:val="0"/>
    <w:pPr>
      <w:ind w:left="137" w:right="116" w:firstLine="317"/>
    </w:pPr>
    <w:rPr>
      <w:sz w:val="28"/>
    </w:rPr>
  </w:style>
  <w:style w:type="paragraph" w:styleId="16">
    <w:name w:val="Plain Text"/>
    <w:basedOn w:val="1"/>
    <w:qFormat/>
    <w:locked/>
    <w:uiPriority w:val="0"/>
    <w:rPr>
      <w:rFonts w:ascii="宋体" w:hAnsi="Courier New"/>
    </w:rPr>
  </w:style>
  <w:style w:type="paragraph" w:styleId="17">
    <w:name w:val="Date"/>
    <w:basedOn w:val="1"/>
    <w:next w:val="1"/>
    <w:link w:val="49"/>
    <w:qFormat/>
    <w:uiPriority w:val="0"/>
    <w:pPr>
      <w:ind w:left="100" w:leftChars="2500"/>
    </w:pPr>
    <w:rPr>
      <w:kern w:val="0"/>
      <w:sz w:val="24"/>
      <w:szCs w:val="20"/>
    </w:rPr>
  </w:style>
  <w:style w:type="paragraph" w:styleId="18">
    <w:name w:val="endnote text"/>
    <w:basedOn w:val="1"/>
    <w:qFormat/>
    <w:locked/>
    <w:uiPriority w:val="0"/>
    <w:pPr>
      <w:snapToGrid w:val="0"/>
      <w:jc w:val="left"/>
    </w:pPr>
  </w:style>
  <w:style w:type="paragraph" w:styleId="19">
    <w:name w:val="Balloon Text"/>
    <w:basedOn w:val="1"/>
    <w:link w:val="50"/>
    <w:semiHidden/>
    <w:qFormat/>
    <w:uiPriority w:val="0"/>
    <w:rPr>
      <w:kern w:val="0"/>
      <w:sz w:val="18"/>
      <w:szCs w:val="20"/>
    </w:rPr>
  </w:style>
  <w:style w:type="paragraph" w:styleId="20">
    <w:name w:val="footer"/>
    <w:basedOn w:val="1"/>
    <w:link w:val="51"/>
    <w:qFormat/>
    <w:uiPriority w:val="99"/>
    <w:pPr>
      <w:tabs>
        <w:tab w:val="center" w:pos="4153"/>
        <w:tab w:val="right" w:pos="8306"/>
      </w:tabs>
      <w:snapToGrid w:val="0"/>
      <w:jc w:val="left"/>
    </w:pPr>
    <w:rPr>
      <w:kern w:val="0"/>
      <w:sz w:val="18"/>
      <w:szCs w:val="20"/>
    </w:rPr>
  </w:style>
  <w:style w:type="paragraph" w:styleId="21">
    <w:name w:val="header"/>
    <w:basedOn w:val="1"/>
    <w:next w:val="22"/>
    <w:link w:val="52"/>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22">
    <w:name w:val="样式5"/>
    <w:basedOn w:val="23"/>
    <w:next w:val="24"/>
    <w:qFormat/>
    <w:uiPriority w:val="0"/>
    <w:pPr>
      <w:tabs>
        <w:tab w:val="center" w:pos="4153"/>
        <w:tab w:val="right" w:pos="8306"/>
      </w:tabs>
      <w:snapToGrid w:val="0"/>
      <w:spacing w:line="360" w:lineRule="auto"/>
      <w:ind w:firstLine="510"/>
    </w:pPr>
    <w:rPr>
      <w:sz w:val="24"/>
      <w:szCs w:val="24"/>
    </w:rPr>
  </w:style>
  <w:style w:type="paragraph" w:customStyle="1" w:styleId="23">
    <w:name w:val="正文1"/>
    <w:basedOn w:val="20"/>
    <w:next w:val="1"/>
    <w:qFormat/>
    <w:uiPriority w:val="0"/>
    <w:pPr>
      <w:adjustRightInd w:val="0"/>
      <w:snapToGrid w:val="0"/>
      <w:spacing w:line="480" w:lineRule="exact"/>
      <w:ind w:firstLine="200" w:firstLineChars="200"/>
    </w:pPr>
    <w:rPr>
      <w:kern w:val="0"/>
      <w:sz w:val="24"/>
    </w:rPr>
  </w:style>
  <w:style w:type="paragraph" w:customStyle="1" w:styleId="24">
    <w:name w:val="图框文字"/>
    <w:basedOn w:val="1"/>
    <w:qFormat/>
    <w:uiPriority w:val="0"/>
    <w:pPr>
      <w:jc w:val="center"/>
      <w:textAlignment w:val="center"/>
    </w:pPr>
    <w:rPr>
      <w:rFonts w:ascii="Times New Roman" w:hAnsi="Times New Roman" w:eastAsia="宋体" w:cs="Times New Roman"/>
      <w:szCs w:val="24"/>
    </w:rPr>
  </w:style>
  <w:style w:type="paragraph" w:styleId="25">
    <w:name w:val="toc 1"/>
    <w:basedOn w:val="1"/>
    <w:next w:val="1"/>
    <w:unhideWhenUsed/>
    <w:qFormat/>
    <w:locked/>
    <w:uiPriority w:val="39"/>
    <w:pPr>
      <w:widowControl/>
      <w:spacing w:after="100" w:line="276" w:lineRule="auto"/>
      <w:jc w:val="left"/>
    </w:pPr>
    <w:rPr>
      <w:kern w:val="0"/>
      <w:sz w:val="22"/>
    </w:rPr>
  </w:style>
  <w:style w:type="paragraph" w:styleId="26">
    <w:name w:val="List"/>
    <w:basedOn w:val="1"/>
    <w:qFormat/>
    <w:locked/>
    <w:uiPriority w:val="0"/>
    <w:pPr>
      <w:widowControl w:val="0"/>
      <w:spacing w:line="360" w:lineRule="exact"/>
      <w:ind w:firstLine="0" w:firstLineChars="0"/>
      <w:jc w:val="center"/>
    </w:pPr>
    <w:rPr>
      <w:sz w:val="21"/>
    </w:rPr>
  </w:style>
  <w:style w:type="paragraph" w:styleId="27">
    <w:name w:val="Body Text Indent 3"/>
    <w:basedOn w:val="1"/>
    <w:qFormat/>
    <w:locked/>
    <w:uiPriority w:val="0"/>
    <w:pPr>
      <w:spacing w:line="300" w:lineRule="auto"/>
      <w:ind w:firstLine="616"/>
    </w:pPr>
  </w:style>
  <w:style w:type="paragraph" w:styleId="28">
    <w:name w:val="toc 2"/>
    <w:basedOn w:val="1"/>
    <w:next w:val="1"/>
    <w:semiHidden/>
    <w:qFormat/>
    <w:locked/>
    <w:uiPriority w:val="0"/>
    <w:pPr>
      <w:spacing w:line="440" w:lineRule="exact"/>
      <w:ind w:firstLine="200" w:firstLineChars="200"/>
    </w:pPr>
  </w:style>
  <w:style w:type="paragraph" w:styleId="29">
    <w:name w:val="Body Text 2"/>
    <w:basedOn w:val="1"/>
    <w:qFormat/>
    <w:locked/>
    <w:uiPriority w:val="0"/>
    <w:pPr>
      <w:spacing w:after="120" w:line="480" w:lineRule="auto"/>
    </w:pPr>
  </w:style>
  <w:style w:type="paragraph" w:styleId="30">
    <w:name w:val="Normal (Web)"/>
    <w:basedOn w:val="1"/>
    <w:link w:val="53"/>
    <w:qFormat/>
    <w:uiPriority w:val="0"/>
    <w:pPr>
      <w:widowControl/>
      <w:spacing w:before="100" w:beforeAutospacing="1" w:after="100" w:afterAutospacing="1"/>
      <w:jc w:val="left"/>
    </w:pPr>
    <w:rPr>
      <w:rFonts w:ascii="宋体" w:hAnsi="宋体"/>
      <w:kern w:val="0"/>
      <w:sz w:val="24"/>
      <w:szCs w:val="20"/>
    </w:rPr>
  </w:style>
  <w:style w:type="paragraph" w:styleId="31">
    <w:name w:val="annotation subject"/>
    <w:basedOn w:val="11"/>
    <w:next w:val="11"/>
    <w:link w:val="54"/>
    <w:semiHidden/>
    <w:qFormat/>
    <w:uiPriority w:val="0"/>
    <w:rPr>
      <w:b/>
      <w:sz w:val="24"/>
      <w:szCs w:val="20"/>
    </w:rPr>
  </w:style>
  <w:style w:type="paragraph" w:styleId="32">
    <w:name w:val="Body Text First Indent"/>
    <w:basedOn w:val="12"/>
    <w:next w:val="1"/>
    <w:link w:val="55"/>
    <w:qFormat/>
    <w:locked/>
    <w:uiPriority w:val="0"/>
    <w:pPr>
      <w:spacing w:after="120"/>
      <w:ind w:firstLine="420" w:firstLineChars="100"/>
    </w:pPr>
    <w:rPr>
      <w:rFonts w:ascii="Times New Roman" w:hAnsi="Times New Roman"/>
      <w:sz w:val="28"/>
      <w:szCs w:val="28"/>
      <w:lang w:val="en-US" w:eastAsia="zh-CN"/>
    </w:rPr>
  </w:style>
  <w:style w:type="paragraph" w:styleId="33">
    <w:name w:val="Body Text First Indent 2"/>
    <w:basedOn w:val="14"/>
    <w:next w:val="1"/>
    <w:qFormat/>
    <w:locked/>
    <w:uiPriority w:val="0"/>
    <w:pPr>
      <w:ind w:firstLine="420" w:firstLineChars="200"/>
    </w:pPr>
  </w:style>
  <w:style w:type="table" w:styleId="35">
    <w:name w:val="Table Grid"/>
    <w:basedOn w:val="34"/>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7">
    <w:name w:val="1"/>
    <w:basedOn w:val="1"/>
    <w:next w:val="1"/>
    <w:link w:val="36"/>
    <w:qFormat/>
    <w:uiPriority w:val="0"/>
    <w:rPr>
      <w:color w:val="000000"/>
      <w:kern w:val="0"/>
      <w:u w:val="none" w:color="000000"/>
    </w:rPr>
  </w:style>
  <w:style w:type="character" w:styleId="38">
    <w:name w:val="Strong"/>
    <w:basedOn w:val="36"/>
    <w:qFormat/>
    <w:locked/>
    <w:uiPriority w:val="0"/>
    <w:rPr>
      <w:b/>
    </w:rPr>
  </w:style>
  <w:style w:type="character" w:styleId="39">
    <w:name w:val="page number"/>
    <w:basedOn w:val="36"/>
    <w:qFormat/>
    <w:locked/>
    <w:uiPriority w:val="0"/>
  </w:style>
  <w:style w:type="character" w:styleId="40">
    <w:name w:val="Emphasis"/>
    <w:basedOn w:val="36"/>
    <w:qFormat/>
    <w:locked/>
    <w:uiPriority w:val="0"/>
    <w:rPr>
      <w:i/>
    </w:rPr>
  </w:style>
  <w:style w:type="character" w:styleId="41">
    <w:name w:val="Hyperlink"/>
    <w:basedOn w:val="36"/>
    <w:qFormat/>
    <w:locked/>
    <w:uiPriority w:val="0"/>
    <w:rPr>
      <w:color w:val="0000FF"/>
      <w:u w:val="single"/>
    </w:rPr>
  </w:style>
  <w:style w:type="character" w:styleId="42">
    <w:name w:val="annotation reference"/>
    <w:semiHidden/>
    <w:qFormat/>
    <w:uiPriority w:val="0"/>
    <w:rPr>
      <w:sz w:val="21"/>
    </w:rPr>
  </w:style>
  <w:style w:type="paragraph" w:customStyle="1" w:styleId="43">
    <w:name w:val="Default"/>
    <w:basedOn w:val="44"/>
    <w:next w:val="45"/>
    <w:qFormat/>
    <w:uiPriority w:val="0"/>
    <w:pPr>
      <w:widowControl w:val="0"/>
      <w:autoSpaceDE w:val="0"/>
      <w:autoSpaceDN w:val="0"/>
      <w:adjustRightInd w:val="0"/>
    </w:pPr>
    <w:rPr>
      <w:rFonts w:ascii="Arial Unicode MS" w:hAnsi="Arial Unicode MS" w:eastAsia="宋体" w:cs="Arial Unicode MS"/>
      <w:color w:val="000000"/>
      <w:sz w:val="24"/>
      <w:szCs w:val="24"/>
      <w:lang w:val="en-US" w:eastAsia="zh-CN" w:bidi="ar-SA"/>
    </w:rPr>
  </w:style>
  <w:style w:type="paragraph" w:customStyle="1" w:styleId="44">
    <w:name w:val="纯文本1"/>
    <w:basedOn w:val="1"/>
    <w:next w:val="1"/>
    <w:qFormat/>
    <w:uiPriority w:val="0"/>
    <w:pPr>
      <w:spacing w:line="240" w:lineRule="auto"/>
      <w:textAlignment w:val="auto"/>
    </w:pPr>
    <w:rPr>
      <w:rFonts w:ascii="宋体" w:hAnsi="Courier New"/>
      <w:szCs w:val="21"/>
    </w:rPr>
  </w:style>
  <w:style w:type="paragraph" w:customStyle="1" w:styleId="45">
    <w:name w:val="正文文字 6"/>
    <w:next w:val="1"/>
    <w:qFormat/>
    <w:uiPriority w:val="0"/>
    <w:pPr>
      <w:widowControl w:val="0"/>
      <w:ind w:left="240"/>
      <w:jc w:val="both"/>
    </w:pPr>
    <w:rPr>
      <w:rFonts w:ascii="宋体" w:hAnsi="Times New Roman" w:eastAsia="宋体" w:cs="Times New Roman"/>
      <w:b/>
      <w:bCs/>
      <w:kern w:val="2"/>
      <w:sz w:val="32"/>
      <w:szCs w:val="32"/>
      <w:lang w:val="en-US" w:eastAsia="zh-CN" w:bidi="ar-SA"/>
    </w:rPr>
  </w:style>
  <w:style w:type="character" w:customStyle="1" w:styleId="46">
    <w:name w:val="批注文字 字符"/>
    <w:link w:val="11"/>
    <w:qFormat/>
    <w:locked/>
    <w:uiPriority w:val="0"/>
    <w:rPr>
      <w:rFonts w:ascii="Times New Roman" w:hAnsi="Times New Roman" w:eastAsia="宋体"/>
      <w:sz w:val="24"/>
    </w:rPr>
  </w:style>
  <w:style w:type="character" w:customStyle="1" w:styleId="47">
    <w:name w:val="正文文本 字符"/>
    <w:link w:val="12"/>
    <w:qFormat/>
    <w:locked/>
    <w:uiPriority w:val="0"/>
    <w:rPr>
      <w:sz w:val="18"/>
    </w:rPr>
  </w:style>
  <w:style w:type="character" w:customStyle="1" w:styleId="48">
    <w:name w:val="正文文本缩进 字符"/>
    <w:link w:val="14"/>
    <w:semiHidden/>
    <w:qFormat/>
    <w:locked/>
    <w:uiPriority w:val="0"/>
    <w:rPr>
      <w:rFonts w:ascii="Times New Roman" w:hAnsi="Times New Roman" w:eastAsia="宋体"/>
      <w:sz w:val="24"/>
    </w:rPr>
  </w:style>
  <w:style w:type="character" w:customStyle="1" w:styleId="49">
    <w:name w:val="日期 字符1"/>
    <w:link w:val="17"/>
    <w:qFormat/>
    <w:locked/>
    <w:uiPriority w:val="0"/>
    <w:rPr>
      <w:rFonts w:ascii="Times New Roman" w:hAnsi="Times New Roman" w:eastAsia="宋体"/>
      <w:sz w:val="24"/>
    </w:rPr>
  </w:style>
  <w:style w:type="character" w:customStyle="1" w:styleId="50">
    <w:name w:val="批注框文本 字符"/>
    <w:link w:val="19"/>
    <w:semiHidden/>
    <w:qFormat/>
    <w:locked/>
    <w:uiPriority w:val="0"/>
    <w:rPr>
      <w:rFonts w:ascii="Times New Roman" w:hAnsi="Times New Roman" w:eastAsia="宋体"/>
      <w:sz w:val="18"/>
    </w:rPr>
  </w:style>
  <w:style w:type="character" w:customStyle="1" w:styleId="51">
    <w:name w:val="页脚 字符1"/>
    <w:link w:val="20"/>
    <w:qFormat/>
    <w:locked/>
    <w:uiPriority w:val="99"/>
    <w:rPr>
      <w:sz w:val="18"/>
    </w:rPr>
  </w:style>
  <w:style w:type="character" w:customStyle="1" w:styleId="52">
    <w:name w:val="页眉 字符"/>
    <w:link w:val="21"/>
    <w:qFormat/>
    <w:locked/>
    <w:uiPriority w:val="0"/>
    <w:rPr>
      <w:sz w:val="18"/>
    </w:rPr>
  </w:style>
  <w:style w:type="character" w:customStyle="1" w:styleId="53">
    <w:name w:val="普通(网站) 字符"/>
    <w:link w:val="30"/>
    <w:qFormat/>
    <w:locked/>
    <w:uiPriority w:val="0"/>
    <w:rPr>
      <w:rFonts w:ascii="宋体" w:hAnsi="宋体" w:eastAsia="宋体"/>
      <w:sz w:val="24"/>
    </w:rPr>
  </w:style>
  <w:style w:type="character" w:customStyle="1" w:styleId="54">
    <w:name w:val="批注主题 字符"/>
    <w:link w:val="31"/>
    <w:semiHidden/>
    <w:qFormat/>
    <w:locked/>
    <w:uiPriority w:val="0"/>
    <w:rPr>
      <w:rFonts w:ascii="Times New Roman" w:hAnsi="Times New Roman" w:eastAsia="宋体"/>
      <w:b/>
      <w:kern w:val="2"/>
      <w:sz w:val="24"/>
    </w:rPr>
  </w:style>
  <w:style w:type="character" w:customStyle="1" w:styleId="55">
    <w:name w:val="正文首行缩进 Char"/>
    <w:link w:val="32"/>
    <w:qFormat/>
    <w:uiPriority w:val="0"/>
    <w:rPr>
      <w:rFonts w:ascii="Times New Roman" w:hAnsi="Times New Roman"/>
      <w:sz w:val="28"/>
      <w:szCs w:val="28"/>
      <w:lang w:val="en-US" w:eastAsia="zh-CN"/>
    </w:rPr>
  </w:style>
  <w:style w:type="paragraph" w:customStyle="1" w:styleId="56">
    <w:name w:val="标正文格式"/>
    <w:qFormat/>
    <w:uiPriority w:val="0"/>
    <w:pPr>
      <w:spacing w:line="480" w:lineRule="exact"/>
      <w:ind w:firstLine="1092" w:firstLineChars="200"/>
      <w:jc w:val="both"/>
    </w:pPr>
    <w:rPr>
      <w:rFonts w:ascii="Times New Roman" w:hAnsi="Times New Roman" w:eastAsia="宋体" w:cs="Times New Roman"/>
      <w:sz w:val="24"/>
      <w:lang w:val="en-US" w:eastAsia="zh-CN" w:bidi="ar-SA"/>
    </w:rPr>
  </w:style>
  <w:style w:type="paragraph" w:customStyle="1" w:styleId="57">
    <w:name w:val="标题6-MB"/>
    <w:basedOn w:val="8"/>
    <w:next w:val="32"/>
    <w:qFormat/>
    <w:uiPriority w:val="0"/>
    <w:pPr>
      <w:keepNext w:val="0"/>
      <w:numPr>
        <w:ilvl w:val="5"/>
        <w:numId w:val="3"/>
      </w:numPr>
      <w:ind w:left="6720"/>
      <w:jc w:val="center"/>
    </w:pPr>
    <w:rPr>
      <w:rFonts w:ascii="Times New Roman" w:hAnsi="Times New Roman" w:cs="Times New Roman"/>
      <w:bCs/>
      <w:kern w:val="2"/>
      <w:sz w:val="21"/>
      <w:lang w:val="zh-CN"/>
    </w:rPr>
  </w:style>
  <w:style w:type="paragraph" w:customStyle="1" w:styleId="58">
    <w:name w:val="标题2-MB"/>
    <w:basedOn w:val="1"/>
    <w:next w:val="32"/>
    <w:qFormat/>
    <w:uiPriority w:val="0"/>
    <w:pPr>
      <w:numPr>
        <w:ilvl w:val="1"/>
        <w:numId w:val="4"/>
      </w:numPr>
    </w:pPr>
  </w:style>
  <w:style w:type="paragraph" w:customStyle="1" w:styleId="59">
    <w:name w:val="标题3-MB"/>
    <w:basedOn w:val="1"/>
    <w:next w:val="32"/>
    <w:qFormat/>
    <w:uiPriority w:val="0"/>
    <w:pPr>
      <w:numPr>
        <w:ilvl w:val="2"/>
        <w:numId w:val="4"/>
      </w:numPr>
    </w:pPr>
  </w:style>
  <w:style w:type="paragraph" w:customStyle="1" w:styleId="60">
    <w:name w:val="标题4-MB"/>
    <w:basedOn w:val="1"/>
    <w:next w:val="32"/>
    <w:qFormat/>
    <w:uiPriority w:val="0"/>
    <w:pPr>
      <w:numPr>
        <w:ilvl w:val="3"/>
        <w:numId w:val="3"/>
      </w:numPr>
      <w:ind w:left="2730"/>
    </w:pPr>
  </w:style>
  <w:style w:type="paragraph" w:customStyle="1" w:styleId="61">
    <w:name w:val="标题5-C"/>
    <w:basedOn w:val="7"/>
    <w:next w:val="62"/>
    <w:qFormat/>
    <w:uiPriority w:val="0"/>
    <w:pPr>
      <w:numPr>
        <w:ilvl w:val="4"/>
        <w:numId w:val="5"/>
      </w:numPr>
      <w:tabs>
        <w:tab w:val="clear" w:pos="1843"/>
      </w:tabs>
      <w:jc w:val="left"/>
    </w:pPr>
    <w:rPr>
      <w:rFonts w:ascii="Times New Roman" w:hAnsi="Times New Roman" w:eastAsia="黑体"/>
      <w:kern w:val="24"/>
      <w:sz w:val="21"/>
      <w:szCs w:val="24"/>
      <w:lang w:bidi="en-US"/>
    </w:rPr>
  </w:style>
  <w:style w:type="paragraph" w:customStyle="1" w:styleId="62">
    <w:name w:val="表格内-C"/>
    <w:basedOn w:val="1"/>
    <w:qFormat/>
    <w:uiPriority w:val="0"/>
    <w:pPr>
      <w:widowControl/>
      <w:adjustRightInd w:val="0"/>
      <w:snapToGrid w:val="0"/>
      <w:contextualSpacing/>
      <w:jc w:val="center"/>
    </w:pPr>
    <w:rPr>
      <w:rFonts w:ascii="Times New Roman" w:hAnsi="Times New Roman" w:eastAsia="宋体"/>
      <w:szCs w:val="20"/>
    </w:rPr>
  </w:style>
  <w:style w:type="paragraph" w:customStyle="1" w:styleId="63">
    <w:name w:val="表"/>
    <w:basedOn w:val="64"/>
    <w:qFormat/>
    <w:uiPriority w:val="0"/>
    <w:pPr>
      <w:spacing w:line="440" w:lineRule="exact"/>
      <w:ind w:firstLine="200" w:firstLineChars="200"/>
      <w:jc w:val="both"/>
    </w:pPr>
    <w:rPr>
      <w:rFonts w:ascii="Times New Roman" w:hAnsi="Times New Roman"/>
      <w:sz w:val="24"/>
      <w:lang w:val="en-US" w:eastAsia="zh-CN" w:bidi="ar-SA"/>
    </w:rPr>
  </w:style>
  <w:style w:type="paragraph" w:customStyle="1" w:styleId="64">
    <w:name w:val=" Char Char Char Char"/>
    <w:basedOn w:val="1"/>
    <w:qFormat/>
    <w:uiPriority w:val="0"/>
  </w:style>
  <w:style w:type="paragraph" w:customStyle="1" w:styleId="65">
    <w:name w:val="样式 正文文本 + 首行缩进:  2 字符"/>
    <w:basedOn w:val="12"/>
    <w:qFormat/>
    <w:uiPriority w:val="99"/>
    <w:pPr>
      <w:spacing w:after="200" w:line="480" w:lineRule="exact"/>
      <w:ind w:firstLine="480" w:firstLineChars="200"/>
    </w:pPr>
    <w:rPr>
      <w:rFonts w:ascii="宋体" w:hAnsi="宋体" w:eastAsia="宋体" w:cs="Times New Roman"/>
      <w:sz w:val="24"/>
      <w:lang w:val="en-US" w:eastAsia="zh-CN" w:bidi="ar-SA"/>
    </w:rPr>
  </w:style>
  <w:style w:type="character" w:customStyle="1" w:styleId="66">
    <w:name w:val="表格 Char"/>
    <w:link w:val="67"/>
    <w:qFormat/>
    <w:locked/>
    <w:uiPriority w:val="0"/>
    <w:rPr>
      <w:rFonts w:ascii="宋体"/>
      <w:sz w:val="21"/>
    </w:rPr>
  </w:style>
  <w:style w:type="paragraph" w:customStyle="1" w:styleId="67">
    <w:name w:val="表格"/>
    <w:basedOn w:val="26"/>
    <w:next w:val="1"/>
    <w:link w:val="66"/>
    <w:qFormat/>
    <w:uiPriority w:val="0"/>
    <w:pPr>
      <w:adjustRightInd w:val="0"/>
      <w:snapToGrid w:val="0"/>
      <w:spacing w:beforeLines="10" w:afterLines="10" w:line="259" w:lineRule="auto"/>
      <w:jc w:val="center"/>
    </w:pPr>
    <w:rPr>
      <w:rFonts w:ascii="宋体"/>
      <w:kern w:val="0"/>
      <w:szCs w:val="20"/>
    </w:rPr>
  </w:style>
  <w:style w:type="character" w:customStyle="1" w:styleId="68">
    <w:name w:val="批注文字 字符1"/>
    <w:semiHidden/>
    <w:qFormat/>
    <w:uiPriority w:val="0"/>
    <w:rPr>
      <w:rFonts w:ascii="Times New Roman" w:hAnsi="Times New Roman" w:eastAsia="宋体"/>
      <w:sz w:val="24"/>
    </w:rPr>
  </w:style>
  <w:style w:type="character" w:customStyle="1" w:styleId="69">
    <w:name w:val="其他_"/>
    <w:link w:val="70"/>
    <w:unhideWhenUsed/>
    <w:qFormat/>
    <w:uiPriority w:val="99"/>
    <w:rPr>
      <w:rFonts w:hint="eastAsia" w:ascii="宋体" w:hAnsi="宋体" w:eastAsia="宋体"/>
      <w:color w:val="000000"/>
      <w:kern w:val="0"/>
      <w:sz w:val="20"/>
      <w:u w:val="none" w:color="000000"/>
      <w:lang w:val="zh-CN" w:eastAsia="zh-CN"/>
    </w:rPr>
  </w:style>
  <w:style w:type="paragraph" w:customStyle="1" w:styleId="70">
    <w:name w:val="其他"/>
    <w:basedOn w:val="1"/>
    <w:link w:val="69"/>
    <w:unhideWhenUsed/>
    <w:qFormat/>
    <w:uiPriority w:val="99"/>
    <w:pPr>
      <w:spacing w:beforeLines="0" w:afterLines="0"/>
      <w:jc w:val="center"/>
    </w:pPr>
    <w:rPr>
      <w:rFonts w:hint="eastAsia" w:ascii="宋体" w:hAnsi="宋体" w:eastAsia="宋体"/>
      <w:sz w:val="20"/>
      <w:lang w:val="zh-CN" w:eastAsia="zh-CN"/>
    </w:rPr>
  </w:style>
  <w:style w:type="character" w:customStyle="1" w:styleId="71">
    <w:name w:val="日期 字符"/>
    <w:semiHidden/>
    <w:qFormat/>
    <w:uiPriority w:val="0"/>
    <w:rPr>
      <w:rFonts w:ascii="Times New Roman" w:hAnsi="Times New Roman" w:eastAsia="宋体"/>
      <w:sz w:val="24"/>
    </w:rPr>
  </w:style>
  <w:style w:type="character" w:customStyle="1" w:styleId="72">
    <w:name w:val="正文文本 字符1"/>
    <w:semiHidden/>
    <w:qFormat/>
    <w:uiPriority w:val="0"/>
    <w:rPr>
      <w:rFonts w:ascii="Times New Roman" w:hAnsi="Times New Roman" w:eastAsia="宋体"/>
      <w:sz w:val="24"/>
    </w:rPr>
  </w:style>
  <w:style w:type="character" w:customStyle="1" w:styleId="73">
    <w:name w:val="font01"/>
    <w:basedOn w:val="36"/>
    <w:qFormat/>
    <w:uiPriority w:val="0"/>
    <w:rPr>
      <w:rFonts w:hint="default" w:ascii="华文楷体" w:hAnsi="华文楷体" w:eastAsia="华文楷体" w:cs="华文楷体"/>
      <w:color w:val="000000"/>
      <w:kern w:val="0"/>
      <w:sz w:val="21"/>
      <w:szCs w:val="21"/>
      <w:u w:val="none" w:color="000000"/>
    </w:rPr>
  </w:style>
  <w:style w:type="character" w:customStyle="1" w:styleId="74">
    <w:name w:val="fontstyle01"/>
    <w:qFormat/>
    <w:uiPriority w:val="0"/>
    <w:rPr>
      <w:rFonts w:hint="eastAsia" w:ascii="宋体" w:hAnsi="宋体" w:eastAsia="宋体"/>
      <w:color w:val="000000"/>
      <w:kern w:val="0"/>
      <w:sz w:val="24"/>
      <w:szCs w:val="24"/>
      <w:u w:val="none" w:color="000000"/>
    </w:rPr>
  </w:style>
  <w:style w:type="character" w:customStyle="1" w:styleId="75">
    <w:name w:val="页脚 字符"/>
    <w:basedOn w:val="36"/>
    <w:qFormat/>
    <w:uiPriority w:val="99"/>
  </w:style>
  <w:style w:type="paragraph" w:customStyle="1" w:styleId="76">
    <w:name w:val="表内容@"/>
    <w:basedOn w:val="1"/>
    <w:qFormat/>
    <w:uiPriority w:val="0"/>
    <w:pPr>
      <w:spacing w:line="0" w:lineRule="atLeast"/>
      <w:jc w:val="center"/>
    </w:pPr>
    <w:rPr>
      <w:rFonts w:cs="宋体"/>
      <w:szCs w:val="22"/>
    </w:rPr>
  </w:style>
  <w:style w:type="paragraph" w:customStyle="1" w:styleId="77">
    <w:name w:val="报告表正文"/>
    <w:basedOn w:val="1"/>
    <w:qFormat/>
    <w:uiPriority w:val="0"/>
    <w:pPr>
      <w:adjustRightInd w:val="0"/>
      <w:spacing w:line="312" w:lineRule="auto"/>
      <w:ind w:left="113" w:right="113" w:firstLine="482"/>
      <w:jc w:val="left"/>
      <w:textAlignment w:val="baseline"/>
    </w:pPr>
    <w:rPr>
      <w:kern w:val="0"/>
      <w:sz w:val="24"/>
    </w:rPr>
  </w:style>
  <w:style w:type="paragraph" w:customStyle="1" w:styleId="78">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79">
    <w:name w:val="文"/>
    <w:basedOn w:val="1"/>
    <w:qFormat/>
    <w:uiPriority w:val="0"/>
    <w:pPr>
      <w:adjustRightInd/>
      <w:spacing w:line="360" w:lineRule="auto"/>
      <w:ind w:firstLine="480" w:firstLineChars="200"/>
      <w:jc w:val="both"/>
      <w:textAlignment w:val="auto"/>
    </w:pPr>
    <w:rPr>
      <w:kern w:val="2"/>
    </w:rPr>
  </w:style>
  <w:style w:type="paragraph" w:customStyle="1" w:styleId="80">
    <w:name w:val="Q-正文"/>
    <w:basedOn w:val="1"/>
    <w:qFormat/>
    <w:uiPriority w:val="0"/>
    <w:pPr>
      <w:autoSpaceDE w:val="0"/>
      <w:autoSpaceDN w:val="0"/>
      <w:spacing w:line="360" w:lineRule="auto"/>
      <w:ind w:firstLine="200" w:firstLineChars="200"/>
    </w:pPr>
    <w:rPr>
      <w:sz w:val="24"/>
      <w:szCs w:val="28"/>
      <w:lang w:val="zh-CN"/>
    </w:rPr>
  </w:style>
  <w:style w:type="paragraph" w:customStyle="1" w:styleId="81">
    <w:name w:val="样式 四号 左侧:  1.53 厘米"/>
    <w:basedOn w:val="1"/>
    <w:qFormat/>
    <w:uiPriority w:val="0"/>
    <w:pPr>
      <w:adjustRightInd w:val="0"/>
    </w:pPr>
    <w:rPr>
      <w:w w:val="90"/>
      <w:sz w:val="28"/>
      <w:szCs w:val="28"/>
    </w:rPr>
  </w:style>
  <w:style w:type="paragraph" w:customStyle="1" w:styleId="82">
    <w:name w:val="3正文"/>
    <w:qFormat/>
    <w:uiPriority w:val="0"/>
    <w:pPr>
      <w:widowControl w:val="0"/>
      <w:spacing w:line="520" w:lineRule="exact"/>
      <w:ind w:firstLine="200" w:firstLineChars="200"/>
      <w:jc w:val="both"/>
    </w:pPr>
    <w:rPr>
      <w:rFonts w:ascii="Calibri" w:hAnsi="Calibri" w:eastAsia="宋体" w:cs="Calibri"/>
      <w:kern w:val="2"/>
      <w:sz w:val="24"/>
      <w:szCs w:val="24"/>
      <w:lang w:val="en-US" w:eastAsia="zh-CN" w:bidi="ar-SA"/>
    </w:rPr>
  </w:style>
  <w:style w:type="paragraph" w:customStyle="1" w:styleId="83">
    <w:name w:val="Body Text First Indent1"/>
    <w:next w:val="1"/>
    <w:qFormat/>
    <w:uiPriority w:val="0"/>
    <w:pPr>
      <w:widowControl w:val="0"/>
      <w:spacing w:after="120"/>
      <w:ind w:firstLine="420"/>
      <w:jc w:val="both"/>
    </w:pPr>
    <w:rPr>
      <w:rFonts w:ascii="Times New Roman" w:hAnsi="Times New Roman" w:eastAsia="宋体" w:cs="Times New Roman"/>
      <w:sz w:val="21"/>
      <w:szCs w:val="22"/>
      <w:lang w:val="en-US" w:eastAsia="zh-CN" w:bidi="ar-SA"/>
    </w:rPr>
  </w:style>
  <w:style w:type="paragraph" w:customStyle="1" w:styleId="84">
    <w:name w:val="aaa正文"/>
    <w:qFormat/>
    <w:uiPriority w:val="0"/>
    <w:pPr>
      <w:spacing w:line="480" w:lineRule="exact"/>
      <w:ind w:firstLine="200" w:firstLineChars="200"/>
      <w:jc w:val="both"/>
    </w:pPr>
    <w:rPr>
      <w:rFonts w:ascii="Times New Roman" w:hAnsi="Times New Roman" w:eastAsia="宋体" w:cs="Times New Roman"/>
      <w:sz w:val="24"/>
      <w:lang w:val="en-US" w:eastAsia="zh-CN" w:bidi="ar-SA"/>
    </w:rPr>
  </w:style>
  <w:style w:type="paragraph" w:customStyle="1" w:styleId="85">
    <w:name w:val="表格居中"/>
    <w:qFormat/>
    <w:uiPriority w:val="0"/>
    <w:pPr>
      <w:spacing w:line="440" w:lineRule="exact"/>
      <w:jc w:val="center"/>
    </w:pPr>
    <w:rPr>
      <w:rFonts w:ascii="Times New Roman" w:hAnsi="Times New Roman" w:eastAsia="宋体" w:cs="Times New Roman"/>
      <w:sz w:val="24"/>
      <w:szCs w:val="24"/>
      <w:lang w:val="en-US" w:eastAsia="zh-CN" w:bidi="ar-SA"/>
    </w:rPr>
  </w:style>
  <w:style w:type="paragraph" w:customStyle="1" w:styleId="86">
    <w:name w:val="内容"/>
    <w:basedOn w:val="33"/>
    <w:qFormat/>
    <w:uiPriority w:val="0"/>
    <w:pPr>
      <w:spacing w:after="0" w:line="360" w:lineRule="auto"/>
      <w:ind w:left="0" w:leftChars="0" w:firstLine="200"/>
    </w:pPr>
    <w:rPr>
      <w:rFonts w:ascii="Times New Roman" w:hAnsi="Times New Roman"/>
      <w:sz w:val="24"/>
      <w:szCs w:val="24"/>
    </w:rPr>
  </w:style>
  <w:style w:type="paragraph" w:customStyle="1" w:styleId="87">
    <w:name w:val="表格文化"/>
    <w:basedOn w:val="1"/>
    <w:qFormat/>
    <w:uiPriority w:val="0"/>
    <w:pPr>
      <w:widowControl/>
      <w:spacing w:beforeLines="25" w:afterLines="25" w:line="360" w:lineRule="auto"/>
      <w:jc w:val="center"/>
    </w:pPr>
    <w:rPr>
      <w:rFonts w:eastAsia="宋体"/>
      <w:b/>
      <w:bCs/>
      <w:snapToGrid w:val="0"/>
      <w:kern w:val="0"/>
      <w:sz w:val="24"/>
    </w:rPr>
  </w:style>
  <w:style w:type="paragraph" w:customStyle="1" w:styleId="88">
    <w:name w:val="Char Char Char Char Char Char Char Char Char1 Char"/>
    <w:basedOn w:val="1"/>
    <w:next w:val="83"/>
    <w:qFormat/>
    <w:uiPriority w:val="0"/>
    <w:rPr>
      <w:rFonts w:ascii="宋体" w:hAnsi="宋体" w:cs="宋体"/>
      <w:szCs w:val="24"/>
    </w:rPr>
  </w:style>
  <w:style w:type="paragraph" w:customStyle="1" w:styleId="89">
    <w:name w:val="表格内容"/>
    <w:next w:val="1"/>
    <w:qFormat/>
    <w:uiPriority w:val="0"/>
    <w:pPr>
      <w:adjustRightInd w:val="0"/>
      <w:snapToGrid w:val="0"/>
      <w:spacing w:line="360" w:lineRule="exact"/>
      <w:jc w:val="center"/>
    </w:pPr>
    <w:rPr>
      <w:rFonts w:ascii="Times New Roman" w:hAnsi="Times New Roman" w:eastAsia="宋体" w:cs="Times New Roman"/>
      <w:color w:val="000000"/>
      <w:sz w:val="21"/>
      <w:szCs w:val="24"/>
      <w:lang w:val="en-US" w:eastAsia="zh-CN" w:bidi="ar-SA"/>
    </w:rPr>
  </w:style>
  <w:style w:type="paragraph" w:customStyle="1" w:styleId="90">
    <w:name w:val="正文-自建"/>
    <w:basedOn w:val="6"/>
    <w:qFormat/>
    <w:uiPriority w:val="0"/>
    <w:pPr>
      <w:adjustRightInd/>
      <w:snapToGrid/>
      <w:spacing w:line="600" w:lineRule="exact"/>
    </w:pPr>
    <w:rPr>
      <w:rFonts w:ascii="Times New Roman" w:hAnsi="Times New Roman"/>
    </w:rPr>
  </w:style>
  <w:style w:type="paragraph" w:customStyle="1" w:styleId="91">
    <w:name w:val="样式 Times New Roman 加粗 两端对齐 首行缩进:  0.85 厘米 行距: 固定值 22 磅"/>
    <w:basedOn w:val="1"/>
    <w:qFormat/>
    <w:uiPriority w:val="0"/>
    <w:pPr>
      <w:widowControl/>
      <w:spacing w:line="440" w:lineRule="exact"/>
      <w:ind w:firstLine="200" w:firstLineChars="200"/>
    </w:pPr>
    <w:rPr>
      <w:rFonts w:cs="宋体"/>
      <w:b/>
      <w:bCs/>
      <w:kern w:val="0"/>
      <w:sz w:val="24"/>
      <w:szCs w:val="20"/>
    </w:rPr>
  </w:style>
  <w:style w:type="paragraph" w:customStyle="1" w:styleId="92">
    <w:name w:val="样式 样式 样式 四号 左侧:  1.53 厘米 + 首行缩进:  2 字符 + 居中 左侧:  2 字符 首行缩进:  2..."/>
    <w:basedOn w:val="93"/>
    <w:qFormat/>
    <w:uiPriority w:val="0"/>
    <w:pPr>
      <w:ind w:firstLine="0" w:firstLineChars="0"/>
      <w:jc w:val="center"/>
    </w:pPr>
  </w:style>
  <w:style w:type="paragraph" w:customStyle="1" w:styleId="93">
    <w:name w:val="样式 样式 四号 左侧:  1.53 厘米 + 首行缩进:  2 字符"/>
    <w:basedOn w:val="81"/>
    <w:qFormat/>
    <w:uiPriority w:val="0"/>
    <w:pPr>
      <w:ind w:left="200" w:leftChars="200"/>
    </w:pPr>
    <w:rPr>
      <w:szCs w:val="20"/>
    </w:rPr>
  </w:style>
  <w:style w:type="paragraph" w:customStyle="1" w:styleId="94">
    <w:name w:val="表格内容5号"/>
    <w:qFormat/>
    <w:uiPriority w:val="0"/>
    <w:pPr>
      <w:widowControl w:val="0"/>
      <w:snapToGrid w:val="0"/>
      <w:jc w:val="center"/>
    </w:pPr>
    <w:rPr>
      <w:rFonts w:ascii="Times New Roman" w:hAnsi="Times New Roman" w:eastAsia="宋体" w:cs="Times New Roman"/>
      <w:kern w:val="2"/>
      <w:sz w:val="21"/>
      <w:szCs w:val="24"/>
      <w:lang w:val="en-US" w:eastAsia="zh-CN" w:bidi="ar-SA"/>
    </w:rPr>
  </w:style>
  <w:style w:type="paragraph" w:customStyle="1" w:styleId="95">
    <w:name w:val="Table Paragraph"/>
    <w:basedOn w:val="1"/>
    <w:unhideWhenUsed/>
    <w:qFormat/>
    <w:uiPriority w:val="1"/>
    <w:pPr>
      <w:spacing w:beforeLines="0" w:afterLines="0"/>
    </w:pPr>
    <w:rPr>
      <w:rFonts w:hint="default"/>
      <w:sz w:val="24"/>
    </w:rPr>
  </w:style>
  <w:style w:type="paragraph" w:customStyle="1" w:styleId="96">
    <w:name w:val="正文内容"/>
    <w:basedOn w:val="1"/>
    <w:qFormat/>
    <w:uiPriority w:val="0"/>
    <w:pPr>
      <w:spacing w:line="360" w:lineRule="auto"/>
      <w:ind w:firstLine="200" w:firstLineChars="200"/>
    </w:pPr>
    <w:rPr>
      <w:sz w:val="24"/>
      <w:szCs w:val="24"/>
    </w:rPr>
  </w:style>
  <w:style w:type="paragraph" w:customStyle="1" w:styleId="97">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8">
    <w:name w:val="表头1号"/>
    <w:basedOn w:val="1"/>
    <w:qFormat/>
    <w:uiPriority w:val="0"/>
    <w:pPr>
      <w:keepNext/>
      <w:widowControl/>
      <w:spacing w:line="240" w:lineRule="auto"/>
      <w:ind w:firstLine="0" w:firstLineChars="0"/>
      <w:jc w:val="center"/>
    </w:pPr>
    <w:rPr>
      <w:rFonts w:ascii="Times New Roman" w:hAnsi="Times New Roman"/>
      <w:b/>
    </w:rPr>
  </w:style>
  <w:style w:type="paragraph" w:customStyle="1" w:styleId="99">
    <w:name w:val="表头"/>
    <w:basedOn w:val="1"/>
    <w:next w:val="1"/>
    <w:qFormat/>
    <w:uiPriority w:val="0"/>
    <w:pPr>
      <w:numPr>
        <w:ilvl w:val="0"/>
        <w:numId w:val="6"/>
      </w:numPr>
      <w:spacing w:line="440" w:lineRule="exact"/>
      <w:ind w:left="0" w:firstLine="200" w:firstLineChars="200"/>
    </w:pPr>
    <w:rPr>
      <w:rFonts w:ascii="Times New Roman" w:hAnsi="Times New Roman"/>
      <w:b/>
      <w:color w:val="000000"/>
      <w:kern w:val="0"/>
      <w:sz w:val="24"/>
      <w:szCs w:val="24"/>
    </w:rPr>
  </w:style>
  <w:style w:type="paragraph" w:customStyle="1" w:styleId="100">
    <w:name w:val="表格正文"/>
    <w:basedOn w:val="1"/>
    <w:qFormat/>
    <w:uiPriority w:val="0"/>
    <w:pPr>
      <w:adjustRightInd w:val="0"/>
      <w:snapToGrid w:val="0"/>
    </w:pPr>
  </w:style>
  <w:style w:type="character" w:customStyle="1" w:styleId="101">
    <w:name w:val="font21"/>
    <w:basedOn w:val="36"/>
    <w:qFormat/>
    <w:uiPriority w:val="0"/>
    <w:rPr>
      <w:rFonts w:hint="eastAsia" w:ascii="宋体" w:hAnsi="宋体" w:eastAsia="宋体" w:cs="宋体"/>
      <w:color w:val="000000"/>
      <w:sz w:val="21"/>
      <w:szCs w:val="21"/>
      <w:u w:val="none"/>
    </w:rPr>
  </w:style>
  <w:style w:type="paragraph" w:customStyle="1" w:styleId="102">
    <w:name w:val="表中文字"/>
    <w:basedOn w:val="1"/>
    <w:qFormat/>
    <w:uiPriority w:val="0"/>
    <w:pPr>
      <w:adjustRightInd w:val="0"/>
      <w:snapToGrid w:val="0"/>
      <w:spacing w:line="240" w:lineRule="atLeast"/>
      <w:jc w:val="center"/>
    </w:pPr>
    <w:rPr>
      <w:kern w:val="0"/>
      <w:sz w:val="20"/>
      <w:lang w:val="zh-CN"/>
    </w:rPr>
  </w:style>
  <w:style w:type="character" w:customStyle="1" w:styleId="103">
    <w:name w:val="fontstyle11"/>
    <w:qFormat/>
    <w:uiPriority w:val="0"/>
    <w:rPr>
      <w:rFonts w:hint="eastAsia" w:ascii="宋体" w:hAnsi="宋体" w:eastAsia="宋体" w:cs="宋体"/>
      <w:color w:val="000000"/>
      <w:sz w:val="22"/>
      <w:szCs w:val="22"/>
    </w:rPr>
  </w:style>
  <w:style w:type="character" w:customStyle="1" w:styleId="104">
    <w:name w:val="正文（首行缩进两字） Char Char Char Char1"/>
    <w:qFormat/>
    <w:uiPriority w:val="0"/>
    <w:rPr>
      <w:rFonts w:ascii="Arial" w:hAnsi="Arial" w:eastAsia="宋体" w:cs="Times New Roman"/>
      <w:snapToGrid/>
      <w:sz w:val="24"/>
      <w:lang w:val="en-US" w:eastAsia="zh-CN" w:bidi="ar-SA"/>
    </w:rPr>
  </w:style>
  <w:style w:type="paragraph" w:styleId="105">
    <w:name w:val="List Paragraph"/>
    <w:basedOn w:val="1"/>
    <w:qFormat/>
    <w:uiPriority w:val="34"/>
    <w:pPr>
      <w:ind w:firstLine="420" w:firstLineChars="200"/>
    </w:pPr>
  </w:style>
  <w:style w:type="character" w:customStyle="1" w:styleId="106">
    <w:name w:val="font41"/>
    <w:basedOn w:val="36"/>
    <w:qFormat/>
    <w:uiPriority w:val="0"/>
    <w:rPr>
      <w:rFonts w:hint="eastAsia" w:ascii="宋体" w:hAnsi="宋体" w:eastAsia="宋体" w:cs="宋体"/>
      <w:color w:val="0000FF"/>
      <w:sz w:val="21"/>
      <w:szCs w:val="21"/>
      <w:u w:val="none"/>
    </w:rPr>
  </w:style>
  <w:style w:type="character" w:customStyle="1" w:styleId="107">
    <w:name w:val="font11"/>
    <w:basedOn w:val="36"/>
    <w:qFormat/>
    <w:uiPriority w:val="0"/>
    <w:rPr>
      <w:rFonts w:hint="default" w:ascii="Times New Roman" w:hAnsi="Times New Roman" w:cs="Times New Roman"/>
      <w:color w:val="0000FF"/>
      <w:sz w:val="21"/>
      <w:szCs w:val="21"/>
      <w:u w:val="none"/>
    </w:rPr>
  </w:style>
  <w:style w:type="character" w:customStyle="1" w:styleId="108">
    <w:name w:val="font51"/>
    <w:basedOn w:val="36"/>
    <w:qFormat/>
    <w:uiPriority w:val="0"/>
    <w:rPr>
      <w:rFonts w:hint="default" w:ascii="Times New Roman" w:hAnsi="Times New Roman" w:cs="Times New Roman"/>
      <w:color w:val="000000"/>
      <w:sz w:val="21"/>
      <w:szCs w:val="21"/>
      <w:u w:val="none"/>
    </w:rPr>
  </w:style>
  <w:style w:type="paragraph" w:customStyle="1" w:styleId="109">
    <w:name w:val="修改正文"/>
    <w:basedOn w:val="1"/>
    <w:qFormat/>
    <w:uiPriority w:val="0"/>
    <w:pPr>
      <w:adjustRightInd w:val="0"/>
      <w:snapToGrid w:val="0"/>
      <w:spacing w:before="20" w:beforeLines="20" w:line="288" w:lineRule="auto"/>
      <w:ind w:firstLine="420" w:firstLineChars="200"/>
    </w:pPr>
    <w:rPr>
      <w:rFonts w:ascii="Times New Roman" w:hAnsi="Times New Roman" w:eastAsia="宋体" w:cs="Times New Roman"/>
      <w:color w:val="auto"/>
      <w:szCs w:val="21"/>
    </w:rPr>
  </w:style>
  <w:style w:type="paragraph" w:customStyle="1" w:styleId="110">
    <w:name w:val="表标题"/>
    <w:basedOn w:val="1"/>
    <w:qFormat/>
    <w:uiPriority w:val="0"/>
    <w:pPr>
      <w:keepNext/>
      <w:spacing w:before="10" w:beforeLines="10" w:after="10" w:afterLines="10"/>
      <w:jc w:val="center"/>
    </w:pPr>
    <w:rPr>
      <w:rFonts w:hint="eastAsia" w:ascii="Times New Roman" w:hAnsi="Times New Roman" w:eastAsia="宋体"/>
      <w:b/>
      <w:kern w:val="0"/>
      <w:lang w:val="zh-CN"/>
    </w:rPr>
  </w:style>
  <w:style w:type="paragraph" w:customStyle="1" w:styleId="111">
    <w:name w:val="自制表格"/>
    <w:basedOn w:val="1"/>
    <w:qFormat/>
    <w:uiPriority w:val="0"/>
    <w:pPr>
      <w:keepNext/>
      <w:pBdr>
        <w:top w:val="none" w:color="auto" w:sz="0" w:space="1"/>
        <w:left w:val="none" w:color="auto" w:sz="0" w:space="4"/>
        <w:bottom w:val="none" w:color="auto" w:sz="0" w:space="1"/>
        <w:right w:val="none" w:color="auto" w:sz="0" w:space="4"/>
      </w:pBdr>
      <w:jc w:val="center"/>
    </w:pPr>
    <w:rPr>
      <w:rFonts w:ascii="Times New Roman" w:hAnsi="Times New Roman" w:eastAsia="宋体"/>
      <w:kern w:val="0"/>
      <w:lang w:val="zh-CN"/>
    </w:rPr>
  </w:style>
  <w:style w:type="paragraph" w:customStyle="1" w:styleId="112">
    <w:name w:val="报告书表格文（林）"/>
    <w:basedOn w:val="1"/>
    <w:qFormat/>
    <w:uiPriority w:val="0"/>
    <w:pPr>
      <w:spacing w:line="280" w:lineRule="exact"/>
      <w:ind w:firstLine="0" w:firstLineChars="0"/>
      <w:jc w:val="center"/>
    </w:pPr>
    <w:rPr>
      <w:sz w:val="21"/>
    </w:rPr>
  </w:style>
  <w:style w:type="paragraph" w:customStyle="1" w:styleId="113">
    <w:name w:val="g表格标题"/>
    <w:qFormat/>
    <w:uiPriority w:val="0"/>
    <w:pPr>
      <w:spacing w:line="360" w:lineRule="auto"/>
      <w:jc w:val="center"/>
    </w:pPr>
    <w:rPr>
      <w:rFonts w:ascii="Times New Roman" w:hAnsi="Times New Roman" w:eastAsia="宋体" w:cs="Times New Roman"/>
      <w:b/>
      <w:kern w:val="2"/>
      <w:sz w:val="24"/>
      <w:szCs w:val="24"/>
      <w:lang w:val="en-US" w:eastAsia="zh-CN" w:bidi="ar-SA"/>
    </w:rPr>
  </w:style>
  <w:style w:type="character" w:customStyle="1" w:styleId="114">
    <w:name w:val="font31"/>
    <w:basedOn w:val="36"/>
    <w:qFormat/>
    <w:uiPriority w:val="0"/>
    <w:rPr>
      <w:rFonts w:hint="eastAsia" w:ascii="宋体" w:hAnsi="宋体" w:eastAsia="宋体" w:cs="宋体"/>
      <w:color w:val="000000"/>
      <w:sz w:val="21"/>
      <w:szCs w:val="21"/>
      <w:u w:val="none"/>
    </w:rPr>
  </w:style>
  <w:style w:type="paragraph" w:customStyle="1" w:styleId="115">
    <w:name w:val="WPSOffice手动目录 1"/>
    <w:qFormat/>
    <w:uiPriority w:val="0"/>
    <w:pPr>
      <w:ind w:leftChars="0"/>
    </w:pPr>
    <w:rPr>
      <w:rFonts w:ascii="Times New Roman" w:hAnsi="Times New Roman" w:eastAsia="宋体" w:cs="Times New Roman"/>
      <w:sz w:val="20"/>
      <w:szCs w:val="20"/>
    </w:rPr>
  </w:style>
  <w:style w:type="paragraph" w:customStyle="1" w:styleId="116">
    <w:name w:val="居中项"/>
    <w:basedOn w:val="1"/>
    <w:qFormat/>
    <w:uiPriority w:val="0"/>
    <w:pPr>
      <w:adjustRightInd w:val="0"/>
      <w:snapToGrid w:val="0"/>
      <w:spacing w:line="288" w:lineRule="auto"/>
      <w:ind w:firstLine="0" w:firstLineChars="0"/>
      <w:jc w:val="center"/>
    </w:pPr>
    <w:rPr>
      <w:rFonts w:ascii="Times New Roman" w:hAnsi="Times New Roman" w:eastAsia="宋体" w:cs="Times New Roman"/>
      <w:color w:val="auto"/>
      <w:szCs w:val="21"/>
    </w:rPr>
  </w:style>
  <w:style w:type="paragraph" w:customStyle="1" w:styleId="117">
    <w:name w:val="样式 首行缩进:  2 字符1"/>
    <w:basedOn w:val="1"/>
    <w:semiHidden/>
    <w:qFormat/>
    <w:uiPriority w:val="0"/>
    <w:pPr>
      <w:spacing w:line="360" w:lineRule="exact"/>
      <w:ind w:firstLine="0" w:firstLineChars="0"/>
      <w:jc w:val="center"/>
    </w:pPr>
    <w:rPr>
      <w:rFonts w:ascii="Times New Roman"/>
      <w:kern w:val="0"/>
      <w:sz w:val="21"/>
      <w:szCs w:val="21"/>
    </w:rPr>
  </w:style>
  <w:style w:type="paragraph" w:customStyle="1" w:styleId="118">
    <w:name w:val="书正文"/>
    <w:basedOn w:val="1"/>
    <w:qFormat/>
    <w:uiPriority w:val="0"/>
    <w:pPr>
      <w:spacing w:line="500" w:lineRule="exact"/>
      <w:ind w:firstLine="640" w:firstLineChars="200"/>
    </w:pPr>
    <w:rPr>
      <w:szCs w:val="20"/>
    </w:rPr>
  </w:style>
  <w:style w:type="paragraph" w:customStyle="1" w:styleId="119">
    <w:name w:val="正文 首行缩进:  2 字符"/>
    <w:basedOn w:val="1"/>
    <w:semiHidden/>
    <w:qFormat/>
    <w:uiPriority w:val="0"/>
    <w:pPr>
      <w:spacing w:line="520" w:lineRule="exact"/>
      <w:ind w:firstLine="480" w:firstLineChars="200"/>
    </w:pPr>
    <w:rPr>
      <w:rFonts w:ascii="Times New Roman" w:hAnsi="Times New Roman"/>
      <w:kern w:val="44"/>
      <w:sz w:val="24"/>
    </w:rPr>
  </w:style>
  <w:style w:type="paragraph" w:customStyle="1" w:styleId="120">
    <w:name w:val="主正文"/>
    <w:basedOn w:val="1"/>
    <w:qFormat/>
    <w:uiPriority w:val="0"/>
    <w:pPr>
      <w:widowControl/>
      <w:autoSpaceDE/>
      <w:autoSpaceDN/>
      <w:adjustRightInd/>
      <w:snapToGrid/>
      <w:spacing w:before="10" w:beforeLines="10" w:after="10" w:afterLines="10" w:line="440" w:lineRule="exact"/>
      <w:ind w:firstLine="420" w:firstLineChars="200"/>
    </w:pPr>
    <w:rPr>
      <w:rFonts w:hint="eastAsia"/>
      <w:kern w:val="0"/>
      <w:szCs w:val="21"/>
    </w:rPr>
  </w:style>
  <w:style w:type="paragraph" w:customStyle="1" w:styleId="121">
    <w:name w:val="Default1"/>
    <w:qFormat/>
    <w:uiPriority w:val="99"/>
    <w:pPr>
      <w:widowControl w:val="0"/>
      <w:autoSpaceDE w:val="0"/>
      <w:autoSpaceDN w:val="0"/>
      <w:adjustRightInd w:val="0"/>
    </w:pPr>
    <w:rPr>
      <w:rFonts w:ascii="宋体" w:hAnsi="Calibri" w:eastAsia="宋体" w:cs="宋体"/>
      <w:color w:val="000000"/>
      <w:kern w:val="0"/>
      <w:sz w:val="24"/>
      <w:szCs w:val="24"/>
      <w:lang w:val="en-US" w:eastAsia="zh-CN" w:bidi="ar-SA"/>
    </w:rPr>
  </w:style>
  <w:style w:type="paragraph" w:customStyle="1" w:styleId="122">
    <w:name w:val="封面标准名称"/>
    <w:qFormat/>
    <w:uiPriority w:val="0"/>
    <w:pPr>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二级条标题"/>
    <w:basedOn w:val="124"/>
    <w:next w:val="125"/>
    <w:qFormat/>
    <w:uiPriority w:val="0"/>
    <w:pPr>
      <w:numPr>
        <w:ilvl w:val="2"/>
        <w:numId w:val="7"/>
      </w:numPr>
      <w:spacing w:before="50" w:beforeLines="0" w:after="50" w:afterLines="0"/>
      <w:outlineLvl w:val="3"/>
    </w:pPr>
  </w:style>
  <w:style w:type="paragraph" w:customStyle="1" w:styleId="124">
    <w:name w:val="一级条标题"/>
    <w:next w:val="125"/>
    <w:qFormat/>
    <w:uiPriority w:val="0"/>
    <w:pPr>
      <w:numPr>
        <w:ilvl w:val="1"/>
        <w:numId w:val="7"/>
      </w:numPr>
      <w:spacing w:before="156" w:beforeLines="50" w:after="156" w:afterLines="50"/>
      <w:outlineLvl w:val="2"/>
    </w:pPr>
    <w:rPr>
      <w:rFonts w:ascii="黑体" w:hAnsi="Times New Roman" w:eastAsia="黑体" w:cs="Times New Roman"/>
      <w:sz w:val="21"/>
      <w:szCs w:val="21"/>
      <w:lang w:val="en-US" w:eastAsia="zh-CN" w:bidi="ar-SA"/>
    </w:rPr>
  </w:style>
  <w:style w:type="paragraph" w:customStyle="1" w:styleId="125">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126">
    <w:name w:val="正文格式"/>
    <w:qFormat/>
    <w:uiPriority w:val="0"/>
    <w:pPr>
      <w:spacing w:line="480" w:lineRule="exact"/>
      <w:ind w:firstLine="480" w:firstLineChars="200"/>
      <w:jc w:val="both"/>
    </w:pPr>
    <w:rPr>
      <w:rFonts w:ascii="Times New Roman" w:hAnsi="Times New Roman" w:eastAsia="宋体" w:cs="Times New Roman"/>
      <w:sz w:val="24"/>
      <w:szCs w:val="24"/>
      <w:lang w:val="en-US" w:eastAsia="zh-CN" w:bidi="ar-SA"/>
    </w:rPr>
  </w:style>
  <w:style w:type="paragraph" w:customStyle="1" w:styleId="127">
    <w:name w:val="标题5-MB"/>
    <w:basedOn w:val="61"/>
    <w:next w:val="128"/>
    <w:qFormat/>
    <w:uiPriority w:val="0"/>
    <w:pPr>
      <w:ind w:left="0"/>
    </w:pPr>
    <w:rPr>
      <w:rFonts w:ascii="Times New Roman" w:hAnsi="Times New Roman" w:cs="Times New Roman"/>
      <w:b/>
      <w:kern w:val="0"/>
      <w:szCs w:val="28"/>
      <w:lang w:val="zh-CN" w:bidi="ar-SA"/>
    </w:rPr>
  </w:style>
  <w:style w:type="paragraph" w:customStyle="1" w:styleId="128">
    <w:name w:val="表格内-MB"/>
    <w:basedOn w:val="1"/>
    <w:qFormat/>
    <w:uiPriority w:val="0"/>
    <w:pPr>
      <w:widowControl/>
      <w:adjustRightInd w:val="0"/>
      <w:snapToGrid w:val="0"/>
      <w:contextualSpacing/>
      <w:jc w:val="center"/>
    </w:pPr>
    <w:rPr>
      <w:rFonts w:ascii="Times New Roman" w:hAnsi="Times New Roman" w:eastAsia="宋体"/>
    </w:rPr>
  </w:style>
  <w:style w:type="paragraph" w:customStyle="1" w:styleId="129">
    <w:name w:val="表字"/>
    <w:next w:val="1"/>
    <w:qFormat/>
    <w:uiPriority w:val="0"/>
    <w:pPr>
      <w:snapToGrid w:val="0"/>
      <w:jc w:val="center"/>
    </w:pPr>
    <w:rPr>
      <w:rFonts w:ascii="Times New Roman" w:hAnsi="Times New Roman" w:eastAsia="宋体" w:cs="Times New Roman"/>
      <w:sz w:val="21"/>
      <w:szCs w:val="24"/>
      <w:lang w:val="en-US" w:eastAsia="zh-CN" w:bidi="ar-SA"/>
    </w:rPr>
  </w:style>
  <w:style w:type="character" w:customStyle="1" w:styleId="130">
    <w:name w:val="NormalCharacter"/>
    <w:qFormat/>
    <w:uiPriority w:val="0"/>
    <w:rPr>
      <w:rFonts w:ascii="Times New Roman" w:hAnsi="Times New Roman" w:eastAsia="宋体" w:cs="Times New Roman"/>
    </w:rPr>
  </w:style>
  <w:style w:type="table" w:customStyle="1" w:styleId="131">
    <w:name w:val="网格型1"/>
    <w:basedOn w:val="34"/>
    <w:qFormat/>
    <w:uiPriority w:val="9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32">
    <w:name w:val="word1"/>
    <w:basedOn w:val="34"/>
    <w:qFormat/>
    <w:uiPriority w:val="3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33">
    <w:name w:val="网格型14"/>
    <w:basedOn w:val="34"/>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34">
    <w:name w:val="lh-正文-报告表"/>
    <w:basedOn w:val="1"/>
    <w:qFormat/>
    <w:uiPriority w:val="0"/>
    <w:pPr>
      <w:spacing w:line="360" w:lineRule="auto"/>
      <w:ind w:firstLine="480" w:firstLineChars="200"/>
    </w:pPr>
    <w:rPr>
      <w:kern w:val="0"/>
      <w:sz w:val="24"/>
      <w:szCs w:val="21"/>
    </w:rPr>
  </w:style>
  <w:style w:type="paragraph" w:customStyle="1" w:styleId="135">
    <w:name w:val="表正文1"/>
    <w:basedOn w:val="1"/>
    <w:qFormat/>
    <w:uiPriority w:val="0"/>
    <w:pPr>
      <w:spacing w:line="520" w:lineRule="exact"/>
      <w:ind w:firstLine="480" w:firstLineChars="200"/>
    </w:pPr>
    <w:rPr>
      <w:kern w:val="0"/>
      <w:sz w:val="24"/>
    </w:rPr>
  </w:style>
  <w:style w:type="paragraph" w:customStyle="1" w:styleId="136">
    <w:name w:val="正文2"/>
    <w:basedOn w:val="1"/>
    <w:qFormat/>
    <w:uiPriority w:val="0"/>
    <w:pPr>
      <w:spacing w:line="360" w:lineRule="auto"/>
      <w:ind w:firstLine="480" w:firstLineChars="200"/>
    </w:pPr>
    <w:rPr>
      <w:rFonts w:ascii="宋体" w:hAnsi="宋体" w:cs="宋体"/>
      <w:sz w:val="24"/>
    </w:rPr>
  </w:style>
  <w:style w:type="paragraph" w:customStyle="1" w:styleId="137">
    <w:name w:val="文字描述"/>
    <w:basedOn w:val="1"/>
    <w:qFormat/>
    <w:uiPriority w:val="0"/>
    <w:pPr>
      <w:adjustRightInd w:val="0"/>
      <w:snapToGrid w:val="0"/>
      <w:spacing w:line="360" w:lineRule="auto"/>
      <w:ind w:firstLine="200" w:firstLineChars="200"/>
    </w:pPr>
    <w:rPr>
      <w:spacing w:val="-2"/>
      <w:sz w:val="24"/>
      <w:szCs w:val="24"/>
    </w:rPr>
  </w:style>
  <w:style w:type="paragraph" w:customStyle="1" w:styleId="138">
    <w:name w:val="04 正文"/>
    <w:basedOn w:val="1"/>
    <w:qFormat/>
    <w:uiPriority w:val="0"/>
    <w:pPr>
      <w:spacing w:line="400" w:lineRule="exact"/>
      <w:ind w:firstLine="420" w:firstLineChars="200"/>
    </w:pPr>
    <w:rPr>
      <w:bCs/>
      <w:color w:val="000000"/>
      <w:sz w:val="24"/>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jpeg"/><Relationship Id="rId13" Type="http://schemas.openxmlformats.org/officeDocument/2006/relationships/image" Target="media/image2.png"/><Relationship Id="rId12" Type="http://schemas.openxmlformats.org/officeDocument/2006/relationships/image" Target="media/image1.wmf"/><Relationship Id="rId11" Type="http://schemas.openxmlformats.org/officeDocument/2006/relationships/oleObject" Target="embeddings/oleObject1.bin"/><Relationship Id="rId10" Type="http://schemas.openxmlformats.org/officeDocument/2006/relationships/theme" Target="theme/theme1.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P\Desktop\&#34892;&#21776;&#25253;&#21578;&#34920;\&#29615;&#35780;&#26368;&#32456;&#29256;--&#36814;&#23439;\&#25253;&#21578;&#34920;--&#36814;&#23439;--&#20250;&#21518;&#20462;&#25913;&#20652;&#21270;&#29123;&#28903;.wp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报告表--迎宏--会后修改催化燃烧.wpt</Template>
  <Pages>73</Pages>
  <Words>22262</Words>
  <Characters>23494</Characters>
  <Lines>1</Lines>
  <Paragraphs>1</Paragraphs>
  <TotalTime>0</TotalTime>
  <ScaleCrop>false</ScaleCrop>
  <LinksUpToDate>false</LinksUpToDate>
  <CharactersWithSpaces>23578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2026-02-06T02:59:00Z</dcterms:created>
  <dc:creator>青青子衿</dc:creator>
  <cp:lastModifiedBy>李文</cp:lastModifiedBy>
  <dcterms:modified xsi:type="dcterms:W3CDTF">2026-04-24T07:13:22Z</dcterms:modified>
  <dc:title>附件2</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6F375285566E4CB89AC59A8BC0E6F471_13</vt:lpwstr>
  </property>
  <property fmtid="{D5CDD505-2E9C-101B-9397-08002B2CF9AE}" pid="4" name="KSOTemplateDocerSaveRecord">
    <vt:lpwstr>eyJoZGlkIjoiODkxNGQ3OTBhYzAyYzliMzgzZDZiNWE2M2MyNzM2ZmQiLCJ1c2VySWQiOiIxMDI0MDUxMjgxIn0=</vt:lpwstr>
  </property>
</Properties>
</file>