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414行唐县市场监督管理局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2455.54</w:t>
            </w:r>
          </w:p>
        </w:tc>
        <w:tc>
          <w:tcPr>
            <w:tcW w:w="4535" w:type="dxa"/>
            <w:vAlign w:val="center"/>
          </w:tcPr>
          <w:p>
            <w:pPr>
              <w:pStyle w:val="16"/>
            </w:pPr>
            <w:r>
              <w:t>一、一般公共服务支出</w:t>
            </w:r>
          </w:p>
        </w:tc>
        <w:tc>
          <w:tcPr>
            <w:tcW w:w="2126" w:type="dxa"/>
            <w:vAlign w:val="center"/>
          </w:tcPr>
          <w:p>
            <w:pPr>
              <w:pStyle w:val="15"/>
            </w:pPr>
            <w:r>
              <w:t>2153.16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144.74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100.76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2455.54</w:t>
            </w:r>
          </w:p>
        </w:tc>
        <w:tc>
          <w:tcPr>
            <w:tcW w:w="4535" w:type="dxa"/>
            <w:vAlign w:val="center"/>
          </w:tcPr>
          <w:p>
            <w:pPr>
              <w:pStyle w:val="18"/>
            </w:pPr>
            <w:r>
              <w:t>本年支出合计</w:t>
            </w:r>
          </w:p>
        </w:tc>
        <w:tc>
          <w:tcPr>
            <w:tcW w:w="2126" w:type="dxa"/>
            <w:vAlign w:val="center"/>
          </w:tcPr>
          <w:p>
            <w:pPr>
              <w:pStyle w:val="19"/>
            </w:pPr>
            <w:r>
              <w:t>2455.54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2455.54</w:t>
            </w:r>
          </w:p>
        </w:tc>
        <w:tc>
          <w:tcPr>
            <w:tcW w:w="4535" w:type="dxa"/>
            <w:vAlign w:val="center"/>
          </w:tcPr>
          <w:p>
            <w:pPr>
              <w:pStyle w:val="18"/>
            </w:pPr>
            <w:r>
              <w:t>支出总计</w:t>
            </w:r>
          </w:p>
        </w:tc>
        <w:tc>
          <w:tcPr>
            <w:tcW w:w="2126" w:type="dxa"/>
            <w:vAlign w:val="center"/>
          </w:tcPr>
          <w:p>
            <w:pPr>
              <w:pStyle w:val="19"/>
            </w:pPr>
            <w:r>
              <w:t>2455.54</w:t>
            </w:r>
          </w:p>
        </w:tc>
      </w:tr>
    </w:tbl>
    <w:p>
      <w:pPr>
        <w:sectPr>
          <w:footerReference r:id="rId3" w:type="default"/>
          <w:footerReference r:id="rId4"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414行唐县市场监督管理局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2455.54</w:t>
            </w:r>
          </w:p>
        </w:tc>
        <w:tc>
          <w:tcPr>
            <w:tcW w:w="1134" w:type="dxa"/>
            <w:vAlign w:val="center"/>
          </w:tcPr>
          <w:p>
            <w:pPr>
              <w:pStyle w:val="19"/>
            </w:pPr>
            <w:r>
              <w:t>2455.54</w:t>
            </w:r>
          </w:p>
        </w:tc>
        <w:tc>
          <w:tcPr>
            <w:tcW w:w="1134" w:type="dxa"/>
            <w:vAlign w:val="center"/>
          </w:tcPr>
          <w:p>
            <w:pPr>
              <w:pStyle w:val="19"/>
            </w:pPr>
            <w:r>
              <w:t>2455.54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2153.16</w:t>
            </w:r>
          </w:p>
        </w:tc>
        <w:tc>
          <w:tcPr>
            <w:tcW w:w="1134" w:type="dxa"/>
            <w:vAlign w:val="center"/>
          </w:tcPr>
          <w:p>
            <w:pPr>
              <w:pStyle w:val="15"/>
            </w:pPr>
            <w:r>
              <w:t>2153.16</w:t>
            </w:r>
          </w:p>
        </w:tc>
        <w:tc>
          <w:tcPr>
            <w:tcW w:w="1134" w:type="dxa"/>
            <w:vAlign w:val="center"/>
          </w:tcPr>
          <w:p>
            <w:pPr>
              <w:pStyle w:val="15"/>
            </w:pPr>
            <w:r>
              <w:t>2153.16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20138</w:t>
            </w:r>
          </w:p>
        </w:tc>
        <w:tc>
          <w:tcPr>
            <w:tcW w:w="1559" w:type="dxa"/>
            <w:vAlign w:val="center"/>
          </w:tcPr>
          <w:p>
            <w:pPr>
              <w:pStyle w:val="16"/>
            </w:pPr>
            <w:r>
              <w:t>市场监督管理事务</w:t>
            </w:r>
          </w:p>
        </w:tc>
        <w:tc>
          <w:tcPr>
            <w:tcW w:w="1134" w:type="dxa"/>
            <w:vAlign w:val="center"/>
          </w:tcPr>
          <w:p>
            <w:pPr>
              <w:pStyle w:val="15"/>
            </w:pPr>
            <w:r>
              <w:t>2153.16</w:t>
            </w:r>
          </w:p>
        </w:tc>
        <w:tc>
          <w:tcPr>
            <w:tcW w:w="1134" w:type="dxa"/>
            <w:vAlign w:val="center"/>
          </w:tcPr>
          <w:p>
            <w:pPr>
              <w:pStyle w:val="15"/>
            </w:pPr>
            <w:r>
              <w:t>2153.16</w:t>
            </w:r>
          </w:p>
        </w:tc>
        <w:tc>
          <w:tcPr>
            <w:tcW w:w="1134" w:type="dxa"/>
            <w:vAlign w:val="center"/>
          </w:tcPr>
          <w:p>
            <w:pPr>
              <w:pStyle w:val="15"/>
            </w:pPr>
            <w:r>
              <w:t>2153.16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2013801</w:t>
            </w:r>
          </w:p>
        </w:tc>
        <w:tc>
          <w:tcPr>
            <w:tcW w:w="1559" w:type="dxa"/>
            <w:vAlign w:val="center"/>
          </w:tcPr>
          <w:p>
            <w:pPr>
              <w:pStyle w:val="16"/>
            </w:pPr>
            <w:r>
              <w:t>行政运行</w:t>
            </w:r>
          </w:p>
        </w:tc>
        <w:tc>
          <w:tcPr>
            <w:tcW w:w="1134" w:type="dxa"/>
            <w:vAlign w:val="center"/>
          </w:tcPr>
          <w:p>
            <w:pPr>
              <w:pStyle w:val="15"/>
            </w:pPr>
            <w:r>
              <w:t>1522.52</w:t>
            </w:r>
          </w:p>
        </w:tc>
        <w:tc>
          <w:tcPr>
            <w:tcW w:w="1134" w:type="dxa"/>
            <w:vAlign w:val="center"/>
          </w:tcPr>
          <w:p>
            <w:pPr>
              <w:pStyle w:val="15"/>
            </w:pPr>
            <w:r>
              <w:t>1522.52</w:t>
            </w:r>
          </w:p>
        </w:tc>
        <w:tc>
          <w:tcPr>
            <w:tcW w:w="1134" w:type="dxa"/>
            <w:vAlign w:val="center"/>
          </w:tcPr>
          <w:p>
            <w:pPr>
              <w:pStyle w:val="15"/>
            </w:pPr>
            <w:r>
              <w:t>1522.52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2013804</w:t>
            </w:r>
          </w:p>
        </w:tc>
        <w:tc>
          <w:tcPr>
            <w:tcW w:w="1559" w:type="dxa"/>
            <w:vAlign w:val="center"/>
          </w:tcPr>
          <w:p>
            <w:pPr>
              <w:pStyle w:val="16"/>
            </w:pPr>
            <w:r>
              <w:t>经营主体管理</w:t>
            </w:r>
          </w:p>
        </w:tc>
        <w:tc>
          <w:tcPr>
            <w:tcW w:w="1134" w:type="dxa"/>
            <w:vAlign w:val="center"/>
          </w:tcPr>
          <w:p>
            <w:pPr>
              <w:pStyle w:val="15"/>
            </w:pPr>
            <w:r>
              <w:t>428.00</w:t>
            </w:r>
          </w:p>
        </w:tc>
        <w:tc>
          <w:tcPr>
            <w:tcW w:w="1134" w:type="dxa"/>
            <w:vAlign w:val="center"/>
          </w:tcPr>
          <w:p>
            <w:pPr>
              <w:pStyle w:val="15"/>
            </w:pPr>
            <w:r>
              <w:t>428.00</w:t>
            </w:r>
          </w:p>
        </w:tc>
        <w:tc>
          <w:tcPr>
            <w:tcW w:w="1134" w:type="dxa"/>
            <w:vAlign w:val="center"/>
          </w:tcPr>
          <w:p>
            <w:pPr>
              <w:pStyle w:val="15"/>
            </w:pPr>
            <w:r>
              <w:t>428.00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2013850</w:t>
            </w:r>
          </w:p>
        </w:tc>
        <w:tc>
          <w:tcPr>
            <w:tcW w:w="1559" w:type="dxa"/>
            <w:vAlign w:val="center"/>
          </w:tcPr>
          <w:p>
            <w:pPr>
              <w:pStyle w:val="16"/>
            </w:pPr>
            <w:r>
              <w:t>事业运行</w:t>
            </w:r>
          </w:p>
        </w:tc>
        <w:tc>
          <w:tcPr>
            <w:tcW w:w="1134" w:type="dxa"/>
            <w:vAlign w:val="center"/>
          </w:tcPr>
          <w:p>
            <w:pPr>
              <w:pStyle w:val="15"/>
            </w:pPr>
            <w:r>
              <w:t>202.64</w:t>
            </w:r>
          </w:p>
        </w:tc>
        <w:tc>
          <w:tcPr>
            <w:tcW w:w="1134" w:type="dxa"/>
            <w:vAlign w:val="center"/>
          </w:tcPr>
          <w:p>
            <w:pPr>
              <w:pStyle w:val="15"/>
            </w:pPr>
            <w:r>
              <w:t>202.64</w:t>
            </w:r>
          </w:p>
        </w:tc>
        <w:tc>
          <w:tcPr>
            <w:tcW w:w="1134" w:type="dxa"/>
            <w:vAlign w:val="center"/>
          </w:tcPr>
          <w:p>
            <w:pPr>
              <w:pStyle w:val="15"/>
            </w:pPr>
            <w:r>
              <w:t>202.64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144.74</w:t>
            </w:r>
          </w:p>
        </w:tc>
        <w:tc>
          <w:tcPr>
            <w:tcW w:w="1134" w:type="dxa"/>
            <w:vAlign w:val="center"/>
          </w:tcPr>
          <w:p>
            <w:pPr>
              <w:pStyle w:val="15"/>
            </w:pPr>
            <w:r>
              <w:t>144.74</w:t>
            </w:r>
          </w:p>
        </w:tc>
        <w:tc>
          <w:tcPr>
            <w:tcW w:w="1134" w:type="dxa"/>
            <w:vAlign w:val="center"/>
          </w:tcPr>
          <w:p>
            <w:pPr>
              <w:pStyle w:val="15"/>
            </w:pPr>
            <w:r>
              <w:t>144.74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144.74</w:t>
            </w:r>
          </w:p>
        </w:tc>
        <w:tc>
          <w:tcPr>
            <w:tcW w:w="1134" w:type="dxa"/>
            <w:vAlign w:val="center"/>
          </w:tcPr>
          <w:p>
            <w:pPr>
              <w:pStyle w:val="15"/>
            </w:pPr>
            <w:r>
              <w:t>144.74</w:t>
            </w:r>
          </w:p>
        </w:tc>
        <w:tc>
          <w:tcPr>
            <w:tcW w:w="1134" w:type="dxa"/>
            <w:vAlign w:val="center"/>
          </w:tcPr>
          <w:p>
            <w:pPr>
              <w:pStyle w:val="15"/>
            </w:pPr>
            <w:r>
              <w:t>144.74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135.59</w:t>
            </w:r>
          </w:p>
        </w:tc>
        <w:tc>
          <w:tcPr>
            <w:tcW w:w="1134" w:type="dxa"/>
            <w:vAlign w:val="center"/>
          </w:tcPr>
          <w:p>
            <w:pPr>
              <w:pStyle w:val="15"/>
            </w:pPr>
            <w:r>
              <w:t>135.59</w:t>
            </w:r>
          </w:p>
        </w:tc>
        <w:tc>
          <w:tcPr>
            <w:tcW w:w="1134" w:type="dxa"/>
            <w:vAlign w:val="center"/>
          </w:tcPr>
          <w:p>
            <w:pPr>
              <w:pStyle w:val="15"/>
            </w:pPr>
            <w:r>
              <w:t>135.59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9.15</w:t>
            </w:r>
          </w:p>
        </w:tc>
        <w:tc>
          <w:tcPr>
            <w:tcW w:w="1134" w:type="dxa"/>
            <w:vAlign w:val="center"/>
          </w:tcPr>
          <w:p>
            <w:pPr>
              <w:pStyle w:val="15"/>
            </w:pPr>
            <w:r>
              <w:t>9.15</w:t>
            </w:r>
          </w:p>
        </w:tc>
        <w:tc>
          <w:tcPr>
            <w:tcW w:w="1134" w:type="dxa"/>
            <w:vAlign w:val="center"/>
          </w:tcPr>
          <w:p>
            <w:pPr>
              <w:pStyle w:val="15"/>
            </w:pPr>
            <w:r>
              <w:t>9.15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56.88</w:t>
            </w:r>
          </w:p>
        </w:tc>
        <w:tc>
          <w:tcPr>
            <w:tcW w:w="1134" w:type="dxa"/>
            <w:vAlign w:val="center"/>
          </w:tcPr>
          <w:p>
            <w:pPr>
              <w:pStyle w:val="15"/>
            </w:pPr>
            <w:r>
              <w:t>56.88</w:t>
            </w:r>
          </w:p>
        </w:tc>
        <w:tc>
          <w:tcPr>
            <w:tcW w:w="1134" w:type="dxa"/>
            <w:vAlign w:val="center"/>
          </w:tcPr>
          <w:p>
            <w:pPr>
              <w:pStyle w:val="15"/>
            </w:pPr>
            <w:r>
              <w:t>56.88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56.88</w:t>
            </w:r>
          </w:p>
        </w:tc>
        <w:tc>
          <w:tcPr>
            <w:tcW w:w="1134" w:type="dxa"/>
            <w:vAlign w:val="center"/>
          </w:tcPr>
          <w:p>
            <w:pPr>
              <w:pStyle w:val="15"/>
            </w:pPr>
            <w:r>
              <w:t>56.88</w:t>
            </w:r>
          </w:p>
        </w:tc>
        <w:tc>
          <w:tcPr>
            <w:tcW w:w="1134" w:type="dxa"/>
            <w:vAlign w:val="center"/>
          </w:tcPr>
          <w:p>
            <w:pPr>
              <w:pStyle w:val="15"/>
            </w:pPr>
            <w:r>
              <w:t>56.88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48.50</w:t>
            </w:r>
          </w:p>
        </w:tc>
        <w:tc>
          <w:tcPr>
            <w:tcW w:w="1134" w:type="dxa"/>
            <w:vAlign w:val="center"/>
          </w:tcPr>
          <w:p>
            <w:pPr>
              <w:pStyle w:val="15"/>
            </w:pPr>
            <w:r>
              <w:t>48.50</w:t>
            </w:r>
          </w:p>
        </w:tc>
        <w:tc>
          <w:tcPr>
            <w:tcW w:w="1134" w:type="dxa"/>
            <w:vAlign w:val="center"/>
          </w:tcPr>
          <w:p>
            <w:pPr>
              <w:pStyle w:val="15"/>
            </w:pPr>
            <w:r>
              <w:t>48.50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8.38</w:t>
            </w:r>
          </w:p>
        </w:tc>
        <w:tc>
          <w:tcPr>
            <w:tcW w:w="1134" w:type="dxa"/>
            <w:vAlign w:val="center"/>
          </w:tcPr>
          <w:p>
            <w:pPr>
              <w:pStyle w:val="15"/>
            </w:pPr>
            <w:r>
              <w:t>8.38</w:t>
            </w:r>
          </w:p>
        </w:tc>
        <w:tc>
          <w:tcPr>
            <w:tcW w:w="1134" w:type="dxa"/>
            <w:vAlign w:val="center"/>
          </w:tcPr>
          <w:p>
            <w:pPr>
              <w:pStyle w:val="15"/>
            </w:pPr>
            <w:r>
              <w:t>8.38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100.76</w:t>
            </w:r>
          </w:p>
        </w:tc>
        <w:tc>
          <w:tcPr>
            <w:tcW w:w="1134" w:type="dxa"/>
            <w:vAlign w:val="center"/>
          </w:tcPr>
          <w:p>
            <w:pPr>
              <w:pStyle w:val="15"/>
            </w:pPr>
            <w:r>
              <w:t>100.76</w:t>
            </w:r>
          </w:p>
        </w:tc>
        <w:tc>
          <w:tcPr>
            <w:tcW w:w="1134" w:type="dxa"/>
            <w:vAlign w:val="center"/>
          </w:tcPr>
          <w:p>
            <w:pPr>
              <w:pStyle w:val="15"/>
            </w:pPr>
            <w:r>
              <w:t>100.76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100.76</w:t>
            </w:r>
          </w:p>
        </w:tc>
        <w:tc>
          <w:tcPr>
            <w:tcW w:w="1134" w:type="dxa"/>
            <w:vAlign w:val="center"/>
          </w:tcPr>
          <w:p>
            <w:pPr>
              <w:pStyle w:val="15"/>
            </w:pPr>
            <w:r>
              <w:t>100.76</w:t>
            </w:r>
          </w:p>
        </w:tc>
        <w:tc>
          <w:tcPr>
            <w:tcW w:w="1134" w:type="dxa"/>
            <w:vAlign w:val="center"/>
          </w:tcPr>
          <w:p>
            <w:pPr>
              <w:pStyle w:val="15"/>
            </w:pPr>
            <w:r>
              <w:t>100.76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100.76</w:t>
            </w:r>
          </w:p>
        </w:tc>
        <w:tc>
          <w:tcPr>
            <w:tcW w:w="1134" w:type="dxa"/>
            <w:vAlign w:val="center"/>
          </w:tcPr>
          <w:p>
            <w:pPr>
              <w:pStyle w:val="15"/>
            </w:pPr>
            <w:r>
              <w:t>100.76</w:t>
            </w:r>
          </w:p>
        </w:tc>
        <w:tc>
          <w:tcPr>
            <w:tcW w:w="1134" w:type="dxa"/>
            <w:vAlign w:val="center"/>
          </w:tcPr>
          <w:p>
            <w:pPr>
              <w:pStyle w:val="15"/>
            </w:pPr>
            <w:r>
              <w:t>100.76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414行唐县市场监督管理局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2455.54</w:t>
            </w:r>
          </w:p>
        </w:tc>
        <w:tc>
          <w:tcPr>
            <w:tcW w:w="1361" w:type="dxa"/>
            <w:vAlign w:val="center"/>
          </w:tcPr>
          <w:p>
            <w:pPr>
              <w:pStyle w:val="19"/>
            </w:pPr>
            <w:r>
              <w:t>2027.54</w:t>
            </w:r>
          </w:p>
        </w:tc>
        <w:tc>
          <w:tcPr>
            <w:tcW w:w="1361" w:type="dxa"/>
            <w:vAlign w:val="center"/>
          </w:tcPr>
          <w:p>
            <w:pPr>
              <w:pStyle w:val="19"/>
            </w:pPr>
            <w:r>
              <w:t>428.00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2153.16</w:t>
            </w:r>
          </w:p>
        </w:tc>
        <w:tc>
          <w:tcPr>
            <w:tcW w:w="1361" w:type="dxa"/>
            <w:vAlign w:val="center"/>
          </w:tcPr>
          <w:p>
            <w:pPr>
              <w:pStyle w:val="15"/>
            </w:pPr>
            <w:r>
              <w:t>1725.16</w:t>
            </w:r>
          </w:p>
        </w:tc>
        <w:tc>
          <w:tcPr>
            <w:tcW w:w="1361" w:type="dxa"/>
            <w:vAlign w:val="center"/>
          </w:tcPr>
          <w:p>
            <w:pPr>
              <w:pStyle w:val="15"/>
            </w:pPr>
            <w:r>
              <w:t>428.00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20138</w:t>
            </w:r>
          </w:p>
        </w:tc>
        <w:tc>
          <w:tcPr>
            <w:tcW w:w="4535" w:type="dxa"/>
            <w:vAlign w:val="center"/>
          </w:tcPr>
          <w:p>
            <w:pPr>
              <w:pStyle w:val="16"/>
            </w:pPr>
            <w:r>
              <w:t>市场监督管理事务</w:t>
            </w:r>
          </w:p>
        </w:tc>
        <w:tc>
          <w:tcPr>
            <w:tcW w:w="1361" w:type="dxa"/>
            <w:vAlign w:val="center"/>
          </w:tcPr>
          <w:p>
            <w:pPr>
              <w:pStyle w:val="15"/>
            </w:pPr>
            <w:r>
              <w:t>2153.16</w:t>
            </w:r>
          </w:p>
        </w:tc>
        <w:tc>
          <w:tcPr>
            <w:tcW w:w="1361" w:type="dxa"/>
            <w:vAlign w:val="center"/>
          </w:tcPr>
          <w:p>
            <w:pPr>
              <w:pStyle w:val="15"/>
            </w:pPr>
            <w:r>
              <w:t>1725.16</w:t>
            </w:r>
          </w:p>
        </w:tc>
        <w:tc>
          <w:tcPr>
            <w:tcW w:w="1361" w:type="dxa"/>
            <w:vAlign w:val="center"/>
          </w:tcPr>
          <w:p>
            <w:pPr>
              <w:pStyle w:val="15"/>
            </w:pPr>
            <w:r>
              <w:t>428.00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2013801</w:t>
            </w:r>
          </w:p>
        </w:tc>
        <w:tc>
          <w:tcPr>
            <w:tcW w:w="4535" w:type="dxa"/>
            <w:vAlign w:val="center"/>
          </w:tcPr>
          <w:p>
            <w:pPr>
              <w:pStyle w:val="16"/>
            </w:pPr>
            <w:r>
              <w:t>行政运行</w:t>
            </w:r>
          </w:p>
        </w:tc>
        <w:tc>
          <w:tcPr>
            <w:tcW w:w="1361" w:type="dxa"/>
            <w:vAlign w:val="center"/>
          </w:tcPr>
          <w:p>
            <w:pPr>
              <w:pStyle w:val="15"/>
            </w:pPr>
            <w:r>
              <w:t>1522.52</w:t>
            </w:r>
          </w:p>
        </w:tc>
        <w:tc>
          <w:tcPr>
            <w:tcW w:w="1361" w:type="dxa"/>
            <w:vAlign w:val="center"/>
          </w:tcPr>
          <w:p>
            <w:pPr>
              <w:pStyle w:val="15"/>
            </w:pPr>
            <w:r>
              <w:t>1522.52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2013804</w:t>
            </w:r>
          </w:p>
        </w:tc>
        <w:tc>
          <w:tcPr>
            <w:tcW w:w="4535" w:type="dxa"/>
            <w:vAlign w:val="center"/>
          </w:tcPr>
          <w:p>
            <w:pPr>
              <w:pStyle w:val="16"/>
            </w:pPr>
            <w:r>
              <w:t>经营主体管理</w:t>
            </w:r>
          </w:p>
        </w:tc>
        <w:tc>
          <w:tcPr>
            <w:tcW w:w="1361" w:type="dxa"/>
            <w:vAlign w:val="center"/>
          </w:tcPr>
          <w:p>
            <w:pPr>
              <w:pStyle w:val="15"/>
            </w:pPr>
            <w:r>
              <w:t>428.00</w:t>
            </w:r>
          </w:p>
        </w:tc>
        <w:tc>
          <w:tcPr>
            <w:tcW w:w="1361" w:type="dxa"/>
            <w:vAlign w:val="center"/>
          </w:tcPr>
          <w:p>
            <w:pPr>
              <w:pStyle w:val="15"/>
            </w:pPr>
          </w:p>
        </w:tc>
        <w:tc>
          <w:tcPr>
            <w:tcW w:w="1361" w:type="dxa"/>
            <w:vAlign w:val="center"/>
          </w:tcPr>
          <w:p>
            <w:pPr>
              <w:pStyle w:val="15"/>
            </w:pPr>
            <w:r>
              <w:t>428.00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2013850</w:t>
            </w:r>
          </w:p>
        </w:tc>
        <w:tc>
          <w:tcPr>
            <w:tcW w:w="4535" w:type="dxa"/>
            <w:vAlign w:val="center"/>
          </w:tcPr>
          <w:p>
            <w:pPr>
              <w:pStyle w:val="16"/>
            </w:pPr>
            <w:r>
              <w:t>事业运行</w:t>
            </w:r>
          </w:p>
        </w:tc>
        <w:tc>
          <w:tcPr>
            <w:tcW w:w="1361" w:type="dxa"/>
            <w:vAlign w:val="center"/>
          </w:tcPr>
          <w:p>
            <w:pPr>
              <w:pStyle w:val="15"/>
            </w:pPr>
            <w:r>
              <w:t>202.64</w:t>
            </w:r>
          </w:p>
        </w:tc>
        <w:tc>
          <w:tcPr>
            <w:tcW w:w="1361" w:type="dxa"/>
            <w:vAlign w:val="center"/>
          </w:tcPr>
          <w:p>
            <w:pPr>
              <w:pStyle w:val="15"/>
            </w:pPr>
            <w:r>
              <w:t>202.64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144.74</w:t>
            </w:r>
          </w:p>
        </w:tc>
        <w:tc>
          <w:tcPr>
            <w:tcW w:w="1361" w:type="dxa"/>
            <w:vAlign w:val="center"/>
          </w:tcPr>
          <w:p>
            <w:pPr>
              <w:pStyle w:val="15"/>
            </w:pPr>
            <w:r>
              <w:t>144.74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144.74</w:t>
            </w:r>
          </w:p>
        </w:tc>
        <w:tc>
          <w:tcPr>
            <w:tcW w:w="1361" w:type="dxa"/>
            <w:vAlign w:val="center"/>
          </w:tcPr>
          <w:p>
            <w:pPr>
              <w:pStyle w:val="15"/>
            </w:pPr>
            <w:r>
              <w:t>144.74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135.59</w:t>
            </w:r>
          </w:p>
        </w:tc>
        <w:tc>
          <w:tcPr>
            <w:tcW w:w="1361" w:type="dxa"/>
            <w:vAlign w:val="center"/>
          </w:tcPr>
          <w:p>
            <w:pPr>
              <w:pStyle w:val="15"/>
            </w:pPr>
            <w:r>
              <w:t>135.59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9.15</w:t>
            </w:r>
          </w:p>
        </w:tc>
        <w:tc>
          <w:tcPr>
            <w:tcW w:w="1361" w:type="dxa"/>
            <w:vAlign w:val="center"/>
          </w:tcPr>
          <w:p>
            <w:pPr>
              <w:pStyle w:val="15"/>
            </w:pPr>
            <w:r>
              <w:t>9.15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56.88</w:t>
            </w:r>
          </w:p>
        </w:tc>
        <w:tc>
          <w:tcPr>
            <w:tcW w:w="1361" w:type="dxa"/>
            <w:vAlign w:val="center"/>
          </w:tcPr>
          <w:p>
            <w:pPr>
              <w:pStyle w:val="15"/>
            </w:pPr>
            <w:r>
              <w:t>56.88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56.88</w:t>
            </w:r>
          </w:p>
        </w:tc>
        <w:tc>
          <w:tcPr>
            <w:tcW w:w="1361" w:type="dxa"/>
            <w:vAlign w:val="center"/>
          </w:tcPr>
          <w:p>
            <w:pPr>
              <w:pStyle w:val="15"/>
            </w:pPr>
            <w:r>
              <w:t>56.88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48.50</w:t>
            </w:r>
          </w:p>
        </w:tc>
        <w:tc>
          <w:tcPr>
            <w:tcW w:w="1361" w:type="dxa"/>
            <w:vAlign w:val="center"/>
          </w:tcPr>
          <w:p>
            <w:pPr>
              <w:pStyle w:val="15"/>
            </w:pPr>
            <w:r>
              <w:t>48.50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8.38</w:t>
            </w:r>
          </w:p>
        </w:tc>
        <w:tc>
          <w:tcPr>
            <w:tcW w:w="1361" w:type="dxa"/>
            <w:vAlign w:val="center"/>
          </w:tcPr>
          <w:p>
            <w:pPr>
              <w:pStyle w:val="15"/>
            </w:pPr>
            <w:r>
              <w:t>8.38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100.76</w:t>
            </w:r>
          </w:p>
        </w:tc>
        <w:tc>
          <w:tcPr>
            <w:tcW w:w="1361" w:type="dxa"/>
            <w:vAlign w:val="center"/>
          </w:tcPr>
          <w:p>
            <w:pPr>
              <w:pStyle w:val="15"/>
            </w:pPr>
            <w:r>
              <w:t>100.76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100.76</w:t>
            </w:r>
          </w:p>
        </w:tc>
        <w:tc>
          <w:tcPr>
            <w:tcW w:w="1361" w:type="dxa"/>
            <w:vAlign w:val="center"/>
          </w:tcPr>
          <w:p>
            <w:pPr>
              <w:pStyle w:val="15"/>
            </w:pPr>
            <w:r>
              <w:t>100.76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100.76</w:t>
            </w:r>
          </w:p>
        </w:tc>
        <w:tc>
          <w:tcPr>
            <w:tcW w:w="1361" w:type="dxa"/>
            <w:vAlign w:val="center"/>
          </w:tcPr>
          <w:p>
            <w:pPr>
              <w:pStyle w:val="15"/>
            </w:pPr>
            <w:r>
              <w:t>100.76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414行唐县市场监督管理局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2455.54</w:t>
            </w:r>
          </w:p>
        </w:tc>
        <w:tc>
          <w:tcPr>
            <w:tcW w:w="3402" w:type="dxa"/>
            <w:vAlign w:val="center"/>
          </w:tcPr>
          <w:p>
            <w:pPr>
              <w:pStyle w:val="16"/>
            </w:pPr>
            <w:r>
              <w:t>一、一般公共服务支出</w:t>
            </w:r>
          </w:p>
        </w:tc>
        <w:tc>
          <w:tcPr>
            <w:tcW w:w="1474" w:type="dxa"/>
            <w:vAlign w:val="center"/>
          </w:tcPr>
          <w:p>
            <w:pPr>
              <w:pStyle w:val="15"/>
            </w:pPr>
            <w:r>
              <w:t>2153.16</w:t>
            </w:r>
          </w:p>
        </w:tc>
        <w:tc>
          <w:tcPr>
            <w:tcW w:w="1474" w:type="dxa"/>
            <w:vAlign w:val="center"/>
          </w:tcPr>
          <w:p>
            <w:pPr>
              <w:pStyle w:val="15"/>
            </w:pPr>
            <w:r>
              <w:t>2153.16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144.74</w:t>
            </w:r>
          </w:p>
        </w:tc>
        <w:tc>
          <w:tcPr>
            <w:tcW w:w="1474" w:type="dxa"/>
            <w:vAlign w:val="center"/>
          </w:tcPr>
          <w:p>
            <w:pPr>
              <w:pStyle w:val="15"/>
            </w:pPr>
            <w:r>
              <w:t>144.74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56.88</w:t>
            </w:r>
          </w:p>
        </w:tc>
        <w:tc>
          <w:tcPr>
            <w:tcW w:w="1474" w:type="dxa"/>
            <w:vAlign w:val="center"/>
          </w:tcPr>
          <w:p>
            <w:pPr>
              <w:pStyle w:val="15"/>
            </w:pPr>
            <w:r>
              <w:t>56.88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100.76</w:t>
            </w:r>
          </w:p>
        </w:tc>
        <w:tc>
          <w:tcPr>
            <w:tcW w:w="1474" w:type="dxa"/>
            <w:vAlign w:val="center"/>
          </w:tcPr>
          <w:p>
            <w:pPr>
              <w:pStyle w:val="15"/>
            </w:pPr>
            <w:r>
              <w:t>100.76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2455.54</w:t>
            </w:r>
          </w:p>
        </w:tc>
        <w:tc>
          <w:tcPr>
            <w:tcW w:w="3402" w:type="dxa"/>
            <w:vAlign w:val="center"/>
          </w:tcPr>
          <w:p>
            <w:pPr>
              <w:pStyle w:val="18"/>
            </w:pPr>
            <w:r>
              <w:t>本年支出合计</w:t>
            </w:r>
          </w:p>
        </w:tc>
        <w:tc>
          <w:tcPr>
            <w:tcW w:w="1474" w:type="dxa"/>
            <w:vAlign w:val="center"/>
          </w:tcPr>
          <w:p>
            <w:pPr>
              <w:pStyle w:val="19"/>
            </w:pPr>
            <w:r>
              <w:t>2455.54</w:t>
            </w:r>
          </w:p>
        </w:tc>
        <w:tc>
          <w:tcPr>
            <w:tcW w:w="1474" w:type="dxa"/>
            <w:vAlign w:val="center"/>
          </w:tcPr>
          <w:p>
            <w:pPr>
              <w:pStyle w:val="19"/>
            </w:pPr>
            <w:r>
              <w:t>2455.54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2455.54</w:t>
            </w:r>
          </w:p>
        </w:tc>
        <w:tc>
          <w:tcPr>
            <w:tcW w:w="3402" w:type="dxa"/>
            <w:vAlign w:val="center"/>
          </w:tcPr>
          <w:p>
            <w:pPr>
              <w:pStyle w:val="18"/>
            </w:pPr>
            <w:r>
              <w:t>支出总计</w:t>
            </w:r>
          </w:p>
        </w:tc>
        <w:tc>
          <w:tcPr>
            <w:tcW w:w="1474" w:type="dxa"/>
            <w:vAlign w:val="center"/>
          </w:tcPr>
          <w:p>
            <w:pPr>
              <w:pStyle w:val="19"/>
            </w:pPr>
            <w:r>
              <w:t>2455.54</w:t>
            </w:r>
          </w:p>
        </w:tc>
        <w:tc>
          <w:tcPr>
            <w:tcW w:w="1474" w:type="dxa"/>
            <w:vAlign w:val="center"/>
          </w:tcPr>
          <w:p>
            <w:pPr>
              <w:pStyle w:val="19"/>
            </w:pPr>
            <w:r>
              <w:t>2455.54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414行唐县市场监督管理局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2455.54</w:t>
            </w:r>
          </w:p>
        </w:tc>
        <w:tc>
          <w:tcPr>
            <w:tcW w:w="2551" w:type="dxa"/>
            <w:vAlign w:val="center"/>
          </w:tcPr>
          <w:p>
            <w:pPr>
              <w:pStyle w:val="19"/>
            </w:pPr>
            <w:r>
              <w:t>2027.54</w:t>
            </w:r>
          </w:p>
        </w:tc>
        <w:tc>
          <w:tcPr>
            <w:tcW w:w="2551" w:type="dxa"/>
            <w:vAlign w:val="center"/>
          </w:tcPr>
          <w:p>
            <w:pPr>
              <w:pStyle w:val="19"/>
            </w:pPr>
            <w:r>
              <w:t>428.00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2153.16</w:t>
            </w:r>
          </w:p>
        </w:tc>
        <w:tc>
          <w:tcPr>
            <w:tcW w:w="2551" w:type="dxa"/>
            <w:vAlign w:val="center"/>
          </w:tcPr>
          <w:p>
            <w:pPr>
              <w:pStyle w:val="15"/>
            </w:pPr>
            <w:r>
              <w:t>1725.16</w:t>
            </w:r>
          </w:p>
        </w:tc>
        <w:tc>
          <w:tcPr>
            <w:tcW w:w="2551" w:type="dxa"/>
            <w:vAlign w:val="center"/>
          </w:tcPr>
          <w:p>
            <w:pPr>
              <w:pStyle w:val="15"/>
            </w:pPr>
            <w:r>
              <w:t>428.00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20138</w:t>
            </w:r>
          </w:p>
        </w:tc>
        <w:tc>
          <w:tcPr>
            <w:tcW w:w="4535" w:type="dxa"/>
            <w:vAlign w:val="center"/>
          </w:tcPr>
          <w:p>
            <w:pPr>
              <w:pStyle w:val="16"/>
            </w:pPr>
            <w:r>
              <w:t>市场监督管理事务</w:t>
            </w:r>
          </w:p>
        </w:tc>
        <w:tc>
          <w:tcPr>
            <w:tcW w:w="2551" w:type="dxa"/>
            <w:vAlign w:val="center"/>
          </w:tcPr>
          <w:p>
            <w:pPr>
              <w:pStyle w:val="15"/>
            </w:pPr>
            <w:r>
              <w:t>2153.16</w:t>
            </w:r>
          </w:p>
        </w:tc>
        <w:tc>
          <w:tcPr>
            <w:tcW w:w="2551" w:type="dxa"/>
            <w:vAlign w:val="center"/>
          </w:tcPr>
          <w:p>
            <w:pPr>
              <w:pStyle w:val="15"/>
            </w:pPr>
            <w:r>
              <w:t>1725.16</w:t>
            </w:r>
          </w:p>
        </w:tc>
        <w:tc>
          <w:tcPr>
            <w:tcW w:w="2551" w:type="dxa"/>
            <w:vAlign w:val="center"/>
          </w:tcPr>
          <w:p>
            <w:pPr>
              <w:pStyle w:val="15"/>
            </w:pPr>
            <w:r>
              <w:t>428.00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2013801</w:t>
            </w:r>
          </w:p>
        </w:tc>
        <w:tc>
          <w:tcPr>
            <w:tcW w:w="4535" w:type="dxa"/>
            <w:vAlign w:val="center"/>
          </w:tcPr>
          <w:p>
            <w:pPr>
              <w:pStyle w:val="16"/>
            </w:pPr>
            <w:r>
              <w:t>行政运行</w:t>
            </w:r>
          </w:p>
        </w:tc>
        <w:tc>
          <w:tcPr>
            <w:tcW w:w="2551" w:type="dxa"/>
            <w:vAlign w:val="center"/>
          </w:tcPr>
          <w:p>
            <w:pPr>
              <w:pStyle w:val="15"/>
            </w:pPr>
            <w:r>
              <w:t>1522.52</w:t>
            </w:r>
          </w:p>
        </w:tc>
        <w:tc>
          <w:tcPr>
            <w:tcW w:w="2551" w:type="dxa"/>
            <w:vAlign w:val="center"/>
          </w:tcPr>
          <w:p>
            <w:pPr>
              <w:pStyle w:val="15"/>
            </w:pPr>
            <w:r>
              <w:t>1522.52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2013804</w:t>
            </w:r>
          </w:p>
        </w:tc>
        <w:tc>
          <w:tcPr>
            <w:tcW w:w="4535" w:type="dxa"/>
            <w:vAlign w:val="center"/>
          </w:tcPr>
          <w:p>
            <w:pPr>
              <w:pStyle w:val="16"/>
            </w:pPr>
            <w:r>
              <w:t>经营主体管理</w:t>
            </w:r>
          </w:p>
        </w:tc>
        <w:tc>
          <w:tcPr>
            <w:tcW w:w="2551" w:type="dxa"/>
            <w:vAlign w:val="center"/>
          </w:tcPr>
          <w:p>
            <w:pPr>
              <w:pStyle w:val="15"/>
            </w:pPr>
            <w:r>
              <w:t>428.00</w:t>
            </w:r>
          </w:p>
        </w:tc>
        <w:tc>
          <w:tcPr>
            <w:tcW w:w="2551" w:type="dxa"/>
            <w:vAlign w:val="center"/>
          </w:tcPr>
          <w:p>
            <w:pPr>
              <w:pStyle w:val="15"/>
            </w:pPr>
          </w:p>
        </w:tc>
        <w:tc>
          <w:tcPr>
            <w:tcW w:w="2551" w:type="dxa"/>
            <w:vAlign w:val="center"/>
          </w:tcPr>
          <w:p>
            <w:pPr>
              <w:pStyle w:val="15"/>
            </w:pPr>
            <w:r>
              <w:t>428.00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2013850</w:t>
            </w:r>
          </w:p>
        </w:tc>
        <w:tc>
          <w:tcPr>
            <w:tcW w:w="4535" w:type="dxa"/>
            <w:vAlign w:val="center"/>
          </w:tcPr>
          <w:p>
            <w:pPr>
              <w:pStyle w:val="16"/>
            </w:pPr>
            <w:r>
              <w:t>事业运行</w:t>
            </w:r>
          </w:p>
        </w:tc>
        <w:tc>
          <w:tcPr>
            <w:tcW w:w="2551" w:type="dxa"/>
            <w:vAlign w:val="center"/>
          </w:tcPr>
          <w:p>
            <w:pPr>
              <w:pStyle w:val="15"/>
            </w:pPr>
            <w:r>
              <w:t>202.64</w:t>
            </w:r>
          </w:p>
        </w:tc>
        <w:tc>
          <w:tcPr>
            <w:tcW w:w="2551" w:type="dxa"/>
            <w:vAlign w:val="center"/>
          </w:tcPr>
          <w:p>
            <w:pPr>
              <w:pStyle w:val="15"/>
            </w:pPr>
            <w:r>
              <w:t>202.64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144.74</w:t>
            </w:r>
          </w:p>
        </w:tc>
        <w:tc>
          <w:tcPr>
            <w:tcW w:w="2551" w:type="dxa"/>
            <w:vAlign w:val="center"/>
          </w:tcPr>
          <w:p>
            <w:pPr>
              <w:pStyle w:val="15"/>
            </w:pPr>
            <w:r>
              <w:t>144.74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144.74</w:t>
            </w:r>
          </w:p>
        </w:tc>
        <w:tc>
          <w:tcPr>
            <w:tcW w:w="2551" w:type="dxa"/>
            <w:vAlign w:val="center"/>
          </w:tcPr>
          <w:p>
            <w:pPr>
              <w:pStyle w:val="15"/>
            </w:pPr>
            <w:r>
              <w:t>144.74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135.59</w:t>
            </w:r>
          </w:p>
        </w:tc>
        <w:tc>
          <w:tcPr>
            <w:tcW w:w="2551" w:type="dxa"/>
            <w:vAlign w:val="center"/>
          </w:tcPr>
          <w:p>
            <w:pPr>
              <w:pStyle w:val="15"/>
            </w:pPr>
            <w:r>
              <w:t>135.59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9.15</w:t>
            </w:r>
          </w:p>
        </w:tc>
        <w:tc>
          <w:tcPr>
            <w:tcW w:w="2551" w:type="dxa"/>
            <w:vAlign w:val="center"/>
          </w:tcPr>
          <w:p>
            <w:pPr>
              <w:pStyle w:val="15"/>
            </w:pPr>
            <w:r>
              <w:t>9.15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56.88</w:t>
            </w:r>
          </w:p>
        </w:tc>
        <w:tc>
          <w:tcPr>
            <w:tcW w:w="2551" w:type="dxa"/>
            <w:vAlign w:val="center"/>
          </w:tcPr>
          <w:p>
            <w:pPr>
              <w:pStyle w:val="15"/>
            </w:pPr>
            <w:r>
              <w:t>56.88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56.88</w:t>
            </w:r>
          </w:p>
        </w:tc>
        <w:tc>
          <w:tcPr>
            <w:tcW w:w="2551" w:type="dxa"/>
            <w:vAlign w:val="center"/>
          </w:tcPr>
          <w:p>
            <w:pPr>
              <w:pStyle w:val="15"/>
            </w:pPr>
            <w:r>
              <w:t>56.88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48.50</w:t>
            </w:r>
          </w:p>
        </w:tc>
        <w:tc>
          <w:tcPr>
            <w:tcW w:w="2551" w:type="dxa"/>
            <w:vAlign w:val="center"/>
          </w:tcPr>
          <w:p>
            <w:pPr>
              <w:pStyle w:val="15"/>
            </w:pPr>
            <w:r>
              <w:t>48.50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8.38</w:t>
            </w:r>
          </w:p>
        </w:tc>
        <w:tc>
          <w:tcPr>
            <w:tcW w:w="2551" w:type="dxa"/>
            <w:vAlign w:val="center"/>
          </w:tcPr>
          <w:p>
            <w:pPr>
              <w:pStyle w:val="15"/>
            </w:pPr>
            <w:r>
              <w:t>8.38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100.76</w:t>
            </w:r>
          </w:p>
        </w:tc>
        <w:tc>
          <w:tcPr>
            <w:tcW w:w="2551" w:type="dxa"/>
            <w:vAlign w:val="center"/>
          </w:tcPr>
          <w:p>
            <w:pPr>
              <w:pStyle w:val="15"/>
            </w:pPr>
            <w:r>
              <w:t>100.76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100.76</w:t>
            </w:r>
          </w:p>
        </w:tc>
        <w:tc>
          <w:tcPr>
            <w:tcW w:w="2551" w:type="dxa"/>
            <w:vAlign w:val="center"/>
          </w:tcPr>
          <w:p>
            <w:pPr>
              <w:pStyle w:val="15"/>
            </w:pPr>
            <w:r>
              <w:t>100.76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100.76</w:t>
            </w:r>
          </w:p>
        </w:tc>
        <w:tc>
          <w:tcPr>
            <w:tcW w:w="2551" w:type="dxa"/>
            <w:vAlign w:val="center"/>
          </w:tcPr>
          <w:p>
            <w:pPr>
              <w:pStyle w:val="15"/>
            </w:pPr>
            <w:r>
              <w:t>100.76</w:t>
            </w:r>
          </w:p>
        </w:tc>
        <w:tc>
          <w:tcPr>
            <w:tcW w:w="2551"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414行唐县市场监督管理局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2027.54</w:t>
            </w:r>
          </w:p>
        </w:tc>
        <w:tc>
          <w:tcPr>
            <w:tcW w:w="2551" w:type="dxa"/>
            <w:vAlign w:val="center"/>
          </w:tcPr>
          <w:p>
            <w:pPr>
              <w:pStyle w:val="19"/>
            </w:pPr>
            <w:r>
              <w:t>1868.31</w:t>
            </w:r>
          </w:p>
        </w:tc>
        <w:tc>
          <w:tcPr>
            <w:tcW w:w="2551" w:type="dxa"/>
            <w:vAlign w:val="center"/>
          </w:tcPr>
          <w:p>
            <w:pPr>
              <w:pStyle w:val="19"/>
            </w:pPr>
            <w:r>
              <w:t>159.23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1490.82</w:t>
            </w:r>
          </w:p>
        </w:tc>
        <w:tc>
          <w:tcPr>
            <w:tcW w:w="2551" w:type="dxa"/>
            <w:vAlign w:val="center"/>
          </w:tcPr>
          <w:p>
            <w:pPr>
              <w:pStyle w:val="15"/>
            </w:pPr>
            <w:r>
              <w:t>1490.82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690.02</w:t>
            </w:r>
          </w:p>
        </w:tc>
        <w:tc>
          <w:tcPr>
            <w:tcW w:w="2551" w:type="dxa"/>
            <w:vAlign w:val="center"/>
          </w:tcPr>
          <w:p>
            <w:pPr>
              <w:pStyle w:val="15"/>
            </w:pPr>
            <w:r>
              <w:t>690.02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150.39</w:t>
            </w:r>
          </w:p>
        </w:tc>
        <w:tc>
          <w:tcPr>
            <w:tcW w:w="2551" w:type="dxa"/>
            <w:vAlign w:val="center"/>
          </w:tcPr>
          <w:p>
            <w:pPr>
              <w:pStyle w:val="15"/>
            </w:pPr>
            <w:r>
              <w:t>150.39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143.28</w:t>
            </w:r>
          </w:p>
        </w:tc>
        <w:tc>
          <w:tcPr>
            <w:tcW w:w="2551" w:type="dxa"/>
            <w:vAlign w:val="center"/>
          </w:tcPr>
          <w:p>
            <w:pPr>
              <w:pStyle w:val="15"/>
            </w:pPr>
            <w:r>
              <w:t>143.28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181.27</w:t>
            </w:r>
          </w:p>
        </w:tc>
        <w:tc>
          <w:tcPr>
            <w:tcW w:w="2551" w:type="dxa"/>
            <w:vAlign w:val="center"/>
          </w:tcPr>
          <w:p>
            <w:pPr>
              <w:pStyle w:val="15"/>
            </w:pPr>
            <w:r>
              <w:t>181.27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135.59</w:t>
            </w:r>
          </w:p>
        </w:tc>
        <w:tc>
          <w:tcPr>
            <w:tcW w:w="2551" w:type="dxa"/>
            <w:vAlign w:val="center"/>
          </w:tcPr>
          <w:p>
            <w:pPr>
              <w:pStyle w:val="15"/>
            </w:pPr>
            <w:r>
              <w:t>135.59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9.15</w:t>
            </w:r>
          </w:p>
        </w:tc>
        <w:tc>
          <w:tcPr>
            <w:tcW w:w="2551" w:type="dxa"/>
            <w:vAlign w:val="center"/>
          </w:tcPr>
          <w:p>
            <w:pPr>
              <w:pStyle w:val="15"/>
            </w:pPr>
            <w:r>
              <w:t>9.15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56.88</w:t>
            </w:r>
          </w:p>
        </w:tc>
        <w:tc>
          <w:tcPr>
            <w:tcW w:w="2551" w:type="dxa"/>
            <w:vAlign w:val="center"/>
          </w:tcPr>
          <w:p>
            <w:pPr>
              <w:pStyle w:val="15"/>
            </w:pPr>
            <w:r>
              <w:t>56.88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6.21</w:t>
            </w:r>
          </w:p>
        </w:tc>
        <w:tc>
          <w:tcPr>
            <w:tcW w:w="2551" w:type="dxa"/>
            <w:vAlign w:val="center"/>
          </w:tcPr>
          <w:p>
            <w:pPr>
              <w:pStyle w:val="15"/>
            </w:pPr>
            <w:r>
              <w:t>6.21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118.03</w:t>
            </w:r>
          </w:p>
        </w:tc>
        <w:tc>
          <w:tcPr>
            <w:tcW w:w="2551" w:type="dxa"/>
            <w:vAlign w:val="center"/>
          </w:tcPr>
          <w:p>
            <w:pPr>
              <w:pStyle w:val="15"/>
            </w:pPr>
            <w:r>
              <w:t>118.03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159.23</w:t>
            </w:r>
          </w:p>
        </w:tc>
        <w:tc>
          <w:tcPr>
            <w:tcW w:w="2551" w:type="dxa"/>
            <w:vAlign w:val="center"/>
          </w:tcPr>
          <w:p>
            <w:pPr>
              <w:pStyle w:val="15"/>
            </w:pPr>
          </w:p>
        </w:tc>
        <w:tc>
          <w:tcPr>
            <w:tcW w:w="2551" w:type="dxa"/>
            <w:vAlign w:val="center"/>
          </w:tcPr>
          <w:p>
            <w:pPr>
              <w:pStyle w:val="15"/>
            </w:pPr>
            <w:r>
              <w:t>159.23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5.80</w:t>
            </w:r>
          </w:p>
        </w:tc>
        <w:tc>
          <w:tcPr>
            <w:tcW w:w="2551" w:type="dxa"/>
            <w:vAlign w:val="center"/>
          </w:tcPr>
          <w:p>
            <w:pPr>
              <w:pStyle w:val="15"/>
            </w:pPr>
          </w:p>
        </w:tc>
        <w:tc>
          <w:tcPr>
            <w:tcW w:w="2551" w:type="dxa"/>
            <w:vAlign w:val="center"/>
          </w:tcPr>
          <w:p>
            <w:pPr>
              <w:pStyle w:val="15"/>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5.80</w:t>
            </w:r>
          </w:p>
        </w:tc>
        <w:tc>
          <w:tcPr>
            <w:tcW w:w="2551" w:type="dxa"/>
            <w:vAlign w:val="center"/>
          </w:tcPr>
          <w:p>
            <w:pPr>
              <w:pStyle w:val="15"/>
            </w:pPr>
          </w:p>
        </w:tc>
        <w:tc>
          <w:tcPr>
            <w:tcW w:w="2551" w:type="dxa"/>
            <w:vAlign w:val="center"/>
          </w:tcPr>
          <w:p>
            <w:pPr>
              <w:pStyle w:val="15"/>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11.60</w:t>
            </w:r>
          </w:p>
        </w:tc>
        <w:tc>
          <w:tcPr>
            <w:tcW w:w="2551" w:type="dxa"/>
            <w:vAlign w:val="center"/>
          </w:tcPr>
          <w:p>
            <w:pPr>
              <w:pStyle w:val="15"/>
            </w:pPr>
          </w:p>
        </w:tc>
        <w:tc>
          <w:tcPr>
            <w:tcW w:w="2551" w:type="dxa"/>
            <w:vAlign w:val="center"/>
          </w:tcPr>
          <w:p>
            <w:pPr>
              <w:pStyle w:val="15"/>
            </w:pPr>
            <w:r>
              <w:t>11.60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4.49</w:t>
            </w:r>
          </w:p>
        </w:tc>
        <w:tc>
          <w:tcPr>
            <w:tcW w:w="2551" w:type="dxa"/>
            <w:vAlign w:val="center"/>
          </w:tcPr>
          <w:p>
            <w:pPr>
              <w:pStyle w:val="15"/>
            </w:pPr>
          </w:p>
        </w:tc>
        <w:tc>
          <w:tcPr>
            <w:tcW w:w="2551" w:type="dxa"/>
            <w:vAlign w:val="center"/>
          </w:tcPr>
          <w:p>
            <w:pPr>
              <w:pStyle w:val="15"/>
            </w:pPr>
            <w: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18.72</w:t>
            </w:r>
          </w:p>
        </w:tc>
        <w:tc>
          <w:tcPr>
            <w:tcW w:w="2551" w:type="dxa"/>
            <w:vAlign w:val="center"/>
          </w:tcPr>
          <w:p>
            <w:pPr>
              <w:pStyle w:val="15"/>
            </w:pPr>
          </w:p>
        </w:tc>
        <w:tc>
          <w:tcPr>
            <w:tcW w:w="2551" w:type="dxa"/>
            <w:vAlign w:val="center"/>
          </w:tcPr>
          <w:p>
            <w:pPr>
              <w:pStyle w:val="15"/>
            </w:pPr>
            <w:r>
              <w:t>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9.28</w:t>
            </w:r>
          </w:p>
        </w:tc>
        <w:tc>
          <w:tcPr>
            <w:tcW w:w="2551" w:type="dxa"/>
            <w:vAlign w:val="center"/>
          </w:tcPr>
          <w:p>
            <w:pPr>
              <w:pStyle w:val="15"/>
            </w:pPr>
          </w:p>
        </w:tc>
        <w:tc>
          <w:tcPr>
            <w:tcW w:w="2551" w:type="dxa"/>
            <w:vAlign w:val="center"/>
          </w:tcPr>
          <w:p>
            <w:pPr>
              <w:pStyle w:val="15"/>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9.28</w:t>
            </w:r>
          </w:p>
        </w:tc>
        <w:tc>
          <w:tcPr>
            <w:tcW w:w="2551" w:type="dxa"/>
            <w:vAlign w:val="center"/>
          </w:tcPr>
          <w:p>
            <w:pPr>
              <w:pStyle w:val="15"/>
            </w:pPr>
          </w:p>
        </w:tc>
        <w:tc>
          <w:tcPr>
            <w:tcW w:w="2551" w:type="dxa"/>
            <w:vAlign w:val="center"/>
          </w:tcPr>
          <w:p>
            <w:pPr>
              <w:pStyle w:val="15"/>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1.29</w:t>
            </w:r>
          </w:p>
        </w:tc>
        <w:tc>
          <w:tcPr>
            <w:tcW w:w="2551" w:type="dxa"/>
            <w:vAlign w:val="center"/>
          </w:tcPr>
          <w:p>
            <w:pPr>
              <w:pStyle w:val="15"/>
            </w:pPr>
          </w:p>
        </w:tc>
        <w:tc>
          <w:tcPr>
            <w:tcW w:w="2551" w:type="dxa"/>
            <w:vAlign w:val="center"/>
          </w:tcPr>
          <w:p>
            <w:pPr>
              <w:pStyle w:val="15"/>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9.19</w:t>
            </w:r>
          </w:p>
        </w:tc>
        <w:tc>
          <w:tcPr>
            <w:tcW w:w="2551" w:type="dxa"/>
            <w:vAlign w:val="center"/>
          </w:tcPr>
          <w:p>
            <w:pPr>
              <w:pStyle w:val="15"/>
            </w:pPr>
          </w:p>
        </w:tc>
        <w:tc>
          <w:tcPr>
            <w:tcW w:w="2551" w:type="dxa"/>
            <w:vAlign w:val="center"/>
          </w:tcPr>
          <w:p>
            <w:pPr>
              <w:pStyle w:val="15"/>
            </w:pPr>
            <w:r>
              <w:t>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36.42</w:t>
            </w:r>
          </w:p>
        </w:tc>
        <w:tc>
          <w:tcPr>
            <w:tcW w:w="2551" w:type="dxa"/>
            <w:vAlign w:val="center"/>
          </w:tcPr>
          <w:p>
            <w:pPr>
              <w:pStyle w:val="15"/>
            </w:pPr>
          </w:p>
        </w:tc>
        <w:tc>
          <w:tcPr>
            <w:tcW w:w="2551" w:type="dxa"/>
            <w:vAlign w:val="center"/>
          </w:tcPr>
          <w:p>
            <w:pPr>
              <w:pStyle w:val="15"/>
            </w:pPr>
            <w:r>
              <w:t>36.42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17.36</w:t>
            </w:r>
          </w:p>
        </w:tc>
        <w:tc>
          <w:tcPr>
            <w:tcW w:w="2551" w:type="dxa"/>
            <w:vAlign w:val="center"/>
          </w:tcPr>
          <w:p>
            <w:pPr>
              <w:pStyle w:val="15"/>
            </w:pPr>
          </w:p>
        </w:tc>
        <w:tc>
          <w:tcPr>
            <w:tcW w:w="2551" w:type="dxa"/>
            <w:vAlign w:val="center"/>
          </w:tcPr>
          <w:p>
            <w:pPr>
              <w:pStyle w:val="15"/>
            </w:pPr>
            <w:r>
              <w:t>17.36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377.49</w:t>
            </w:r>
          </w:p>
        </w:tc>
        <w:tc>
          <w:tcPr>
            <w:tcW w:w="2551" w:type="dxa"/>
            <w:vAlign w:val="center"/>
          </w:tcPr>
          <w:p>
            <w:pPr>
              <w:pStyle w:val="15"/>
            </w:pPr>
            <w:r>
              <w:t>377.49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354.02</w:t>
            </w:r>
          </w:p>
        </w:tc>
        <w:tc>
          <w:tcPr>
            <w:tcW w:w="2551" w:type="dxa"/>
            <w:vAlign w:val="center"/>
          </w:tcPr>
          <w:p>
            <w:pPr>
              <w:pStyle w:val="15"/>
            </w:pPr>
            <w:r>
              <w:t>354.02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30304</w:t>
            </w:r>
          </w:p>
        </w:tc>
        <w:tc>
          <w:tcPr>
            <w:tcW w:w="4535" w:type="dxa"/>
            <w:vAlign w:val="center"/>
          </w:tcPr>
          <w:p>
            <w:pPr>
              <w:pStyle w:val="16"/>
            </w:pPr>
            <w:r>
              <w:t>抚恤金</w:t>
            </w:r>
          </w:p>
        </w:tc>
        <w:tc>
          <w:tcPr>
            <w:tcW w:w="2551" w:type="dxa"/>
            <w:vAlign w:val="center"/>
          </w:tcPr>
          <w:p>
            <w:pPr>
              <w:pStyle w:val="15"/>
            </w:pPr>
            <w:r>
              <w:t>1.43</w:t>
            </w:r>
          </w:p>
        </w:tc>
        <w:tc>
          <w:tcPr>
            <w:tcW w:w="2551" w:type="dxa"/>
            <w:vAlign w:val="center"/>
          </w:tcPr>
          <w:p>
            <w:pPr>
              <w:pStyle w:val="15"/>
            </w:pPr>
            <w:r>
              <w:t>1.43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22.04</w:t>
            </w:r>
          </w:p>
        </w:tc>
        <w:tc>
          <w:tcPr>
            <w:tcW w:w="2551" w:type="dxa"/>
            <w:vAlign w:val="center"/>
          </w:tcPr>
          <w:p>
            <w:pPr>
              <w:pStyle w:val="15"/>
            </w:pPr>
            <w:r>
              <w:t>22.04</w:t>
            </w:r>
          </w:p>
        </w:tc>
        <w:tc>
          <w:tcPr>
            <w:tcW w:w="2551"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414行唐县市场监督管理局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414行唐县市场监督管理局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414行唐县市场监督管理局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val="en-US" w:eastAsia="zh-CN"/>
              </w:rPr>
            </w:pPr>
            <w:r>
              <w:rPr>
                <w:rFonts w:hint="eastAsia"/>
                <w:lang w:val="en-US" w:eastAsia="zh-CN"/>
              </w:rPr>
              <w:t>1</w:t>
            </w:r>
          </w:p>
        </w:tc>
        <w:tc>
          <w:tcPr>
            <w:tcW w:w="3798" w:type="dxa"/>
            <w:vAlign w:val="center"/>
          </w:tcPr>
          <w:p>
            <w:pPr>
              <w:pStyle w:val="16"/>
              <w:jc w:val="center"/>
            </w:pPr>
            <w:r>
              <w:rPr>
                <w:b/>
                <w:bCs/>
              </w:rPr>
              <w:t>合计</w:t>
            </w:r>
          </w:p>
        </w:tc>
        <w:tc>
          <w:tcPr>
            <w:tcW w:w="2381" w:type="dxa"/>
            <w:vAlign w:val="center"/>
          </w:tcPr>
          <w:p>
            <w:pPr>
              <w:pStyle w:val="15"/>
              <w:rPr>
                <w:rFonts w:hint="default" w:eastAsia="方正书宋_GBK"/>
                <w:lang w:val="en-US" w:eastAsia="zh-CN"/>
              </w:rPr>
            </w:pPr>
            <w:r>
              <w:rPr>
                <w:rFonts w:hint="eastAsia"/>
                <w:b/>
                <w:bCs/>
                <w:lang w:val="en-US" w:eastAsia="zh-CN"/>
              </w:rPr>
              <w:t>31.29</w:t>
            </w:r>
          </w:p>
        </w:tc>
        <w:tc>
          <w:tcPr>
            <w:tcW w:w="2381" w:type="dxa"/>
            <w:vAlign w:val="center"/>
          </w:tcPr>
          <w:p>
            <w:pPr>
              <w:pStyle w:val="15"/>
              <w:rPr>
                <w:rFonts w:hint="default" w:eastAsia="方正书宋_GBK"/>
                <w:lang w:val="en-US" w:eastAsia="zh-CN"/>
              </w:rPr>
            </w:pPr>
            <w:r>
              <w:rPr>
                <w:rFonts w:hint="eastAsia"/>
                <w:b/>
                <w:bCs/>
                <w:lang w:val="en-US" w:eastAsia="zh-CN"/>
              </w:rPr>
              <w:t>31.29</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val="en-US" w:eastAsia="zh-CN"/>
              </w:rPr>
            </w:pPr>
            <w:r>
              <w:rPr>
                <w:rFonts w:hint="eastAsia"/>
                <w:lang w:val="en-US" w:eastAsia="zh-CN"/>
              </w:rPr>
              <w:t>2</w:t>
            </w:r>
          </w:p>
        </w:tc>
        <w:tc>
          <w:tcPr>
            <w:tcW w:w="3798" w:type="dxa"/>
            <w:vAlign w:val="center"/>
          </w:tcPr>
          <w:p>
            <w:pPr>
              <w:pStyle w:val="16"/>
            </w:pPr>
            <w:r>
              <w:t>“三公”经费小计</w:t>
            </w:r>
          </w:p>
        </w:tc>
        <w:tc>
          <w:tcPr>
            <w:tcW w:w="2381" w:type="dxa"/>
            <w:vAlign w:val="center"/>
          </w:tcPr>
          <w:p>
            <w:pPr>
              <w:pStyle w:val="15"/>
              <w:rPr>
                <w:rFonts w:hint="default" w:eastAsia="方正书宋_GBK"/>
                <w:lang w:val="en-US" w:eastAsia="zh-CN"/>
              </w:rPr>
            </w:pPr>
            <w:r>
              <w:rPr>
                <w:rFonts w:hint="eastAsia"/>
                <w:lang w:val="en-US" w:eastAsia="zh-CN"/>
              </w:rPr>
              <w:t>31.29</w:t>
            </w:r>
          </w:p>
        </w:tc>
        <w:tc>
          <w:tcPr>
            <w:tcW w:w="2381" w:type="dxa"/>
            <w:vAlign w:val="center"/>
          </w:tcPr>
          <w:p>
            <w:pPr>
              <w:pStyle w:val="15"/>
              <w:rPr>
                <w:rFonts w:hint="default" w:eastAsia="方正书宋_GBK"/>
                <w:lang w:val="en-US" w:eastAsia="zh-CN"/>
              </w:rPr>
            </w:pPr>
            <w:r>
              <w:rPr>
                <w:rFonts w:hint="eastAsia"/>
                <w:lang w:val="en-US" w:eastAsia="zh-CN"/>
              </w:rPr>
              <w:t>31.29</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val="en-US" w:eastAsia="zh-CN"/>
              </w:rPr>
            </w:pPr>
            <w:r>
              <w:rPr>
                <w:rFonts w:hint="eastAsia"/>
                <w:lang w:val="en-US" w:eastAsia="zh-CN"/>
              </w:rP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val="en-US" w:eastAsia="zh-CN"/>
              </w:rPr>
            </w:pPr>
            <w:r>
              <w:rPr>
                <w:rFonts w:hint="eastAsia"/>
                <w:lang w:val="en-US" w:eastAsia="zh-CN"/>
              </w:rPr>
              <w:t>4</w:t>
            </w:r>
          </w:p>
        </w:tc>
        <w:tc>
          <w:tcPr>
            <w:tcW w:w="3798" w:type="dxa"/>
            <w:vAlign w:val="center"/>
          </w:tcPr>
          <w:p>
            <w:pPr>
              <w:pStyle w:val="16"/>
              <w:ind w:firstLine="0" w:firstLineChars="0"/>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val="en-US" w:eastAsia="zh-CN"/>
              </w:rPr>
            </w:pPr>
            <w:r>
              <w:rPr>
                <w:rFonts w:hint="eastAsia"/>
                <w:lang w:val="en-US" w:eastAsia="zh-CN"/>
              </w:rPr>
              <w:t>5</w:t>
            </w:r>
          </w:p>
        </w:tc>
        <w:tc>
          <w:tcPr>
            <w:tcW w:w="3798" w:type="dxa"/>
            <w:vAlign w:val="center"/>
          </w:tcPr>
          <w:p>
            <w:pPr>
              <w:pStyle w:val="16"/>
              <w:jc w:val="center"/>
            </w:pPr>
            <w:r>
              <w:t>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val="en-US" w:eastAsia="zh-CN"/>
              </w:rPr>
            </w:pPr>
            <w:r>
              <w:rPr>
                <w:rFonts w:hint="eastAsia"/>
                <w:lang w:val="en-US" w:eastAsia="zh-CN"/>
              </w:rPr>
              <w:t>6</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30</w:t>
            </w:r>
          </w:p>
        </w:tc>
        <w:tc>
          <w:tcPr>
            <w:tcW w:w="2381" w:type="dxa"/>
            <w:vAlign w:val="center"/>
          </w:tcPr>
          <w:p>
            <w:pPr>
              <w:pStyle w:val="15"/>
              <w:rPr>
                <w:rFonts w:hint="default" w:eastAsia="方正书宋_GBK"/>
                <w:lang w:val="en-US" w:eastAsia="zh-CN"/>
              </w:rPr>
            </w:pPr>
            <w:r>
              <w:rPr>
                <w:rFonts w:hint="eastAsia"/>
                <w:lang w:val="en-US" w:eastAsia="zh-CN"/>
              </w:rPr>
              <w:t>30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val="en-US" w:eastAsia="zh-CN"/>
              </w:rPr>
            </w:pPr>
            <w:r>
              <w:rPr>
                <w:rFonts w:hint="eastAsia"/>
                <w:lang w:val="en-US" w:eastAsia="zh-CN"/>
              </w:rPr>
              <w:t>7</w:t>
            </w:r>
          </w:p>
        </w:tc>
        <w:tc>
          <w:tcPr>
            <w:tcW w:w="3798" w:type="dxa"/>
            <w:vAlign w:val="center"/>
          </w:tcPr>
          <w:p>
            <w:pPr>
              <w:pStyle w:val="16"/>
              <w:ind w:firstLine="0" w:firstLineChars="0"/>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default"/>
                <w:lang w:val="en-US" w:eastAsia="zh-CN"/>
              </w:rPr>
            </w:pPr>
            <w:r>
              <w:rPr>
                <w:rFonts w:hint="eastAsia"/>
                <w:lang w:val="en-US" w:eastAsia="zh-CN"/>
              </w:rPr>
              <w:t>8</w:t>
            </w:r>
          </w:p>
        </w:tc>
        <w:tc>
          <w:tcPr>
            <w:tcW w:w="3798" w:type="dxa"/>
            <w:vAlign w:val="center"/>
          </w:tcPr>
          <w:p>
            <w:pPr>
              <w:pStyle w:val="16"/>
              <w:ind w:firstLine="0" w:firstLineChars="0"/>
            </w:pPr>
            <w:r>
              <w:t xml:space="preserve">          公务用车运行维护费</w:t>
            </w:r>
          </w:p>
        </w:tc>
        <w:tc>
          <w:tcPr>
            <w:tcW w:w="2381" w:type="dxa"/>
            <w:vAlign w:val="center"/>
          </w:tcPr>
          <w:p>
            <w:pPr>
              <w:pStyle w:val="15"/>
              <w:rPr>
                <w:rFonts w:hint="default" w:eastAsia="方正书宋_GBK"/>
                <w:lang w:val="en-US" w:eastAsia="zh-CN"/>
              </w:rPr>
            </w:pPr>
            <w:r>
              <w:rPr>
                <w:rFonts w:hint="eastAsia"/>
                <w:lang w:val="en-US" w:eastAsia="zh-CN"/>
              </w:rPr>
              <w:t>30</w:t>
            </w:r>
          </w:p>
        </w:tc>
        <w:tc>
          <w:tcPr>
            <w:tcW w:w="2381" w:type="dxa"/>
            <w:vAlign w:val="center"/>
          </w:tcPr>
          <w:p>
            <w:pPr>
              <w:pStyle w:val="15"/>
              <w:rPr>
                <w:rFonts w:hint="default" w:eastAsia="方正书宋_GBK"/>
                <w:lang w:val="en-US" w:eastAsia="zh-CN"/>
              </w:rPr>
            </w:pPr>
            <w:r>
              <w:rPr>
                <w:rFonts w:hint="eastAsia"/>
                <w:lang w:val="en-US" w:eastAsia="zh-CN"/>
              </w:rPr>
              <w:t>30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default"/>
                <w:lang w:val="en-US" w:eastAsia="zh-CN"/>
              </w:rPr>
            </w:pPr>
            <w:r>
              <w:rPr>
                <w:rFonts w:hint="eastAsia"/>
                <w:lang w:val="en-US" w:eastAsia="zh-CN"/>
              </w:rPr>
              <w:t>9</w:t>
            </w:r>
          </w:p>
        </w:tc>
        <w:tc>
          <w:tcPr>
            <w:tcW w:w="3798" w:type="dxa"/>
            <w:vAlign w:val="center"/>
          </w:tcPr>
          <w:p>
            <w:pPr>
              <w:pStyle w:val="16"/>
              <w:ind w:firstLine="0" w:firstLineChars="0"/>
            </w:pPr>
            <w:r>
              <w:t>三、公务接待费</w:t>
            </w:r>
          </w:p>
        </w:tc>
        <w:tc>
          <w:tcPr>
            <w:tcW w:w="2381" w:type="dxa"/>
            <w:vAlign w:val="center"/>
          </w:tcPr>
          <w:p>
            <w:pPr>
              <w:pStyle w:val="15"/>
              <w:rPr>
                <w:rFonts w:hint="default" w:eastAsia="方正书宋_GBK"/>
                <w:lang w:val="en-US" w:eastAsia="zh-CN"/>
              </w:rPr>
            </w:pPr>
            <w:r>
              <w:rPr>
                <w:rFonts w:hint="eastAsia"/>
                <w:lang w:val="en-US" w:eastAsia="zh-CN"/>
              </w:rPr>
              <w:t>1.29</w:t>
            </w:r>
          </w:p>
        </w:tc>
        <w:tc>
          <w:tcPr>
            <w:tcW w:w="2381" w:type="dxa"/>
            <w:vAlign w:val="center"/>
          </w:tcPr>
          <w:p>
            <w:pPr>
              <w:pStyle w:val="15"/>
              <w:rPr>
                <w:rFonts w:hint="default" w:eastAsia="方正书宋_GBK"/>
                <w:lang w:val="en-US" w:eastAsia="zh-CN"/>
              </w:rPr>
            </w:pPr>
            <w:r>
              <w:rPr>
                <w:rFonts w:hint="eastAsia"/>
                <w:lang w:val="en-US" w:eastAsia="zh-CN"/>
              </w:rPr>
              <w:t>1.29</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default"/>
                <w:lang w:val="en-US" w:eastAsia="zh-CN"/>
              </w:rPr>
            </w:pPr>
            <w:r>
              <w:rPr>
                <w:rFonts w:hint="eastAsia"/>
                <w:lang w:val="en-US" w:eastAsia="zh-CN"/>
              </w:rPr>
              <w:t>10</w:t>
            </w:r>
          </w:p>
        </w:tc>
        <w:tc>
          <w:tcPr>
            <w:tcW w:w="3798" w:type="dxa"/>
            <w:vAlign w:val="center"/>
          </w:tcPr>
          <w:p>
            <w:pPr>
              <w:pStyle w:val="16"/>
              <w:ind w:firstLine="0" w:firstLineChars="0"/>
            </w:pPr>
            <w: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default"/>
                <w:lang w:val="en-US" w:eastAsia="zh-CN"/>
              </w:rPr>
            </w:pPr>
            <w:r>
              <w:rPr>
                <w:rFonts w:hint="eastAsia"/>
                <w:lang w:val="en-US" w:eastAsia="zh-CN"/>
              </w:rPr>
              <w:t>11</w:t>
            </w:r>
          </w:p>
        </w:tc>
        <w:tc>
          <w:tcPr>
            <w:tcW w:w="3798" w:type="dxa"/>
            <w:vAlign w:val="center"/>
          </w:tcPr>
          <w:p>
            <w:pPr>
              <w:pStyle w:val="16"/>
              <w:ind w:firstLine="0" w:firstLineChars="0"/>
            </w:pPr>
            <w:r>
              <w:t xml:space="preserve">    其中：省属高校业务性会议费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default"/>
                <w:lang w:val="en-US" w:eastAsia="zh-CN"/>
              </w:rPr>
            </w:pPr>
            <w:r>
              <w:rPr>
                <w:rFonts w:hint="eastAsia"/>
                <w:lang w:val="en-US" w:eastAsia="zh-CN"/>
              </w:rPr>
              <w:t>12</w:t>
            </w:r>
          </w:p>
        </w:tc>
        <w:tc>
          <w:tcPr>
            <w:tcW w:w="3798" w:type="dxa"/>
            <w:vAlign w:val="center"/>
          </w:tcPr>
          <w:p>
            <w:pPr>
              <w:pStyle w:val="16"/>
              <w:ind w:firstLine="630" w:firstLineChars="300"/>
              <w:jc w:val="both"/>
            </w:pPr>
            <w:r>
              <w:t>其他会议费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rFonts w:hint="default"/>
                <w:lang w:val="en-US" w:eastAsia="zh-CN"/>
              </w:rPr>
            </w:pPr>
            <w:r>
              <w:rPr>
                <w:rFonts w:hint="eastAsia"/>
                <w:lang w:val="en-US" w:eastAsia="zh-CN"/>
              </w:rPr>
              <w:t>13</w:t>
            </w:r>
          </w:p>
        </w:tc>
        <w:tc>
          <w:tcPr>
            <w:tcW w:w="3798" w:type="dxa"/>
            <w:vAlign w:val="center"/>
          </w:tcPr>
          <w:p>
            <w:pPr>
              <w:pStyle w:val="16"/>
              <w:ind w:firstLine="0" w:firstLineChars="0"/>
            </w:pPr>
            <w: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FFFFFF"/>
          <w:sz w:val="21"/>
        </w:rPr>
        <w:t>第一部分  行唐县市场监督管理局2026年部门预算信息公开情况说明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行唐县市场监督管理局2026年部门预算信息公开情况说明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按照《中华人民共和国预算法》、《地方预决算公开操作规程》和《关于进一步推进预算公开工作的实施意见》规定，现将行唐县市场监督管理局2026年部门预算公开如下：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1"/>
      </w:pPr>
      <w:r>
        <w:rPr>
          <w:rFonts w:ascii="方正楷体_GBK" w:hAnsi="方正楷体_GBK" w:eastAsia="方正楷体_GBK" w:cs="方正楷体_GBK"/>
          <w:b/>
          <w:color w:val="000000"/>
          <w:sz w:val="32"/>
        </w:rPr>
        <w:t>部门职责：</w:t>
      </w:r>
      <w:r>
        <w:t>贯彻落实党中央和省、市、县委关于市场监督管理工作的方针政策和决策部署，坚持和加强党对市场监督管理工作的集中统一领导。主要职责是：</w:t>
      </w:r>
    </w:p>
    <w:p>
      <w:pPr>
        <w:pStyle w:val="21"/>
      </w:pPr>
      <w:r>
        <w:t>（一）负责起草市场监督管理有关地方性法规、政府规章草案，组织实施质量强县战略、食品安全战略、标准化战略、知识产权战略，拟订市场监督管理规划并组织实施，规范和维护市场秩序，营造诚实守信、公平竞争的市场环境。</w:t>
      </w:r>
    </w:p>
    <w:p>
      <w:pPr>
        <w:pStyle w:val="21"/>
      </w:pPr>
      <w:r>
        <w:t>（二）负责市场主体信用建设及外国（地区）企业常驻代表机构等市场主体的登记注册工作。建立市场主体信息公示和共享机制，依法公示和共享有关信息，加强信用监管，推动市场主体信用体系建设。</w:t>
      </w:r>
    </w:p>
    <w:p>
      <w:pPr>
        <w:pStyle w:val="21"/>
      </w:pPr>
      <w:r>
        <w:t>（三）负责全县市场监管综合执法工作。负责市场监管综合执法队伍整合和建设，推动实行统一的市场监管；组织查处重大违法案件；规范市场监管行政执法行为。</w:t>
      </w:r>
    </w:p>
    <w:p>
      <w:pPr>
        <w:pStyle w:val="21"/>
      </w:pPr>
      <w:r>
        <w:t>（四）负责监督管理市场秩序，依法监督管理市场交易、网络商品交易及有关服务的行为；依法查处价格收费违法违规、不正当竞争、违法直销、传销、侵犯商标专利知识产权和制售假冒伪劣行为；指导全县广告业发展，监督管理广告活动；指导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21"/>
      </w:pPr>
      <w:r>
        <w:t>（五）负责全县宏观质量管理，拟订全县质量发展的制度措施并组织实施；统筹全县质量基础设施建设与应用，会同有关部门组织实施重大工程设备质量监理制度，组织重大质量事故调查，组织实施缺陷产品和不安全产品召回制度，监督管理产品防伪工作。</w:t>
      </w:r>
    </w:p>
    <w:p>
      <w:pPr>
        <w:pStyle w:val="21"/>
      </w:pPr>
      <w:r>
        <w:t>（六）负责全县产品质量安全监督管理工作，承担县级产品质量安全风险监控、监督抽查工作；组织实施质量分级制度、质量安全追溯制度；配合市做好纤维质量监督相关工作。</w:t>
      </w:r>
    </w:p>
    <w:p>
      <w:pPr>
        <w:pStyle w:val="21"/>
      </w:pPr>
      <w:r>
        <w:t>（七）负责全县特种设备安全监督管理，负责特种设备安全监察、监督管理工作，监督检查高耗能特种设备节能标准和锅炉环境保护标准的执行情况。</w:t>
      </w:r>
    </w:p>
    <w:p>
      <w:pPr>
        <w:pStyle w:val="21"/>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行唐县食品安全委员会日常工作。</w:t>
      </w:r>
    </w:p>
    <w:p>
      <w:pPr>
        <w:pStyle w:val="21"/>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21"/>
      </w:pPr>
      <w:r>
        <w:t>（十）负责统一管理全县计量工作，推行法定计量单位和国家计量制度，管理计量器具及量值传递和比对工作；规范、监督商品量和市场计量行为。</w:t>
      </w:r>
    </w:p>
    <w:p>
      <w:pPr>
        <w:pStyle w:val="21"/>
      </w:pPr>
      <w:r>
        <w:t>（十一）负责统一管理全县标准化工作。负责制定县级地方标准，负责市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21"/>
      </w:pPr>
      <w:r>
        <w:t>（十二）负责统一管理全县检验检测工作。推进检验检测机构改革，规范检验检测市场，完善检验检测体系，指导协调检验检测行业发展。</w:t>
      </w:r>
    </w:p>
    <w:p>
      <w:pPr>
        <w:pStyle w:val="21"/>
      </w:pPr>
      <w:r>
        <w:t>（十三）负责统一管理、监督和协调全县认证认可工作。组织贯彻实施国家统一的认证认可和合格评定监督管理制度。</w:t>
      </w:r>
    </w:p>
    <w:p>
      <w:pPr>
        <w:pStyle w:val="21"/>
      </w:pPr>
      <w:r>
        <w:t>（十四）负责推进全县知识产权管理工作，拟订加强知识产权强县建设的重大政策和发展规划并组织实施，拟订强化知识产权创造、保护和运用的政策和制度并组织实施。</w:t>
      </w:r>
    </w:p>
    <w:p>
      <w:pPr>
        <w:pStyle w:val="21"/>
      </w:pPr>
      <w:r>
        <w:t>（十五）负责保护知识产权工作，组织起草严格保护商标、专利、原产地地理标志、集成电路布图设计等知识产权地方性法规并组织实施。组织起草相关政府规章草案及政策并监督实施。按照国家知识产权保护体系建设方案，推动建设知识产权保护体系。负责指导商标、专利执法工作，负责知识产权争议处理、维权援助和纠纷调处。</w:t>
      </w:r>
    </w:p>
    <w:p>
      <w:pPr>
        <w:pStyle w:val="21"/>
      </w:pPr>
      <w:r>
        <w:t>（十六）负责促进知识产权运用。拟订知识产权运用和规范交易管理办法，促进知识产权转移转化；规范知识产权无形资产评估工作；负责知识产权中介服务发展的监督管理工作。</w:t>
      </w:r>
    </w:p>
    <w:p>
      <w:pPr>
        <w:pStyle w:val="21"/>
      </w:pPr>
      <w:r>
        <w:t>（十七）负责建立知识产权公共服务体系，建设便企利民、互联互通的全县知识产权信息公共服务平台，推动商标、专利等知识产权信息的传播利用。指导辖区开展专利信息服务工作。</w:t>
      </w:r>
    </w:p>
    <w:p>
      <w:pPr>
        <w:pStyle w:val="21"/>
      </w:pPr>
      <w:r>
        <w:t>（十八）承担上级知识产权局知识产权代办工作任务，负责知识产权的初审注册登记。组织实施原产地地理标志统一认定制度。</w:t>
      </w:r>
    </w:p>
    <w:p>
      <w:pPr>
        <w:pStyle w:val="21"/>
      </w:pPr>
      <w:r>
        <w:t>（十九）负责市场监督管理科技和信息化建设、新闻宣传、对外交流与合作；按规定承担技术性贸易措施有关工作；负责协调涉外知识产权事宜，承担知识产权对外转让审查工作。</w:t>
      </w:r>
    </w:p>
    <w:p>
      <w:pPr>
        <w:pStyle w:val="21"/>
      </w:pPr>
      <w:r>
        <w:t>（二十）负责药品（含中药、民族药，下同）、医疗器械和化妆品安全监督管理工作；贯彻执行国家、省药品、医疗器械和化妆品法律法规，以及鼓励药品、医疗器械和化妆品新技术新产品的管理与服务政策，拟定监督管理措施并组织实施，组织起草相关地方性法规、政府规章草案。</w:t>
      </w:r>
    </w:p>
    <w:p>
      <w:pPr>
        <w:pStyle w:val="21"/>
      </w:pPr>
      <w:r>
        <w:t>（二十一）负责药品、医疗器械和化妆品质量管理，依职责监督实施药品、医疗器械经营质量管理规范。</w:t>
      </w:r>
    </w:p>
    <w:p>
      <w:pPr>
        <w:pStyle w:val="21"/>
      </w:pPr>
      <w:r>
        <w:t>（二十二）组织开展药品、化妆品不良反应监测、医疗器械不良事件监测、药物滥用监测工作。依法承担药品、医疗器械和化妆品安全应急管理工作。</w:t>
      </w:r>
    </w:p>
    <w:p>
      <w:pPr>
        <w:pStyle w:val="21"/>
      </w:pPr>
      <w:r>
        <w:t>（二十三）负责药品、医疗器械和化妆品监督检查工作，贯彻落实国家、省检查制度，依法查处药品、医疗器械和化妆品经营、使用环节的违法行为。</w:t>
      </w:r>
    </w:p>
    <w:p>
      <w:pPr>
        <w:pStyle w:val="21"/>
      </w:pPr>
      <w:r>
        <w:t>（二十四）组织开展药品、医疗器械和化妆品安全宣传、教育培训。推进诚信体系建设。</w:t>
      </w:r>
    </w:p>
    <w:p>
      <w:pPr>
        <w:pStyle w:val="21"/>
      </w:pPr>
      <w:r>
        <w:t>（二十五）负责指导辖区药品监督管理工作。推动落实药品、医疗器械和化妆品安全企业主体责任，监督辖区履行党政同责，组织实施药品、医疗器械和化妆品安全考核。</w:t>
      </w:r>
    </w:p>
    <w:p>
      <w:pPr>
        <w:pStyle w:val="21"/>
      </w:pPr>
      <w: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21"/>
      </w:pPr>
      <w:r>
        <w:t>（二十七）完成县委、县政府交办的其他任务。承接市市场监督管理局下放的职责。</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行唐县市场监督管理局本级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行唐县市场监督管理局（未统发部分）</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行唐县质量技术监督检验所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按照预算管理有关规定，目前部门预算的编制实行综合预算管理，即全部收入和支出都反映在预算中。行唐县市场监督管理局机关及所属事业单位的收支包含在部门预算中。</w:t>
      </w:r>
    </w:p>
    <w:p>
      <w:pPr>
        <w:pStyle w:val="22"/>
      </w:pPr>
      <w:r>
        <w:t>1、收入说明</w:t>
      </w:r>
    </w:p>
    <w:p>
      <w:pPr>
        <w:pStyle w:val="22"/>
      </w:pPr>
      <w:r>
        <w:t>反映本部门当年全部收入。202</w:t>
      </w:r>
      <w:r>
        <w:rPr>
          <w:rFonts w:hint="eastAsia"/>
          <w:lang w:val="en-US" w:eastAsia="zh-CN"/>
        </w:rPr>
        <w:t>6</w:t>
      </w:r>
      <w:r>
        <w:t>年预算收入</w:t>
      </w:r>
      <w:r>
        <w:rPr>
          <w:rFonts w:hint="eastAsia"/>
          <w:lang w:val="en-US" w:eastAsia="zh-CN"/>
        </w:rPr>
        <w:t>2455.54</w:t>
      </w:r>
      <w:r>
        <w:t>万元，其中：一般公共预算收入</w:t>
      </w:r>
      <w:r>
        <w:rPr>
          <w:rFonts w:hint="eastAsia"/>
          <w:lang w:val="en-US" w:eastAsia="zh-CN"/>
        </w:rPr>
        <w:t>2455.54</w:t>
      </w:r>
      <w:r>
        <w:t>万元，基金预算收入0.00万元，国有资本经营预算收入0.00万元，财政专户核拨收入0.00万元，单位资金收入0.00万元，上年结转结余0.00万元。</w:t>
      </w:r>
    </w:p>
    <w:p>
      <w:pPr>
        <w:pStyle w:val="22"/>
      </w:pPr>
      <w:r>
        <w:t>2、支出说明</w:t>
      </w:r>
    </w:p>
    <w:p>
      <w:pPr>
        <w:pStyle w:val="22"/>
      </w:pPr>
      <w:r>
        <w:t>收支预算总表支出栏、基本支出表、项目支出表按经济分类和支出功能分类科目编制，反映行唐县市场监督管理局年度部门预算中支出预算的总体情况。202</w:t>
      </w:r>
      <w:r>
        <w:rPr>
          <w:rFonts w:hint="eastAsia"/>
          <w:lang w:val="en-US" w:eastAsia="zh-CN"/>
        </w:rPr>
        <w:t>6</w:t>
      </w:r>
      <w:r>
        <w:t>年支出预算</w:t>
      </w:r>
      <w:r>
        <w:rPr>
          <w:rFonts w:hint="eastAsia"/>
          <w:lang w:val="en-US" w:eastAsia="zh-CN"/>
        </w:rPr>
        <w:t>2455.54</w:t>
      </w:r>
      <w:r>
        <w:t>万元，其中基本支出</w:t>
      </w:r>
      <w:r>
        <w:rPr>
          <w:rFonts w:hint="eastAsia"/>
          <w:lang w:val="en-US" w:eastAsia="zh-CN"/>
        </w:rPr>
        <w:t>2027.54</w:t>
      </w:r>
      <w:r>
        <w:t>万元，包括人员经费</w:t>
      </w:r>
      <w:r>
        <w:rPr>
          <w:rFonts w:hint="eastAsia"/>
          <w:lang w:val="en-US" w:eastAsia="zh-CN"/>
        </w:rPr>
        <w:t>1868.31</w:t>
      </w:r>
      <w:r>
        <w:t>万元和日常公用经费</w:t>
      </w:r>
      <w:r>
        <w:rPr>
          <w:rFonts w:hint="eastAsia"/>
          <w:lang w:val="en-US" w:eastAsia="zh-CN"/>
        </w:rPr>
        <w:t>159.23</w:t>
      </w:r>
      <w:r>
        <w:t>万元；项目支出</w:t>
      </w:r>
      <w:r>
        <w:rPr>
          <w:rFonts w:hint="eastAsia"/>
          <w:lang w:val="en-US" w:eastAsia="zh-CN"/>
        </w:rPr>
        <w:t>428</w:t>
      </w:r>
      <w:r>
        <w:t>万元，主要为项目支出为市场监管经费，用于市场监管，执法办案，质量监管等职责活动。</w:t>
      </w:r>
    </w:p>
    <w:p>
      <w:pPr>
        <w:pStyle w:val="22"/>
      </w:pPr>
      <w:r>
        <w:t>3、比上年增减情况</w:t>
      </w:r>
    </w:p>
    <w:p>
      <w:pPr>
        <w:pStyle w:val="22"/>
      </w:pPr>
      <w:r>
        <w:t>202</w:t>
      </w:r>
      <w:r>
        <w:rPr>
          <w:rFonts w:hint="eastAsia"/>
          <w:lang w:val="en-US" w:eastAsia="zh-CN"/>
        </w:rPr>
        <w:t>6</w:t>
      </w:r>
      <w:r>
        <w:t>年预算收支安排</w:t>
      </w:r>
      <w:r>
        <w:rPr>
          <w:rFonts w:hint="eastAsia"/>
          <w:lang w:val="en-US" w:eastAsia="zh-CN"/>
        </w:rPr>
        <w:t>2455.54</w:t>
      </w:r>
      <w:r>
        <w:t>万元，较202</w:t>
      </w:r>
      <w:r>
        <w:rPr>
          <w:rFonts w:hint="eastAsia"/>
          <w:lang w:val="en-US" w:eastAsia="zh-CN"/>
        </w:rPr>
        <w:t>5</w:t>
      </w:r>
      <w:r>
        <w:t>年预算减少</w:t>
      </w:r>
      <w:r>
        <w:rPr>
          <w:rFonts w:hint="eastAsia"/>
          <w:lang w:val="en-US" w:eastAsia="zh-CN"/>
        </w:rPr>
        <w:t>11.97</w:t>
      </w:r>
      <w:r>
        <w:t>万元，其中：基本支出减少</w:t>
      </w:r>
      <w:r>
        <w:rPr>
          <w:rFonts w:hint="eastAsia"/>
          <w:lang w:val="en-US" w:eastAsia="zh-CN"/>
        </w:rPr>
        <w:t>31.03</w:t>
      </w:r>
      <w:r>
        <w:t>万元，主要为在职人员转退休后，养老金由社保发放，人员经费减少。公用经费缩减。项目支出增加</w:t>
      </w:r>
      <w:r>
        <w:rPr>
          <w:rFonts w:hint="eastAsia"/>
          <w:lang w:val="en-US" w:eastAsia="zh-CN"/>
        </w:rPr>
        <w:t>43</w:t>
      </w:r>
      <w:r>
        <w:t>万元，主要为市场监管经费增加。</w:t>
      </w:r>
    </w:p>
    <w:p>
      <w:pPr>
        <w:pStyle w:val="22"/>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w:t>
      </w:r>
      <w:r>
        <w:rPr>
          <w:rFonts w:hint="eastAsia"/>
          <w:lang w:val="en-US" w:eastAsia="zh-CN"/>
        </w:rPr>
        <w:t>6</w:t>
      </w:r>
      <w:r>
        <w:t>年，我部门机关运行经费共计安排</w:t>
      </w:r>
      <w:r>
        <w:rPr>
          <w:rFonts w:hint="eastAsia"/>
          <w:lang w:val="en-US" w:eastAsia="zh-CN"/>
        </w:rPr>
        <w:t>159.23</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w:t>
      </w:r>
      <w:r>
        <w:rPr>
          <w:rFonts w:hint="eastAsia"/>
          <w:lang w:val="en-US" w:eastAsia="zh-CN"/>
        </w:rPr>
        <w:t>6</w:t>
      </w:r>
      <w:r>
        <w:t>年，我部门财政拨款“三公”经费预算安排</w:t>
      </w:r>
      <w:r>
        <w:rPr>
          <w:rFonts w:hint="eastAsia"/>
          <w:lang w:val="en-US" w:eastAsia="zh-CN"/>
        </w:rPr>
        <w:t>31.29</w:t>
      </w:r>
      <w:r>
        <w:t>万元，其中因公出国（境）费0.00万元；公务用车购置及运维费</w:t>
      </w:r>
      <w:r>
        <w:rPr>
          <w:rFonts w:hint="eastAsia"/>
          <w:lang w:val="en-US" w:eastAsia="zh-CN"/>
        </w:rPr>
        <w:t>30</w:t>
      </w:r>
      <w:r>
        <w:t>万元（其中：公务用车购置费为</w:t>
      </w:r>
      <w:r>
        <w:rPr>
          <w:rFonts w:hint="eastAsia"/>
          <w:lang w:val="en-US" w:eastAsia="zh-CN"/>
        </w:rPr>
        <w:t>0</w:t>
      </w:r>
      <w:r>
        <w:t>.00万元，公务用车运维费</w:t>
      </w:r>
      <w:r>
        <w:rPr>
          <w:rFonts w:hint="eastAsia"/>
          <w:lang w:val="en-US" w:eastAsia="zh-CN"/>
        </w:rPr>
        <w:t>30.00</w:t>
      </w:r>
      <w:r>
        <w:t>万元)；公务接待费</w:t>
      </w:r>
      <w:r>
        <w:rPr>
          <w:rFonts w:hint="eastAsia"/>
          <w:lang w:val="en-US" w:eastAsia="zh-CN"/>
        </w:rPr>
        <w:t>1.29</w:t>
      </w:r>
      <w:r>
        <w:t>万元。与202</w:t>
      </w:r>
      <w:r>
        <w:rPr>
          <w:rFonts w:hint="eastAsia"/>
          <w:lang w:val="en-US" w:eastAsia="zh-CN"/>
        </w:rPr>
        <w:t>5</w:t>
      </w:r>
      <w:r>
        <w:t>年相比</w:t>
      </w:r>
      <w:r>
        <w:rPr>
          <w:rFonts w:hint="eastAsia"/>
          <w:lang w:eastAsia="zh-CN"/>
        </w:rPr>
        <w:t>减少</w:t>
      </w:r>
      <w:r>
        <w:rPr>
          <w:rFonts w:hint="eastAsia"/>
          <w:lang w:val="en-US" w:eastAsia="zh-CN"/>
        </w:rPr>
        <w:t>13.25</w:t>
      </w:r>
      <w:r>
        <w:t>万元，增减变化的主要原因是</w:t>
      </w:r>
      <w:r>
        <w:rPr>
          <w:rFonts w:hint="eastAsia"/>
          <w:lang w:eastAsia="zh-CN"/>
        </w:rPr>
        <w:t>减少</w:t>
      </w:r>
      <w:r>
        <w:t>了公务用车购置经费。</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rPr>
          <w:rFonts w:hint="eastAsia"/>
          <w:lang w:val="en-US" w:eastAsia="zh-CN"/>
        </w:rPr>
        <w:t>2026</w:t>
      </w:r>
      <w:r>
        <w:t>年，行唐县市场监督管理局将继续围绕县委、县政府重点工作部署，围绕营造宽松平等的准入环境、公平竞争的市场环境、安全放心的消费环境，进一步深化商事制度改革，加强市场监管，强化消费维权，进一步加强干部队伍建设，努力在新常态下促进市场公平竞争、维护市场正常秩序，进而为全县经济转型升级、跨越赶超，实现绿色崛起作出新贡献。</w:t>
      </w:r>
    </w:p>
    <w:p>
      <w:pPr>
        <w:pStyle w:val="25"/>
      </w:pPr>
      <w:r>
        <w:t>(一)继续加强市场主体登记监管与帮扶，推进市场主体持续增量。</w:t>
      </w:r>
    </w:p>
    <w:p>
      <w:pPr>
        <w:pStyle w:val="25"/>
      </w:pPr>
      <w:r>
        <w:t>(二)推进质量工作提质增效，促进区域产业质量全面提升。</w:t>
      </w:r>
    </w:p>
    <w:p>
      <w:pPr>
        <w:pStyle w:val="25"/>
      </w:pPr>
      <w:r>
        <w:t>(三)不断强化食品安全监管，积极推进社会共治。</w:t>
      </w:r>
    </w:p>
    <w:p>
      <w:pPr>
        <w:pStyle w:val="25"/>
      </w:pPr>
      <w:r>
        <w:t>(四)扎实推进商标战略工程。</w:t>
      </w:r>
    </w:p>
    <w:p>
      <w:pPr>
        <w:pStyle w:val="25"/>
      </w:pPr>
      <w:r>
        <w:t>(五)强化药品药械化妆品监管，确保药品（医疗器械）质量安全。</w:t>
      </w:r>
    </w:p>
    <w:p>
      <w:pPr>
        <w:pStyle w:val="25"/>
      </w:pPr>
      <w:r>
        <w:t>(六)加强重点领域执法力度，打击假冒伪劣，保护知识产权，促进质量发展，加强特种设备安全监管，加强价格监督，维护良好市场秩序。</w:t>
      </w:r>
    </w:p>
    <w:p>
      <w:pPr>
        <w:pStyle w:val="25"/>
      </w:pPr>
      <w:r>
        <w:t>(七)加强消保维权，加大商品抽检力度，强化市场监管，为消费者营造安全放心的消费环境。</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（一）市场主体登记监管与帮扶</w:t>
      </w:r>
    </w:p>
    <w:p>
      <w:pPr>
        <w:pStyle w:val="26"/>
      </w:pPr>
      <w:r>
        <w:t>绩效目标：促进市场主体的快速增长。强化信用体系建设，构建“一处违法、处处受限”监管局面，为政府决策和社会公众提供信息服务。</w:t>
      </w:r>
    </w:p>
    <w:p>
      <w:pPr>
        <w:pStyle w:val="26"/>
      </w:pPr>
      <w:r>
        <w:t>绩效指标：202</w:t>
      </w:r>
      <w:r>
        <w:rPr>
          <w:rFonts w:hint="eastAsia"/>
          <w:lang w:val="en-US" w:eastAsia="zh-CN"/>
        </w:rPr>
        <w:t>6</w:t>
      </w:r>
      <w:r>
        <w:t>年将继续积极开展市场主体年报工作，不断提高企业年报率，个体年报率和农民专业合作社年报率。深化“双随机、一公开”检查事项全覆盖工作，推进事中事后监管，组织开展双随机专项抽查，抽查市场主体达到6500户。深化动产抵押，积极服务企业融资，切实帮助解决困扰企业发展的资金难题。</w:t>
      </w:r>
    </w:p>
    <w:p>
      <w:pPr>
        <w:pStyle w:val="26"/>
      </w:pPr>
      <w:r>
        <w:t>（二）推进质量工作提质增效，促进区域产业质量全面提升。</w:t>
      </w:r>
    </w:p>
    <w:p>
      <w:pPr>
        <w:pStyle w:val="26"/>
      </w:pPr>
      <w:r>
        <w:t>绩效目标：提高全县整体质量水平，建立质量诚信制度，促进企业诚信经营，激励企业提升质量管理和产品质量，督促企业落实产品质量责任，切实保护消费者合法权益。加大监管力度，提升监管水平，提高产品质量安全。</w:t>
      </w:r>
    </w:p>
    <w:p>
      <w:pPr>
        <w:pStyle w:val="26"/>
      </w:pPr>
      <w:r>
        <w:t>绩效指标：计划发布实施《行唐县市场监督管理局质量提升工作方案（202</w:t>
      </w:r>
      <w:r>
        <w:rPr>
          <w:rFonts w:hint="eastAsia"/>
          <w:lang w:val="en-US" w:eastAsia="zh-CN"/>
        </w:rPr>
        <w:t>6</w:t>
      </w:r>
      <w:r>
        <w:t>年）》，推动提升质量强县建设基础性、战略性地位。202</w:t>
      </w:r>
      <w:r>
        <w:rPr>
          <w:rFonts w:hint="eastAsia"/>
          <w:lang w:val="en-US" w:eastAsia="zh-CN"/>
        </w:rPr>
        <w:t>6</w:t>
      </w:r>
      <w:r>
        <w:t>年将对我县9家规模以上的制造业企业进行质量竞争力指数测评。制定《行唐县市场监督管理局散装白酒产品质量安全专项整治方案》，组织执法行动查处枣酒经营户，拆除、没收、清除广告招牌，涂抹标有“枣酒”“枣木杠”等字样的醒目标识，对在店内发现存储散装枣酒的经营者，对其枣酒进行查扣。</w:t>
      </w:r>
    </w:p>
    <w:p>
      <w:pPr>
        <w:pStyle w:val="26"/>
      </w:pPr>
      <w:r>
        <w:t>（三）不断强化食品安全监管，积极推进社会共治。</w:t>
      </w:r>
    </w:p>
    <w:p>
      <w:pPr>
        <w:pStyle w:val="26"/>
      </w:pPr>
      <w:r>
        <w:t>绩效目标：确保我县食品安全，重大活动和暑期食品不出现重大事故，保证人民群众饮食安全。不出现重大食品安全事故。提升重大活动餐饮服务食品安全监管水平；规范重大活动餐饮服务单位食品安全监管。</w:t>
      </w:r>
    </w:p>
    <w:p>
      <w:pPr>
        <w:pStyle w:val="26"/>
      </w:pPr>
      <w:r>
        <w:t>绩效指标：</w:t>
      </w:r>
      <w:r>
        <w:rPr>
          <w:rFonts w:hint="eastAsia"/>
          <w:lang w:val="en-US" w:eastAsia="zh-CN"/>
        </w:rPr>
        <w:t>2026</w:t>
      </w:r>
      <w:r>
        <w:t>年计划出动执法人员812人次，检查餐饮服务单位468家次，针对存在的问题，下发责令整改通知书。开展专项治理工作，加强“山寨食品”治理；开展校园及周边食品安全“护苗”行动，印发《行唐县市场监督管理局关于开展校园及周边“五毛食品”专项整治的通知》；对辖区内食品生产企业、农产品交易市场、商场超市、餐饮服务单位进行全面检查，责任落实到人。</w:t>
      </w:r>
    </w:p>
    <w:p>
      <w:pPr>
        <w:pStyle w:val="26"/>
      </w:pPr>
      <w:r>
        <w:t>（四）强化药品药械化妆品监管。</w:t>
      </w:r>
    </w:p>
    <w:p>
      <w:pPr>
        <w:pStyle w:val="26"/>
      </w:pPr>
      <w:r>
        <w:t>绩效目标：加强国家基本药物目录品种监管，确保药品（医疗器械）质量安全。提高全县药品、医疗器械、化妆品不良反应（事件）监测能力和药物滥用监测水平，减少不良反应（事件）发生，保障用药（械）安全。</w:t>
      </w:r>
    </w:p>
    <w:p>
      <w:pPr>
        <w:pStyle w:val="26"/>
      </w:pPr>
      <w:r>
        <w:t>绩效指标：202</w:t>
      </w:r>
      <w:r>
        <w:rPr>
          <w:rFonts w:hint="eastAsia"/>
          <w:lang w:val="en-US" w:eastAsia="zh-CN"/>
        </w:rPr>
        <w:t>5</w:t>
      </w:r>
      <w:bookmarkStart w:id="20" w:name="_GoBack"/>
      <w:bookmarkEnd w:id="20"/>
      <w:r>
        <w:t>年度将对药品使用环节检查医疗机构150家，并将开展“安全用妆，点靓生活”“全国化妆品宣传周”宣传活动，发放化妆品知识宣传材料，对辖区内化妆品经营单位开展假冒化妆品检查，预计出动人次350人次,监督检查经营单位200家次,检查化妆品2000个批次。</w:t>
      </w:r>
    </w:p>
    <w:p>
      <w:pPr>
        <w:pStyle w:val="26"/>
      </w:pPr>
      <w:r>
        <w:t>（五）妥善处理投诉举报，提升消费维权水平。</w:t>
      </w:r>
    </w:p>
    <w:p>
      <w:pPr>
        <w:pStyle w:val="26"/>
      </w:pPr>
      <w:r>
        <w:t>绩效目标：建立、健全消费者权益保护机制，将12315建设成为政府与百姓沟通联系的桥梁，增强群众自我保护的消费维权意识，构建“和谐社会”。</w:t>
      </w:r>
    </w:p>
    <w:p>
      <w:pPr>
        <w:pStyle w:val="26"/>
      </w:pPr>
      <w:r>
        <w:t>绩效指标：202</w:t>
      </w:r>
      <w:r>
        <w:rPr>
          <w:rFonts w:hint="eastAsia"/>
          <w:lang w:val="en-US" w:eastAsia="zh-CN"/>
        </w:rPr>
        <w:t>6</w:t>
      </w:r>
      <w:r>
        <w:t>年</w:t>
      </w:r>
      <w:r>
        <w:rPr>
          <w:rFonts w:hint="eastAsia"/>
        </w:rPr>
        <w:t>3·15</w:t>
      </w:r>
      <w:r>
        <w:t>将开展以“信用让消费更放心”为主题的</w:t>
      </w:r>
      <w:r>
        <w:rPr>
          <w:rFonts w:hint="eastAsia"/>
        </w:rPr>
        <w:t>3·15</w:t>
      </w:r>
      <w:r>
        <w:t>消费维权宣传活动，计划发放宣传材料5000余份。认真做好举报投诉分流、处理的协调工作，进一步完善投诉举报相关机制，计划将受理的市长公开电话投诉举报全部处理完毕。制定《202</w:t>
      </w:r>
      <w:r>
        <w:rPr>
          <w:rFonts w:hint="eastAsia"/>
          <w:lang w:val="en-US" w:eastAsia="zh-CN"/>
        </w:rPr>
        <w:t>6</w:t>
      </w:r>
      <w:r>
        <w:t>年行唐县打击传销工作实施方案》，建立分级负责、责任到人的打击传销责任网；利用“</w:t>
      </w:r>
      <w:r>
        <w:rPr>
          <w:rFonts w:hint="eastAsia"/>
        </w:rPr>
        <w:t>3·15</w:t>
      </w:r>
      <w:r>
        <w:t>”消费者权益保护日和“打击传销宣传月”等重要时间节点，将开展打击传销宣传活动，悬挂条幅、展示宣传展板、发放宣传单3000余份，并接受现场咨询。</w:t>
      </w:r>
    </w:p>
    <w:p>
      <w:pPr>
        <w:pStyle w:val="26"/>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（一）制定目标落实计划</w:t>
      </w:r>
    </w:p>
    <w:p>
      <w:pPr>
        <w:pStyle w:val="27"/>
      </w:pPr>
      <w:r>
        <w:t>1.根据年度发展规划目标，制定年度计划和专项行动实施方案，并严格执行。</w:t>
      </w:r>
    </w:p>
    <w:p>
      <w:pPr>
        <w:pStyle w:val="27"/>
      </w:pPr>
      <w:r>
        <w:t>2.将年度发展规划进行细化，制定阶段性目标。</w:t>
      </w:r>
    </w:p>
    <w:p>
      <w:pPr>
        <w:pStyle w:val="27"/>
      </w:pPr>
      <w:r>
        <w:t>3.加大重点任务的督导考核。</w:t>
      </w:r>
    </w:p>
    <w:p>
      <w:pPr>
        <w:pStyle w:val="27"/>
      </w:pPr>
      <w:r>
        <w:t>（二）健全组织领导</w:t>
      </w:r>
    </w:p>
    <w:p>
      <w:pPr>
        <w:pStyle w:val="27"/>
      </w:pPr>
      <w:r>
        <w:t>1.对各项任务目标及专项行动，均成立领导小组，明确主要责任单位和责任人，制定工作方案，确保工作抓实抓细。</w:t>
      </w:r>
    </w:p>
    <w:p>
      <w:pPr>
        <w:pStyle w:val="27"/>
      </w:pPr>
      <w:r>
        <w:t>2.加强队伍建设，强化对干部队伍的教育培训力度，加强制度建设和法制建设，提升干部队伍的业务水平和综合素质，提升执行力。</w:t>
      </w:r>
    </w:p>
    <w:p>
      <w:pPr>
        <w:pStyle w:val="27"/>
      </w:pPr>
      <w:r>
        <w:t>（三）加强后备保障</w:t>
      </w:r>
    </w:p>
    <w:p>
      <w:pPr>
        <w:pStyle w:val="27"/>
        <w:sectPr>
          <w:pgSz w:w="16840" w:h="11900" w:orient="landscape"/>
          <w:pgMar w:top="1361" w:right="1020" w:bottom="1361" w:left="1020" w:header="720" w:footer="720" w:gutter="0"/>
          <w:pgNumType w:fmt="decimal"/>
        </w:sectPr>
      </w:pPr>
      <w:r>
        <w:t>1.科学合理编制预算，合理、有效地使用项目资金，保证目标任务执行中的各项项目经费、装备设备支出等。</w:t>
      </w:r>
    </w:p>
    <w:p>
      <w:pPr>
        <w:spacing w:before="10" w:after="10" w:line="360" w:lineRule="auto"/>
        <w:ind w:firstLine="640"/>
        <w:jc w:val="left"/>
        <w:outlineLvl w:val="2"/>
        <w:sectPr>
          <w:pgSz w:w="16840" w:h="11900" w:orient="landscape"/>
          <w:pgMar w:top="1361" w:right="1020" w:bottom="1134" w:left="1020" w:header="720" w:footer="720" w:gutter="0"/>
          <w:pgNumType w:fmt="decimal"/>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pgNumType w:fmt="decimal"/>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1、冀财行【2025】94号提前下达2026年省级市场监管补助经费绩效目标表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13012526P00001410004K</w:t>
            </w:r>
          </w:p>
        </w:tc>
        <w:tc>
          <w:tcPr>
            <w:tcW w:w="2835" w:type="dxa"/>
            <w:vAlign w:val="center"/>
          </w:tcPr>
          <w:p>
            <w:pPr>
              <w:pStyle w:val="14"/>
            </w:pPr>
            <w:r>
              <w:t>项目名称</w:t>
            </w:r>
          </w:p>
        </w:tc>
        <w:tc>
          <w:tcPr>
            <w:tcW w:w="6095" w:type="dxa"/>
            <w:gridSpan w:val="3"/>
            <w:vAlign w:val="center"/>
          </w:tcPr>
          <w:p>
            <w:pPr>
              <w:pStyle w:val="16"/>
            </w:pPr>
            <w:r>
              <w:t>冀财行【2025】94号提前下达2026年省级市场监管补助经费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34.00</w:t>
            </w:r>
          </w:p>
        </w:tc>
        <w:tc>
          <w:tcPr>
            <w:tcW w:w="2835" w:type="dxa"/>
            <w:vAlign w:val="center"/>
          </w:tcPr>
          <w:p>
            <w:pPr>
              <w:pStyle w:val="14"/>
            </w:pPr>
            <w:r>
              <w:t>其中：财政    资金</w:t>
            </w:r>
          </w:p>
        </w:tc>
        <w:tc>
          <w:tcPr>
            <w:tcW w:w="2551" w:type="dxa"/>
            <w:vAlign w:val="center"/>
          </w:tcPr>
          <w:p>
            <w:pPr>
              <w:pStyle w:val="16"/>
            </w:pPr>
            <w:r>
              <w:t>34.00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用于市场监管工作，改善执法装备，提升基层执法能力。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5.00</w:t>
            </w:r>
          </w:p>
        </w:tc>
        <w:tc>
          <w:tcPr>
            <w:tcW w:w="2835" w:type="dxa"/>
            <w:vAlign w:val="center"/>
          </w:tcPr>
          <w:p>
            <w:pPr>
              <w:pStyle w:val="17"/>
            </w:pPr>
            <w:r>
              <w:t>15.00</w:t>
            </w:r>
          </w:p>
        </w:tc>
        <w:tc>
          <w:tcPr>
            <w:tcW w:w="2551" w:type="dxa"/>
            <w:vAlign w:val="center"/>
          </w:tcPr>
          <w:p>
            <w:pPr>
              <w:pStyle w:val="17"/>
            </w:pPr>
            <w:r>
              <w:t>25.00</w:t>
            </w:r>
          </w:p>
        </w:tc>
        <w:tc>
          <w:tcPr>
            <w:tcW w:w="3544" w:type="dxa"/>
            <w:gridSpan w:val="2"/>
            <w:vAlign w:val="center"/>
          </w:tcPr>
          <w:p>
            <w:pPr>
              <w:pStyle w:val="17"/>
            </w:pPr>
            <w:r>
              <w:t>34.00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1.通过开展专项整治行动，净化市场环境，促进市场主体健康发展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市场专项整治行动次数</w:t>
            </w:r>
          </w:p>
        </w:tc>
        <w:tc>
          <w:tcPr>
            <w:tcW w:w="5386" w:type="dxa"/>
            <w:vAlign w:val="center"/>
          </w:tcPr>
          <w:p>
            <w:pPr>
              <w:pStyle w:val="16"/>
            </w:pPr>
            <w:r>
              <w:t>市场专项整治行动次数</w:t>
            </w:r>
          </w:p>
        </w:tc>
        <w:tc>
          <w:tcPr>
            <w:tcW w:w="2268" w:type="dxa"/>
            <w:vAlign w:val="center"/>
          </w:tcPr>
          <w:p>
            <w:pPr>
              <w:pStyle w:val="16"/>
            </w:pPr>
            <w:r>
              <w:t>≥5次</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市场专项整治行动计划完成率</w:t>
            </w:r>
          </w:p>
        </w:tc>
        <w:tc>
          <w:tcPr>
            <w:tcW w:w="5386" w:type="dxa"/>
            <w:vAlign w:val="center"/>
          </w:tcPr>
          <w:p>
            <w:pPr>
              <w:pStyle w:val="16"/>
            </w:pPr>
            <w:r>
              <w:t>市场专项整治行动计划完成率</w:t>
            </w:r>
          </w:p>
        </w:tc>
        <w:tc>
          <w:tcPr>
            <w:tcW w:w="2268" w:type="dxa"/>
            <w:vAlign w:val="center"/>
          </w:tcPr>
          <w:p>
            <w:pPr>
              <w:pStyle w:val="16"/>
            </w:pPr>
            <w:r>
              <w:t>≥90%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特种设备定检完成率</w:t>
            </w:r>
          </w:p>
        </w:tc>
        <w:tc>
          <w:tcPr>
            <w:tcW w:w="5386" w:type="dxa"/>
            <w:vAlign w:val="center"/>
          </w:tcPr>
          <w:p>
            <w:pPr>
              <w:pStyle w:val="16"/>
            </w:pPr>
            <w:r>
              <w:t>特种设备定检完成率</w:t>
            </w:r>
          </w:p>
        </w:tc>
        <w:tc>
          <w:tcPr>
            <w:tcW w:w="2268" w:type="dxa"/>
            <w:vAlign w:val="center"/>
          </w:tcPr>
          <w:p>
            <w:pPr>
              <w:pStyle w:val="16"/>
            </w:pPr>
            <w:r>
              <w:t>≥95%</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市场专项整治行动完成时限</w:t>
            </w:r>
          </w:p>
        </w:tc>
        <w:tc>
          <w:tcPr>
            <w:tcW w:w="5386" w:type="dxa"/>
            <w:vAlign w:val="center"/>
          </w:tcPr>
          <w:p>
            <w:pPr>
              <w:pStyle w:val="16"/>
            </w:pPr>
            <w:r>
              <w:t>市场专项整治行动完成时限</w:t>
            </w:r>
          </w:p>
        </w:tc>
        <w:tc>
          <w:tcPr>
            <w:tcW w:w="2268" w:type="dxa"/>
            <w:vAlign w:val="center"/>
          </w:tcPr>
          <w:p>
            <w:pPr>
              <w:pStyle w:val="16"/>
            </w:pPr>
            <w:r>
              <w:t>2026年12月31日</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特种设备定检完成时限</w:t>
            </w:r>
          </w:p>
        </w:tc>
        <w:tc>
          <w:tcPr>
            <w:tcW w:w="5386" w:type="dxa"/>
            <w:vAlign w:val="center"/>
          </w:tcPr>
          <w:p>
            <w:pPr>
              <w:pStyle w:val="16"/>
            </w:pPr>
            <w:r>
              <w:t>特种设备定检完成时限</w:t>
            </w:r>
          </w:p>
        </w:tc>
        <w:tc>
          <w:tcPr>
            <w:tcW w:w="2268" w:type="dxa"/>
            <w:vAlign w:val="center"/>
          </w:tcPr>
          <w:p>
            <w:pPr>
              <w:pStyle w:val="16"/>
            </w:pPr>
            <w:r>
              <w:t>2026年12月31日</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单项市场专项整治行动成本</w:t>
            </w:r>
          </w:p>
        </w:tc>
        <w:tc>
          <w:tcPr>
            <w:tcW w:w="5386" w:type="dxa"/>
            <w:vAlign w:val="center"/>
          </w:tcPr>
          <w:p>
            <w:pPr>
              <w:pStyle w:val="16"/>
            </w:pPr>
            <w:r>
              <w:t>单项市场专项整治行动成本</w:t>
            </w:r>
          </w:p>
        </w:tc>
        <w:tc>
          <w:tcPr>
            <w:tcW w:w="2268" w:type="dxa"/>
            <w:vAlign w:val="center"/>
          </w:tcPr>
          <w:p>
            <w:pPr>
              <w:pStyle w:val="16"/>
            </w:pPr>
            <w:r>
              <w:t>≤5万元</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重大案件发生次数</w:t>
            </w:r>
          </w:p>
        </w:tc>
        <w:tc>
          <w:tcPr>
            <w:tcW w:w="5386" w:type="dxa"/>
            <w:vAlign w:val="center"/>
          </w:tcPr>
          <w:p>
            <w:pPr>
              <w:pStyle w:val="16"/>
            </w:pPr>
            <w:r>
              <w:t>重大案件发生次数</w:t>
            </w:r>
          </w:p>
        </w:tc>
        <w:tc>
          <w:tcPr>
            <w:tcW w:w="2268" w:type="dxa"/>
            <w:vAlign w:val="center"/>
          </w:tcPr>
          <w:p>
            <w:pPr>
              <w:pStyle w:val="16"/>
            </w:pPr>
            <w:r>
              <w:t>0次</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社会反馈意见对市场监管工作满意度</w:t>
            </w:r>
          </w:p>
        </w:tc>
        <w:tc>
          <w:tcPr>
            <w:tcW w:w="2268" w:type="dxa"/>
            <w:vAlign w:val="center"/>
          </w:tcPr>
          <w:p>
            <w:pPr>
              <w:pStyle w:val="16"/>
            </w:pPr>
            <w:r>
              <w:t>≥90%</w:t>
            </w:r>
          </w:p>
        </w:tc>
        <w:tc>
          <w:tcPr>
            <w:tcW w:w="1276" w:type="dxa"/>
            <w:vAlign w:val="center"/>
          </w:tcPr>
          <w:p>
            <w:pPr>
              <w:pStyle w:val="16"/>
            </w:pPr>
            <w:r>
              <w:t>调查问卷</w:t>
            </w:r>
          </w:p>
        </w:tc>
      </w:tr>
    </w:tbl>
    <w:p>
      <w:pPr>
        <w:sectPr>
          <w:type w:val="continuous"/>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color w:val="000000"/>
          <w:sz w:val="28"/>
        </w:rPr>
        <w:t>2、市场监管经费绩效目标表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13012526P000014100057</w:t>
            </w:r>
          </w:p>
        </w:tc>
        <w:tc>
          <w:tcPr>
            <w:tcW w:w="2835" w:type="dxa"/>
            <w:vAlign w:val="center"/>
          </w:tcPr>
          <w:p>
            <w:pPr>
              <w:pStyle w:val="14"/>
            </w:pPr>
            <w:r>
              <w:t>项目名称</w:t>
            </w:r>
          </w:p>
        </w:tc>
        <w:tc>
          <w:tcPr>
            <w:tcW w:w="6095" w:type="dxa"/>
            <w:gridSpan w:val="3"/>
            <w:vAlign w:val="center"/>
          </w:tcPr>
          <w:p>
            <w:pPr>
              <w:pStyle w:val="16"/>
            </w:pPr>
            <w:r>
              <w:t>市场监管经费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394.00</w:t>
            </w:r>
          </w:p>
        </w:tc>
        <w:tc>
          <w:tcPr>
            <w:tcW w:w="2835" w:type="dxa"/>
            <w:vAlign w:val="center"/>
          </w:tcPr>
          <w:p>
            <w:pPr>
              <w:pStyle w:val="14"/>
            </w:pPr>
            <w:r>
              <w:t>其中：财政    资金</w:t>
            </w:r>
          </w:p>
        </w:tc>
        <w:tc>
          <w:tcPr>
            <w:tcW w:w="2551" w:type="dxa"/>
            <w:vAlign w:val="center"/>
          </w:tcPr>
          <w:p>
            <w:pPr>
              <w:pStyle w:val="16"/>
            </w:pPr>
            <w:r>
              <w:t>394.00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加强市场监管，维护市场秩序，优化营商环境及发放临时、自收自支人员工资,完成制服换发。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50.00</w:t>
            </w:r>
          </w:p>
        </w:tc>
        <w:tc>
          <w:tcPr>
            <w:tcW w:w="2835" w:type="dxa"/>
            <w:vAlign w:val="center"/>
          </w:tcPr>
          <w:p>
            <w:pPr>
              <w:pStyle w:val="17"/>
            </w:pPr>
            <w:r>
              <w:t>150.00</w:t>
            </w:r>
          </w:p>
        </w:tc>
        <w:tc>
          <w:tcPr>
            <w:tcW w:w="2551" w:type="dxa"/>
            <w:vAlign w:val="center"/>
          </w:tcPr>
          <w:p>
            <w:pPr>
              <w:pStyle w:val="17"/>
            </w:pPr>
            <w:r>
              <w:t>272.00</w:t>
            </w:r>
          </w:p>
        </w:tc>
        <w:tc>
          <w:tcPr>
            <w:tcW w:w="3544" w:type="dxa"/>
            <w:gridSpan w:val="2"/>
            <w:vAlign w:val="center"/>
          </w:tcPr>
          <w:p>
            <w:pPr>
              <w:pStyle w:val="17"/>
            </w:pPr>
            <w:r>
              <w:t>394.00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1.加强市场监管，维护市场秩序，优化营商环境。保障自收自支人员工资及其他人员劳务费，调动人员积极性，完成制服换发。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开展专项整治行动次数</w:t>
            </w:r>
          </w:p>
        </w:tc>
        <w:tc>
          <w:tcPr>
            <w:tcW w:w="5386" w:type="dxa"/>
            <w:vAlign w:val="center"/>
          </w:tcPr>
          <w:p>
            <w:pPr>
              <w:pStyle w:val="16"/>
            </w:pPr>
            <w:r>
              <w:t>开展专项整治行动次数</w:t>
            </w:r>
          </w:p>
        </w:tc>
        <w:tc>
          <w:tcPr>
            <w:tcW w:w="2268" w:type="dxa"/>
            <w:vAlign w:val="center"/>
          </w:tcPr>
          <w:p>
            <w:pPr>
              <w:pStyle w:val="16"/>
            </w:pPr>
            <w:r>
              <w:t>≥6次</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抽查检查率</w:t>
            </w:r>
          </w:p>
        </w:tc>
        <w:tc>
          <w:tcPr>
            <w:tcW w:w="5386" w:type="dxa"/>
            <w:vAlign w:val="center"/>
          </w:tcPr>
          <w:p>
            <w:pPr>
              <w:pStyle w:val="16"/>
            </w:pPr>
            <w:r>
              <w:t>抽查检查率</w:t>
            </w:r>
          </w:p>
        </w:tc>
        <w:tc>
          <w:tcPr>
            <w:tcW w:w="2268" w:type="dxa"/>
            <w:vAlign w:val="center"/>
          </w:tcPr>
          <w:p>
            <w:pPr>
              <w:pStyle w:val="16"/>
            </w:pPr>
            <w:r>
              <w:t>≥95%</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工作完成的时间节点</w:t>
            </w:r>
          </w:p>
        </w:tc>
        <w:tc>
          <w:tcPr>
            <w:tcW w:w="5386" w:type="dxa"/>
            <w:vAlign w:val="center"/>
          </w:tcPr>
          <w:p>
            <w:pPr>
              <w:pStyle w:val="16"/>
            </w:pPr>
            <w:r>
              <w:t>工作完成的时间节点</w:t>
            </w:r>
          </w:p>
        </w:tc>
        <w:tc>
          <w:tcPr>
            <w:tcW w:w="2268" w:type="dxa"/>
            <w:vAlign w:val="center"/>
          </w:tcPr>
          <w:p>
            <w:pPr>
              <w:pStyle w:val="16"/>
            </w:pPr>
            <w:r>
              <w:t>2026年12月31日</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预算（成本）控制率</w:t>
            </w:r>
          </w:p>
        </w:tc>
        <w:tc>
          <w:tcPr>
            <w:tcW w:w="5386" w:type="dxa"/>
            <w:vAlign w:val="center"/>
          </w:tcPr>
          <w:p>
            <w:pPr>
              <w:pStyle w:val="16"/>
            </w:pPr>
            <w:r>
              <w:t>预算（成本）控制率</w:t>
            </w:r>
          </w:p>
        </w:tc>
        <w:tc>
          <w:tcPr>
            <w:tcW w:w="2268" w:type="dxa"/>
            <w:vAlign w:val="center"/>
          </w:tcPr>
          <w:p>
            <w:pPr>
              <w:pStyle w:val="16"/>
            </w:pPr>
            <w:r>
              <w:t>≤5%</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市场秩序改善</w:t>
            </w:r>
          </w:p>
        </w:tc>
        <w:tc>
          <w:tcPr>
            <w:tcW w:w="5386" w:type="dxa"/>
            <w:vAlign w:val="center"/>
          </w:tcPr>
          <w:p>
            <w:pPr>
              <w:pStyle w:val="16"/>
            </w:pPr>
            <w:r>
              <w:t>市场秩序较去年改善</w:t>
            </w:r>
          </w:p>
        </w:tc>
        <w:tc>
          <w:tcPr>
            <w:tcW w:w="2268" w:type="dxa"/>
            <w:vAlign w:val="center"/>
          </w:tcPr>
          <w:p>
            <w:pPr>
              <w:pStyle w:val="16"/>
            </w:pPr>
            <w:r>
              <w:t>改善</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调查问卷中满意和较满意人数占调查人数比率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414行唐县市场监督管理局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行唐县市场监督管理局（含所属单位）上年末固定资产金额为</w:t>
      </w:r>
      <w:r>
        <w:rPr>
          <w:rFonts w:hint="eastAsia" w:eastAsia="方正仿宋_GBK" w:cs="Times New Roman"/>
          <w:b w:val="0"/>
          <w:color w:val="000000"/>
          <w:sz w:val="28"/>
          <w:lang w:val="en-US" w:eastAsia="zh-CN"/>
        </w:rPr>
        <w:t>487.93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414行唐县市场监督管理局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6"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487.93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6" w:hRule="atLeast"/>
          <w:jc w:val="center"/>
        </w:trPr>
        <w:tc>
          <w:tcPr>
            <w:tcW w:w="7370" w:type="dxa"/>
            <w:vAlign w:val="center"/>
          </w:tcPr>
          <w:p>
            <w:pPr>
              <w:pStyle w:val="16"/>
            </w:pPr>
            <w:r>
              <w:t>1、房屋（平方米）</w:t>
            </w:r>
          </w:p>
        </w:tc>
        <w:tc>
          <w:tcPr>
            <w:tcW w:w="2835" w:type="dxa"/>
            <w:vAlign w:val="center"/>
          </w:tcPr>
          <w:p>
            <w:pPr>
              <w:pStyle w:val="17"/>
              <w:rPr>
                <w:rFonts w:hint="default" w:eastAsia="方正书宋_GBK"/>
                <w:lang w:val="en-US" w:eastAsia="zh-CN"/>
              </w:rPr>
            </w:pPr>
            <w:r>
              <w:rPr>
                <w:rFonts w:hint="eastAsia"/>
                <w:lang w:val="en-US" w:eastAsia="zh-CN"/>
              </w:rPr>
              <w:t>5716.40</w:t>
            </w:r>
          </w:p>
        </w:tc>
        <w:tc>
          <w:tcPr>
            <w:tcW w:w="2835" w:type="dxa"/>
            <w:vAlign w:val="center"/>
          </w:tcPr>
          <w:p>
            <w:pPr>
              <w:pStyle w:val="15"/>
              <w:rPr>
                <w:rFonts w:hint="default" w:eastAsia="方正书宋_GBK"/>
                <w:lang w:val="en-US" w:eastAsia="zh-CN"/>
              </w:rPr>
            </w:pPr>
            <w:r>
              <w:rPr>
                <w:rFonts w:hint="eastAsia"/>
                <w:lang w:val="en-US" w:eastAsia="zh-CN"/>
              </w:rPr>
              <w:t>313.96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6" w:hRule="atLeast"/>
          <w:jc w:val="center"/>
        </w:trPr>
        <w:tc>
          <w:tcPr>
            <w:tcW w:w="7370" w:type="dxa"/>
            <w:vAlign w:val="center"/>
          </w:tcPr>
          <w:p>
            <w:pPr>
              <w:pStyle w:val="16"/>
            </w:pPr>
            <w:r>
              <w:t>　　其中：办公用房（平方米）</w:t>
            </w:r>
          </w:p>
        </w:tc>
        <w:tc>
          <w:tcPr>
            <w:tcW w:w="2835" w:type="dxa"/>
            <w:vAlign w:val="center"/>
          </w:tcPr>
          <w:p>
            <w:pPr>
              <w:pStyle w:val="17"/>
              <w:rPr>
                <w:rFonts w:hint="default" w:eastAsia="方正书宋_GBK"/>
                <w:lang w:val="en-US" w:eastAsia="zh-CN"/>
              </w:rPr>
            </w:pPr>
            <w:r>
              <w:rPr>
                <w:rFonts w:hint="eastAsia"/>
                <w:lang w:val="en-US" w:eastAsia="zh-CN"/>
              </w:rPr>
              <w:t>5716.40</w:t>
            </w:r>
          </w:p>
        </w:tc>
        <w:tc>
          <w:tcPr>
            <w:tcW w:w="2835" w:type="dxa"/>
            <w:vAlign w:val="center"/>
          </w:tcPr>
          <w:p>
            <w:pPr>
              <w:pStyle w:val="15"/>
              <w:rPr>
                <w:rFonts w:hint="default" w:eastAsia="方正书宋_GBK"/>
                <w:lang w:val="en-US" w:eastAsia="zh-CN"/>
              </w:rPr>
            </w:pPr>
            <w:r>
              <w:rPr>
                <w:rFonts w:hint="eastAsia"/>
                <w:lang w:val="en-US" w:eastAsia="zh-CN"/>
              </w:rPr>
              <w:t>313.96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6" w:hRule="atLeast"/>
          <w:jc w:val="center"/>
        </w:trPr>
        <w:tc>
          <w:tcPr>
            <w:tcW w:w="7370" w:type="dxa"/>
            <w:vAlign w:val="center"/>
          </w:tcPr>
          <w:p>
            <w:pPr>
              <w:pStyle w:val="16"/>
            </w:pPr>
            <w:r>
              <w:t>2、车辆（台、辆）</w:t>
            </w:r>
          </w:p>
        </w:tc>
        <w:tc>
          <w:tcPr>
            <w:tcW w:w="2835" w:type="dxa"/>
            <w:vAlign w:val="center"/>
          </w:tcPr>
          <w:p>
            <w:pPr>
              <w:pStyle w:val="17"/>
              <w:rPr>
                <w:rFonts w:hint="default" w:eastAsia="方正书宋_GBK"/>
                <w:lang w:val="en-US" w:eastAsia="zh-CN"/>
              </w:rPr>
            </w:pPr>
            <w:r>
              <w:rPr>
                <w:rFonts w:hint="eastAsia"/>
                <w:lang w:val="en-US" w:eastAsia="zh-CN"/>
              </w:rPr>
              <w:t>16</w:t>
            </w:r>
          </w:p>
        </w:tc>
        <w:tc>
          <w:tcPr>
            <w:tcW w:w="2835" w:type="dxa"/>
            <w:vAlign w:val="center"/>
          </w:tcPr>
          <w:p>
            <w:pPr>
              <w:pStyle w:val="15"/>
              <w:rPr>
                <w:rFonts w:hint="default" w:eastAsia="方正书宋_GBK"/>
                <w:lang w:val="en-US" w:eastAsia="zh-CN"/>
              </w:rPr>
            </w:pPr>
            <w:r>
              <w:rPr>
                <w:rFonts w:hint="eastAsia"/>
                <w:lang w:val="en-US" w:eastAsia="zh-CN"/>
              </w:rPr>
              <w:t>173.97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6" w:hRule="atLeast"/>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06" w:hRule="atLeast"/>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77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77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76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76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482E38"/>
    <w:rsid w:val="068A36EA"/>
    <w:rsid w:val="1C7127D4"/>
    <w:rsid w:val="282A7083"/>
    <w:rsid w:val="31E16D34"/>
    <w:rsid w:val="47F96430"/>
    <w:rsid w:val="4ABA6F52"/>
    <w:rsid w:val="4ED10D28"/>
    <w:rsid w:val="4FBA5784"/>
    <w:rsid w:val="5082266F"/>
    <w:rsid w:val="60DC6439"/>
    <w:rsid w:val="697D3D12"/>
    <w:rsid w:val="73B164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79</Pages>
  <TotalTime>8</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2026-02-25T09:09:00Z</dcterms:created>
  <dc:creator>Administrator</dc:creator>
  <cp:lastModifiedBy>Administrator</cp:lastModifiedBy>
  <dcterms:modified xsi:type="dcterms:W3CDTF">2026-02-25T07:41:51Z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