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sdt>
      <w:sdtPr>
        <w:rPr>
          <w:rFonts w:ascii="宋体" w:hAnsi="宋体" w:eastAsia="宋体" w:cstheme="minorBidi"/>
          <w:sz w:val="21"/>
          <w:szCs w:val="24"/>
          <w:lang w:val="en-US" w:eastAsia="uk-UA" w:bidi="ar-SA"/>
        </w:rPr>
        <w:id w:val="147476056"/>
        <w15:color w:val="DBDBDB"/>
        <w:docPartObj>
          <w:docPartGallery w:val="Table of Contents"/>
          <w:docPartUnique/>
        </w:docPartObj>
      </w:sdtPr>
      <w:sdtEndPr>
        <w:rPr>
          <w:sz w:val="20"/>
          <w:szCs w:val="20"/>
        </w:rPr>
      </w:sdtEndPr>
      <w:sdtContent>
        <w:p>
          <w:pPr>
            <w:spacing w:before="0" w:beforeLines="0" w:after="0" w:afterLines="0" w:line="240" w:lineRule="auto"/>
            <w:ind w:left="0" w:leftChars="0" w:right="0" w:rightChars="0" w:firstLine="0" w:firstLineChars="0"/>
            <w:jc w:val="center"/>
          </w:pPr>
          <w:bookmarkStart w:id="0" w:name="_Toc31938_WPSOffice_Type1"/>
        </w:p>
        <w:p>
          <w:pPr>
            <w:pStyle w:val="23"/>
            <w:tabs>
              <w:tab w:val="right" w:leader="dot" w:pos="14800"/>
            </w:tabs>
            <w:rPr>
              <w:rFonts w:hint="eastAsia"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fldChar w:fldCharType="begin"/>
          </w:r>
          <w:r>
            <w:rPr>
              <w:rFonts w:hint="eastAsia" w:ascii="Times New Roman" w:hAnsi="Times New Roman" w:eastAsia="方正仿宋_GBK" w:cs="Times New Roman"/>
              <w:color w:val="000000" w:themeColor="text1"/>
              <w:sz w:val="28"/>
              <w:szCs w:val="28"/>
              <w14:textFill>
                <w14:solidFill>
                  <w14:schemeClr w14:val="tx1"/>
                </w14:solidFill>
              </w14:textFill>
            </w:rPr>
            <w:instrText xml:space="preserve"> HYPERLINK \l _Toc15252_WPSOffice_Level1 </w:instrText>
          </w:r>
          <w:r>
            <w:rPr>
              <w:rFonts w:hint="eastAsia" w:ascii="Times New Roman" w:hAnsi="Times New Roman" w:eastAsia="方正仿宋_GBK" w:cs="Times New Roman"/>
              <w:color w:val="000000" w:themeColor="text1"/>
              <w:sz w:val="28"/>
              <w:szCs w:val="28"/>
              <w14:textFill>
                <w14:solidFill>
                  <w14:schemeClr w14:val="tx1"/>
                </w14:solidFill>
              </w14:textFill>
            </w:rPr>
            <w:fldChar w:fldCharType="separate"/>
          </w:r>
          <w:sdt>
            <w:sdt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id w:val="147476056"/>
              <w:placeholder>
                <w:docPart w:val="{685f6fbd-0cde-4420-9d97-1261eb1f1ce3}"/>
              </w:placeholder>
              <w15:color w:val="509DF3"/>
            </w:sdtPr>
            <w:sdtEnd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sdtEndPr>
            <w:sdtContent>
              <w:r>
                <w:rPr>
                  <w:rFonts w:hint="eastAsia" w:ascii="Times New Roman" w:hAnsi="Times New Roman" w:eastAsia="方正仿宋_GBK" w:cs="Times New Roman"/>
                  <w:color w:val="000000" w:themeColor="text1"/>
                  <w:sz w:val="28"/>
                  <w:szCs w:val="28"/>
                  <w14:textFill>
                    <w14:solidFill>
                      <w14:schemeClr w14:val="tx1"/>
                    </w14:solidFill>
                  </w14:textFill>
                </w:rPr>
                <w:t>一、行唐县市场监督管理局本级收支预算</w:t>
              </w:r>
            </w:sdtContent>
          </w:sdt>
          <w:r>
            <w:rPr>
              <w:rFonts w:hint="eastAsia" w:ascii="Times New Roman" w:hAnsi="Times New Roman" w:eastAsia="方正仿宋_GBK" w:cs="Times New Roman"/>
              <w:color w:val="000000" w:themeColor="text1"/>
              <w:sz w:val="28"/>
              <w:szCs w:val="28"/>
              <w14:textFill>
                <w14:solidFill>
                  <w14:schemeClr w14:val="tx1"/>
                </w14:solidFill>
              </w14:textFill>
            </w:rPr>
            <w:tab/>
          </w:r>
          <w:bookmarkStart w:id="1" w:name="_Toc15252_WPSOffice_Level1Page"/>
          <w:r>
            <w:rPr>
              <w:rFonts w:hint="eastAsia" w:ascii="Times New Roman" w:hAnsi="Times New Roman" w:eastAsia="方正仿宋_GBK" w:cs="Times New Roman"/>
              <w:color w:val="000000" w:themeColor="text1"/>
              <w:sz w:val="28"/>
              <w:szCs w:val="28"/>
              <w14:textFill>
                <w14:solidFill>
                  <w14:schemeClr w14:val="tx1"/>
                </w14:solidFill>
              </w14:textFill>
            </w:rPr>
            <w:t>1</w:t>
          </w:r>
          <w:bookmarkEnd w:id="1"/>
          <w:r>
            <w:rPr>
              <w:rFonts w:hint="eastAsia" w:ascii="Times New Roman" w:hAnsi="Times New Roman" w:eastAsia="方正仿宋_GBK" w:cs="Times New Roman"/>
              <w:color w:val="000000" w:themeColor="text1"/>
              <w:sz w:val="28"/>
              <w:szCs w:val="28"/>
              <w14:textFill>
                <w14:solidFill>
                  <w14:schemeClr w14:val="tx1"/>
                </w14:solidFill>
              </w14:textFill>
            </w:rPr>
            <w:fldChar w:fldCharType="end"/>
          </w:r>
        </w:p>
        <w:p>
          <w:pPr>
            <w:pStyle w:val="23"/>
            <w:tabs>
              <w:tab w:val="right" w:leader="dot" w:pos="14800"/>
            </w:tabs>
            <w:rPr>
              <w:rFonts w:hint="eastAsia"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fldChar w:fldCharType="begin"/>
          </w:r>
          <w:r>
            <w:rPr>
              <w:rFonts w:hint="eastAsia" w:ascii="Times New Roman" w:hAnsi="Times New Roman" w:eastAsia="方正仿宋_GBK" w:cs="Times New Roman"/>
              <w:color w:val="000000" w:themeColor="text1"/>
              <w:sz w:val="28"/>
              <w:szCs w:val="28"/>
              <w14:textFill>
                <w14:solidFill>
                  <w14:schemeClr w14:val="tx1"/>
                </w14:solidFill>
              </w14:textFill>
            </w:rPr>
            <w:instrText xml:space="preserve"> HYPERLINK \l _Toc31938_WPSOffice_Level1 </w:instrText>
          </w:r>
          <w:r>
            <w:rPr>
              <w:rFonts w:hint="eastAsia" w:ascii="Times New Roman" w:hAnsi="Times New Roman" w:eastAsia="方正仿宋_GBK" w:cs="Times New Roman"/>
              <w:color w:val="000000" w:themeColor="text1"/>
              <w:sz w:val="28"/>
              <w:szCs w:val="28"/>
              <w14:textFill>
                <w14:solidFill>
                  <w14:schemeClr w14:val="tx1"/>
                </w14:solidFill>
              </w14:textFill>
            </w:rPr>
            <w:fldChar w:fldCharType="separate"/>
          </w:r>
          <w:sdt>
            <w:sdt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id w:val="147476056"/>
              <w:placeholder>
                <w:docPart w:val="{ba7dc421-2946-43e7-aa21-48dd8cded1ec}"/>
              </w:placeholder>
              <w15:color w:val="509DF3"/>
            </w:sdtPr>
            <w:sdtEnd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sdtEndPr>
            <w:sdtContent>
              <w:r>
                <w:rPr>
                  <w:rFonts w:hint="eastAsia" w:ascii="Times New Roman" w:hAnsi="Times New Roman" w:eastAsia="方正仿宋_GBK" w:cs="Times New Roman"/>
                  <w:color w:val="000000" w:themeColor="text1"/>
                  <w:sz w:val="28"/>
                  <w:szCs w:val="28"/>
                  <w14:textFill>
                    <w14:solidFill>
                      <w14:schemeClr w14:val="tx1"/>
                    </w14:solidFill>
                  </w14:textFill>
                </w:rPr>
                <w:t>二、行唐县市场监督管理局（未统发部分）收支预算</w:t>
              </w:r>
            </w:sdtContent>
          </w:sdt>
          <w:r>
            <w:rPr>
              <w:rFonts w:hint="eastAsia" w:ascii="Times New Roman" w:hAnsi="Times New Roman" w:eastAsia="方正仿宋_GBK" w:cs="Times New Roman"/>
              <w:color w:val="000000" w:themeColor="text1"/>
              <w:sz w:val="28"/>
              <w:szCs w:val="28"/>
              <w14:textFill>
                <w14:solidFill>
                  <w14:schemeClr w14:val="tx1"/>
                </w14:solidFill>
              </w14:textFill>
            </w:rPr>
            <w:tab/>
          </w:r>
          <w:bookmarkStart w:id="2" w:name="_Toc31938_WPSOffice_Level1Page"/>
          <w:r>
            <w:rPr>
              <w:rFonts w:hint="eastAsia" w:ascii="Times New Roman" w:hAnsi="Times New Roman" w:eastAsia="方正仿宋_GBK" w:cs="Times New Roman"/>
              <w:color w:val="000000" w:themeColor="text1"/>
              <w:sz w:val="28"/>
              <w:szCs w:val="28"/>
              <w14:textFill>
                <w14:solidFill>
                  <w14:schemeClr w14:val="tx1"/>
                </w14:solidFill>
              </w14:textFill>
            </w:rPr>
            <w:t>28</w:t>
          </w:r>
          <w:bookmarkEnd w:id="2"/>
          <w:r>
            <w:rPr>
              <w:rFonts w:hint="eastAsia" w:ascii="Times New Roman" w:hAnsi="Times New Roman" w:eastAsia="方正仿宋_GBK" w:cs="Times New Roman"/>
              <w:color w:val="000000" w:themeColor="text1"/>
              <w:sz w:val="28"/>
              <w:szCs w:val="28"/>
              <w14:textFill>
                <w14:solidFill>
                  <w14:schemeClr w14:val="tx1"/>
                </w14:solidFill>
              </w14:textFill>
            </w:rPr>
            <w:fldChar w:fldCharType="end"/>
          </w:r>
        </w:p>
        <w:p>
          <w:pPr>
            <w:pStyle w:val="23"/>
            <w:tabs>
              <w:tab w:val="right" w:leader="dot" w:pos="14800"/>
            </w:tabs>
          </w:pPr>
          <w:r>
            <w:rPr>
              <w:rFonts w:hint="eastAsia" w:ascii="Times New Roman" w:hAnsi="Times New Roman" w:eastAsia="方正仿宋_GBK" w:cs="Times New Roman"/>
              <w:color w:val="000000" w:themeColor="text1"/>
              <w:sz w:val="28"/>
              <w:szCs w:val="28"/>
              <w14:textFill>
                <w14:solidFill>
                  <w14:schemeClr w14:val="tx1"/>
                </w14:solidFill>
              </w14:textFill>
            </w:rPr>
            <w:fldChar w:fldCharType="begin"/>
          </w:r>
          <w:r>
            <w:rPr>
              <w:rFonts w:hint="eastAsia" w:ascii="Times New Roman" w:hAnsi="Times New Roman" w:eastAsia="方正仿宋_GBK" w:cs="Times New Roman"/>
              <w:color w:val="000000" w:themeColor="text1"/>
              <w:sz w:val="28"/>
              <w:szCs w:val="28"/>
              <w14:textFill>
                <w14:solidFill>
                  <w14:schemeClr w14:val="tx1"/>
                </w14:solidFill>
              </w14:textFill>
            </w:rPr>
            <w:instrText xml:space="preserve"> HYPERLINK \l _Toc32575_WPSOffice_Level1 </w:instrText>
          </w:r>
          <w:r>
            <w:rPr>
              <w:rFonts w:hint="eastAsia" w:ascii="Times New Roman" w:hAnsi="Times New Roman" w:eastAsia="方正仿宋_GBK" w:cs="Times New Roman"/>
              <w:color w:val="000000" w:themeColor="text1"/>
              <w:sz w:val="28"/>
              <w:szCs w:val="28"/>
              <w14:textFill>
                <w14:solidFill>
                  <w14:schemeClr w14:val="tx1"/>
                </w14:solidFill>
              </w14:textFill>
            </w:rPr>
            <w:fldChar w:fldCharType="separate"/>
          </w:r>
          <w:sdt>
            <w:sdt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id w:val="147476056"/>
              <w:placeholder>
                <w:docPart w:val="{61da2a86-a981-4dd3-be7e-48d4e664b92f}"/>
              </w:placeholder>
              <w15:color w:val="509DF3"/>
            </w:sdtPr>
            <w:sdtEndPr>
              <w:rPr>
                <w:rFonts w:hint="eastAsia" w:ascii="Times New Roman" w:hAnsi="Times New Roman" w:eastAsia="方正仿宋_GBK" w:cs="Times New Roman"/>
                <w:color w:val="000000" w:themeColor="text1"/>
                <w:sz w:val="28"/>
                <w:szCs w:val="28"/>
                <w:lang w:val="en-US" w:eastAsia="uk-UA" w:bidi="ar-SA"/>
                <w14:textFill>
                  <w14:solidFill>
                    <w14:schemeClr w14:val="tx1"/>
                  </w14:solidFill>
                </w14:textFill>
              </w:rPr>
            </w:sdtEndPr>
            <w:sdtContent>
              <w:r>
                <w:rPr>
                  <w:rFonts w:hint="eastAsia" w:ascii="Times New Roman" w:hAnsi="Times New Roman" w:eastAsia="方正仿宋_GBK" w:cs="Times New Roman"/>
                  <w:color w:val="000000" w:themeColor="text1"/>
                  <w:sz w:val="28"/>
                  <w:szCs w:val="28"/>
                  <w14:textFill>
                    <w14:solidFill>
                      <w14:schemeClr w14:val="tx1"/>
                    </w14:solidFill>
                  </w14:textFill>
                </w:rPr>
                <w:t>三、行唐县质量技术监督检验所收支预算</w:t>
              </w:r>
            </w:sdtContent>
          </w:sdt>
          <w:r>
            <w:rPr>
              <w:rFonts w:hint="eastAsia" w:ascii="Times New Roman" w:hAnsi="Times New Roman" w:eastAsia="方正仿宋_GBK" w:cs="Times New Roman"/>
              <w:color w:val="000000" w:themeColor="text1"/>
              <w:sz w:val="28"/>
              <w:szCs w:val="28"/>
              <w14:textFill>
                <w14:solidFill>
                  <w14:schemeClr w14:val="tx1"/>
                </w14:solidFill>
              </w14:textFill>
            </w:rPr>
            <w:tab/>
          </w:r>
          <w:bookmarkStart w:id="3" w:name="_Toc32575_WPSOffice_Level1Page"/>
          <w:r>
            <w:rPr>
              <w:rFonts w:hint="eastAsia" w:ascii="Times New Roman" w:hAnsi="Times New Roman" w:eastAsia="方正仿宋_GBK" w:cs="Times New Roman"/>
              <w:color w:val="000000" w:themeColor="text1"/>
              <w:sz w:val="28"/>
              <w:szCs w:val="28"/>
              <w14:textFill>
                <w14:solidFill>
                  <w14:schemeClr w14:val="tx1"/>
                </w14:solidFill>
              </w14:textFill>
            </w:rPr>
            <w:t>44</w:t>
          </w:r>
          <w:bookmarkEnd w:id="3"/>
          <w:r>
            <w:rPr>
              <w:rFonts w:hint="eastAsia" w:ascii="Times New Roman" w:hAnsi="Times New Roman" w:eastAsia="方正仿宋_GBK" w:cs="Times New Roman"/>
              <w:color w:val="000000" w:themeColor="text1"/>
              <w:sz w:val="28"/>
              <w:szCs w:val="28"/>
              <w14:textFill>
                <w14:solidFill>
                  <w14:schemeClr w14:val="tx1"/>
                </w14:solidFill>
              </w14:textFill>
            </w:rPr>
            <w:fldChar w:fldCharType="end"/>
          </w:r>
          <w:bookmarkEnd w:id="0"/>
        </w:p>
      </w:sdtContent>
    </w:sdt>
    <w:p>
      <w:pPr>
        <w:numPr>
          <w:numId w:val="0"/>
        </w:numPr>
        <w:spacing w:before="0" w:after="0" w:line="240" w:lineRule="auto"/>
        <w:jc w:val="center"/>
        <w:outlineLvl w:val="0"/>
        <w:rPr>
          <w:rFonts w:ascii="方正小标宋_GBK" w:hAnsi="方正小标宋_GBK" w:eastAsia="方正小标宋_GBK" w:cs="方正小标宋_GBK"/>
          <w:color w:val="000000"/>
          <w:sz w:val="72"/>
        </w:rPr>
      </w:pPr>
    </w:p>
    <w:p>
      <w:pPr>
        <w:numPr>
          <w:numId w:val="0"/>
        </w:numPr>
        <w:spacing w:before="0" w:after="0" w:line="240" w:lineRule="auto"/>
        <w:jc w:val="center"/>
        <w:outlineLvl w:val="0"/>
        <w:rPr>
          <w:rFonts w:ascii="方正小标宋_GBK" w:hAnsi="方正小标宋_GBK" w:eastAsia="方正小标宋_GBK" w:cs="方正小标宋_GBK"/>
          <w:color w:val="000000"/>
          <w:sz w:val="72"/>
        </w:rPr>
        <w:sectPr>
          <w:pgSz w:w="16840" w:h="11900" w:orient="landscape"/>
          <w:pgMar w:top="1361" w:right="1020" w:bottom="1134" w:left="1020" w:header="720" w:footer="720" w:gutter="0"/>
          <w:pgNumType w:fmt="decimal"/>
        </w:sectPr>
      </w:pPr>
    </w:p>
    <w:p>
      <w:pPr>
        <w:spacing w:before="0" w:after="0"/>
        <w:ind w:firstLine="0"/>
        <w:jc w:val="center"/>
        <w:outlineLvl w:val="3"/>
      </w:pPr>
      <w:bookmarkStart w:id="4" w:name="_Toc_4_4_0000000021"/>
      <w:bookmarkStart w:id="5" w:name="_Toc15252_WPSOffice_Level1"/>
      <w:r>
        <w:rPr>
          <w:rFonts w:ascii="方正小标宋_GBK" w:hAnsi="方正小标宋_GBK" w:eastAsia="方正小标宋_GBK" w:cs="方正小标宋_GBK"/>
          <w:b w:val="0"/>
          <w:color w:val="000000"/>
          <w:sz w:val="44"/>
        </w:rPr>
        <w:t>一、行唐县市场监督管理局本级收支预算</w:t>
      </w:r>
      <w:bookmarkEnd w:id="4"/>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2224.58</w:t>
            </w:r>
          </w:p>
        </w:tc>
        <w:tc>
          <w:tcPr>
            <w:tcW w:w="4535" w:type="dxa"/>
            <w:vAlign w:val="center"/>
          </w:tcPr>
          <w:p>
            <w:pPr>
              <w:pStyle w:val="12"/>
            </w:pPr>
            <w:r>
              <w:t>一、一般公共服务支出</w:t>
            </w:r>
          </w:p>
        </w:tc>
        <w:tc>
          <w:tcPr>
            <w:tcW w:w="2126" w:type="dxa"/>
            <w:vAlign w:val="center"/>
          </w:tcPr>
          <w:p>
            <w:pPr>
              <w:pStyle w:val="13"/>
            </w:pPr>
            <w:r>
              <w:t>1950.52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r>
              <w:t>100.76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2224.58</w:t>
            </w:r>
          </w:p>
        </w:tc>
        <w:tc>
          <w:tcPr>
            <w:tcW w:w="4535" w:type="dxa"/>
            <w:vAlign w:val="center"/>
          </w:tcPr>
          <w:p>
            <w:pPr>
              <w:pStyle w:val="14"/>
            </w:pPr>
            <w:r>
              <w:t>本年支出合计</w:t>
            </w:r>
          </w:p>
        </w:tc>
        <w:tc>
          <w:tcPr>
            <w:tcW w:w="2126" w:type="dxa"/>
            <w:vAlign w:val="center"/>
          </w:tcPr>
          <w:p>
            <w:pPr>
              <w:pStyle w:val="15"/>
            </w:pPr>
            <w:r>
              <w:t>2224.58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2224.58</w:t>
            </w:r>
          </w:p>
        </w:tc>
        <w:tc>
          <w:tcPr>
            <w:tcW w:w="4535" w:type="dxa"/>
            <w:vAlign w:val="center"/>
          </w:tcPr>
          <w:p>
            <w:pPr>
              <w:pStyle w:val="14"/>
            </w:pPr>
            <w:r>
              <w:t>支出总计</w:t>
            </w:r>
          </w:p>
        </w:tc>
        <w:tc>
          <w:tcPr>
            <w:tcW w:w="2126" w:type="dxa"/>
            <w:vAlign w:val="center"/>
          </w:tcPr>
          <w:p>
            <w:pPr>
              <w:pStyle w:val="15"/>
            </w:pPr>
            <w:r>
              <w:t>2224.58</w:t>
            </w:r>
          </w:p>
        </w:tc>
      </w:tr>
    </w:tbl>
    <w:p>
      <w:pPr>
        <w:sectPr>
          <w:footerReference r:id="rId3" w:type="default"/>
          <w:pgSz w:w="16840" w:h="11900" w:orient="landscape"/>
          <w:pgMar w:top="1361" w:right="1020" w:bottom="1134" w:left="1020" w:header="720" w:footer="720" w:gutter="0"/>
          <w:pgNumType w:fmt="decimal" w:start="1"/>
        </w:sectPr>
      </w:pPr>
      <w:bookmarkStart w:id="10" w:name="_GoBack"/>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2224.58</w:t>
            </w:r>
          </w:p>
        </w:tc>
        <w:tc>
          <w:tcPr>
            <w:tcW w:w="1134" w:type="dxa"/>
            <w:vAlign w:val="center"/>
          </w:tcPr>
          <w:p>
            <w:pPr>
              <w:pStyle w:val="15"/>
            </w:pPr>
            <w:r>
              <w:t>2224.58</w:t>
            </w:r>
          </w:p>
        </w:tc>
        <w:tc>
          <w:tcPr>
            <w:tcW w:w="1134" w:type="dxa"/>
            <w:vAlign w:val="center"/>
          </w:tcPr>
          <w:p>
            <w:pPr>
              <w:pStyle w:val="15"/>
            </w:pPr>
            <w:r>
              <w:t>2224.58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1950.52</w:t>
            </w:r>
          </w:p>
        </w:tc>
        <w:tc>
          <w:tcPr>
            <w:tcW w:w="1134" w:type="dxa"/>
            <w:vAlign w:val="center"/>
          </w:tcPr>
          <w:p>
            <w:pPr>
              <w:pStyle w:val="13"/>
            </w:pPr>
            <w:r>
              <w:t>1950.52</w:t>
            </w:r>
          </w:p>
        </w:tc>
        <w:tc>
          <w:tcPr>
            <w:tcW w:w="1134" w:type="dxa"/>
            <w:vAlign w:val="center"/>
          </w:tcPr>
          <w:p>
            <w:pPr>
              <w:pStyle w:val="13"/>
            </w:pPr>
            <w:r>
              <w:t>1950.52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3"/>
            </w:pPr>
            <w:r>
              <w:t>1950.52</w:t>
            </w:r>
          </w:p>
        </w:tc>
        <w:tc>
          <w:tcPr>
            <w:tcW w:w="1134" w:type="dxa"/>
            <w:vAlign w:val="center"/>
          </w:tcPr>
          <w:p>
            <w:pPr>
              <w:pStyle w:val="13"/>
            </w:pPr>
            <w:r>
              <w:t>1950.52</w:t>
            </w:r>
          </w:p>
        </w:tc>
        <w:tc>
          <w:tcPr>
            <w:tcW w:w="1134" w:type="dxa"/>
            <w:vAlign w:val="center"/>
          </w:tcPr>
          <w:p>
            <w:pPr>
              <w:pStyle w:val="13"/>
            </w:pPr>
            <w:r>
              <w:t>1950.52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3"/>
            </w:pPr>
            <w:r>
              <w:t>1522.52</w:t>
            </w:r>
          </w:p>
        </w:tc>
        <w:tc>
          <w:tcPr>
            <w:tcW w:w="1134" w:type="dxa"/>
            <w:vAlign w:val="center"/>
          </w:tcPr>
          <w:p>
            <w:pPr>
              <w:pStyle w:val="13"/>
            </w:pPr>
            <w:r>
              <w:t>1522.52</w:t>
            </w:r>
          </w:p>
        </w:tc>
        <w:tc>
          <w:tcPr>
            <w:tcW w:w="1134" w:type="dxa"/>
            <w:vAlign w:val="center"/>
          </w:tcPr>
          <w:p>
            <w:pPr>
              <w:pStyle w:val="13"/>
            </w:pPr>
            <w:r>
              <w:t>1522.52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3"/>
            </w:pPr>
            <w:r>
              <w:t>428.00</w:t>
            </w:r>
          </w:p>
        </w:tc>
        <w:tc>
          <w:tcPr>
            <w:tcW w:w="1134" w:type="dxa"/>
            <w:vAlign w:val="center"/>
          </w:tcPr>
          <w:p>
            <w:pPr>
              <w:pStyle w:val="13"/>
            </w:pPr>
            <w:r>
              <w:t>428.00</w:t>
            </w:r>
          </w:p>
        </w:tc>
        <w:tc>
          <w:tcPr>
            <w:tcW w:w="1134" w:type="dxa"/>
            <w:vAlign w:val="center"/>
          </w:tcPr>
          <w:p>
            <w:pPr>
              <w:pStyle w:val="13"/>
            </w:pPr>
            <w:r>
              <w:t>428.00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124.80</w:t>
            </w:r>
          </w:p>
        </w:tc>
        <w:tc>
          <w:tcPr>
            <w:tcW w:w="1134" w:type="dxa"/>
            <w:vAlign w:val="center"/>
          </w:tcPr>
          <w:p>
            <w:pPr>
              <w:pStyle w:val="13"/>
            </w:pPr>
            <w:r>
              <w:t>124.80</w:t>
            </w:r>
          </w:p>
        </w:tc>
        <w:tc>
          <w:tcPr>
            <w:tcW w:w="1134" w:type="dxa"/>
            <w:vAlign w:val="center"/>
          </w:tcPr>
          <w:p>
            <w:pPr>
              <w:pStyle w:val="13"/>
            </w:pPr>
            <w:r>
              <w:t>124.80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124.80</w:t>
            </w:r>
          </w:p>
        </w:tc>
        <w:tc>
          <w:tcPr>
            <w:tcW w:w="1134" w:type="dxa"/>
            <w:vAlign w:val="center"/>
          </w:tcPr>
          <w:p>
            <w:pPr>
              <w:pStyle w:val="13"/>
            </w:pPr>
            <w:r>
              <w:t>124.80</w:t>
            </w:r>
          </w:p>
        </w:tc>
        <w:tc>
          <w:tcPr>
            <w:tcW w:w="1134" w:type="dxa"/>
            <w:vAlign w:val="center"/>
          </w:tcPr>
          <w:p>
            <w:pPr>
              <w:pStyle w:val="13"/>
            </w:pPr>
            <w:r>
              <w:t>124.80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115.65</w:t>
            </w:r>
          </w:p>
        </w:tc>
        <w:tc>
          <w:tcPr>
            <w:tcW w:w="1134" w:type="dxa"/>
            <w:vAlign w:val="center"/>
          </w:tcPr>
          <w:p>
            <w:pPr>
              <w:pStyle w:val="13"/>
            </w:pPr>
            <w:r>
              <w:t>115.65</w:t>
            </w:r>
          </w:p>
        </w:tc>
        <w:tc>
          <w:tcPr>
            <w:tcW w:w="1134" w:type="dxa"/>
            <w:vAlign w:val="center"/>
          </w:tcPr>
          <w:p>
            <w:pPr>
              <w:pStyle w:val="13"/>
            </w:pPr>
            <w:r>
              <w:t>115.65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3"/>
            </w:pPr>
            <w:r>
              <w:t>9.15</w:t>
            </w:r>
          </w:p>
        </w:tc>
        <w:tc>
          <w:tcPr>
            <w:tcW w:w="1134" w:type="dxa"/>
            <w:vAlign w:val="center"/>
          </w:tcPr>
          <w:p>
            <w:pPr>
              <w:pStyle w:val="13"/>
            </w:pPr>
            <w:r>
              <w:t>9.15</w:t>
            </w:r>
          </w:p>
        </w:tc>
        <w:tc>
          <w:tcPr>
            <w:tcW w:w="1134" w:type="dxa"/>
            <w:vAlign w:val="center"/>
          </w:tcPr>
          <w:p>
            <w:pPr>
              <w:pStyle w:val="13"/>
            </w:pPr>
            <w:r>
              <w:t>9.15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r>
              <w:t>48.50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r>
              <w:t>100.76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2224.58</w:t>
            </w:r>
          </w:p>
        </w:tc>
        <w:tc>
          <w:tcPr>
            <w:tcW w:w="1361" w:type="dxa"/>
            <w:vAlign w:val="center"/>
          </w:tcPr>
          <w:p>
            <w:pPr>
              <w:pStyle w:val="15"/>
            </w:pPr>
            <w:r>
              <w:t>1796.58</w:t>
            </w:r>
          </w:p>
        </w:tc>
        <w:tc>
          <w:tcPr>
            <w:tcW w:w="1361" w:type="dxa"/>
            <w:vAlign w:val="center"/>
          </w:tcPr>
          <w:p>
            <w:pPr>
              <w:pStyle w:val="15"/>
            </w:pPr>
            <w:r>
              <w:t>428.00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1950.52</w:t>
            </w:r>
          </w:p>
        </w:tc>
        <w:tc>
          <w:tcPr>
            <w:tcW w:w="1361" w:type="dxa"/>
            <w:vAlign w:val="center"/>
          </w:tcPr>
          <w:p>
            <w:pPr>
              <w:pStyle w:val="13"/>
            </w:pPr>
            <w:r>
              <w:t>1522.52</w:t>
            </w:r>
          </w:p>
        </w:tc>
        <w:tc>
          <w:tcPr>
            <w:tcW w:w="1361" w:type="dxa"/>
            <w:vAlign w:val="center"/>
          </w:tcPr>
          <w:p>
            <w:pPr>
              <w:pStyle w:val="13"/>
            </w:pPr>
            <w:r>
              <w:t>428.00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3"/>
            </w:pPr>
            <w:r>
              <w:t>1950.52</w:t>
            </w:r>
          </w:p>
        </w:tc>
        <w:tc>
          <w:tcPr>
            <w:tcW w:w="1361" w:type="dxa"/>
            <w:vAlign w:val="center"/>
          </w:tcPr>
          <w:p>
            <w:pPr>
              <w:pStyle w:val="13"/>
            </w:pPr>
            <w:r>
              <w:t>1522.52</w:t>
            </w:r>
          </w:p>
        </w:tc>
        <w:tc>
          <w:tcPr>
            <w:tcW w:w="1361" w:type="dxa"/>
            <w:vAlign w:val="center"/>
          </w:tcPr>
          <w:p>
            <w:pPr>
              <w:pStyle w:val="13"/>
            </w:pPr>
            <w:r>
              <w:t>428.00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3"/>
            </w:pPr>
            <w:r>
              <w:t>1522.52</w:t>
            </w:r>
          </w:p>
        </w:tc>
        <w:tc>
          <w:tcPr>
            <w:tcW w:w="1361" w:type="dxa"/>
            <w:vAlign w:val="center"/>
          </w:tcPr>
          <w:p>
            <w:pPr>
              <w:pStyle w:val="13"/>
            </w:pPr>
            <w:r>
              <w:t>1522.52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3"/>
            </w:pPr>
            <w:r>
              <w:t>428.00</w:t>
            </w:r>
          </w:p>
        </w:tc>
        <w:tc>
          <w:tcPr>
            <w:tcW w:w="1361" w:type="dxa"/>
            <w:vAlign w:val="center"/>
          </w:tcPr>
          <w:p>
            <w:pPr>
              <w:pStyle w:val="13"/>
            </w:pPr>
          </w:p>
        </w:tc>
        <w:tc>
          <w:tcPr>
            <w:tcW w:w="1361" w:type="dxa"/>
            <w:vAlign w:val="center"/>
          </w:tcPr>
          <w:p>
            <w:pPr>
              <w:pStyle w:val="13"/>
            </w:pPr>
            <w:r>
              <w:t>428.00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124.80</w:t>
            </w:r>
          </w:p>
        </w:tc>
        <w:tc>
          <w:tcPr>
            <w:tcW w:w="1361" w:type="dxa"/>
            <w:vAlign w:val="center"/>
          </w:tcPr>
          <w:p>
            <w:pPr>
              <w:pStyle w:val="13"/>
            </w:pPr>
            <w:r>
              <w:t>124.80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124.80</w:t>
            </w:r>
          </w:p>
        </w:tc>
        <w:tc>
          <w:tcPr>
            <w:tcW w:w="1361" w:type="dxa"/>
            <w:vAlign w:val="center"/>
          </w:tcPr>
          <w:p>
            <w:pPr>
              <w:pStyle w:val="13"/>
            </w:pPr>
            <w:r>
              <w:t>124.80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115.65</w:t>
            </w:r>
          </w:p>
        </w:tc>
        <w:tc>
          <w:tcPr>
            <w:tcW w:w="1361" w:type="dxa"/>
            <w:vAlign w:val="center"/>
          </w:tcPr>
          <w:p>
            <w:pPr>
              <w:pStyle w:val="13"/>
            </w:pPr>
            <w:r>
              <w:t>115.65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3"/>
            </w:pPr>
            <w:r>
              <w:t>9.15</w:t>
            </w:r>
          </w:p>
        </w:tc>
        <w:tc>
          <w:tcPr>
            <w:tcW w:w="1361" w:type="dxa"/>
            <w:vAlign w:val="center"/>
          </w:tcPr>
          <w:p>
            <w:pPr>
              <w:pStyle w:val="13"/>
            </w:pPr>
            <w:r>
              <w:t>9.15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48.50</w:t>
            </w:r>
          </w:p>
        </w:tc>
        <w:tc>
          <w:tcPr>
            <w:tcW w:w="1361" w:type="dxa"/>
            <w:vAlign w:val="center"/>
          </w:tcPr>
          <w:p>
            <w:pPr>
              <w:pStyle w:val="13"/>
            </w:pPr>
            <w:r>
              <w:t>48.50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48.50</w:t>
            </w:r>
          </w:p>
        </w:tc>
        <w:tc>
          <w:tcPr>
            <w:tcW w:w="1361" w:type="dxa"/>
            <w:vAlign w:val="center"/>
          </w:tcPr>
          <w:p>
            <w:pPr>
              <w:pStyle w:val="13"/>
            </w:pPr>
            <w:r>
              <w:t>48.50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48.50</w:t>
            </w:r>
          </w:p>
        </w:tc>
        <w:tc>
          <w:tcPr>
            <w:tcW w:w="1361" w:type="dxa"/>
            <w:vAlign w:val="center"/>
          </w:tcPr>
          <w:p>
            <w:pPr>
              <w:pStyle w:val="13"/>
            </w:pPr>
            <w:r>
              <w:t>48.50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3"/>
            </w:pPr>
            <w:r>
              <w:t>100.76</w:t>
            </w:r>
          </w:p>
        </w:tc>
        <w:tc>
          <w:tcPr>
            <w:tcW w:w="1361" w:type="dxa"/>
            <w:vAlign w:val="center"/>
          </w:tcPr>
          <w:p>
            <w:pPr>
              <w:pStyle w:val="13"/>
            </w:pPr>
            <w:r>
              <w:t>100.76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3"/>
            </w:pPr>
            <w:r>
              <w:t>100.76</w:t>
            </w:r>
          </w:p>
        </w:tc>
        <w:tc>
          <w:tcPr>
            <w:tcW w:w="1361" w:type="dxa"/>
            <w:vAlign w:val="center"/>
          </w:tcPr>
          <w:p>
            <w:pPr>
              <w:pStyle w:val="13"/>
            </w:pPr>
            <w:r>
              <w:t>100.76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3"/>
            </w:pPr>
            <w:r>
              <w:t>100.76</w:t>
            </w:r>
          </w:p>
        </w:tc>
        <w:tc>
          <w:tcPr>
            <w:tcW w:w="1361" w:type="dxa"/>
            <w:vAlign w:val="center"/>
          </w:tcPr>
          <w:p>
            <w:pPr>
              <w:pStyle w:val="13"/>
            </w:pPr>
            <w:r>
              <w:t>100.76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2224.58</w:t>
            </w:r>
          </w:p>
        </w:tc>
        <w:tc>
          <w:tcPr>
            <w:tcW w:w="3402" w:type="dxa"/>
            <w:vAlign w:val="center"/>
          </w:tcPr>
          <w:p>
            <w:pPr>
              <w:pStyle w:val="12"/>
            </w:pPr>
            <w:r>
              <w:t>一、一般公共服务支出</w:t>
            </w:r>
          </w:p>
        </w:tc>
        <w:tc>
          <w:tcPr>
            <w:tcW w:w="1474" w:type="dxa"/>
            <w:vAlign w:val="center"/>
          </w:tcPr>
          <w:p>
            <w:pPr>
              <w:pStyle w:val="13"/>
            </w:pPr>
            <w:r>
              <w:t>1950.52</w:t>
            </w:r>
          </w:p>
        </w:tc>
        <w:tc>
          <w:tcPr>
            <w:tcW w:w="1474" w:type="dxa"/>
            <w:vAlign w:val="center"/>
          </w:tcPr>
          <w:p>
            <w:pPr>
              <w:pStyle w:val="13"/>
            </w:pPr>
            <w:r>
              <w:t>1950.52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124.80</w:t>
            </w:r>
          </w:p>
        </w:tc>
        <w:tc>
          <w:tcPr>
            <w:tcW w:w="1474" w:type="dxa"/>
            <w:vAlign w:val="center"/>
          </w:tcPr>
          <w:p>
            <w:pPr>
              <w:pStyle w:val="13"/>
            </w:pPr>
            <w:r>
              <w:t>124.80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48.50</w:t>
            </w:r>
          </w:p>
        </w:tc>
        <w:tc>
          <w:tcPr>
            <w:tcW w:w="1474" w:type="dxa"/>
            <w:vAlign w:val="center"/>
          </w:tcPr>
          <w:p>
            <w:pPr>
              <w:pStyle w:val="13"/>
            </w:pPr>
            <w:r>
              <w:t>48.50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r>
              <w:t>100.76</w:t>
            </w:r>
          </w:p>
        </w:tc>
        <w:tc>
          <w:tcPr>
            <w:tcW w:w="1474" w:type="dxa"/>
            <w:vAlign w:val="center"/>
          </w:tcPr>
          <w:p>
            <w:pPr>
              <w:pStyle w:val="13"/>
            </w:pPr>
            <w:r>
              <w:t>100.76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2224.58</w:t>
            </w:r>
          </w:p>
        </w:tc>
        <w:tc>
          <w:tcPr>
            <w:tcW w:w="3402" w:type="dxa"/>
            <w:vAlign w:val="center"/>
          </w:tcPr>
          <w:p>
            <w:pPr>
              <w:pStyle w:val="14"/>
            </w:pPr>
            <w:r>
              <w:t>本年支出合计</w:t>
            </w:r>
          </w:p>
        </w:tc>
        <w:tc>
          <w:tcPr>
            <w:tcW w:w="1474" w:type="dxa"/>
            <w:vAlign w:val="center"/>
          </w:tcPr>
          <w:p>
            <w:pPr>
              <w:pStyle w:val="15"/>
            </w:pPr>
            <w:r>
              <w:t>2224.58</w:t>
            </w:r>
          </w:p>
        </w:tc>
        <w:tc>
          <w:tcPr>
            <w:tcW w:w="1474" w:type="dxa"/>
            <w:vAlign w:val="center"/>
          </w:tcPr>
          <w:p>
            <w:pPr>
              <w:pStyle w:val="15"/>
            </w:pPr>
            <w:r>
              <w:t>2224.58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2224.58</w:t>
            </w:r>
          </w:p>
        </w:tc>
        <w:tc>
          <w:tcPr>
            <w:tcW w:w="3402" w:type="dxa"/>
            <w:vAlign w:val="center"/>
          </w:tcPr>
          <w:p>
            <w:pPr>
              <w:pStyle w:val="14"/>
            </w:pPr>
            <w:r>
              <w:t>支出总计</w:t>
            </w:r>
          </w:p>
        </w:tc>
        <w:tc>
          <w:tcPr>
            <w:tcW w:w="1474" w:type="dxa"/>
            <w:vAlign w:val="center"/>
          </w:tcPr>
          <w:p>
            <w:pPr>
              <w:pStyle w:val="15"/>
            </w:pPr>
            <w:r>
              <w:t>2224.58</w:t>
            </w:r>
          </w:p>
        </w:tc>
        <w:tc>
          <w:tcPr>
            <w:tcW w:w="1474" w:type="dxa"/>
            <w:vAlign w:val="center"/>
          </w:tcPr>
          <w:p>
            <w:pPr>
              <w:pStyle w:val="15"/>
            </w:pPr>
            <w:r>
              <w:t>2224.58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2224.58</w:t>
            </w:r>
          </w:p>
        </w:tc>
        <w:tc>
          <w:tcPr>
            <w:tcW w:w="2551" w:type="dxa"/>
            <w:vAlign w:val="center"/>
          </w:tcPr>
          <w:p>
            <w:pPr>
              <w:pStyle w:val="15"/>
            </w:pPr>
            <w:r>
              <w:t>1796.58</w:t>
            </w:r>
          </w:p>
        </w:tc>
        <w:tc>
          <w:tcPr>
            <w:tcW w:w="2551" w:type="dxa"/>
            <w:vAlign w:val="center"/>
          </w:tcPr>
          <w:p>
            <w:pPr>
              <w:pStyle w:val="15"/>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1950.52</w:t>
            </w:r>
          </w:p>
        </w:tc>
        <w:tc>
          <w:tcPr>
            <w:tcW w:w="2551" w:type="dxa"/>
            <w:vAlign w:val="center"/>
          </w:tcPr>
          <w:p>
            <w:pPr>
              <w:pStyle w:val="13"/>
            </w:pPr>
            <w:r>
              <w:t>1522.52</w:t>
            </w:r>
          </w:p>
        </w:tc>
        <w:tc>
          <w:tcPr>
            <w:tcW w:w="2551" w:type="dxa"/>
            <w:vAlign w:val="center"/>
          </w:tcPr>
          <w:p>
            <w:pPr>
              <w:pStyle w:val="13"/>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3"/>
            </w:pPr>
            <w:r>
              <w:t>1950.52</w:t>
            </w:r>
          </w:p>
        </w:tc>
        <w:tc>
          <w:tcPr>
            <w:tcW w:w="2551" w:type="dxa"/>
            <w:vAlign w:val="center"/>
          </w:tcPr>
          <w:p>
            <w:pPr>
              <w:pStyle w:val="13"/>
            </w:pPr>
            <w:r>
              <w:t>1522.52</w:t>
            </w:r>
          </w:p>
        </w:tc>
        <w:tc>
          <w:tcPr>
            <w:tcW w:w="2551" w:type="dxa"/>
            <w:vAlign w:val="center"/>
          </w:tcPr>
          <w:p>
            <w:pPr>
              <w:pStyle w:val="13"/>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3"/>
            </w:pPr>
            <w:r>
              <w:t>1522.52</w:t>
            </w:r>
          </w:p>
        </w:tc>
        <w:tc>
          <w:tcPr>
            <w:tcW w:w="2551" w:type="dxa"/>
            <w:vAlign w:val="center"/>
          </w:tcPr>
          <w:p>
            <w:pPr>
              <w:pStyle w:val="13"/>
            </w:pPr>
            <w:r>
              <w:t>1522.52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3"/>
            </w:pPr>
            <w:r>
              <w:t>428.00</w:t>
            </w:r>
          </w:p>
        </w:tc>
        <w:tc>
          <w:tcPr>
            <w:tcW w:w="2551" w:type="dxa"/>
            <w:vAlign w:val="center"/>
          </w:tcPr>
          <w:p>
            <w:pPr>
              <w:pStyle w:val="13"/>
            </w:pPr>
          </w:p>
        </w:tc>
        <w:tc>
          <w:tcPr>
            <w:tcW w:w="2551" w:type="dxa"/>
            <w:vAlign w:val="center"/>
          </w:tcPr>
          <w:p>
            <w:pPr>
              <w:pStyle w:val="13"/>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124.80</w:t>
            </w:r>
          </w:p>
        </w:tc>
        <w:tc>
          <w:tcPr>
            <w:tcW w:w="2551" w:type="dxa"/>
            <w:vAlign w:val="center"/>
          </w:tcPr>
          <w:p>
            <w:pPr>
              <w:pStyle w:val="13"/>
            </w:pPr>
            <w:r>
              <w:t>124.80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124.80</w:t>
            </w:r>
          </w:p>
        </w:tc>
        <w:tc>
          <w:tcPr>
            <w:tcW w:w="2551" w:type="dxa"/>
            <w:vAlign w:val="center"/>
          </w:tcPr>
          <w:p>
            <w:pPr>
              <w:pStyle w:val="13"/>
            </w:pPr>
            <w:r>
              <w:t>124.80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115.65</w:t>
            </w:r>
          </w:p>
        </w:tc>
        <w:tc>
          <w:tcPr>
            <w:tcW w:w="2551" w:type="dxa"/>
            <w:vAlign w:val="center"/>
          </w:tcPr>
          <w:p>
            <w:pPr>
              <w:pStyle w:val="13"/>
            </w:pPr>
            <w:r>
              <w:t>115.65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3"/>
            </w:pPr>
            <w:r>
              <w:t>9.15</w:t>
            </w:r>
          </w:p>
        </w:tc>
        <w:tc>
          <w:tcPr>
            <w:tcW w:w="2551" w:type="dxa"/>
            <w:vAlign w:val="center"/>
          </w:tcPr>
          <w:p>
            <w:pPr>
              <w:pStyle w:val="13"/>
            </w:pPr>
            <w:r>
              <w:t>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48.50</w:t>
            </w:r>
          </w:p>
        </w:tc>
        <w:tc>
          <w:tcPr>
            <w:tcW w:w="2551" w:type="dxa"/>
            <w:vAlign w:val="center"/>
          </w:tcPr>
          <w:p>
            <w:pPr>
              <w:pStyle w:val="13"/>
            </w:pPr>
            <w:r>
              <w:t>48.50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48.50</w:t>
            </w:r>
          </w:p>
        </w:tc>
        <w:tc>
          <w:tcPr>
            <w:tcW w:w="2551" w:type="dxa"/>
            <w:vAlign w:val="center"/>
          </w:tcPr>
          <w:p>
            <w:pPr>
              <w:pStyle w:val="13"/>
            </w:pPr>
            <w:r>
              <w:t>48.50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48.50</w:t>
            </w:r>
          </w:p>
        </w:tc>
        <w:tc>
          <w:tcPr>
            <w:tcW w:w="2551" w:type="dxa"/>
            <w:vAlign w:val="center"/>
          </w:tcPr>
          <w:p>
            <w:pPr>
              <w:pStyle w:val="13"/>
            </w:pPr>
            <w:r>
              <w:t>48.50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3"/>
            </w:pPr>
            <w:r>
              <w:t>100.76</w:t>
            </w:r>
          </w:p>
        </w:tc>
        <w:tc>
          <w:tcPr>
            <w:tcW w:w="2551" w:type="dxa"/>
            <w:vAlign w:val="center"/>
          </w:tcPr>
          <w:p>
            <w:pPr>
              <w:pStyle w:val="13"/>
            </w:pPr>
            <w:r>
              <w:t>100.76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3"/>
            </w:pPr>
            <w:r>
              <w:t>100.76</w:t>
            </w:r>
          </w:p>
        </w:tc>
        <w:tc>
          <w:tcPr>
            <w:tcW w:w="2551" w:type="dxa"/>
            <w:vAlign w:val="center"/>
          </w:tcPr>
          <w:p>
            <w:pPr>
              <w:pStyle w:val="13"/>
            </w:pPr>
            <w:r>
              <w:t>100.76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3"/>
            </w:pPr>
            <w:r>
              <w:t>100.76</w:t>
            </w:r>
          </w:p>
        </w:tc>
        <w:tc>
          <w:tcPr>
            <w:tcW w:w="2551" w:type="dxa"/>
            <w:vAlign w:val="center"/>
          </w:tcPr>
          <w:p>
            <w:pPr>
              <w:pStyle w:val="13"/>
            </w:pPr>
            <w:r>
              <w:t>100.76</w:t>
            </w:r>
          </w:p>
        </w:tc>
        <w:tc>
          <w:tcPr>
            <w:tcW w:w="2551"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1796.58</w:t>
            </w:r>
          </w:p>
        </w:tc>
        <w:tc>
          <w:tcPr>
            <w:tcW w:w="2551" w:type="dxa"/>
            <w:vAlign w:val="center"/>
          </w:tcPr>
          <w:p>
            <w:pPr>
              <w:pStyle w:val="15"/>
            </w:pPr>
            <w:r>
              <w:t>1647.46</w:t>
            </w:r>
          </w:p>
        </w:tc>
        <w:tc>
          <w:tcPr>
            <w:tcW w:w="2551" w:type="dxa"/>
            <w:vAlign w:val="center"/>
          </w:tcPr>
          <w:p>
            <w:pPr>
              <w:pStyle w:val="15"/>
            </w:pPr>
            <w:r>
              <w:t>149.12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1273.95</w:t>
            </w:r>
          </w:p>
        </w:tc>
        <w:tc>
          <w:tcPr>
            <w:tcW w:w="2551" w:type="dxa"/>
            <w:vAlign w:val="center"/>
          </w:tcPr>
          <w:p>
            <w:pPr>
              <w:pStyle w:val="13"/>
            </w:pPr>
            <w:r>
              <w:t>1273.95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588.22</w:t>
            </w:r>
          </w:p>
        </w:tc>
        <w:tc>
          <w:tcPr>
            <w:tcW w:w="2551" w:type="dxa"/>
            <w:vAlign w:val="center"/>
          </w:tcPr>
          <w:p>
            <w:pPr>
              <w:pStyle w:val="13"/>
            </w:pPr>
            <w:r>
              <w:t>588.22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142.81</w:t>
            </w:r>
          </w:p>
        </w:tc>
        <w:tc>
          <w:tcPr>
            <w:tcW w:w="2551" w:type="dxa"/>
            <w:vAlign w:val="center"/>
          </w:tcPr>
          <w:p>
            <w:pPr>
              <w:pStyle w:val="13"/>
            </w:pPr>
            <w:r>
              <w:t>142.81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143.28</w:t>
            </w:r>
          </w:p>
        </w:tc>
        <w:tc>
          <w:tcPr>
            <w:tcW w:w="2551" w:type="dxa"/>
            <w:vAlign w:val="center"/>
          </w:tcPr>
          <w:p>
            <w:pPr>
              <w:pStyle w:val="13"/>
            </w:pPr>
            <w:r>
              <w:t>143.28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120.62</w:t>
            </w:r>
          </w:p>
        </w:tc>
        <w:tc>
          <w:tcPr>
            <w:tcW w:w="2551" w:type="dxa"/>
            <w:vAlign w:val="center"/>
          </w:tcPr>
          <w:p>
            <w:pPr>
              <w:pStyle w:val="13"/>
            </w:pPr>
            <w:r>
              <w:t>120.62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115.65</w:t>
            </w:r>
          </w:p>
        </w:tc>
        <w:tc>
          <w:tcPr>
            <w:tcW w:w="2551" w:type="dxa"/>
            <w:vAlign w:val="center"/>
          </w:tcPr>
          <w:p>
            <w:pPr>
              <w:pStyle w:val="13"/>
            </w:pPr>
            <w:r>
              <w:t>115.65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3"/>
            </w:pPr>
            <w:r>
              <w:t>9.15</w:t>
            </w:r>
          </w:p>
        </w:tc>
        <w:tc>
          <w:tcPr>
            <w:tcW w:w="2551" w:type="dxa"/>
            <w:vAlign w:val="center"/>
          </w:tcPr>
          <w:p>
            <w:pPr>
              <w:pStyle w:val="13"/>
            </w:pPr>
            <w:r>
              <w:t>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48.50</w:t>
            </w:r>
          </w:p>
        </w:tc>
        <w:tc>
          <w:tcPr>
            <w:tcW w:w="2551" w:type="dxa"/>
            <w:vAlign w:val="center"/>
          </w:tcPr>
          <w:p>
            <w:pPr>
              <w:pStyle w:val="13"/>
            </w:pPr>
            <w:r>
              <w:t>48.50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100.76</w:t>
            </w:r>
          </w:p>
        </w:tc>
        <w:tc>
          <w:tcPr>
            <w:tcW w:w="2551" w:type="dxa"/>
            <w:vAlign w:val="center"/>
          </w:tcPr>
          <w:p>
            <w:pPr>
              <w:pStyle w:val="13"/>
            </w:pPr>
            <w:r>
              <w:t>100.76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149.12</w:t>
            </w:r>
          </w:p>
        </w:tc>
        <w:tc>
          <w:tcPr>
            <w:tcW w:w="2551" w:type="dxa"/>
            <w:vAlign w:val="center"/>
          </w:tcPr>
          <w:p>
            <w:pPr>
              <w:pStyle w:val="13"/>
            </w:pPr>
          </w:p>
        </w:tc>
        <w:tc>
          <w:tcPr>
            <w:tcW w:w="2551" w:type="dxa"/>
            <w:vAlign w:val="center"/>
          </w:tcPr>
          <w:p>
            <w:pPr>
              <w:pStyle w:val="13"/>
            </w:pPr>
            <w:r>
              <w:t>149.12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4.90</w:t>
            </w:r>
          </w:p>
        </w:tc>
        <w:tc>
          <w:tcPr>
            <w:tcW w:w="2551" w:type="dxa"/>
            <w:vAlign w:val="center"/>
          </w:tcPr>
          <w:p>
            <w:pPr>
              <w:pStyle w:val="13"/>
            </w:pPr>
          </w:p>
        </w:tc>
        <w:tc>
          <w:tcPr>
            <w:tcW w:w="2551" w:type="dxa"/>
            <w:vAlign w:val="center"/>
          </w:tcPr>
          <w:p>
            <w:pPr>
              <w:pStyle w:val="13"/>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3"/>
            </w:pPr>
            <w:r>
              <w:t>4.90</w:t>
            </w:r>
          </w:p>
        </w:tc>
        <w:tc>
          <w:tcPr>
            <w:tcW w:w="2551" w:type="dxa"/>
            <w:vAlign w:val="center"/>
          </w:tcPr>
          <w:p>
            <w:pPr>
              <w:pStyle w:val="13"/>
            </w:pPr>
          </w:p>
        </w:tc>
        <w:tc>
          <w:tcPr>
            <w:tcW w:w="2551" w:type="dxa"/>
            <w:vAlign w:val="center"/>
          </w:tcPr>
          <w:p>
            <w:pPr>
              <w:pStyle w:val="13"/>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9.80</w:t>
            </w:r>
          </w:p>
        </w:tc>
        <w:tc>
          <w:tcPr>
            <w:tcW w:w="2551" w:type="dxa"/>
            <w:vAlign w:val="center"/>
          </w:tcPr>
          <w:p>
            <w:pPr>
              <w:pStyle w:val="13"/>
            </w:pPr>
          </w:p>
        </w:tc>
        <w:tc>
          <w:tcPr>
            <w:tcW w:w="2551" w:type="dxa"/>
            <w:vAlign w:val="center"/>
          </w:tcPr>
          <w:p>
            <w:pPr>
              <w:pStyle w:val="13"/>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4.45</w:t>
            </w:r>
          </w:p>
        </w:tc>
        <w:tc>
          <w:tcPr>
            <w:tcW w:w="2551" w:type="dxa"/>
            <w:vAlign w:val="center"/>
          </w:tcPr>
          <w:p>
            <w:pPr>
              <w:pStyle w:val="13"/>
            </w:pPr>
          </w:p>
        </w:tc>
        <w:tc>
          <w:tcPr>
            <w:tcW w:w="2551" w:type="dxa"/>
            <w:vAlign w:val="center"/>
          </w:tcPr>
          <w:p>
            <w:pPr>
              <w:pStyle w:val="13"/>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3"/>
            </w:pPr>
            <w:r>
              <w:t>18.72</w:t>
            </w:r>
          </w:p>
        </w:tc>
        <w:tc>
          <w:tcPr>
            <w:tcW w:w="2551" w:type="dxa"/>
            <w:vAlign w:val="center"/>
          </w:tcPr>
          <w:p>
            <w:pPr>
              <w:pStyle w:val="13"/>
            </w:pPr>
          </w:p>
        </w:tc>
        <w:tc>
          <w:tcPr>
            <w:tcW w:w="2551" w:type="dxa"/>
            <w:vAlign w:val="center"/>
          </w:tcPr>
          <w:p>
            <w:pPr>
              <w:pStyle w:val="13"/>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7.84</w:t>
            </w:r>
          </w:p>
        </w:tc>
        <w:tc>
          <w:tcPr>
            <w:tcW w:w="2551" w:type="dxa"/>
            <w:vAlign w:val="center"/>
          </w:tcPr>
          <w:p>
            <w:pPr>
              <w:pStyle w:val="13"/>
            </w:pPr>
          </w:p>
        </w:tc>
        <w:tc>
          <w:tcPr>
            <w:tcW w:w="2551" w:type="dxa"/>
            <w:vAlign w:val="center"/>
          </w:tcPr>
          <w:p>
            <w:pPr>
              <w:pStyle w:val="13"/>
            </w:pPr>
            <w:r>
              <w:t>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7.84</w:t>
            </w:r>
          </w:p>
        </w:tc>
        <w:tc>
          <w:tcPr>
            <w:tcW w:w="2551" w:type="dxa"/>
            <w:vAlign w:val="center"/>
          </w:tcPr>
          <w:p>
            <w:pPr>
              <w:pStyle w:val="13"/>
            </w:pPr>
          </w:p>
        </w:tc>
        <w:tc>
          <w:tcPr>
            <w:tcW w:w="2551" w:type="dxa"/>
            <w:vAlign w:val="center"/>
          </w:tcPr>
          <w:p>
            <w:pPr>
              <w:pStyle w:val="13"/>
            </w:pPr>
            <w:r>
              <w:t>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1.21</w:t>
            </w:r>
          </w:p>
        </w:tc>
        <w:tc>
          <w:tcPr>
            <w:tcW w:w="2551" w:type="dxa"/>
            <w:vAlign w:val="center"/>
          </w:tcPr>
          <w:p>
            <w:pPr>
              <w:pStyle w:val="13"/>
            </w:pPr>
          </w:p>
        </w:tc>
        <w:tc>
          <w:tcPr>
            <w:tcW w:w="2551" w:type="dxa"/>
            <w:vAlign w:val="center"/>
          </w:tcPr>
          <w:p>
            <w:pPr>
              <w:pStyle w:val="13"/>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7.66</w:t>
            </w:r>
          </w:p>
        </w:tc>
        <w:tc>
          <w:tcPr>
            <w:tcW w:w="2551" w:type="dxa"/>
            <w:vAlign w:val="center"/>
          </w:tcPr>
          <w:p>
            <w:pPr>
              <w:pStyle w:val="13"/>
            </w:pPr>
          </w:p>
        </w:tc>
        <w:tc>
          <w:tcPr>
            <w:tcW w:w="2551" w:type="dxa"/>
            <w:vAlign w:val="center"/>
          </w:tcPr>
          <w:p>
            <w:pPr>
              <w:pStyle w:val="13"/>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36.42</w:t>
            </w:r>
          </w:p>
        </w:tc>
        <w:tc>
          <w:tcPr>
            <w:tcW w:w="2551" w:type="dxa"/>
            <w:vAlign w:val="center"/>
          </w:tcPr>
          <w:p>
            <w:pPr>
              <w:pStyle w:val="13"/>
            </w:pPr>
          </w:p>
        </w:tc>
        <w:tc>
          <w:tcPr>
            <w:tcW w:w="2551" w:type="dxa"/>
            <w:vAlign w:val="center"/>
          </w:tcPr>
          <w:p>
            <w:pPr>
              <w:pStyle w:val="13"/>
            </w:pPr>
            <w:r>
              <w:t>36.42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15.38</w:t>
            </w:r>
          </w:p>
        </w:tc>
        <w:tc>
          <w:tcPr>
            <w:tcW w:w="2551" w:type="dxa"/>
            <w:vAlign w:val="center"/>
          </w:tcPr>
          <w:p>
            <w:pPr>
              <w:pStyle w:val="13"/>
            </w:pPr>
          </w:p>
        </w:tc>
        <w:tc>
          <w:tcPr>
            <w:tcW w:w="2551" w:type="dxa"/>
            <w:vAlign w:val="center"/>
          </w:tcPr>
          <w:p>
            <w:pPr>
              <w:pStyle w:val="13"/>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373.51</w:t>
            </w:r>
          </w:p>
        </w:tc>
        <w:tc>
          <w:tcPr>
            <w:tcW w:w="2551" w:type="dxa"/>
            <w:vAlign w:val="center"/>
          </w:tcPr>
          <w:p>
            <w:pPr>
              <w:pStyle w:val="13"/>
            </w:pPr>
            <w:r>
              <w:t>373.51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354.02</w:t>
            </w:r>
          </w:p>
        </w:tc>
        <w:tc>
          <w:tcPr>
            <w:tcW w:w="2551" w:type="dxa"/>
            <w:vAlign w:val="center"/>
          </w:tcPr>
          <w:p>
            <w:pPr>
              <w:pStyle w:val="13"/>
            </w:pPr>
            <w:r>
              <w:t>354.02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3"/>
            </w:pPr>
            <w:r>
              <w:t>0.51</w:t>
            </w:r>
          </w:p>
        </w:tc>
        <w:tc>
          <w:tcPr>
            <w:tcW w:w="2551" w:type="dxa"/>
            <w:vAlign w:val="center"/>
          </w:tcPr>
          <w:p>
            <w:pPr>
              <w:pStyle w:val="13"/>
            </w:pPr>
            <w:r>
              <w:t>0.51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18.98</w:t>
            </w:r>
          </w:p>
        </w:tc>
        <w:tc>
          <w:tcPr>
            <w:tcW w:w="2551" w:type="dxa"/>
            <w:vAlign w:val="center"/>
          </w:tcPr>
          <w:p>
            <w:pPr>
              <w:pStyle w:val="13"/>
            </w:pPr>
            <w:r>
              <w:t>18.98</w:t>
            </w:r>
          </w:p>
        </w:tc>
        <w:tc>
          <w:tcPr>
            <w:tcW w:w="2551"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4"/>
              <w:ind w:firstLine="0" w:firstLineChars="0"/>
            </w:pPr>
            <w:r>
              <w:t>合计</w:t>
            </w:r>
          </w:p>
        </w:tc>
        <w:tc>
          <w:tcPr>
            <w:tcW w:w="2381" w:type="dxa"/>
            <w:vAlign w:val="center"/>
          </w:tcPr>
          <w:p>
            <w:pPr>
              <w:pStyle w:val="13"/>
              <w:rPr>
                <w:rFonts w:hint="default" w:eastAsia="方正书宋_GBK"/>
                <w:lang w:val="en-US" w:eastAsia="zh-CN"/>
              </w:rPr>
            </w:pPr>
            <w:r>
              <w:rPr>
                <w:rFonts w:hint="eastAsia"/>
                <w:b/>
                <w:bCs/>
                <w:lang w:val="en-US" w:eastAsia="zh-CN"/>
              </w:rPr>
              <w:t>31.21</w:t>
            </w:r>
          </w:p>
        </w:tc>
        <w:tc>
          <w:tcPr>
            <w:tcW w:w="2381" w:type="dxa"/>
            <w:vAlign w:val="center"/>
          </w:tcPr>
          <w:p>
            <w:pPr>
              <w:pStyle w:val="13"/>
              <w:rPr>
                <w:rFonts w:hint="default" w:eastAsia="方正书宋_GBK"/>
                <w:lang w:val="en-US" w:eastAsia="zh-CN"/>
              </w:rPr>
            </w:pPr>
            <w:r>
              <w:rPr>
                <w:rFonts w:hint="eastAsia"/>
                <w:b/>
                <w:bCs/>
                <w:lang w:val="en-US" w:eastAsia="zh-CN"/>
              </w:rPr>
              <w:t>31.21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2"/>
              <w:tabs>
                <w:tab w:val="left" w:pos="2889"/>
              </w:tabs>
              <w:ind w:firstLine="0" w:firstLineChars="0"/>
            </w:pPr>
            <w:r>
              <w:t>“三公”经费小计</w:t>
            </w:r>
            <w:r>
              <w:rPr>
                <w:rFonts w:hint="eastAsia"/>
                <w:lang w:eastAsia="zh-CN"/>
              </w:rPr>
              <w:tab/>
            </w:r>
          </w:p>
        </w:tc>
        <w:tc>
          <w:tcPr>
            <w:tcW w:w="2381" w:type="dxa"/>
            <w:vAlign w:val="center"/>
          </w:tcPr>
          <w:p>
            <w:pPr>
              <w:pStyle w:val="13"/>
              <w:rPr>
                <w:rFonts w:hint="default" w:eastAsia="方正书宋_GBK"/>
                <w:lang w:val="en-US" w:eastAsia="zh-CN"/>
              </w:rPr>
            </w:pPr>
            <w:r>
              <w:rPr>
                <w:rFonts w:hint="eastAsia"/>
                <w:lang w:val="en-US" w:eastAsia="zh-CN"/>
              </w:rPr>
              <w:t>31.21</w:t>
            </w:r>
          </w:p>
        </w:tc>
        <w:tc>
          <w:tcPr>
            <w:tcW w:w="2381" w:type="dxa"/>
            <w:vAlign w:val="center"/>
          </w:tcPr>
          <w:p>
            <w:pPr>
              <w:pStyle w:val="13"/>
              <w:rPr>
                <w:rFonts w:hint="default" w:eastAsia="方正书宋_GBK"/>
                <w:lang w:val="en-US" w:eastAsia="zh-CN"/>
              </w:rPr>
            </w:pPr>
            <w:r>
              <w:rPr>
                <w:rFonts w:hint="eastAsia"/>
                <w:lang w:val="en-US" w:eastAsia="zh-CN"/>
              </w:rPr>
              <w:t>31.21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2"/>
              <w:ind w:firstLine="0" w:firstLineChars="0"/>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2"/>
              <w:ind w:firstLine="0" w:firstLineChars="0"/>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2"/>
              <w:ind w:firstLine="0" w:firstLineChars="0"/>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30</w:t>
            </w:r>
          </w:p>
        </w:tc>
        <w:tc>
          <w:tcPr>
            <w:tcW w:w="2381" w:type="dxa"/>
            <w:vAlign w:val="center"/>
          </w:tcPr>
          <w:p>
            <w:pPr>
              <w:pStyle w:val="13"/>
              <w:rPr>
                <w:rFonts w:hint="default" w:eastAsia="方正书宋_GBK"/>
                <w:lang w:val="en-US" w:eastAsia="zh-CN"/>
              </w:rPr>
            </w:pPr>
            <w:r>
              <w:rPr>
                <w:rFonts w:hint="eastAsia"/>
                <w:lang w:val="en-US" w:eastAsia="zh-CN"/>
              </w:rPr>
              <w:t>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2"/>
              <w:ind w:firstLine="0" w:firstLineChars="0"/>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2"/>
              <w:ind w:firstLine="0" w:firstLineChars="0"/>
            </w:pPr>
            <w:r>
              <w:t xml:space="preserve">     公务用车运行维护费</w:t>
            </w:r>
          </w:p>
        </w:tc>
        <w:tc>
          <w:tcPr>
            <w:tcW w:w="2381" w:type="dxa"/>
            <w:vAlign w:val="center"/>
          </w:tcPr>
          <w:p>
            <w:pPr>
              <w:pStyle w:val="13"/>
              <w:rPr>
                <w:rFonts w:hint="default" w:eastAsia="方正书宋_GBK"/>
                <w:lang w:val="en-US" w:eastAsia="zh-CN"/>
              </w:rPr>
            </w:pPr>
            <w:r>
              <w:rPr>
                <w:rFonts w:hint="eastAsia"/>
                <w:lang w:val="en-US" w:eastAsia="zh-CN"/>
              </w:rPr>
              <w:t>30</w:t>
            </w:r>
          </w:p>
        </w:tc>
        <w:tc>
          <w:tcPr>
            <w:tcW w:w="2381" w:type="dxa"/>
            <w:vAlign w:val="center"/>
          </w:tcPr>
          <w:p>
            <w:pPr>
              <w:pStyle w:val="13"/>
              <w:rPr>
                <w:rFonts w:hint="default" w:eastAsia="方正书宋_GBK"/>
                <w:lang w:val="en-US" w:eastAsia="zh-CN"/>
              </w:rPr>
            </w:pPr>
            <w:r>
              <w:rPr>
                <w:rFonts w:hint="eastAsia"/>
                <w:lang w:val="en-US" w:eastAsia="zh-CN"/>
              </w:rPr>
              <w:t>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2"/>
              <w:ind w:firstLine="0" w:firstLineChars="0"/>
            </w:pPr>
            <w:r>
              <w:t>三、公务接待费</w:t>
            </w:r>
          </w:p>
        </w:tc>
        <w:tc>
          <w:tcPr>
            <w:tcW w:w="2381" w:type="dxa"/>
            <w:vAlign w:val="center"/>
          </w:tcPr>
          <w:p>
            <w:pPr>
              <w:pStyle w:val="13"/>
              <w:rPr>
                <w:rFonts w:hint="default" w:eastAsia="方正书宋_GBK"/>
                <w:lang w:val="en-US" w:eastAsia="zh-CN"/>
              </w:rPr>
            </w:pPr>
            <w:r>
              <w:rPr>
                <w:rFonts w:hint="eastAsia"/>
                <w:lang w:val="en-US" w:eastAsia="zh-CN"/>
              </w:rPr>
              <w:t>1.21</w:t>
            </w:r>
          </w:p>
        </w:tc>
        <w:tc>
          <w:tcPr>
            <w:tcW w:w="2381" w:type="dxa"/>
            <w:vAlign w:val="center"/>
          </w:tcPr>
          <w:p>
            <w:pPr>
              <w:pStyle w:val="13"/>
              <w:rPr>
                <w:rFonts w:hint="default" w:eastAsia="方正书宋_GBK"/>
                <w:lang w:val="en-US" w:eastAsia="zh-CN"/>
              </w:rPr>
            </w:pPr>
            <w:r>
              <w:rPr>
                <w:rFonts w:hint="eastAsia"/>
                <w:lang w:val="en-US" w:eastAsia="zh-CN"/>
              </w:rPr>
              <w:t>1.21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10</w:t>
            </w:r>
          </w:p>
        </w:tc>
        <w:tc>
          <w:tcPr>
            <w:tcW w:w="3798" w:type="dxa"/>
            <w:vAlign w:val="center"/>
          </w:tcPr>
          <w:p>
            <w:pPr>
              <w:pStyle w:val="12"/>
              <w:ind w:firstLine="0" w:firstLineChars="0"/>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11</w:t>
            </w:r>
          </w:p>
        </w:tc>
        <w:tc>
          <w:tcPr>
            <w:tcW w:w="3798" w:type="dxa"/>
            <w:vAlign w:val="center"/>
          </w:tcPr>
          <w:p>
            <w:pPr>
              <w:pStyle w:val="12"/>
              <w:ind w:firstLine="0" w:firstLineChars="0"/>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12</w:t>
            </w:r>
          </w:p>
        </w:tc>
        <w:tc>
          <w:tcPr>
            <w:tcW w:w="3798" w:type="dxa"/>
            <w:vAlign w:val="center"/>
          </w:tcPr>
          <w:p>
            <w:pPr>
              <w:pStyle w:val="12"/>
              <w:ind w:firstLine="0" w:firstLineChars="0"/>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lang w:val="en-US" w:eastAsia="zh-CN"/>
              </w:rPr>
            </w:pPr>
            <w:r>
              <w:rPr>
                <w:rFonts w:hint="eastAsia"/>
                <w:lang w:val="en-US" w:eastAsia="zh-CN"/>
              </w:rPr>
              <w:t>13</w:t>
            </w:r>
          </w:p>
        </w:tc>
        <w:tc>
          <w:tcPr>
            <w:tcW w:w="3798" w:type="dxa"/>
            <w:vAlign w:val="center"/>
          </w:tcPr>
          <w:p>
            <w:pPr>
              <w:pStyle w:val="12"/>
              <w:ind w:firstLine="0" w:firstLineChars="0"/>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贯彻落实党中央和省、市、县委关于市场监督管理工作的方针政策和决策部署，坚持和加强党对市场监督管理工作的集中统一领导。主要职责是：</w:t>
      </w:r>
    </w:p>
    <w:p>
      <w:pPr>
        <w:pStyle w:val="17"/>
      </w:pPr>
      <w:r>
        <w:t>（一）负责起草市场监督管理有关地方性法规、政府规章草案，组织实施质量强县战略、食品安全战略、标准化战略、知识产权战略，拟订市场监督管理规划并组织实施，规范和维护市场秩序，营造诚实守信、公平竞争的市场环境。</w:t>
      </w:r>
    </w:p>
    <w:p>
      <w:pPr>
        <w:pStyle w:val="17"/>
      </w:pPr>
      <w:r>
        <w:t>（二）负责市场主体信用建设及外国（地区）企业常驻代表机构等市场主体的登记注册工作。建立市场主体信息公示和共享机制，依法公示和共享有关信息，加强信用监管，推动市场主体信用体系建设。</w:t>
      </w:r>
    </w:p>
    <w:p>
      <w:pPr>
        <w:pStyle w:val="17"/>
      </w:pPr>
      <w:r>
        <w:t>（三）负责全县市场监管综合执法工作。负责市场监管综合执法队伍整合和建设，推动实行统一的市场监管；组织查处重大违法案件；规范市场监管行政执法行为。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指导全县广告业发展，监督管理广告活动；指导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7"/>
      </w:pPr>
      <w:r>
        <w:t>（五）负责全县宏观质量管理，拟订全县质量发展的制度措施并组织实施；统筹全县质量基础设施建设与应用，会同有关部门组织实施重大工程设备质量监理制度，组织重大质量事故调查，组织实施缺陷产品和不安全产品召回制度，监督管理产品防伪工作。</w:t>
      </w:r>
    </w:p>
    <w:p>
      <w:pPr>
        <w:pStyle w:val="17"/>
      </w:pPr>
      <w:r>
        <w:t>（六）负责全县产品质量安全监督管理工作，承担县级产品质量安全风险监控、监督抽查工作；组织实施质量分级制度、质量安全追溯制度；配合市做好纤维质量监督相关工作。</w:t>
      </w:r>
    </w:p>
    <w:p>
      <w:pPr>
        <w:pStyle w:val="17"/>
      </w:pPr>
      <w:r>
        <w:t>（七）负责全县特种设备安全监督管理，负责特种设备安全监察、监督管理工作，监督检查高耗能特种设备节能标准和锅炉环境保护标准的执行情况。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行唐县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（十）负责统一管理全县计量工作，推行法定计量单位和国家计量制度，管理计量器具及量值传递和比对工作；规范、监督商品量和市场计量行为。</w:t>
      </w:r>
    </w:p>
    <w:p>
      <w:pPr>
        <w:pStyle w:val="17"/>
      </w:pPr>
      <w:r>
        <w:t>（十一）负责统一管理全县标准化工作。负责制定县级地方标准，负责市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（十二）负责统一管理全县检验检测工作。推进检验检测机构改革，规范检验检测市场，完善检验检测体系，指导协调检验检测行业发展。</w:t>
      </w:r>
    </w:p>
    <w:p>
      <w:pPr>
        <w:pStyle w:val="17"/>
      </w:pPr>
      <w:r>
        <w:t>（十三）负责统一管理、监督和协调全县认证认可工作。组织贯彻实施国家统一的认证认可和合格评定监督管理制度。</w:t>
      </w:r>
    </w:p>
    <w:p>
      <w:pPr>
        <w:pStyle w:val="17"/>
      </w:pPr>
      <w:r>
        <w:t>（十四）负责推进全县知识产权管理工作，拟订加强知识产权强县建设的重大政策和发展规划并组织实施，拟订强化知识产权创造、保护和运用的政策和制度并组织实施。</w:t>
      </w:r>
    </w:p>
    <w:p>
      <w:pPr>
        <w:pStyle w:val="17"/>
      </w:pPr>
      <w:r>
        <w:t>（十五）负责保护知识产权工作，组织起草严格保护商标、专利、原产地地理标志、集成电路布图设计等知识产权地方性法规并组织实施。组织起草相关政府规章草案及政策并监督实施。按照国家知识产权保护体系建设方案，推动建设知识产权保护体系。负责指导商标、专利执法工作，负责知识产权争议处理、维权援助和纠纷调处。</w:t>
      </w:r>
    </w:p>
    <w:p>
      <w:pPr>
        <w:pStyle w:val="17"/>
      </w:pPr>
      <w:r>
        <w:t>（十六）负责促进知识产权运用。拟订知识产权运用和规范交易管理办法，促进知识产权转移转化；规范知识产权无形资产评估工作；负责知识产权中介服务发展的监督管理工作。</w:t>
      </w:r>
    </w:p>
    <w:p>
      <w:pPr>
        <w:pStyle w:val="17"/>
      </w:pPr>
      <w:r>
        <w:t>（十七）负责建立知识产权公共服务体系，建设便企利民、互联互通的全县知识产权信息公共服务平台，推动商标、专利等知识产权信息的传播利用。指导辖区开展专利信息服务工作。</w:t>
      </w:r>
    </w:p>
    <w:p>
      <w:pPr>
        <w:pStyle w:val="17"/>
      </w:pPr>
      <w:r>
        <w:t>（十八）承担上级知识产权局知识产权代办工作任务，负责知识产权的初审注册登记。组织实施原产地地理标志统一认定制度。</w:t>
      </w:r>
    </w:p>
    <w:p>
      <w:pPr>
        <w:pStyle w:val="17"/>
      </w:pPr>
      <w:r>
        <w:t>（十九）负责市场监督管理科技和信息化建设、新闻宣传、对外交流与合作；按规定承担技术性贸易措施有关工作；负责协调涉外知识产权事宜，承担知识产权对外转让审查工作。</w:t>
      </w:r>
    </w:p>
    <w:p>
      <w:pPr>
        <w:pStyle w:val="17"/>
      </w:pPr>
      <w:r>
        <w:t>（二十）负责药品（含中药、民族药，下同）、医疗器械和化妆品安全监督管理工作；贯彻执行国家、省药品、医疗器械和化妆品法律法规，以及鼓励药品、医疗器械和化妆品新技术新产品的管理与服务政策，拟定监督管理措施并组织实施，组织起草相关地方性法规、政府规章草案。</w:t>
      </w:r>
    </w:p>
    <w:p>
      <w:pPr>
        <w:pStyle w:val="17"/>
      </w:pPr>
      <w:r>
        <w:t>（二十一）负责药品、医疗器械和化妆品质量管理，依职责监督实施药品、医疗器械经营质量管理规范。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（二十三）负责药品、医疗器械和化妆品监督检查工作，贯彻落实国家、省检查制度，依法查处药品、医疗器械和化妆品经营、使用环节的违法行为。</w:t>
      </w:r>
    </w:p>
    <w:p>
      <w:pPr>
        <w:pStyle w:val="17"/>
      </w:pPr>
      <w:r>
        <w:t>（二十四）组织开展药品、医疗器械和化妆品安全宣传、教育培训。推进诚信体系建设。</w:t>
      </w:r>
    </w:p>
    <w:p>
      <w:pPr>
        <w:pStyle w:val="17"/>
      </w:pPr>
      <w:r>
        <w:t>（二十五）负责指导辖区药品监督管理工作。推动落实药品、医疗器械和化妆品安全企业主体责任，监督辖区履行党政同责，组织实施药品、医疗器械和化妆品安全考核。</w:t>
      </w:r>
    </w:p>
    <w:p>
      <w:pPr>
        <w:pStyle w:val="17"/>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（二十七）完成县委、县政府交办的其他任务。承接市市场监督管理局下放的职责。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行唐县市场监督管理局本级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6</w:t>
      </w:r>
      <w:r>
        <w:t>年预算收入</w:t>
      </w:r>
      <w:r>
        <w:rPr>
          <w:rFonts w:hint="eastAsia"/>
          <w:lang w:val="en-US" w:eastAsia="zh-CN"/>
        </w:rPr>
        <w:t>2224.58</w:t>
      </w:r>
      <w:r>
        <w:t>万元，其中：一般公共预算收入</w:t>
      </w:r>
      <w:r>
        <w:rPr>
          <w:rFonts w:hint="eastAsia"/>
          <w:lang w:val="en-US" w:eastAsia="zh-CN"/>
        </w:rPr>
        <w:t>2224.58</w:t>
      </w:r>
      <w:r>
        <w:t>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收支预算总表支出栏、基本支出表、项目支出表按经济分类和支出功能分类科目编制，反映行唐县市场监督管理局本级年度单位预算中支出预算的总体情况。202</w:t>
      </w:r>
      <w:r>
        <w:rPr>
          <w:rFonts w:hint="eastAsia"/>
          <w:lang w:val="en-US" w:eastAsia="zh-CN"/>
        </w:rPr>
        <w:t>6</w:t>
      </w:r>
      <w:r>
        <w:t>年支出预算</w:t>
      </w:r>
      <w:r>
        <w:rPr>
          <w:rFonts w:hint="eastAsia"/>
          <w:lang w:val="en-US" w:eastAsia="zh-CN"/>
        </w:rPr>
        <w:t>2224.58</w:t>
      </w:r>
      <w:r>
        <w:t>万元，其中基本支出</w:t>
      </w:r>
      <w:r>
        <w:rPr>
          <w:rFonts w:hint="eastAsia"/>
          <w:lang w:val="en-US" w:eastAsia="zh-CN"/>
        </w:rPr>
        <w:t>1796.58</w:t>
      </w:r>
      <w:r>
        <w:t>万元，包括人员经费</w:t>
      </w:r>
      <w:r>
        <w:rPr>
          <w:rFonts w:hint="eastAsia"/>
          <w:lang w:val="en-US" w:eastAsia="zh-CN"/>
        </w:rPr>
        <w:t>1647.46</w:t>
      </w:r>
      <w:r>
        <w:t>万元和日常公用经费</w:t>
      </w:r>
      <w:r>
        <w:rPr>
          <w:rFonts w:hint="eastAsia"/>
          <w:lang w:val="en-US" w:eastAsia="zh-CN"/>
        </w:rPr>
        <w:t>149.12</w:t>
      </w:r>
      <w:r>
        <w:t>万元；项目支出</w:t>
      </w:r>
      <w:r>
        <w:rPr>
          <w:rFonts w:hint="eastAsia"/>
          <w:lang w:val="en-US" w:eastAsia="zh-CN"/>
        </w:rPr>
        <w:t>428</w:t>
      </w:r>
      <w:r>
        <w:t>万元，主要为项目支出为市场监管经费，用于市场监管，执法办案，质量监管等职责活动。</w:t>
      </w:r>
    </w:p>
    <w:p>
      <w:pPr>
        <w:pStyle w:val="18"/>
      </w:pPr>
      <w:r>
        <w:t>3、比上年增减情况</w:t>
      </w:r>
    </w:p>
    <w:p>
      <w:pPr>
        <w:pStyle w:val="18"/>
      </w:pPr>
      <w:r>
        <w:t>202</w:t>
      </w:r>
      <w:r>
        <w:rPr>
          <w:rFonts w:hint="eastAsia"/>
          <w:lang w:val="en-US" w:eastAsia="zh-CN"/>
        </w:rPr>
        <w:t>6</w:t>
      </w:r>
      <w:r>
        <w:t>年预算收支安排</w:t>
      </w:r>
      <w:r>
        <w:rPr>
          <w:rFonts w:hint="eastAsia"/>
          <w:lang w:val="en-US" w:eastAsia="zh-CN"/>
        </w:rPr>
        <w:t>2224.58</w:t>
      </w:r>
      <w:r>
        <w:t>万元，较202</w:t>
      </w:r>
      <w:r>
        <w:rPr>
          <w:rFonts w:hint="eastAsia"/>
          <w:lang w:val="en-US" w:eastAsia="zh-CN"/>
        </w:rPr>
        <w:t>5</w:t>
      </w:r>
      <w:r>
        <w:t>年预算减少</w:t>
      </w:r>
      <w:r>
        <w:rPr>
          <w:rFonts w:hint="eastAsia"/>
          <w:lang w:val="en-US" w:eastAsia="zh-CN"/>
        </w:rPr>
        <w:t>1.93</w:t>
      </w:r>
      <w:r>
        <w:t>万元，其中：基本支出减少</w:t>
      </w:r>
      <w:r>
        <w:rPr>
          <w:rFonts w:hint="eastAsia"/>
          <w:lang w:val="en-US" w:eastAsia="zh-CN"/>
        </w:rPr>
        <w:t>44.93</w:t>
      </w:r>
      <w:r>
        <w:t>万元，主要为在职人员转退休后，养老金由社保发放，人员经费减少。公用经费缩减。项目支出增加</w:t>
      </w:r>
      <w:r>
        <w:rPr>
          <w:rFonts w:hint="eastAsia"/>
          <w:lang w:val="en-US" w:eastAsia="zh-CN"/>
        </w:rPr>
        <w:t>43</w:t>
      </w:r>
      <w:r>
        <w:t>万元，主要为市场监管经费增加。</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w:t>
      </w:r>
      <w:r>
        <w:rPr>
          <w:rFonts w:hint="eastAsia"/>
          <w:lang w:val="en-US" w:eastAsia="zh-CN"/>
        </w:rPr>
        <w:t>149.12</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6</w:t>
      </w:r>
      <w:r>
        <w:t>年，我部门财政拨款“三公”经费预算安排</w:t>
      </w:r>
      <w:r>
        <w:rPr>
          <w:rFonts w:hint="eastAsia"/>
          <w:lang w:val="en-US" w:eastAsia="zh-CN"/>
        </w:rPr>
        <w:t>31.21</w:t>
      </w:r>
      <w:r>
        <w:t>万元，其中因公出国（境）费0.00万元；公务用车购置及运维费</w:t>
      </w:r>
      <w:r>
        <w:rPr>
          <w:rFonts w:hint="eastAsia"/>
          <w:lang w:val="en-US" w:eastAsia="zh-CN"/>
        </w:rPr>
        <w:t>30</w:t>
      </w:r>
      <w:r>
        <w:t>万元（其中：公务用车购置费为</w:t>
      </w:r>
      <w:r>
        <w:rPr>
          <w:rFonts w:hint="eastAsia"/>
          <w:lang w:val="en-US" w:eastAsia="zh-CN"/>
        </w:rPr>
        <w:t>0</w:t>
      </w:r>
      <w:r>
        <w:t>.00万元，公务用车运维费</w:t>
      </w:r>
      <w:r>
        <w:rPr>
          <w:rFonts w:hint="eastAsia"/>
          <w:lang w:val="en-US" w:eastAsia="zh-CN"/>
        </w:rPr>
        <w:t>30.00</w:t>
      </w:r>
      <w:r>
        <w:t>万元)；公务接待费</w:t>
      </w:r>
      <w:r>
        <w:rPr>
          <w:rFonts w:hint="eastAsia"/>
          <w:lang w:val="en-US" w:eastAsia="zh-CN"/>
        </w:rPr>
        <w:t>1.21</w:t>
      </w:r>
      <w:r>
        <w:t>万元。与202</w:t>
      </w:r>
      <w:r>
        <w:rPr>
          <w:rFonts w:hint="eastAsia"/>
          <w:lang w:val="en-US" w:eastAsia="zh-CN"/>
        </w:rPr>
        <w:t>5</w:t>
      </w:r>
      <w:r>
        <w:t>年相比</w:t>
      </w:r>
      <w:r>
        <w:rPr>
          <w:rFonts w:hint="eastAsia"/>
          <w:lang w:eastAsia="zh-CN"/>
        </w:rPr>
        <w:t>减少</w:t>
      </w:r>
      <w:r>
        <w:rPr>
          <w:rFonts w:hint="eastAsia"/>
          <w:lang w:val="en-US" w:eastAsia="zh-CN"/>
        </w:rPr>
        <w:t>13.25</w:t>
      </w:r>
      <w:r>
        <w:t>万元，增减变化的主要原因是</w:t>
      </w:r>
      <w:r>
        <w:rPr>
          <w:rFonts w:hint="eastAsia"/>
          <w:lang w:eastAsia="zh-CN"/>
        </w:rPr>
        <w:t>减少</w:t>
      </w:r>
      <w:r>
        <w:t>了公务用车购置经费。</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1、冀财行【2025】94号提前下达2026年省级市场监管补助经费绩效目标表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13012526P00001410004K</w:t>
            </w:r>
          </w:p>
        </w:tc>
        <w:tc>
          <w:tcPr>
            <w:tcW w:w="2835" w:type="dxa"/>
            <w:vAlign w:val="center"/>
          </w:tcPr>
          <w:p>
            <w:pPr>
              <w:pStyle w:val="10"/>
            </w:pPr>
            <w:r>
              <w:t>项目名称</w:t>
            </w:r>
          </w:p>
        </w:tc>
        <w:tc>
          <w:tcPr>
            <w:tcW w:w="6095" w:type="dxa"/>
            <w:gridSpan w:val="3"/>
            <w:vAlign w:val="center"/>
          </w:tcPr>
          <w:p>
            <w:pPr>
              <w:pStyle w:val="12"/>
            </w:pPr>
            <w:r>
              <w:t>冀财行【2025】94号提前下达2026年省级市场监管补助经费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用于市场监管工作，改善执法装备，提升基层执法能力。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w:t>
            </w:r>
          </w:p>
        </w:tc>
        <w:tc>
          <w:tcPr>
            <w:tcW w:w="2835" w:type="dxa"/>
            <w:vAlign w:val="center"/>
          </w:tcPr>
          <w:p>
            <w:pPr>
              <w:pStyle w:val="11"/>
            </w:pPr>
            <w:r>
              <w:t>15.00</w:t>
            </w:r>
          </w:p>
        </w:tc>
        <w:tc>
          <w:tcPr>
            <w:tcW w:w="2551" w:type="dxa"/>
            <w:vAlign w:val="center"/>
          </w:tcPr>
          <w:p>
            <w:pPr>
              <w:pStyle w:val="11"/>
            </w:pPr>
            <w:r>
              <w:t>25.00</w:t>
            </w:r>
          </w:p>
        </w:tc>
        <w:tc>
          <w:tcPr>
            <w:tcW w:w="3544" w:type="dxa"/>
            <w:gridSpan w:val="2"/>
            <w:vAlign w:val="center"/>
          </w:tcPr>
          <w:p>
            <w:pPr>
              <w:pStyle w:val="11"/>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1.通过开展专项整治行动，净化市场环境，促进市场主体健康发展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市场专项整治行动次数</w:t>
            </w:r>
          </w:p>
        </w:tc>
        <w:tc>
          <w:tcPr>
            <w:tcW w:w="5386" w:type="dxa"/>
            <w:vAlign w:val="center"/>
          </w:tcPr>
          <w:p>
            <w:pPr>
              <w:pStyle w:val="12"/>
            </w:pPr>
            <w:r>
              <w:t>市场专项整治行动次数</w:t>
            </w:r>
          </w:p>
        </w:tc>
        <w:tc>
          <w:tcPr>
            <w:tcW w:w="2268" w:type="dxa"/>
            <w:vAlign w:val="center"/>
          </w:tcPr>
          <w:p>
            <w:pPr>
              <w:pStyle w:val="12"/>
            </w:pPr>
            <w:r>
              <w:t>≥5次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市场专项整治行动计划完成率</w:t>
            </w:r>
          </w:p>
        </w:tc>
        <w:tc>
          <w:tcPr>
            <w:tcW w:w="5386" w:type="dxa"/>
            <w:vAlign w:val="center"/>
          </w:tcPr>
          <w:p>
            <w:pPr>
              <w:pStyle w:val="12"/>
            </w:pPr>
            <w:r>
              <w:t>市场专项整治行动计划完成率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特种设备定检完成率</w:t>
            </w:r>
          </w:p>
        </w:tc>
        <w:tc>
          <w:tcPr>
            <w:tcW w:w="5386" w:type="dxa"/>
            <w:vAlign w:val="center"/>
          </w:tcPr>
          <w:p>
            <w:pPr>
              <w:pStyle w:val="12"/>
            </w:pPr>
            <w:r>
              <w:t>特种设备定检完成率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市场专项整治行动完成时限</w:t>
            </w:r>
          </w:p>
        </w:tc>
        <w:tc>
          <w:tcPr>
            <w:tcW w:w="5386" w:type="dxa"/>
            <w:vAlign w:val="center"/>
          </w:tcPr>
          <w:p>
            <w:pPr>
              <w:pStyle w:val="12"/>
            </w:pPr>
            <w:r>
              <w:t>市场专项整治行动完成时限</w:t>
            </w:r>
          </w:p>
        </w:tc>
        <w:tc>
          <w:tcPr>
            <w:tcW w:w="2268" w:type="dxa"/>
            <w:vAlign w:val="center"/>
          </w:tcPr>
          <w:p>
            <w:pPr>
              <w:pStyle w:val="12"/>
            </w:pPr>
            <w:r>
              <w:t>2026年12月31日</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特种设备定检完成时限</w:t>
            </w:r>
          </w:p>
        </w:tc>
        <w:tc>
          <w:tcPr>
            <w:tcW w:w="5386" w:type="dxa"/>
            <w:vAlign w:val="center"/>
          </w:tcPr>
          <w:p>
            <w:pPr>
              <w:pStyle w:val="12"/>
            </w:pPr>
            <w:r>
              <w:t>特种设备定检完成时限</w:t>
            </w:r>
          </w:p>
        </w:tc>
        <w:tc>
          <w:tcPr>
            <w:tcW w:w="2268" w:type="dxa"/>
            <w:vAlign w:val="center"/>
          </w:tcPr>
          <w:p>
            <w:pPr>
              <w:pStyle w:val="12"/>
            </w:pPr>
            <w:r>
              <w:t>2026年12月31日</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单项市场专项整治行动成本</w:t>
            </w:r>
          </w:p>
        </w:tc>
        <w:tc>
          <w:tcPr>
            <w:tcW w:w="5386" w:type="dxa"/>
            <w:vAlign w:val="center"/>
          </w:tcPr>
          <w:p>
            <w:pPr>
              <w:pStyle w:val="12"/>
            </w:pPr>
            <w:r>
              <w:t>单项市场专项整治行动成本</w:t>
            </w:r>
          </w:p>
        </w:tc>
        <w:tc>
          <w:tcPr>
            <w:tcW w:w="2268" w:type="dxa"/>
            <w:vAlign w:val="center"/>
          </w:tcPr>
          <w:p>
            <w:pPr>
              <w:pStyle w:val="12"/>
            </w:pPr>
            <w:r>
              <w:t>≤5万元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2、市场监管经费绩效目标表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13012526P000014100057</w:t>
            </w:r>
          </w:p>
        </w:tc>
        <w:tc>
          <w:tcPr>
            <w:tcW w:w="2835" w:type="dxa"/>
            <w:vAlign w:val="center"/>
          </w:tcPr>
          <w:p>
            <w:pPr>
              <w:pStyle w:val="10"/>
            </w:pPr>
            <w:r>
              <w:t>项目名称</w:t>
            </w:r>
          </w:p>
        </w:tc>
        <w:tc>
          <w:tcPr>
            <w:tcW w:w="6095" w:type="dxa"/>
            <w:gridSpan w:val="3"/>
            <w:vAlign w:val="center"/>
          </w:tcPr>
          <w:p>
            <w:pPr>
              <w:pStyle w:val="12"/>
            </w:pPr>
            <w:r>
              <w:t>市场监管经费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394.00</w:t>
            </w:r>
          </w:p>
        </w:tc>
        <w:tc>
          <w:tcPr>
            <w:tcW w:w="2835" w:type="dxa"/>
            <w:vAlign w:val="center"/>
          </w:tcPr>
          <w:p>
            <w:pPr>
              <w:pStyle w:val="10"/>
            </w:pPr>
            <w:r>
              <w:t>其中：财政    资金</w:t>
            </w:r>
          </w:p>
        </w:tc>
        <w:tc>
          <w:tcPr>
            <w:tcW w:w="2551" w:type="dxa"/>
            <w:vAlign w:val="center"/>
          </w:tcPr>
          <w:p>
            <w:pPr>
              <w:pStyle w:val="12"/>
            </w:pPr>
            <w:r>
              <w:t>394.00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加强市场监管，维护市场秩序，优化营商环境及发放临时、自收自支人员工资,完成制服换发。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w:t>
            </w:r>
          </w:p>
        </w:tc>
        <w:tc>
          <w:tcPr>
            <w:tcW w:w="2835" w:type="dxa"/>
            <w:vAlign w:val="center"/>
          </w:tcPr>
          <w:p>
            <w:pPr>
              <w:pStyle w:val="11"/>
            </w:pPr>
            <w:r>
              <w:t>150.00</w:t>
            </w:r>
          </w:p>
        </w:tc>
        <w:tc>
          <w:tcPr>
            <w:tcW w:w="2551" w:type="dxa"/>
            <w:vAlign w:val="center"/>
          </w:tcPr>
          <w:p>
            <w:pPr>
              <w:pStyle w:val="11"/>
            </w:pPr>
            <w:r>
              <w:t>272.00</w:t>
            </w:r>
          </w:p>
        </w:tc>
        <w:tc>
          <w:tcPr>
            <w:tcW w:w="3544" w:type="dxa"/>
            <w:gridSpan w:val="2"/>
            <w:vAlign w:val="center"/>
          </w:tcPr>
          <w:p>
            <w:pPr>
              <w:pStyle w:val="11"/>
            </w:pPr>
            <w:r>
              <w:t>394.00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1.加强市场监管，维护市场秩序，优化营商环境。保障自收自支人员工资及其他人员劳务费，调动人员积极性，完成制服换发。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开展专项整治行动次数</w:t>
            </w:r>
          </w:p>
        </w:tc>
        <w:tc>
          <w:tcPr>
            <w:tcW w:w="5386" w:type="dxa"/>
            <w:vAlign w:val="center"/>
          </w:tcPr>
          <w:p>
            <w:pPr>
              <w:pStyle w:val="12"/>
            </w:pPr>
            <w:r>
              <w:t>开展专项整治行动次数</w:t>
            </w:r>
          </w:p>
        </w:tc>
        <w:tc>
          <w:tcPr>
            <w:tcW w:w="2268" w:type="dxa"/>
            <w:vAlign w:val="center"/>
          </w:tcPr>
          <w:p>
            <w:pPr>
              <w:pStyle w:val="12"/>
            </w:pPr>
            <w:r>
              <w:t>≥6次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抽查检查率</w:t>
            </w:r>
          </w:p>
        </w:tc>
        <w:tc>
          <w:tcPr>
            <w:tcW w:w="5386" w:type="dxa"/>
            <w:vAlign w:val="center"/>
          </w:tcPr>
          <w:p>
            <w:pPr>
              <w:pStyle w:val="12"/>
            </w:pPr>
            <w:r>
              <w:t>抽查检查率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工作完成的时间节点</w:t>
            </w:r>
          </w:p>
        </w:tc>
        <w:tc>
          <w:tcPr>
            <w:tcW w:w="5386" w:type="dxa"/>
            <w:vAlign w:val="center"/>
          </w:tcPr>
          <w:p>
            <w:pPr>
              <w:pStyle w:val="12"/>
            </w:pPr>
            <w:r>
              <w:t>工作完成的时间节点</w:t>
            </w:r>
          </w:p>
        </w:tc>
        <w:tc>
          <w:tcPr>
            <w:tcW w:w="2268" w:type="dxa"/>
            <w:vAlign w:val="center"/>
          </w:tcPr>
          <w:p>
            <w:pPr>
              <w:pStyle w:val="12"/>
            </w:pPr>
            <w:r>
              <w:t>2026年12月31日</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预算（成本）控制率</w:t>
            </w:r>
          </w:p>
        </w:tc>
        <w:tc>
          <w:tcPr>
            <w:tcW w:w="2268" w:type="dxa"/>
            <w:vAlign w:val="center"/>
          </w:tcPr>
          <w:p>
            <w:pPr>
              <w:pStyle w:val="12"/>
            </w:pPr>
            <w:r>
              <w:t>≤5%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市场秩序改善</w:t>
            </w:r>
          </w:p>
        </w:tc>
        <w:tc>
          <w:tcPr>
            <w:tcW w:w="5386" w:type="dxa"/>
            <w:vAlign w:val="center"/>
          </w:tcPr>
          <w:p>
            <w:pPr>
              <w:pStyle w:val="12"/>
            </w:pPr>
            <w:r>
              <w:t>市场秩序较去年改善</w:t>
            </w:r>
          </w:p>
        </w:tc>
        <w:tc>
          <w:tcPr>
            <w:tcW w:w="2268" w:type="dxa"/>
            <w:vAlign w:val="center"/>
          </w:tcPr>
          <w:p>
            <w:pPr>
              <w:pStyle w:val="12"/>
            </w:pPr>
            <w:r>
              <w:t>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调查问卷中满意和较满意人数占调查人数比率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行唐县市场监督管理局本级上年末固定资产金额为</w:t>
      </w:r>
      <w:r>
        <w:rPr>
          <w:rFonts w:hint="eastAsia" w:eastAsia="方正仿宋_GBK" w:cs="Times New Roman"/>
          <w:b w:val="0"/>
          <w:color w:val="000000"/>
          <w:sz w:val="28"/>
          <w:lang w:val="en-US" w:eastAsia="zh-CN"/>
        </w:rPr>
        <w:t>487.93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414001行唐县市场监督管理局本级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资产总额</w:t>
            </w:r>
          </w:p>
        </w:tc>
        <w:tc>
          <w:tcPr>
            <w:tcW w:w="2835" w:type="dxa"/>
            <w:vAlign w:val="center"/>
          </w:tcPr>
          <w:p>
            <w:pPr>
              <w:pStyle w:val="11"/>
              <w:ind w:firstLine="0" w:firstLineChars="0"/>
            </w:pPr>
          </w:p>
        </w:tc>
        <w:tc>
          <w:tcPr>
            <w:tcW w:w="2835" w:type="dxa"/>
            <w:vAlign w:val="center"/>
          </w:tcPr>
          <w:p>
            <w:pPr>
              <w:pStyle w:val="13"/>
              <w:ind w:firstLine="0" w:firstLineChars="0"/>
            </w:pPr>
            <w:r>
              <w:rPr>
                <w:rFonts w:hint="eastAsia"/>
                <w:lang w:val="en-US" w:eastAsia="zh-CN"/>
              </w:rPr>
              <w:t>487.93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1、房屋（平方米）</w:t>
            </w:r>
          </w:p>
        </w:tc>
        <w:tc>
          <w:tcPr>
            <w:tcW w:w="2835" w:type="dxa"/>
            <w:vAlign w:val="center"/>
          </w:tcPr>
          <w:p>
            <w:pPr>
              <w:pStyle w:val="11"/>
              <w:ind w:firstLine="0" w:firstLineChars="0"/>
            </w:pPr>
            <w:r>
              <w:rPr>
                <w:rFonts w:hint="eastAsia"/>
                <w:lang w:val="en-US" w:eastAsia="zh-CN"/>
              </w:rPr>
              <w:t>5716.40</w:t>
            </w:r>
          </w:p>
        </w:tc>
        <w:tc>
          <w:tcPr>
            <w:tcW w:w="2835" w:type="dxa"/>
            <w:vAlign w:val="center"/>
          </w:tcPr>
          <w:p>
            <w:pPr>
              <w:pStyle w:val="13"/>
              <w:ind w:firstLine="0" w:firstLineChars="0"/>
            </w:pPr>
            <w:r>
              <w:rPr>
                <w:rFonts w:hint="eastAsia"/>
                <w:lang w:val="en-US" w:eastAsia="zh-CN"/>
              </w:rPr>
              <w:t>313.96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　　其中：办公用房（平方米）</w:t>
            </w:r>
          </w:p>
        </w:tc>
        <w:tc>
          <w:tcPr>
            <w:tcW w:w="2835" w:type="dxa"/>
            <w:vAlign w:val="center"/>
          </w:tcPr>
          <w:p>
            <w:pPr>
              <w:pStyle w:val="11"/>
              <w:ind w:firstLine="0" w:firstLineChars="0"/>
            </w:pPr>
            <w:r>
              <w:rPr>
                <w:rFonts w:hint="eastAsia"/>
                <w:lang w:val="en-US" w:eastAsia="zh-CN"/>
              </w:rPr>
              <w:t>5716.40</w:t>
            </w:r>
          </w:p>
        </w:tc>
        <w:tc>
          <w:tcPr>
            <w:tcW w:w="2835" w:type="dxa"/>
            <w:vAlign w:val="center"/>
          </w:tcPr>
          <w:p>
            <w:pPr>
              <w:pStyle w:val="13"/>
              <w:ind w:firstLine="0" w:firstLineChars="0"/>
            </w:pPr>
            <w:r>
              <w:rPr>
                <w:rFonts w:hint="eastAsia"/>
                <w:lang w:val="en-US" w:eastAsia="zh-CN"/>
              </w:rPr>
              <w:t>313.96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2、车辆（台、辆）</w:t>
            </w:r>
          </w:p>
        </w:tc>
        <w:tc>
          <w:tcPr>
            <w:tcW w:w="2835" w:type="dxa"/>
            <w:vAlign w:val="center"/>
          </w:tcPr>
          <w:p>
            <w:pPr>
              <w:pStyle w:val="11"/>
              <w:ind w:firstLine="0" w:firstLineChars="0"/>
            </w:pPr>
            <w:r>
              <w:rPr>
                <w:rFonts w:hint="eastAsia"/>
                <w:lang w:val="en-US" w:eastAsia="zh-CN"/>
              </w:rPr>
              <w:t>16</w:t>
            </w:r>
          </w:p>
        </w:tc>
        <w:tc>
          <w:tcPr>
            <w:tcW w:w="2835" w:type="dxa"/>
            <w:vAlign w:val="center"/>
          </w:tcPr>
          <w:p>
            <w:pPr>
              <w:pStyle w:val="13"/>
              <w:ind w:firstLine="0" w:firstLineChars="0"/>
            </w:pPr>
            <w:r>
              <w:rPr>
                <w:rFonts w:hint="eastAsia"/>
                <w:lang w:val="en-US" w:eastAsia="zh-CN"/>
              </w:rPr>
              <w:t>173.97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3、单价在20万元以上的设备</w:t>
            </w:r>
          </w:p>
        </w:tc>
        <w:tc>
          <w:tcPr>
            <w:tcW w:w="2835" w:type="dxa"/>
            <w:vAlign w:val="center"/>
          </w:tcPr>
          <w:p>
            <w:pPr>
              <w:pStyle w:val="11"/>
              <w:ind w:firstLine="0" w:firstLineChars="0"/>
            </w:pPr>
          </w:p>
        </w:tc>
        <w:tc>
          <w:tcPr>
            <w:tcW w:w="283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4、其他固定资产</w:t>
            </w:r>
          </w:p>
        </w:tc>
        <w:tc>
          <w:tcPr>
            <w:tcW w:w="2835" w:type="dxa"/>
            <w:vAlign w:val="center"/>
          </w:tcPr>
          <w:p>
            <w:pPr>
              <w:pStyle w:val="11"/>
              <w:ind w:firstLine="0" w:firstLineChars="0"/>
            </w:pPr>
          </w:p>
        </w:tc>
        <w:tc>
          <w:tcPr>
            <w:tcW w:w="2835" w:type="dxa"/>
            <w:vAlign w:val="center"/>
          </w:tcPr>
          <w:p>
            <w:pPr>
              <w:pStyle w:val="13"/>
              <w:ind w:firstLine="0" w:firstLineChars="0"/>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bookmarkStart w:id="6" w:name="_Toc_4_4_0000000022"/>
      <w:bookmarkStart w:id="7" w:name="_Toc31938_WPSOffice_Level1"/>
      <w:r>
        <w:rPr>
          <w:rFonts w:hint="eastAsia" w:ascii="方正小标宋_GBK" w:hAnsi="方正小标宋_GBK" w:eastAsia="方正小标宋_GBK" w:cs="方正小标宋_GBK"/>
          <w:b w:val="0"/>
          <w:color w:val="000000"/>
          <w:sz w:val="44"/>
        </w:rPr>
        <w:t>二、行唐县市场监督管理局（未统发部分）收支预算</w:t>
      </w:r>
      <w:bookmarkEnd w:id="6"/>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p>
        </w:tc>
        <w:tc>
          <w:tcPr>
            <w:tcW w:w="992" w:type="dxa"/>
            <w:vAlign w:val="center"/>
          </w:tcPr>
          <w:p>
            <w:pPr>
              <w:pStyle w:val="12"/>
            </w:pPr>
          </w:p>
        </w:tc>
        <w:tc>
          <w:tcPr>
            <w:tcW w:w="1559" w:type="dxa"/>
            <w:vAlign w:val="center"/>
          </w:tcPr>
          <w:p>
            <w:pPr>
              <w:pStyle w:val="12"/>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992" w:type="dxa"/>
            <w:vAlign w:val="center"/>
          </w:tcPr>
          <w:p>
            <w:pPr>
              <w:pStyle w:val="12"/>
            </w:pPr>
          </w:p>
        </w:tc>
        <w:tc>
          <w:tcPr>
            <w:tcW w:w="4535" w:type="dxa"/>
            <w:vAlign w:val="center"/>
          </w:tcPr>
          <w:p>
            <w:pPr>
              <w:pStyle w:val="12"/>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行唐县市场监督管理局（未统发部分）2026年单位预算信息公开情况说明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按照《中华人民共和国预算法》、《地方预决算公开操作规程》和《关于进一步推进预算公开工作的实施意见》规定，现将行唐县市场监督管理局（未统发部分）2026年单位预算公开如下：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行唐县市场监督管理局（未统发部分）</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行唐县市场监督管理局（未统发部分）上年末固定资产金额为0.00万元（详见下表）。本年度拟购置固定资产总额为0.00万元，已按要求列入政府采购预算，详见政府采购预算表。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414002行唐县市场监督管理局（未统发部分）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bookmarkStart w:id="8" w:name="_Toc_4_4_0000000023"/>
      <w:bookmarkStart w:id="9" w:name="_Toc32575_WPSOffice_Level1"/>
      <w:r>
        <w:rPr>
          <w:rFonts w:hint="eastAsia" w:ascii="方正小标宋_GBK" w:hAnsi="方正小标宋_GBK" w:eastAsia="方正小标宋_GBK" w:cs="方正小标宋_GBK"/>
          <w:b w:val="0"/>
          <w:color w:val="000000"/>
          <w:sz w:val="44"/>
        </w:rPr>
        <w:t>三、行唐县质量技术监督检验所收支预算</w:t>
      </w:r>
      <w:bookmarkEnd w:id="8"/>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230.96</w:t>
            </w:r>
          </w:p>
        </w:tc>
        <w:tc>
          <w:tcPr>
            <w:tcW w:w="4535" w:type="dxa"/>
            <w:vAlign w:val="center"/>
          </w:tcPr>
          <w:p>
            <w:pPr>
              <w:pStyle w:val="12"/>
            </w:pPr>
            <w:r>
              <w:t>一、一般公共服务支出</w:t>
            </w:r>
          </w:p>
        </w:tc>
        <w:tc>
          <w:tcPr>
            <w:tcW w:w="2126" w:type="dxa"/>
            <w:vAlign w:val="center"/>
          </w:tcPr>
          <w:p>
            <w:pPr>
              <w:pStyle w:val="13"/>
            </w:pPr>
            <w:r>
              <w:t>202.64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230.96</w:t>
            </w:r>
          </w:p>
        </w:tc>
        <w:tc>
          <w:tcPr>
            <w:tcW w:w="4535" w:type="dxa"/>
            <w:vAlign w:val="center"/>
          </w:tcPr>
          <w:p>
            <w:pPr>
              <w:pStyle w:val="14"/>
            </w:pPr>
            <w:r>
              <w:t>本年支出合计</w:t>
            </w:r>
          </w:p>
        </w:tc>
        <w:tc>
          <w:tcPr>
            <w:tcW w:w="2126" w:type="dxa"/>
            <w:vAlign w:val="center"/>
          </w:tcPr>
          <w:p>
            <w:pPr>
              <w:pStyle w:val="15"/>
            </w:pPr>
            <w:r>
              <w:t>230.96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230.96</w:t>
            </w:r>
          </w:p>
        </w:tc>
        <w:tc>
          <w:tcPr>
            <w:tcW w:w="4535" w:type="dxa"/>
            <w:vAlign w:val="center"/>
          </w:tcPr>
          <w:p>
            <w:pPr>
              <w:pStyle w:val="14"/>
            </w:pPr>
            <w:r>
              <w:t>支出总计</w:t>
            </w:r>
          </w:p>
        </w:tc>
        <w:tc>
          <w:tcPr>
            <w:tcW w:w="2126" w:type="dxa"/>
            <w:vAlign w:val="center"/>
          </w:tcPr>
          <w:p>
            <w:pPr>
              <w:pStyle w:val="15"/>
            </w:pPr>
            <w:r>
              <w:t>230.96</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230.96</w:t>
            </w:r>
          </w:p>
        </w:tc>
        <w:tc>
          <w:tcPr>
            <w:tcW w:w="1134" w:type="dxa"/>
            <w:vAlign w:val="center"/>
          </w:tcPr>
          <w:p>
            <w:pPr>
              <w:pStyle w:val="15"/>
            </w:pPr>
            <w:r>
              <w:t>230.96</w:t>
            </w:r>
          </w:p>
        </w:tc>
        <w:tc>
          <w:tcPr>
            <w:tcW w:w="1134" w:type="dxa"/>
            <w:vAlign w:val="center"/>
          </w:tcPr>
          <w:p>
            <w:pPr>
              <w:pStyle w:val="15"/>
            </w:pPr>
            <w:r>
              <w:t>230.96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2013850</w:t>
            </w:r>
          </w:p>
        </w:tc>
        <w:tc>
          <w:tcPr>
            <w:tcW w:w="1559" w:type="dxa"/>
            <w:vAlign w:val="center"/>
          </w:tcPr>
          <w:p>
            <w:pPr>
              <w:pStyle w:val="12"/>
            </w:pPr>
            <w:r>
              <w:t>事业运行</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r>
              <w:t>202.64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r>
              <w:t>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230.96</w:t>
            </w:r>
          </w:p>
        </w:tc>
        <w:tc>
          <w:tcPr>
            <w:tcW w:w="1361" w:type="dxa"/>
            <w:vAlign w:val="center"/>
          </w:tcPr>
          <w:p>
            <w:pPr>
              <w:pStyle w:val="15"/>
            </w:pPr>
            <w:r>
              <w:t>230.96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202.64</w:t>
            </w:r>
          </w:p>
        </w:tc>
        <w:tc>
          <w:tcPr>
            <w:tcW w:w="1361" w:type="dxa"/>
            <w:vAlign w:val="center"/>
          </w:tcPr>
          <w:p>
            <w:pPr>
              <w:pStyle w:val="13"/>
            </w:pPr>
            <w:r>
              <w:t>202.64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3"/>
            </w:pPr>
            <w:r>
              <w:t>202.64</w:t>
            </w:r>
          </w:p>
        </w:tc>
        <w:tc>
          <w:tcPr>
            <w:tcW w:w="1361" w:type="dxa"/>
            <w:vAlign w:val="center"/>
          </w:tcPr>
          <w:p>
            <w:pPr>
              <w:pStyle w:val="13"/>
            </w:pPr>
            <w:r>
              <w:t>202.64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2013850</w:t>
            </w:r>
          </w:p>
        </w:tc>
        <w:tc>
          <w:tcPr>
            <w:tcW w:w="4535" w:type="dxa"/>
            <w:vAlign w:val="center"/>
          </w:tcPr>
          <w:p>
            <w:pPr>
              <w:pStyle w:val="12"/>
            </w:pPr>
            <w:r>
              <w:t>事业运行</w:t>
            </w:r>
          </w:p>
        </w:tc>
        <w:tc>
          <w:tcPr>
            <w:tcW w:w="1361" w:type="dxa"/>
            <w:vAlign w:val="center"/>
          </w:tcPr>
          <w:p>
            <w:pPr>
              <w:pStyle w:val="13"/>
            </w:pPr>
            <w:r>
              <w:t>202.64</w:t>
            </w:r>
          </w:p>
        </w:tc>
        <w:tc>
          <w:tcPr>
            <w:tcW w:w="1361" w:type="dxa"/>
            <w:vAlign w:val="center"/>
          </w:tcPr>
          <w:p>
            <w:pPr>
              <w:pStyle w:val="13"/>
            </w:pPr>
            <w:r>
              <w:t>202.64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8.38</w:t>
            </w:r>
          </w:p>
        </w:tc>
        <w:tc>
          <w:tcPr>
            <w:tcW w:w="1361" w:type="dxa"/>
            <w:vAlign w:val="center"/>
          </w:tcPr>
          <w:p>
            <w:pPr>
              <w:pStyle w:val="13"/>
            </w:pPr>
            <w:r>
              <w:t>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8.38</w:t>
            </w:r>
          </w:p>
        </w:tc>
        <w:tc>
          <w:tcPr>
            <w:tcW w:w="1361" w:type="dxa"/>
            <w:vAlign w:val="center"/>
          </w:tcPr>
          <w:p>
            <w:pPr>
              <w:pStyle w:val="13"/>
            </w:pPr>
            <w:r>
              <w:t>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3"/>
            </w:pPr>
            <w:r>
              <w:t>8.38</w:t>
            </w:r>
          </w:p>
        </w:tc>
        <w:tc>
          <w:tcPr>
            <w:tcW w:w="1361" w:type="dxa"/>
            <w:vAlign w:val="center"/>
          </w:tcPr>
          <w:p>
            <w:pPr>
              <w:pStyle w:val="13"/>
            </w:pPr>
            <w:r>
              <w:t>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230.96</w:t>
            </w:r>
          </w:p>
        </w:tc>
        <w:tc>
          <w:tcPr>
            <w:tcW w:w="3402" w:type="dxa"/>
            <w:vAlign w:val="center"/>
          </w:tcPr>
          <w:p>
            <w:pPr>
              <w:pStyle w:val="12"/>
            </w:pPr>
            <w:r>
              <w:t>一、一般公共服务支出</w:t>
            </w:r>
          </w:p>
        </w:tc>
        <w:tc>
          <w:tcPr>
            <w:tcW w:w="1474" w:type="dxa"/>
            <w:vAlign w:val="center"/>
          </w:tcPr>
          <w:p>
            <w:pPr>
              <w:pStyle w:val="13"/>
            </w:pPr>
            <w:r>
              <w:t>202.64</w:t>
            </w:r>
          </w:p>
        </w:tc>
        <w:tc>
          <w:tcPr>
            <w:tcW w:w="1474" w:type="dxa"/>
            <w:vAlign w:val="center"/>
          </w:tcPr>
          <w:p>
            <w:pPr>
              <w:pStyle w:val="13"/>
            </w:pPr>
            <w:r>
              <w:t>202.64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19.94</w:t>
            </w:r>
          </w:p>
        </w:tc>
        <w:tc>
          <w:tcPr>
            <w:tcW w:w="1474" w:type="dxa"/>
            <w:vAlign w:val="center"/>
          </w:tcPr>
          <w:p>
            <w:pPr>
              <w:pStyle w:val="13"/>
            </w:pPr>
            <w:r>
              <w:t>19.94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8.38</w:t>
            </w:r>
          </w:p>
        </w:tc>
        <w:tc>
          <w:tcPr>
            <w:tcW w:w="1474" w:type="dxa"/>
            <w:vAlign w:val="center"/>
          </w:tcPr>
          <w:p>
            <w:pPr>
              <w:pStyle w:val="13"/>
            </w:pPr>
            <w:r>
              <w:t>8.38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230.96</w:t>
            </w:r>
          </w:p>
        </w:tc>
        <w:tc>
          <w:tcPr>
            <w:tcW w:w="3402" w:type="dxa"/>
            <w:vAlign w:val="center"/>
          </w:tcPr>
          <w:p>
            <w:pPr>
              <w:pStyle w:val="14"/>
            </w:pPr>
            <w:r>
              <w:t>本年支出合计</w:t>
            </w:r>
          </w:p>
        </w:tc>
        <w:tc>
          <w:tcPr>
            <w:tcW w:w="1474" w:type="dxa"/>
            <w:vAlign w:val="center"/>
          </w:tcPr>
          <w:p>
            <w:pPr>
              <w:pStyle w:val="15"/>
            </w:pPr>
            <w:r>
              <w:t>230.96</w:t>
            </w:r>
          </w:p>
        </w:tc>
        <w:tc>
          <w:tcPr>
            <w:tcW w:w="1474" w:type="dxa"/>
            <w:vAlign w:val="center"/>
          </w:tcPr>
          <w:p>
            <w:pPr>
              <w:pStyle w:val="15"/>
            </w:pPr>
            <w:r>
              <w:t>230.96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230.96</w:t>
            </w:r>
          </w:p>
        </w:tc>
        <w:tc>
          <w:tcPr>
            <w:tcW w:w="3402" w:type="dxa"/>
            <w:vAlign w:val="center"/>
          </w:tcPr>
          <w:p>
            <w:pPr>
              <w:pStyle w:val="14"/>
            </w:pPr>
            <w:r>
              <w:t>支出总计</w:t>
            </w:r>
          </w:p>
        </w:tc>
        <w:tc>
          <w:tcPr>
            <w:tcW w:w="1474" w:type="dxa"/>
            <w:vAlign w:val="center"/>
          </w:tcPr>
          <w:p>
            <w:pPr>
              <w:pStyle w:val="15"/>
            </w:pPr>
            <w:r>
              <w:t>230.96</w:t>
            </w:r>
          </w:p>
        </w:tc>
        <w:tc>
          <w:tcPr>
            <w:tcW w:w="1474" w:type="dxa"/>
            <w:vAlign w:val="center"/>
          </w:tcPr>
          <w:p>
            <w:pPr>
              <w:pStyle w:val="15"/>
            </w:pPr>
            <w:r>
              <w:t>230.96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230.96</w:t>
            </w:r>
          </w:p>
        </w:tc>
        <w:tc>
          <w:tcPr>
            <w:tcW w:w="2551" w:type="dxa"/>
            <w:vAlign w:val="center"/>
          </w:tcPr>
          <w:p>
            <w:pPr>
              <w:pStyle w:val="15"/>
            </w:pPr>
            <w:r>
              <w:t>230.96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202.64</w:t>
            </w:r>
          </w:p>
        </w:tc>
        <w:tc>
          <w:tcPr>
            <w:tcW w:w="2551" w:type="dxa"/>
            <w:vAlign w:val="center"/>
          </w:tcPr>
          <w:p>
            <w:pPr>
              <w:pStyle w:val="13"/>
            </w:pPr>
            <w:r>
              <w:t>202.64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3"/>
            </w:pPr>
            <w:r>
              <w:t>202.64</w:t>
            </w:r>
          </w:p>
        </w:tc>
        <w:tc>
          <w:tcPr>
            <w:tcW w:w="2551" w:type="dxa"/>
            <w:vAlign w:val="center"/>
          </w:tcPr>
          <w:p>
            <w:pPr>
              <w:pStyle w:val="13"/>
            </w:pPr>
            <w:r>
              <w:t>202.64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2013850</w:t>
            </w:r>
          </w:p>
        </w:tc>
        <w:tc>
          <w:tcPr>
            <w:tcW w:w="4535" w:type="dxa"/>
            <w:vAlign w:val="center"/>
          </w:tcPr>
          <w:p>
            <w:pPr>
              <w:pStyle w:val="12"/>
            </w:pPr>
            <w:r>
              <w:t>事业运行</w:t>
            </w:r>
          </w:p>
        </w:tc>
        <w:tc>
          <w:tcPr>
            <w:tcW w:w="2551" w:type="dxa"/>
            <w:vAlign w:val="center"/>
          </w:tcPr>
          <w:p>
            <w:pPr>
              <w:pStyle w:val="13"/>
            </w:pPr>
            <w:r>
              <w:t>202.64</w:t>
            </w:r>
          </w:p>
        </w:tc>
        <w:tc>
          <w:tcPr>
            <w:tcW w:w="2551" w:type="dxa"/>
            <w:vAlign w:val="center"/>
          </w:tcPr>
          <w:p>
            <w:pPr>
              <w:pStyle w:val="13"/>
            </w:pPr>
            <w:r>
              <w:t>202.64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8.38</w:t>
            </w:r>
          </w:p>
        </w:tc>
        <w:tc>
          <w:tcPr>
            <w:tcW w:w="2551" w:type="dxa"/>
            <w:vAlign w:val="center"/>
          </w:tcPr>
          <w:p>
            <w:pPr>
              <w:pStyle w:val="13"/>
            </w:pPr>
            <w:r>
              <w:t>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8.38</w:t>
            </w:r>
          </w:p>
        </w:tc>
        <w:tc>
          <w:tcPr>
            <w:tcW w:w="2551" w:type="dxa"/>
            <w:vAlign w:val="center"/>
          </w:tcPr>
          <w:p>
            <w:pPr>
              <w:pStyle w:val="13"/>
            </w:pPr>
            <w:r>
              <w:t>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3"/>
            </w:pPr>
            <w:r>
              <w:t>8.38</w:t>
            </w:r>
          </w:p>
        </w:tc>
        <w:tc>
          <w:tcPr>
            <w:tcW w:w="2551" w:type="dxa"/>
            <w:vAlign w:val="center"/>
          </w:tcPr>
          <w:p>
            <w:pPr>
              <w:pStyle w:val="13"/>
            </w:pPr>
            <w:r>
              <w:t>8.38</w:t>
            </w:r>
          </w:p>
        </w:tc>
        <w:tc>
          <w:tcPr>
            <w:tcW w:w="2551"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230.96</w:t>
            </w:r>
          </w:p>
        </w:tc>
        <w:tc>
          <w:tcPr>
            <w:tcW w:w="2551" w:type="dxa"/>
            <w:vAlign w:val="center"/>
          </w:tcPr>
          <w:p>
            <w:pPr>
              <w:pStyle w:val="15"/>
            </w:pPr>
            <w:r>
              <w:t>220.85</w:t>
            </w:r>
          </w:p>
        </w:tc>
        <w:tc>
          <w:tcPr>
            <w:tcW w:w="2551" w:type="dxa"/>
            <w:vAlign w:val="center"/>
          </w:tcPr>
          <w:p>
            <w:pPr>
              <w:pStyle w:val="15"/>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216.87</w:t>
            </w:r>
          </w:p>
        </w:tc>
        <w:tc>
          <w:tcPr>
            <w:tcW w:w="2551" w:type="dxa"/>
            <w:vAlign w:val="center"/>
          </w:tcPr>
          <w:p>
            <w:pPr>
              <w:pStyle w:val="13"/>
            </w:pPr>
            <w:r>
              <w:t>216.87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101.80</w:t>
            </w:r>
          </w:p>
        </w:tc>
        <w:tc>
          <w:tcPr>
            <w:tcW w:w="2551" w:type="dxa"/>
            <w:vAlign w:val="center"/>
          </w:tcPr>
          <w:p>
            <w:pPr>
              <w:pStyle w:val="13"/>
            </w:pPr>
            <w:r>
              <w:t>101.80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7.58</w:t>
            </w:r>
          </w:p>
        </w:tc>
        <w:tc>
          <w:tcPr>
            <w:tcW w:w="2551" w:type="dxa"/>
            <w:vAlign w:val="center"/>
          </w:tcPr>
          <w:p>
            <w:pPr>
              <w:pStyle w:val="13"/>
            </w:pPr>
            <w:r>
              <w:t>7.58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60.65</w:t>
            </w:r>
          </w:p>
        </w:tc>
        <w:tc>
          <w:tcPr>
            <w:tcW w:w="2551" w:type="dxa"/>
            <w:vAlign w:val="center"/>
          </w:tcPr>
          <w:p>
            <w:pPr>
              <w:pStyle w:val="13"/>
            </w:pPr>
            <w:r>
              <w:t>60.65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8.38</w:t>
            </w:r>
          </w:p>
        </w:tc>
        <w:tc>
          <w:tcPr>
            <w:tcW w:w="2551" w:type="dxa"/>
            <w:vAlign w:val="center"/>
          </w:tcPr>
          <w:p>
            <w:pPr>
              <w:pStyle w:val="13"/>
            </w:pPr>
            <w:r>
              <w:t>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1.25</w:t>
            </w:r>
          </w:p>
        </w:tc>
        <w:tc>
          <w:tcPr>
            <w:tcW w:w="2551" w:type="dxa"/>
            <w:vAlign w:val="center"/>
          </w:tcPr>
          <w:p>
            <w:pPr>
              <w:pStyle w:val="13"/>
            </w:pPr>
            <w:r>
              <w:t>1.25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17.27</w:t>
            </w:r>
          </w:p>
        </w:tc>
        <w:tc>
          <w:tcPr>
            <w:tcW w:w="2551" w:type="dxa"/>
            <w:vAlign w:val="center"/>
          </w:tcPr>
          <w:p>
            <w:pPr>
              <w:pStyle w:val="13"/>
            </w:pPr>
            <w:r>
              <w:t>17.27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10.11</w:t>
            </w:r>
          </w:p>
        </w:tc>
        <w:tc>
          <w:tcPr>
            <w:tcW w:w="2551" w:type="dxa"/>
            <w:vAlign w:val="center"/>
          </w:tcPr>
          <w:p>
            <w:pPr>
              <w:pStyle w:val="13"/>
            </w:pPr>
          </w:p>
        </w:tc>
        <w:tc>
          <w:tcPr>
            <w:tcW w:w="2551" w:type="dxa"/>
            <w:vAlign w:val="center"/>
          </w:tcPr>
          <w:p>
            <w:pPr>
              <w:pStyle w:val="13"/>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1.44</w:t>
            </w:r>
          </w:p>
        </w:tc>
        <w:tc>
          <w:tcPr>
            <w:tcW w:w="2551" w:type="dxa"/>
            <w:vAlign w:val="center"/>
          </w:tcPr>
          <w:p>
            <w:pPr>
              <w:pStyle w:val="13"/>
            </w:pPr>
          </w:p>
        </w:tc>
        <w:tc>
          <w:tcPr>
            <w:tcW w:w="2551"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1.44</w:t>
            </w:r>
          </w:p>
        </w:tc>
        <w:tc>
          <w:tcPr>
            <w:tcW w:w="2551" w:type="dxa"/>
            <w:vAlign w:val="center"/>
          </w:tcPr>
          <w:p>
            <w:pPr>
              <w:pStyle w:val="13"/>
            </w:pPr>
          </w:p>
        </w:tc>
        <w:tc>
          <w:tcPr>
            <w:tcW w:w="2551"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1.53</w:t>
            </w:r>
          </w:p>
        </w:tc>
        <w:tc>
          <w:tcPr>
            <w:tcW w:w="2551" w:type="dxa"/>
            <w:vAlign w:val="center"/>
          </w:tcPr>
          <w:p>
            <w:pPr>
              <w:pStyle w:val="13"/>
            </w:pPr>
          </w:p>
        </w:tc>
        <w:tc>
          <w:tcPr>
            <w:tcW w:w="2551" w:type="dxa"/>
            <w:vAlign w:val="center"/>
          </w:tcPr>
          <w:p>
            <w:pPr>
              <w:pStyle w:val="13"/>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1.98</w:t>
            </w:r>
          </w:p>
        </w:tc>
        <w:tc>
          <w:tcPr>
            <w:tcW w:w="2551" w:type="dxa"/>
            <w:vAlign w:val="center"/>
          </w:tcPr>
          <w:p>
            <w:pPr>
              <w:pStyle w:val="13"/>
            </w:pPr>
          </w:p>
        </w:tc>
        <w:tc>
          <w:tcPr>
            <w:tcW w:w="2551"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3.98</w:t>
            </w:r>
          </w:p>
        </w:tc>
        <w:tc>
          <w:tcPr>
            <w:tcW w:w="2551" w:type="dxa"/>
            <w:vAlign w:val="center"/>
          </w:tcPr>
          <w:p>
            <w:pPr>
              <w:pStyle w:val="13"/>
            </w:pPr>
            <w:r>
              <w:t>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3.06</w:t>
            </w:r>
          </w:p>
        </w:tc>
        <w:tc>
          <w:tcPr>
            <w:tcW w:w="2551" w:type="dxa"/>
            <w:vAlign w:val="center"/>
          </w:tcPr>
          <w:p>
            <w:pPr>
              <w:pStyle w:val="13"/>
            </w:pPr>
            <w:r>
              <w:t>3.06</w:t>
            </w:r>
          </w:p>
        </w:tc>
        <w:tc>
          <w:tcPr>
            <w:tcW w:w="2551" w:type="dxa"/>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1</w:t>
            </w:r>
          </w:p>
        </w:tc>
        <w:tc>
          <w:tcPr>
            <w:tcW w:w="3798" w:type="dxa"/>
            <w:vAlign w:val="center"/>
          </w:tcPr>
          <w:p>
            <w:pPr>
              <w:pStyle w:val="14"/>
              <w:ind w:firstLine="0" w:firstLineChars="0"/>
            </w:pPr>
            <w:r>
              <w:t>合计</w:t>
            </w:r>
          </w:p>
        </w:tc>
        <w:tc>
          <w:tcPr>
            <w:tcW w:w="2381" w:type="dxa"/>
            <w:vAlign w:val="center"/>
          </w:tcPr>
          <w:p>
            <w:pPr>
              <w:pStyle w:val="15"/>
              <w:ind w:firstLine="0" w:firstLineChars="0"/>
            </w:pPr>
            <w:r>
              <w:t>0.08</w:t>
            </w:r>
          </w:p>
        </w:tc>
        <w:tc>
          <w:tcPr>
            <w:tcW w:w="2381" w:type="dxa"/>
            <w:vAlign w:val="center"/>
          </w:tcPr>
          <w:p>
            <w:pPr>
              <w:pStyle w:val="15"/>
              <w:ind w:firstLine="0" w:firstLineChars="0"/>
            </w:pPr>
            <w:r>
              <w:t>0.08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2</w:t>
            </w:r>
          </w:p>
        </w:tc>
        <w:tc>
          <w:tcPr>
            <w:tcW w:w="3798" w:type="dxa"/>
            <w:vAlign w:val="center"/>
          </w:tcPr>
          <w:p>
            <w:pPr>
              <w:pStyle w:val="12"/>
              <w:ind w:firstLine="0" w:firstLineChars="0"/>
            </w:pPr>
            <w:r>
              <w:t>“三公”经费小计</w:t>
            </w:r>
          </w:p>
        </w:tc>
        <w:tc>
          <w:tcPr>
            <w:tcW w:w="2381" w:type="dxa"/>
            <w:vAlign w:val="center"/>
          </w:tcPr>
          <w:p>
            <w:pPr>
              <w:pStyle w:val="13"/>
              <w:ind w:firstLine="0" w:firstLineChars="0"/>
            </w:pPr>
            <w:r>
              <w:t>0.08</w:t>
            </w:r>
          </w:p>
        </w:tc>
        <w:tc>
          <w:tcPr>
            <w:tcW w:w="2381" w:type="dxa"/>
            <w:vAlign w:val="center"/>
          </w:tcPr>
          <w:p>
            <w:pPr>
              <w:pStyle w:val="13"/>
              <w:ind w:firstLine="0" w:firstLineChars="0"/>
            </w:pPr>
            <w:r>
              <w:t>0.08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3</w:t>
            </w:r>
          </w:p>
        </w:tc>
        <w:tc>
          <w:tcPr>
            <w:tcW w:w="3798" w:type="dxa"/>
            <w:vAlign w:val="center"/>
          </w:tcPr>
          <w:p>
            <w:pPr>
              <w:pStyle w:val="12"/>
              <w:ind w:firstLine="0" w:firstLineChars="0"/>
            </w:pPr>
            <w:r>
              <w:t>一、因公出国（境）费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5</w:t>
            </w:r>
          </w:p>
        </w:tc>
        <w:tc>
          <w:tcPr>
            <w:tcW w:w="3798" w:type="dxa"/>
            <w:vAlign w:val="center"/>
          </w:tcPr>
          <w:p>
            <w:pPr>
              <w:pStyle w:val="12"/>
              <w:ind w:firstLine="0" w:firstLineChars="0"/>
            </w:pPr>
            <w:r>
              <w:t xml:space="preserve">          其他因公出国（境）费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6</w:t>
            </w:r>
          </w:p>
        </w:tc>
        <w:tc>
          <w:tcPr>
            <w:tcW w:w="3798" w:type="dxa"/>
            <w:vAlign w:val="center"/>
          </w:tcPr>
          <w:p>
            <w:pPr>
              <w:pStyle w:val="12"/>
              <w:ind w:firstLine="0" w:firstLineChars="0"/>
            </w:pPr>
            <w:r>
              <w:t>二、公务用车购置及运维费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7</w:t>
            </w:r>
          </w:p>
        </w:tc>
        <w:tc>
          <w:tcPr>
            <w:tcW w:w="3798" w:type="dxa"/>
            <w:vAlign w:val="center"/>
          </w:tcPr>
          <w:p>
            <w:pPr>
              <w:pStyle w:val="12"/>
              <w:ind w:firstLine="0" w:firstLineChars="0"/>
            </w:pPr>
            <w:r>
              <w:t xml:space="preserve">    其中：公务用车购置费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8</w:t>
            </w:r>
          </w:p>
        </w:tc>
        <w:tc>
          <w:tcPr>
            <w:tcW w:w="3798" w:type="dxa"/>
            <w:vAlign w:val="center"/>
          </w:tcPr>
          <w:p>
            <w:pPr>
              <w:pStyle w:val="12"/>
              <w:ind w:firstLine="0" w:firstLineChars="0"/>
            </w:pPr>
            <w:r>
              <w:t xml:space="preserve">          公务用车运行维护费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9</w:t>
            </w:r>
          </w:p>
        </w:tc>
        <w:tc>
          <w:tcPr>
            <w:tcW w:w="3798" w:type="dxa"/>
            <w:vAlign w:val="center"/>
          </w:tcPr>
          <w:p>
            <w:pPr>
              <w:pStyle w:val="12"/>
              <w:ind w:firstLine="0" w:firstLineChars="0"/>
            </w:pPr>
            <w:r>
              <w:t>三、公务接待费</w:t>
            </w:r>
          </w:p>
        </w:tc>
        <w:tc>
          <w:tcPr>
            <w:tcW w:w="2381" w:type="dxa"/>
            <w:vAlign w:val="center"/>
          </w:tcPr>
          <w:p>
            <w:pPr>
              <w:pStyle w:val="13"/>
              <w:ind w:firstLine="0" w:firstLineChars="0"/>
            </w:pPr>
            <w:r>
              <w:t>0.08</w:t>
            </w:r>
          </w:p>
        </w:tc>
        <w:tc>
          <w:tcPr>
            <w:tcW w:w="2381" w:type="dxa"/>
            <w:vAlign w:val="center"/>
          </w:tcPr>
          <w:p>
            <w:pPr>
              <w:pStyle w:val="13"/>
              <w:ind w:firstLine="0" w:firstLineChars="0"/>
            </w:pPr>
            <w:r>
              <w:t>0.08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10</w:t>
            </w:r>
          </w:p>
        </w:tc>
        <w:tc>
          <w:tcPr>
            <w:tcW w:w="3798" w:type="dxa"/>
            <w:vAlign w:val="center"/>
          </w:tcPr>
          <w:p>
            <w:pPr>
              <w:pStyle w:val="12"/>
              <w:ind w:firstLine="0" w:firstLineChars="0"/>
            </w:pPr>
            <w:r>
              <w:t>四、会议费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11</w:t>
            </w:r>
          </w:p>
        </w:tc>
        <w:tc>
          <w:tcPr>
            <w:tcW w:w="3798" w:type="dxa"/>
            <w:vAlign w:val="center"/>
          </w:tcPr>
          <w:p>
            <w:pPr>
              <w:pStyle w:val="12"/>
              <w:ind w:firstLine="0" w:firstLineChars="0"/>
            </w:pPr>
            <w:r>
              <w:t xml:space="preserve">    其中：省属高校业务性会议费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12</w:t>
            </w:r>
          </w:p>
        </w:tc>
        <w:tc>
          <w:tcPr>
            <w:tcW w:w="3798" w:type="dxa"/>
            <w:vAlign w:val="center"/>
          </w:tcPr>
          <w:p>
            <w:pPr>
              <w:pStyle w:val="12"/>
              <w:ind w:firstLine="0" w:firstLineChars="0"/>
            </w:pPr>
            <w:r>
              <w:t xml:space="preserve">          其他会议费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t>13</w:t>
            </w:r>
          </w:p>
        </w:tc>
        <w:tc>
          <w:tcPr>
            <w:tcW w:w="3798" w:type="dxa"/>
            <w:vAlign w:val="center"/>
          </w:tcPr>
          <w:p>
            <w:pPr>
              <w:pStyle w:val="12"/>
              <w:ind w:firstLine="0" w:firstLineChars="0"/>
            </w:pPr>
            <w:r>
              <w:t>五、培训费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行唐县质量技术监督检验所2026年单位预算信息公开情况说明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按照《中华人民共和国预算法》、《地方预决算公开操作规程》和《关于进一步推进预算公开工作的实施意见》规定，现将行唐县质量技术监督检验所2026年单位预算公开如下：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（一）根据全县经济发展的需要建立和健全计量标准。搞好量值传递工作，统一全县量值；</w:t>
      </w:r>
    </w:p>
    <w:p>
      <w:pPr>
        <w:pStyle w:val="17"/>
      </w:pPr>
      <w:r>
        <w:t>（二）在授权和认证（认可）项目的范围内，为社会各行业出具检定、校准、检测证书和检验报告；</w:t>
      </w:r>
    </w:p>
    <w:p>
      <w:pPr>
        <w:pStyle w:val="17"/>
      </w:pPr>
      <w:r>
        <w:t>（三）为政府质量、计量行政部门质量执法、计量执法提供技术保证；</w:t>
      </w:r>
    </w:p>
    <w:p>
      <w:pPr>
        <w:pStyle w:val="17"/>
      </w:pPr>
      <w:r>
        <w:t>（四）为本县培训质量、计量方面的技术人才；</w:t>
      </w:r>
    </w:p>
    <w:p>
      <w:pPr>
        <w:pStyle w:val="17"/>
      </w:pPr>
      <w:r>
        <w:t>（五）开展计量仪器、分析仪器及检验、检测设备的维修、调试和装配检定校准工作。开展各类产（商）品质量的定期监督检验，委托检验，出厂检验及仲裁检验。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行唐县质量技术监督检验所</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6</w:t>
      </w:r>
      <w:r>
        <w:t>年预算收入</w:t>
      </w:r>
      <w:r>
        <w:rPr>
          <w:rFonts w:hint="eastAsia"/>
          <w:lang w:val="en-US" w:eastAsia="zh-CN"/>
        </w:rPr>
        <w:t>230.96</w:t>
      </w:r>
      <w:r>
        <w:t>万元，其中：一般公共预算收入</w:t>
      </w:r>
      <w:r>
        <w:rPr>
          <w:rFonts w:hint="eastAsia"/>
          <w:lang w:val="en-US" w:eastAsia="zh-CN"/>
        </w:rPr>
        <w:t>230.96</w:t>
      </w:r>
      <w:r>
        <w:t>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收支预算总表支出栏、基本支出表、项目支出表按经济分类和支出功能分类科目编制，反映行唐县质量技术监督检验所年度单位预算中支出预算的总体情况。202</w:t>
      </w:r>
      <w:r>
        <w:rPr>
          <w:rFonts w:hint="eastAsia"/>
          <w:lang w:val="en-US" w:eastAsia="zh-CN"/>
        </w:rPr>
        <w:t>6</w:t>
      </w:r>
      <w:r>
        <w:t>年支出预算</w:t>
      </w:r>
      <w:r>
        <w:rPr>
          <w:rFonts w:hint="eastAsia"/>
          <w:lang w:val="en-US" w:eastAsia="zh-CN"/>
        </w:rPr>
        <w:t>230.96</w:t>
      </w:r>
      <w:r>
        <w:t>万元，其中基本支出</w:t>
      </w:r>
      <w:r>
        <w:rPr>
          <w:rFonts w:hint="eastAsia"/>
          <w:lang w:val="en-US" w:eastAsia="zh-CN"/>
        </w:rPr>
        <w:t>230.96</w:t>
      </w:r>
      <w:r>
        <w:t>万元，包括人员经费</w:t>
      </w:r>
      <w:r>
        <w:rPr>
          <w:rFonts w:hint="eastAsia"/>
          <w:lang w:val="en-US" w:eastAsia="zh-CN"/>
        </w:rPr>
        <w:t>220.85</w:t>
      </w:r>
      <w:r>
        <w:t>万元和日常公用经费</w:t>
      </w:r>
      <w:r>
        <w:rPr>
          <w:rFonts w:hint="eastAsia"/>
          <w:lang w:val="en-US" w:eastAsia="zh-CN"/>
        </w:rPr>
        <w:t>10.11</w:t>
      </w:r>
      <w:r>
        <w:t>万元；项目支出0.00万元，主要为202</w:t>
      </w:r>
      <w:r>
        <w:rPr>
          <w:rFonts w:hint="eastAsia"/>
          <w:lang w:val="en-US" w:eastAsia="zh-CN"/>
        </w:rPr>
        <w:t>6</w:t>
      </w:r>
      <w:r>
        <w:t>年度无项目支出预算。</w:t>
      </w:r>
    </w:p>
    <w:p>
      <w:pPr>
        <w:pStyle w:val="18"/>
      </w:pPr>
      <w:r>
        <w:t>3、比上年增减情况</w:t>
      </w:r>
    </w:p>
    <w:p>
      <w:pPr>
        <w:pStyle w:val="18"/>
      </w:pPr>
      <w:r>
        <w:t>202</w:t>
      </w:r>
      <w:r>
        <w:rPr>
          <w:rFonts w:hint="eastAsia"/>
          <w:lang w:val="en-US" w:eastAsia="zh-CN"/>
        </w:rPr>
        <w:t>6</w:t>
      </w:r>
      <w:r>
        <w:t>年预算收支安排</w:t>
      </w:r>
      <w:r>
        <w:rPr>
          <w:rFonts w:hint="eastAsia"/>
          <w:lang w:val="en-US" w:eastAsia="zh-CN"/>
        </w:rPr>
        <w:t>230.96</w:t>
      </w:r>
      <w:r>
        <w:t>万元，较202</w:t>
      </w:r>
      <w:r>
        <w:rPr>
          <w:rFonts w:hint="eastAsia"/>
          <w:lang w:val="en-US" w:eastAsia="zh-CN"/>
        </w:rPr>
        <w:t>5</w:t>
      </w:r>
      <w:r>
        <w:t>年预算</w:t>
      </w:r>
      <w:r>
        <w:rPr>
          <w:rFonts w:hint="eastAsia"/>
          <w:lang w:eastAsia="zh-CN"/>
        </w:rPr>
        <w:t>增加</w:t>
      </w:r>
      <w:r>
        <w:rPr>
          <w:rFonts w:hint="eastAsia"/>
          <w:lang w:val="en-US" w:eastAsia="zh-CN"/>
        </w:rPr>
        <w:t>13.9</w:t>
      </w:r>
      <w:r>
        <w:t>万元，其中：基本支出</w:t>
      </w:r>
      <w:r>
        <w:rPr>
          <w:rFonts w:hint="eastAsia"/>
          <w:lang w:eastAsia="zh-CN"/>
        </w:rPr>
        <w:t>增加</w:t>
      </w:r>
      <w:r>
        <w:rPr>
          <w:rFonts w:hint="eastAsia"/>
          <w:lang w:val="en-US" w:eastAsia="zh-CN"/>
        </w:rPr>
        <w:t>13.9</w:t>
      </w:r>
      <w:r>
        <w:t>万元，主要为</w:t>
      </w:r>
      <w:r>
        <w:rPr>
          <w:rFonts w:hint="eastAsia"/>
          <w:lang w:eastAsia="zh-CN"/>
        </w:rPr>
        <w:t>新增人员</w:t>
      </w:r>
      <w:r>
        <w:rPr>
          <w:rFonts w:hint="eastAsia"/>
          <w:lang w:val="en-US" w:eastAsia="zh-CN"/>
        </w:rPr>
        <w:t>2人</w:t>
      </w:r>
      <w:r>
        <w:t>。项目支出增加0.00万元，主要为没有增减变化。</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hint="eastAsia" w:eastAsiaTheme="minorEastAsia"/>
          <w:lang w:eastAsia="zh-CN"/>
        </w:rPr>
      </w:pPr>
      <w:r>
        <w:rPr>
          <w:rFonts w:ascii="Times New Roman" w:hAnsi="Times New Roman" w:eastAsia="方正仿宋_GBK" w:cs="Times New Roman"/>
          <w:sz w:val="28"/>
          <w:szCs w:val="22"/>
        </w:rPr>
        <w:t>2</w:t>
      </w:r>
      <w:r>
        <w:rPr>
          <w:rFonts w:ascii="Times New Roman" w:hAnsi="Times New Roman" w:eastAsia="方正仿宋_GBK" w:cs="Times New Roman"/>
          <w:sz w:val="28"/>
          <w:szCs w:val="22"/>
          <w:lang/>
        </w:rPr>
        <w:t>0</w:t>
      </w:r>
      <w:r>
        <w:rPr>
          <w:rFonts w:ascii="Times New Roman" w:hAnsi="Times New Roman" w:eastAsia="方正仿宋_GBK" w:cs="Times New Roman"/>
          <w:sz w:val="28"/>
          <w:szCs w:val="22"/>
          <w:lang/>
        </w:rPr>
        <w:t>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rPr>
        <w:t>年，我单位财政拨款“三公”经费预算安排0.08万元，其中因公出国（境）费0.00万元；公务用车购置及运维费0.00万元（其中：公务用车购置费为0.00万元，公务用车运维费0.00万元)；公务接待费0.08万元。与202</w:t>
      </w:r>
      <w:r>
        <w:rPr>
          <w:rFonts w:hint="eastAsia" w:ascii="Times New Roman" w:hAnsi="Times New Roman" w:eastAsia="方正仿宋_GBK" w:cs="Times New Roman"/>
          <w:sz w:val="28"/>
          <w:szCs w:val="22"/>
          <w:lang w:val="en-US" w:eastAsia="zh-CN"/>
        </w:rPr>
        <w:t>5</w:t>
      </w:r>
      <w:r>
        <w:rPr>
          <w:rFonts w:ascii="Times New Roman" w:hAnsi="Times New Roman" w:eastAsia="方正仿宋_GBK" w:cs="Times New Roman"/>
          <w:sz w:val="28"/>
          <w:szCs w:val="22"/>
          <w:lang/>
        </w:rPr>
        <w:t>年</w:t>
      </w:r>
      <w:r>
        <w:rPr>
          <w:rFonts w:hint="eastAsia" w:ascii="Times New Roman" w:hAnsi="Times New Roman" w:eastAsia="方正仿宋_GBK" w:cs="Times New Roman"/>
          <w:sz w:val="28"/>
          <w:szCs w:val="22"/>
          <w:lang w:eastAsia="zh-CN"/>
        </w:rPr>
        <w:t>无变化。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行唐县质量技术监督检验所上年末固定资产金额为0.00万元（详见下表）。本年度拟购置固定资产总额为0.00万元，已按要求列入政府采购预算，详见政府采购预算表。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414003行唐县质量技术监督检验所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资产总额</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4、其他固定资产</w:t>
            </w: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Calibri Light">
    <w:altName w:val="Calibri"/>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姚体">
    <w:panose1 w:val="02010601030101010101"/>
    <w:charset w:val="86"/>
    <w:family w:val="auto"/>
    <w:pitch w:val="default"/>
    <w:sig w:usb0="00000003"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隶书">
    <w:panose1 w:val="02010509060101010101"/>
    <w:charset w:val="86"/>
    <w:family w:val="auto"/>
    <w:pitch w:val="default"/>
    <w:sig w:usb0="00000001" w:usb1="080E0000" w:usb2="00000000" w:usb3="00000000" w:csb0="00040000" w:csb1="00000000"/>
  </w:font>
  <w:font w:name="GungsuhChe">
    <w:panose1 w:val="02030609000101010101"/>
    <w:charset w:val="81"/>
    <w:family w:val="auto"/>
    <w:pitch w:val="default"/>
    <w:sig w:usb0="B00002AF" w:usb1="69D77CFB" w:usb2="00000030" w:usb3="00000000" w:csb0="4008009F" w:csb1="DFD70000"/>
  </w:font>
  <w:font w:name="Meiryo">
    <w:panose1 w:val="020B0604030504040204"/>
    <w:charset w:val="80"/>
    <w:family w:val="auto"/>
    <w:pitch w:val="default"/>
    <w:sig w:usb0="E10102FF" w:usb1="EAC7FFFF" w:usb2="00010012" w:usb3="00000000" w:csb0="6002009F" w:csb1="DFD70000"/>
  </w:font>
  <w:font w:name="AngsanaUPC">
    <w:panose1 w:val="02020603050405020304"/>
    <w:charset w:val="00"/>
    <w:family w:val="auto"/>
    <w:pitch w:val="default"/>
    <w:sig w:usb0="81000003" w:usb1="00000000" w:usb2="00000000" w:usb3="00000000" w:csb0="00010001" w:csb1="00000000"/>
  </w:font>
  <w:font w:name="Baskerville Old Face">
    <w:panose1 w:val="02020602080505020303"/>
    <w:charset w:val="00"/>
    <w:family w:val="auto"/>
    <w:pitch w:val="default"/>
    <w:sig w:usb0="00000003" w:usb1="00000000" w:usb2="00000000" w:usb3="00000000" w:csb0="20000001" w:csb1="00000000"/>
  </w:font>
  <w:font w:name="华文新魏">
    <w:panose1 w:val="02010800040101010101"/>
    <w:charset w:val="86"/>
    <w:family w:val="auto"/>
    <w:pitch w:val="default"/>
    <w:sig w:usb0="00000001" w:usb1="080F0000" w:usb2="00000000" w:usb3="00000000" w:csb0="00040000" w:csb1="00000000"/>
  </w:font>
  <w:font w:name="MS PGothic">
    <w:panose1 w:val="020B0600070205080204"/>
    <w:charset w:val="80"/>
    <w:family w:val="auto"/>
    <w:pitch w:val="default"/>
    <w:sig w:usb0="E00002FF" w:usb1="6AC7FDFB" w:usb2="00000012" w:usb3="00000000" w:csb0="4002009F" w:csb1="DFD70000"/>
  </w:font>
  <w:font w:name="Aparajita">
    <w:panose1 w:val="020B0604020202020204"/>
    <w:charset w:val="00"/>
    <w:family w:val="auto"/>
    <w:pitch w:val="default"/>
    <w:sig w:usb0="00008003" w:usb1="00000000" w:usb2="00000000" w:usb3="00000000" w:csb0="00000001" w:csb1="00000000"/>
  </w:font>
  <w:font w:name="Bodoni MT">
    <w:panose1 w:val="02070603080606020203"/>
    <w:charset w:val="00"/>
    <w:family w:val="auto"/>
    <w:pitch w:val="default"/>
    <w:sig w:usb0="00000003" w:usb1="00000000" w:usb2="00000000" w:usb3="00000000" w:csb0="20000001" w:csb1="00000000"/>
  </w:font>
  <w:font w:name="Calisto MT">
    <w:panose1 w:val="02040603050505030304"/>
    <w:charset w:val="00"/>
    <w:family w:val="auto"/>
    <w:pitch w:val="default"/>
    <w:sig w:usb0="00000003" w:usb1="00000000" w:usb2="00000000" w:usb3="00000000" w:csb0="20000001" w:csb1="00000000"/>
  </w:font>
  <w:font w:name="CordiaUPC">
    <w:panose1 w:val="020B0304020202020204"/>
    <w:charset w:val="00"/>
    <w:family w:val="auto"/>
    <w:pitch w:val="default"/>
    <w:sig w:usb0="81000003" w:usb1="00000000" w:usb2="00000000" w:usb3="00000000" w:csb0="00010001" w:csb1="00000000"/>
  </w:font>
  <w:font w:name="DokChampa">
    <w:panose1 w:val="020B0604020202020204"/>
    <w:charset w:val="00"/>
    <w:family w:val="auto"/>
    <w:pitch w:val="default"/>
    <w:sig w:usb0="03000003" w:usb1="00000000" w:usb2="00000000" w:usb3="00000000" w:csb0="40010001" w:csb1="00000000"/>
  </w:font>
  <w:font w:name="Edwardian Script ITC">
    <w:panose1 w:val="030303020407070D0804"/>
    <w:charset w:val="00"/>
    <w:family w:val="auto"/>
    <w:pitch w:val="default"/>
    <w:sig w:usb0="00000003" w:usb1="00000000" w:usb2="00000000" w:usb3="00000000" w:csb0="20000001" w:csb1="00000000"/>
  </w:font>
  <w:font w:name="FrankRuehl">
    <w:panose1 w:val="020E0503060101010101"/>
    <w:charset w:val="00"/>
    <w:family w:val="auto"/>
    <w:pitch w:val="default"/>
    <w:sig w:usb0="00000801" w:usb1="00000000" w:usb2="00000000" w:usb3="00000000" w:csb0="00000020" w:csb1="00200000"/>
  </w:font>
  <w:font w:name="Goudy Old Style">
    <w:panose1 w:val="02020502050305020303"/>
    <w:charset w:val="00"/>
    <w:family w:val="auto"/>
    <w:pitch w:val="default"/>
    <w:sig w:usb0="00000003" w:usb1="00000000" w:usb2="00000000" w:usb3="00000000" w:csb0="20000001" w:csb1="00000000"/>
  </w:font>
  <w:font w:name="Impact">
    <w:panose1 w:val="020B0806030902050204"/>
    <w:charset w:val="00"/>
    <w:family w:val="auto"/>
    <w:pitch w:val="default"/>
    <w:sig w:usb0="00000287" w:usb1="00000000" w:usb2="00000000" w:usb3="00000000" w:csb0="2000009F" w:csb1="DFD70000"/>
  </w:font>
  <w:font w:name="JasmineUPC">
    <w:panose1 w:val="02020603050405020304"/>
    <w:charset w:val="00"/>
    <w:family w:val="auto"/>
    <w:pitch w:val="default"/>
    <w:sig w:usb0="01000007" w:usb1="00000002" w:usb2="00000000" w:usb3="00000000" w:csb0="00010001" w:csb1="00000000"/>
  </w:font>
  <w:font w:name="KodchiangUPC">
    <w:panose1 w:val="02020603050405020304"/>
    <w:charset w:val="00"/>
    <w:family w:val="auto"/>
    <w:pitch w:val="default"/>
    <w:sig w:usb0="01000007" w:usb1="00000002" w:usb2="00000000" w:usb3="00000000" w:csb0="00010001" w:csb1="00000000"/>
  </w:font>
  <w:font w:name="Leelawadee">
    <w:panose1 w:val="020B0502040204020203"/>
    <w:charset w:val="00"/>
    <w:family w:val="auto"/>
    <w:pitch w:val="default"/>
    <w:sig w:usb0="810000AF" w:usb1="4000204B" w:usb2="00000000" w:usb3="00000000" w:csb0="20010001" w:csb1="00000000"/>
  </w:font>
  <w:font w:name="Magneto">
    <w:panose1 w:val="04030805050802020D02"/>
    <w:charset w:val="00"/>
    <w:family w:val="auto"/>
    <w:pitch w:val="default"/>
    <w:sig w:usb0="00000003" w:usb1="00000000" w:usb2="00000000" w:usb3="00000000" w:csb0="20000001" w:csb1="00000000"/>
  </w:font>
  <w:font w:name="Miriam">
    <w:panose1 w:val="020B0502050101010101"/>
    <w:charset w:val="00"/>
    <w:family w:val="auto"/>
    <w:pitch w:val="default"/>
    <w:sig w:usb0="00000801" w:usb1="00000000" w:usb2="00000000" w:usb3="00000000" w:csb0="00000020" w:csb1="00200000"/>
  </w:font>
  <w:font w:name="Rage Italic">
    <w:panose1 w:val="03070502040507070304"/>
    <w:charset w:val="00"/>
    <w:family w:val="auto"/>
    <w:pitch w:val="default"/>
    <w:sig w:usb0="00000003" w:usb1="00000000" w:usb2="00000000" w:usb3="00000000" w:csb0="20000001" w:csb1="00000000"/>
  </w:font>
  <w:font w:name="Shonar Bangla">
    <w:panose1 w:val="020B0502040204020203"/>
    <w:charset w:val="00"/>
    <w:family w:val="auto"/>
    <w:pitch w:val="default"/>
    <w:sig w:usb0="00010003" w:usb1="00000000" w:usb2="00000000" w:usb3="00000000" w:csb0="00000001" w:csb1="00000000"/>
  </w:font>
  <w:font w:name="Tempus Sans ITC">
    <w:panose1 w:val="04020404030D07020202"/>
    <w:charset w:val="00"/>
    <w:family w:val="auto"/>
    <w:pitch w:val="default"/>
    <w:sig w:usb0="00000003" w:usb1="00000000" w:usb2="00000000" w:usb3="00000000" w:csb0="20000001"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宋体">
    <w:altName w:val="宋体"/>
    <w:panose1 w:val="00000000000000000000"/>
    <w:charset w:val="00"/>
    <w:family w:val="auto"/>
    <w:pitch w:val="default"/>
    <w:sig w:usb0="00000000" w:usb1="00000000" w:usb2="00000000" w:usb3="00000000" w:csb0="00000000" w:csb1="00000000"/>
  </w:font>
  <w:font w:name="方正宋体-">
    <w:altName w:val="宋体"/>
    <w:panose1 w:val="00000000000000000000"/>
    <w:charset w:val="00"/>
    <w:family w:val="auto"/>
    <w:pitch w:val="default"/>
    <w:sig w:usb0="00000000" w:usb1="00000000" w:usb2="00000000" w:usb3="00000000" w:csb0="00000000" w:csb1="00000000"/>
  </w:font>
  <w:font w:name="方正宋体-G">
    <w:altName w:val="宋体"/>
    <w:panose1 w:val="00000000000000000000"/>
    <w:charset w:val="00"/>
    <w:family w:val="auto"/>
    <w:pitch w:val="default"/>
    <w:sig w:usb0="00000000" w:usb1="00000000" w:usb2="00000000" w:usb3="00000000" w:csb0="00000000" w:csb1="00000000"/>
  </w:font>
  <w:font w:name="方正宋体-GB">
    <w:altName w:val="宋体"/>
    <w:panose1 w:val="00000000000000000000"/>
    <w:charset w:val="00"/>
    <w:family w:val="auto"/>
    <w:pitch w:val="default"/>
    <w:sig w:usb0="00000000" w:usb1="00000000" w:usb2="00000000" w:usb3="00000000" w:csb0="00000000" w:csb1="00000000"/>
  </w:font>
  <w:font w:name="方正宋体-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4964F5"/>
    <w:rsid w:val="08634FFA"/>
    <w:rsid w:val="0E346326"/>
    <w:rsid w:val="199877F4"/>
    <w:rsid w:val="32FB3820"/>
    <w:rsid w:val="374964F5"/>
    <w:rsid w:val="6DBC6E16"/>
    <w:rsid w:val="75D644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able of authorities"/>
    <w:basedOn w:val="1"/>
    <w:next w:val="1"/>
    <w:uiPriority w:val="0"/>
    <w:pPr>
      <w:ind w:left="420" w:leftChars="200"/>
    </w:p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WPSOffice手动目录 1"/>
    <w:uiPriority w:val="0"/>
    <w:pPr>
      <w:ind w:leftChars="0"/>
    </w:pPr>
    <w:rPr>
      <w:sz w:val="20"/>
      <w:szCs w:val="20"/>
    </w:rPr>
  </w:style>
</w:styles>
</file>

<file path=word/_rels/document.xml.rels><?xml version="1.0" encoding="UTF-8" standalone="yes"?>
<Relationships xmlns="http://schemas.openxmlformats.org/package/2006/relationships"><Relationship Id="rId7" Type="http://schemas.openxmlformats.org/officeDocument/2006/relationships/glossaryDocument" Target="glossary/document.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85f6fbd-0cde-4420-9d97-1261eb1f1ce3}"/>
        <w:style w:val=""/>
        <w:category>
          <w:name w:val="常规"/>
          <w:gallery w:val="placeholder"/>
        </w:category>
        <w:types>
          <w:type w:val="bbPlcHdr"/>
        </w:types>
        <w:behaviors>
          <w:behavior w:val="content"/>
        </w:behaviors>
        <w:description w:val=""/>
        <w:guid w:val="{685f6fbd-0cde-4420-9d97-1261eb1f1ce3}"/>
      </w:docPartPr>
      <w:docPartBody>
        <w:p>
          <w:r>
            <w:rPr>
              <w:color w:val="808080"/>
            </w:rPr>
            <w:t>单击此处输入文字。</w:t>
          </w:r>
        </w:p>
      </w:docPartBody>
    </w:docPart>
    <w:docPart>
      <w:docPartPr>
        <w:name w:val="{ba7dc421-2946-43e7-aa21-48dd8cded1ec}"/>
        <w:style w:val=""/>
        <w:category>
          <w:name w:val="常规"/>
          <w:gallery w:val="placeholder"/>
        </w:category>
        <w:types>
          <w:type w:val="bbPlcHdr"/>
        </w:types>
        <w:behaviors>
          <w:behavior w:val="content"/>
        </w:behaviors>
        <w:description w:val=""/>
        <w:guid w:val="{ba7dc421-2946-43e7-aa21-48dd8cded1ec}"/>
      </w:docPartPr>
      <w:docPartBody>
        <w:p>
          <w:r>
            <w:rPr>
              <w:color w:val="808080"/>
            </w:rPr>
            <w:t>单击此处输入文字。</w:t>
          </w:r>
        </w:p>
      </w:docPartBody>
    </w:docPart>
    <w:docPart>
      <w:docPartPr>
        <w:name w:val="{61da2a86-a981-4dd3-be7e-48d4e664b92f}"/>
        <w:style w:val=""/>
        <w:category>
          <w:name w:val="常规"/>
          <w:gallery w:val="placeholder"/>
        </w:category>
        <w:types>
          <w:type w:val="bbPlcHdr"/>
        </w:types>
        <w:behaviors>
          <w:behavior w:val="content"/>
        </w:behaviors>
        <w:description w:val=""/>
        <w:guid w:val="{61da2a86-a981-4dd3-be7e-48d4e664b92f}"/>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2026-02-25T02:17:00Z</dcterms:created>
  <dc:creator>Administrator</dc:creator>
  <cp:lastModifiedBy>Administrator</cp:lastModifiedBy>
  <dcterms:modified xsi:type="dcterms:W3CDTF">2026-02-25T03:38:25Z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