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452行唐县医疗保障局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5158.22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36.37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5121.85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5158.22</w:t>
            </w:r>
          </w:p>
        </w:tc>
        <w:tc>
          <w:tcPr>
            <w:tcW w:w="4535" w:type="dxa"/>
            <w:vAlign w:val="center"/>
          </w:tcPr>
          <w:p>
            <w:pPr>
              <w:pStyle w:val="15"/>
            </w:pPr>
            <w:r>
              <w:t>本年支出合计</w:t>
            </w:r>
          </w:p>
        </w:tc>
        <w:tc>
          <w:tcPr>
            <w:tcW w:w="2126" w:type="dxa"/>
            <w:vAlign w:val="center"/>
          </w:tcPr>
          <w:p>
            <w:pPr>
              <w:pStyle w:val="16"/>
            </w:pPr>
            <w:r>
              <w:t>5158.22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5158.22</w:t>
            </w:r>
          </w:p>
        </w:tc>
        <w:tc>
          <w:tcPr>
            <w:tcW w:w="4535" w:type="dxa"/>
            <w:vAlign w:val="center"/>
          </w:tcPr>
          <w:p>
            <w:pPr>
              <w:pStyle w:val="15"/>
            </w:pPr>
            <w:r>
              <w:t>支出总计</w:t>
            </w:r>
          </w:p>
        </w:tc>
        <w:tc>
          <w:tcPr>
            <w:tcW w:w="2126" w:type="dxa"/>
            <w:vAlign w:val="center"/>
          </w:tcPr>
          <w:p>
            <w:pPr>
              <w:pStyle w:val="16"/>
            </w:pPr>
            <w:r>
              <w:t>5158.22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452行唐县医疗保障局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5158.22</w:t>
            </w:r>
          </w:p>
        </w:tc>
        <w:tc>
          <w:tcPr>
            <w:tcW w:w="1134" w:type="dxa"/>
            <w:vAlign w:val="center"/>
          </w:tcPr>
          <w:p>
            <w:pPr>
              <w:pStyle w:val="16"/>
            </w:pPr>
            <w:r>
              <w:t>5158.22</w:t>
            </w:r>
          </w:p>
        </w:tc>
        <w:tc>
          <w:tcPr>
            <w:tcW w:w="1134" w:type="dxa"/>
            <w:vAlign w:val="center"/>
          </w:tcPr>
          <w:p>
            <w:pPr>
              <w:pStyle w:val="16"/>
            </w:pPr>
            <w:r>
              <w:t>5158.22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36.37</w:t>
            </w:r>
          </w:p>
        </w:tc>
        <w:tc>
          <w:tcPr>
            <w:tcW w:w="1134" w:type="dxa"/>
            <w:vAlign w:val="center"/>
          </w:tcPr>
          <w:p>
            <w:pPr>
              <w:pStyle w:val="12"/>
            </w:pPr>
            <w:r>
              <w:t>36.37</w:t>
            </w:r>
          </w:p>
        </w:tc>
        <w:tc>
          <w:tcPr>
            <w:tcW w:w="1134" w:type="dxa"/>
            <w:vAlign w:val="center"/>
          </w:tcPr>
          <w:p>
            <w:pPr>
              <w:pStyle w:val="12"/>
            </w:pPr>
            <w:r>
              <w:t>36.37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36.37</w:t>
            </w:r>
          </w:p>
        </w:tc>
        <w:tc>
          <w:tcPr>
            <w:tcW w:w="1134" w:type="dxa"/>
            <w:vAlign w:val="center"/>
          </w:tcPr>
          <w:p>
            <w:pPr>
              <w:pStyle w:val="12"/>
            </w:pPr>
            <w:r>
              <w:t>36.37</w:t>
            </w:r>
          </w:p>
        </w:tc>
        <w:tc>
          <w:tcPr>
            <w:tcW w:w="1134" w:type="dxa"/>
            <w:vAlign w:val="center"/>
          </w:tcPr>
          <w:p>
            <w:pPr>
              <w:pStyle w:val="12"/>
            </w:pPr>
            <w:r>
              <w:t>36.37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36.37</w:t>
            </w:r>
          </w:p>
        </w:tc>
        <w:tc>
          <w:tcPr>
            <w:tcW w:w="1134" w:type="dxa"/>
            <w:vAlign w:val="center"/>
          </w:tcPr>
          <w:p>
            <w:pPr>
              <w:pStyle w:val="12"/>
            </w:pPr>
            <w:r>
              <w:t>36.37</w:t>
            </w:r>
          </w:p>
        </w:tc>
        <w:tc>
          <w:tcPr>
            <w:tcW w:w="1134" w:type="dxa"/>
            <w:vAlign w:val="center"/>
          </w:tcPr>
          <w:p>
            <w:pPr>
              <w:pStyle w:val="12"/>
            </w:pPr>
            <w:r>
              <w:t>36.37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5121.85</w:t>
            </w:r>
          </w:p>
        </w:tc>
        <w:tc>
          <w:tcPr>
            <w:tcW w:w="1134" w:type="dxa"/>
            <w:vAlign w:val="center"/>
          </w:tcPr>
          <w:p>
            <w:pPr>
              <w:pStyle w:val="12"/>
            </w:pPr>
            <w:r>
              <w:t>5121.85</w:t>
            </w:r>
          </w:p>
        </w:tc>
        <w:tc>
          <w:tcPr>
            <w:tcW w:w="1134" w:type="dxa"/>
            <w:vAlign w:val="center"/>
          </w:tcPr>
          <w:p>
            <w:pPr>
              <w:pStyle w:val="12"/>
            </w:pPr>
            <w:r>
              <w:t>5121.85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15.64</w:t>
            </w:r>
          </w:p>
        </w:tc>
        <w:tc>
          <w:tcPr>
            <w:tcW w:w="1134" w:type="dxa"/>
            <w:vAlign w:val="center"/>
          </w:tcPr>
          <w:p>
            <w:pPr>
              <w:pStyle w:val="12"/>
            </w:pPr>
            <w:r>
              <w:t>15.64</w:t>
            </w:r>
          </w:p>
        </w:tc>
        <w:tc>
          <w:tcPr>
            <w:tcW w:w="1134" w:type="dxa"/>
            <w:vAlign w:val="center"/>
          </w:tcPr>
          <w:p>
            <w:pPr>
              <w:pStyle w:val="12"/>
            </w:pPr>
            <w:r>
              <w:t>15.64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15.64</w:t>
            </w:r>
          </w:p>
        </w:tc>
        <w:tc>
          <w:tcPr>
            <w:tcW w:w="1134" w:type="dxa"/>
            <w:vAlign w:val="center"/>
          </w:tcPr>
          <w:p>
            <w:pPr>
              <w:pStyle w:val="12"/>
            </w:pPr>
            <w:r>
              <w:t>15.64</w:t>
            </w:r>
          </w:p>
        </w:tc>
        <w:tc>
          <w:tcPr>
            <w:tcW w:w="1134" w:type="dxa"/>
            <w:vAlign w:val="center"/>
          </w:tcPr>
          <w:p>
            <w:pPr>
              <w:pStyle w:val="12"/>
            </w:pPr>
            <w:r>
              <w:t>15.64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21012</w:t>
            </w:r>
          </w:p>
        </w:tc>
        <w:tc>
          <w:tcPr>
            <w:tcW w:w="1559" w:type="dxa"/>
            <w:vAlign w:val="center"/>
          </w:tcPr>
          <w:p>
            <w:pPr>
              <w:pStyle w:val="13"/>
            </w:pPr>
            <w:r>
              <w:t>财政对基本医疗保险基金的补助</w:t>
            </w:r>
          </w:p>
        </w:tc>
        <w:tc>
          <w:tcPr>
            <w:tcW w:w="1134" w:type="dxa"/>
            <w:vAlign w:val="center"/>
          </w:tcPr>
          <w:p>
            <w:pPr>
              <w:pStyle w:val="12"/>
            </w:pPr>
            <w:r>
              <w:t>4630.00</w:t>
            </w:r>
          </w:p>
        </w:tc>
        <w:tc>
          <w:tcPr>
            <w:tcW w:w="1134" w:type="dxa"/>
            <w:vAlign w:val="center"/>
          </w:tcPr>
          <w:p>
            <w:pPr>
              <w:pStyle w:val="12"/>
            </w:pPr>
            <w:r>
              <w:t>4630.00</w:t>
            </w:r>
          </w:p>
        </w:tc>
        <w:tc>
          <w:tcPr>
            <w:tcW w:w="1134" w:type="dxa"/>
            <w:vAlign w:val="center"/>
          </w:tcPr>
          <w:p>
            <w:pPr>
              <w:pStyle w:val="12"/>
            </w:pPr>
            <w:r>
              <w:t>4630.00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2101202</w:t>
            </w:r>
          </w:p>
        </w:tc>
        <w:tc>
          <w:tcPr>
            <w:tcW w:w="1559" w:type="dxa"/>
            <w:vAlign w:val="center"/>
          </w:tcPr>
          <w:p>
            <w:pPr>
              <w:pStyle w:val="13"/>
            </w:pPr>
            <w:r>
              <w:t>财政对城乡居民基本医疗保险基金的补助</w:t>
            </w:r>
          </w:p>
        </w:tc>
        <w:tc>
          <w:tcPr>
            <w:tcW w:w="1134" w:type="dxa"/>
            <w:vAlign w:val="center"/>
          </w:tcPr>
          <w:p>
            <w:pPr>
              <w:pStyle w:val="12"/>
            </w:pPr>
            <w:r>
              <w:t>4630.00</w:t>
            </w:r>
          </w:p>
        </w:tc>
        <w:tc>
          <w:tcPr>
            <w:tcW w:w="1134" w:type="dxa"/>
            <w:vAlign w:val="center"/>
          </w:tcPr>
          <w:p>
            <w:pPr>
              <w:pStyle w:val="12"/>
            </w:pPr>
            <w:r>
              <w:t>4630.00</w:t>
            </w:r>
          </w:p>
        </w:tc>
        <w:tc>
          <w:tcPr>
            <w:tcW w:w="1134" w:type="dxa"/>
            <w:vAlign w:val="center"/>
          </w:tcPr>
          <w:p>
            <w:pPr>
              <w:pStyle w:val="12"/>
            </w:pPr>
            <w:r>
              <w:t>4630.00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21013</w:t>
            </w:r>
          </w:p>
        </w:tc>
        <w:tc>
          <w:tcPr>
            <w:tcW w:w="1559" w:type="dxa"/>
            <w:vAlign w:val="center"/>
          </w:tcPr>
          <w:p>
            <w:pPr>
              <w:pStyle w:val="13"/>
            </w:pPr>
            <w:r>
              <w:t>医疗救助</w:t>
            </w:r>
          </w:p>
        </w:tc>
        <w:tc>
          <w:tcPr>
            <w:tcW w:w="1134" w:type="dxa"/>
            <w:vAlign w:val="center"/>
          </w:tcPr>
          <w:p>
            <w:pPr>
              <w:pStyle w:val="12"/>
            </w:pPr>
            <w:r>
              <w:t>51.30</w:t>
            </w:r>
          </w:p>
        </w:tc>
        <w:tc>
          <w:tcPr>
            <w:tcW w:w="1134" w:type="dxa"/>
            <w:vAlign w:val="center"/>
          </w:tcPr>
          <w:p>
            <w:pPr>
              <w:pStyle w:val="12"/>
            </w:pPr>
            <w:r>
              <w:t>51.30</w:t>
            </w:r>
          </w:p>
        </w:tc>
        <w:tc>
          <w:tcPr>
            <w:tcW w:w="1134" w:type="dxa"/>
            <w:vAlign w:val="center"/>
          </w:tcPr>
          <w:p>
            <w:pPr>
              <w:pStyle w:val="12"/>
            </w:pPr>
            <w:r>
              <w:t>51.30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2101301</w:t>
            </w:r>
          </w:p>
        </w:tc>
        <w:tc>
          <w:tcPr>
            <w:tcW w:w="1559" w:type="dxa"/>
            <w:vAlign w:val="center"/>
          </w:tcPr>
          <w:p>
            <w:pPr>
              <w:pStyle w:val="13"/>
            </w:pPr>
            <w:r>
              <w:t>城乡医疗救助</w:t>
            </w:r>
          </w:p>
        </w:tc>
        <w:tc>
          <w:tcPr>
            <w:tcW w:w="1134" w:type="dxa"/>
            <w:vAlign w:val="center"/>
          </w:tcPr>
          <w:p>
            <w:pPr>
              <w:pStyle w:val="12"/>
            </w:pPr>
            <w:r>
              <w:t>51.30</w:t>
            </w:r>
          </w:p>
        </w:tc>
        <w:tc>
          <w:tcPr>
            <w:tcW w:w="1134" w:type="dxa"/>
            <w:vAlign w:val="center"/>
          </w:tcPr>
          <w:p>
            <w:pPr>
              <w:pStyle w:val="12"/>
            </w:pPr>
            <w:r>
              <w:t>51.30</w:t>
            </w:r>
          </w:p>
        </w:tc>
        <w:tc>
          <w:tcPr>
            <w:tcW w:w="1134" w:type="dxa"/>
            <w:vAlign w:val="center"/>
          </w:tcPr>
          <w:p>
            <w:pPr>
              <w:pStyle w:val="12"/>
            </w:pPr>
            <w:r>
              <w:t>51.30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21015</w:t>
            </w:r>
          </w:p>
        </w:tc>
        <w:tc>
          <w:tcPr>
            <w:tcW w:w="1559" w:type="dxa"/>
            <w:vAlign w:val="center"/>
          </w:tcPr>
          <w:p>
            <w:pPr>
              <w:pStyle w:val="13"/>
            </w:pPr>
            <w:r>
              <w:t>医疗保障管理事务</w:t>
            </w:r>
          </w:p>
        </w:tc>
        <w:tc>
          <w:tcPr>
            <w:tcW w:w="1134" w:type="dxa"/>
            <w:vAlign w:val="center"/>
          </w:tcPr>
          <w:p>
            <w:pPr>
              <w:pStyle w:val="12"/>
            </w:pPr>
            <w:r>
              <w:t>422.71</w:t>
            </w:r>
          </w:p>
        </w:tc>
        <w:tc>
          <w:tcPr>
            <w:tcW w:w="1134" w:type="dxa"/>
            <w:vAlign w:val="center"/>
          </w:tcPr>
          <w:p>
            <w:pPr>
              <w:pStyle w:val="12"/>
            </w:pPr>
            <w:r>
              <w:t>422.71</w:t>
            </w:r>
          </w:p>
        </w:tc>
        <w:tc>
          <w:tcPr>
            <w:tcW w:w="1134" w:type="dxa"/>
            <w:vAlign w:val="center"/>
          </w:tcPr>
          <w:p>
            <w:pPr>
              <w:pStyle w:val="12"/>
            </w:pPr>
            <w:r>
              <w:t>422.71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2101501</w:t>
            </w:r>
          </w:p>
        </w:tc>
        <w:tc>
          <w:tcPr>
            <w:tcW w:w="1559" w:type="dxa"/>
            <w:vAlign w:val="center"/>
          </w:tcPr>
          <w:p>
            <w:pPr>
              <w:pStyle w:val="13"/>
            </w:pPr>
            <w:r>
              <w:t>行政运行</w:t>
            </w:r>
          </w:p>
        </w:tc>
        <w:tc>
          <w:tcPr>
            <w:tcW w:w="1134" w:type="dxa"/>
            <w:vAlign w:val="center"/>
          </w:tcPr>
          <w:p>
            <w:pPr>
              <w:pStyle w:val="12"/>
            </w:pPr>
            <w:r>
              <w:t>355.21</w:t>
            </w:r>
          </w:p>
        </w:tc>
        <w:tc>
          <w:tcPr>
            <w:tcW w:w="1134" w:type="dxa"/>
            <w:vAlign w:val="center"/>
          </w:tcPr>
          <w:p>
            <w:pPr>
              <w:pStyle w:val="12"/>
            </w:pPr>
            <w:r>
              <w:t>355.21</w:t>
            </w:r>
          </w:p>
        </w:tc>
        <w:tc>
          <w:tcPr>
            <w:tcW w:w="1134" w:type="dxa"/>
            <w:vAlign w:val="center"/>
          </w:tcPr>
          <w:p>
            <w:pPr>
              <w:pStyle w:val="12"/>
            </w:pPr>
            <w:r>
              <w:t>355.21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2101502</w:t>
            </w:r>
          </w:p>
        </w:tc>
        <w:tc>
          <w:tcPr>
            <w:tcW w:w="1559" w:type="dxa"/>
            <w:vAlign w:val="center"/>
          </w:tcPr>
          <w:p>
            <w:pPr>
              <w:pStyle w:val="13"/>
            </w:pPr>
            <w:r>
              <w:t>一般行政管理事务</w:t>
            </w:r>
          </w:p>
        </w:tc>
        <w:tc>
          <w:tcPr>
            <w:tcW w:w="1134" w:type="dxa"/>
            <w:vAlign w:val="center"/>
          </w:tcPr>
          <w:p>
            <w:pPr>
              <w:pStyle w:val="12"/>
            </w:pPr>
            <w:r>
              <w:t>38.50</w:t>
            </w:r>
          </w:p>
        </w:tc>
        <w:tc>
          <w:tcPr>
            <w:tcW w:w="1134" w:type="dxa"/>
            <w:vAlign w:val="center"/>
          </w:tcPr>
          <w:p>
            <w:pPr>
              <w:pStyle w:val="12"/>
            </w:pPr>
            <w:r>
              <w:t>38.50</w:t>
            </w:r>
          </w:p>
        </w:tc>
        <w:tc>
          <w:tcPr>
            <w:tcW w:w="1134" w:type="dxa"/>
            <w:vAlign w:val="center"/>
          </w:tcPr>
          <w:p>
            <w:pPr>
              <w:pStyle w:val="12"/>
            </w:pPr>
            <w:r>
              <w:t>38.50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2101505</w:t>
            </w:r>
          </w:p>
        </w:tc>
        <w:tc>
          <w:tcPr>
            <w:tcW w:w="1559" w:type="dxa"/>
            <w:vAlign w:val="center"/>
          </w:tcPr>
          <w:p>
            <w:pPr>
              <w:pStyle w:val="13"/>
            </w:pPr>
            <w:r>
              <w:t>医疗保障政策管理</w:t>
            </w:r>
          </w:p>
        </w:tc>
        <w:tc>
          <w:tcPr>
            <w:tcW w:w="1134" w:type="dxa"/>
            <w:vAlign w:val="center"/>
          </w:tcPr>
          <w:p>
            <w:pPr>
              <w:pStyle w:val="12"/>
            </w:pPr>
            <w:r>
              <w:t>29.00</w:t>
            </w:r>
          </w:p>
        </w:tc>
        <w:tc>
          <w:tcPr>
            <w:tcW w:w="1134" w:type="dxa"/>
            <w:vAlign w:val="center"/>
          </w:tcPr>
          <w:p>
            <w:pPr>
              <w:pStyle w:val="12"/>
            </w:pPr>
            <w:r>
              <w:t>29.00</w:t>
            </w:r>
          </w:p>
        </w:tc>
        <w:tc>
          <w:tcPr>
            <w:tcW w:w="1134" w:type="dxa"/>
            <w:vAlign w:val="center"/>
          </w:tcPr>
          <w:p>
            <w:pPr>
              <w:pStyle w:val="12"/>
            </w:pPr>
            <w:r>
              <w:t>29.00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21099</w:t>
            </w:r>
          </w:p>
        </w:tc>
        <w:tc>
          <w:tcPr>
            <w:tcW w:w="1559" w:type="dxa"/>
            <w:vAlign w:val="center"/>
          </w:tcPr>
          <w:p>
            <w:pPr>
              <w:pStyle w:val="13"/>
            </w:pPr>
            <w:r>
              <w:t>其他卫生健康支出</w:t>
            </w:r>
          </w:p>
        </w:tc>
        <w:tc>
          <w:tcPr>
            <w:tcW w:w="1134" w:type="dxa"/>
            <w:vAlign w:val="center"/>
          </w:tcPr>
          <w:p>
            <w:pPr>
              <w:pStyle w:val="12"/>
            </w:pPr>
            <w:r>
              <w:t>2.20</w:t>
            </w:r>
          </w:p>
        </w:tc>
        <w:tc>
          <w:tcPr>
            <w:tcW w:w="1134" w:type="dxa"/>
            <w:vAlign w:val="center"/>
          </w:tcPr>
          <w:p>
            <w:pPr>
              <w:pStyle w:val="12"/>
            </w:pPr>
            <w:r>
              <w:t>2.20</w:t>
            </w:r>
          </w:p>
        </w:tc>
        <w:tc>
          <w:tcPr>
            <w:tcW w:w="1134" w:type="dxa"/>
            <w:vAlign w:val="center"/>
          </w:tcPr>
          <w:p>
            <w:pPr>
              <w:pStyle w:val="12"/>
            </w:pPr>
            <w:r>
              <w:t>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2109999</w:t>
            </w:r>
          </w:p>
        </w:tc>
        <w:tc>
          <w:tcPr>
            <w:tcW w:w="1559" w:type="dxa"/>
            <w:vAlign w:val="center"/>
          </w:tcPr>
          <w:p>
            <w:pPr>
              <w:pStyle w:val="13"/>
            </w:pPr>
            <w:r>
              <w:t>其他卫生健康支出</w:t>
            </w:r>
          </w:p>
        </w:tc>
        <w:tc>
          <w:tcPr>
            <w:tcW w:w="1134" w:type="dxa"/>
            <w:vAlign w:val="center"/>
          </w:tcPr>
          <w:p>
            <w:pPr>
              <w:pStyle w:val="12"/>
            </w:pPr>
            <w:r>
              <w:t>2.20</w:t>
            </w:r>
          </w:p>
        </w:tc>
        <w:tc>
          <w:tcPr>
            <w:tcW w:w="1134" w:type="dxa"/>
            <w:vAlign w:val="center"/>
          </w:tcPr>
          <w:p>
            <w:pPr>
              <w:pStyle w:val="12"/>
            </w:pPr>
            <w:r>
              <w:t>2.20</w:t>
            </w:r>
          </w:p>
        </w:tc>
        <w:tc>
          <w:tcPr>
            <w:tcW w:w="1134" w:type="dxa"/>
            <w:vAlign w:val="center"/>
          </w:tcPr>
          <w:p>
            <w:pPr>
              <w:pStyle w:val="12"/>
            </w:pPr>
            <w:r>
              <w:t>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452行唐县医疗保障局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5158.22</w:t>
            </w:r>
          </w:p>
        </w:tc>
        <w:tc>
          <w:tcPr>
            <w:tcW w:w="1361" w:type="dxa"/>
            <w:vAlign w:val="center"/>
          </w:tcPr>
          <w:p>
            <w:pPr>
              <w:pStyle w:val="16"/>
            </w:pPr>
            <w:r>
              <w:t>407.22</w:t>
            </w:r>
          </w:p>
        </w:tc>
        <w:tc>
          <w:tcPr>
            <w:tcW w:w="1361" w:type="dxa"/>
            <w:vAlign w:val="center"/>
          </w:tcPr>
          <w:p>
            <w:pPr>
              <w:pStyle w:val="16"/>
            </w:pPr>
            <w:r>
              <w:t>4751.00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36.37</w:t>
            </w:r>
          </w:p>
        </w:tc>
        <w:tc>
          <w:tcPr>
            <w:tcW w:w="1361" w:type="dxa"/>
            <w:vAlign w:val="center"/>
          </w:tcPr>
          <w:p>
            <w:pPr>
              <w:pStyle w:val="12"/>
            </w:pPr>
            <w:r>
              <w:t>36.37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36.37</w:t>
            </w:r>
          </w:p>
        </w:tc>
        <w:tc>
          <w:tcPr>
            <w:tcW w:w="1361" w:type="dxa"/>
            <w:vAlign w:val="center"/>
          </w:tcPr>
          <w:p>
            <w:pPr>
              <w:pStyle w:val="12"/>
            </w:pPr>
            <w:r>
              <w:t>36.37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36.37</w:t>
            </w:r>
          </w:p>
        </w:tc>
        <w:tc>
          <w:tcPr>
            <w:tcW w:w="1361" w:type="dxa"/>
            <w:vAlign w:val="center"/>
          </w:tcPr>
          <w:p>
            <w:pPr>
              <w:pStyle w:val="12"/>
            </w:pPr>
            <w:r>
              <w:t>36.37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5121.85</w:t>
            </w:r>
          </w:p>
        </w:tc>
        <w:tc>
          <w:tcPr>
            <w:tcW w:w="1361" w:type="dxa"/>
            <w:vAlign w:val="center"/>
          </w:tcPr>
          <w:p>
            <w:pPr>
              <w:pStyle w:val="12"/>
            </w:pPr>
            <w:r>
              <w:t>370.85</w:t>
            </w:r>
          </w:p>
        </w:tc>
        <w:tc>
          <w:tcPr>
            <w:tcW w:w="1361" w:type="dxa"/>
            <w:vAlign w:val="center"/>
          </w:tcPr>
          <w:p>
            <w:pPr>
              <w:pStyle w:val="12"/>
            </w:pPr>
            <w:r>
              <w:t>4751.00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15.64</w:t>
            </w:r>
          </w:p>
        </w:tc>
        <w:tc>
          <w:tcPr>
            <w:tcW w:w="1361" w:type="dxa"/>
            <w:vAlign w:val="center"/>
          </w:tcPr>
          <w:p>
            <w:pPr>
              <w:pStyle w:val="12"/>
            </w:pPr>
            <w:r>
              <w:t>15.64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15.64</w:t>
            </w:r>
          </w:p>
        </w:tc>
        <w:tc>
          <w:tcPr>
            <w:tcW w:w="1361" w:type="dxa"/>
            <w:vAlign w:val="center"/>
          </w:tcPr>
          <w:p>
            <w:pPr>
              <w:pStyle w:val="12"/>
            </w:pPr>
            <w:r>
              <w:t>15.64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21012</w:t>
            </w:r>
          </w:p>
        </w:tc>
        <w:tc>
          <w:tcPr>
            <w:tcW w:w="4535" w:type="dxa"/>
            <w:vAlign w:val="center"/>
          </w:tcPr>
          <w:p>
            <w:pPr>
              <w:pStyle w:val="13"/>
            </w:pPr>
            <w:r>
              <w:t>财政对基本医疗保险基金的补助</w:t>
            </w:r>
          </w:p>
        </w:tc>
        <w:tc>
          <w:tcPr>
            <w:tcW w:w="1361" w:type="dxa"/>
            <w:vAlign w:val="center"/>
          </w:tcPr>
          <w:p>
            <w:pPr>
              <w:pStyle w:val="12"/>
            </w:pPr>
            <w:r>
              <w:t>4630.00</w:t>
            </w:r>
          </w:p>
        </w:tc>
        <w:tc>
          <w:tcPr>
            <w:tcW w:w="1361" w:type="dxa"/>
            <w:vAlign w:val="center"/>
          </w:tcPr>
          <w:p>
            <w:pPr>
              <w:pStyle w:val="12"/>
            </w:pPr>
          </w:p>
        </w:tc>
        <w:tc>
          <w:tcPr>
            <w:tcW w:w="1361" w:type="dxa"/>
            <w:vAlign w:val="center"/>
          </w:tcPr>
          <w:p>
            <w:pPr>
              <w:pStyle w:val="12"/>
            </w:pPr>
            <w:r>
              <w:t>4630.00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2101202</w:t>
            </w:r>
          </w:p>
        </w:tc>
        <w:tc>
          <w:tcPr>
            <w:tcW w:w="4535" w:type="dxa"/>
            <w:vAlign w:val="center"/>
          </w:tcPr>
          <w:p>
            <w:pPr>
              <w:pStyle w:val="13"/>
            </w:pPr>
            <w:r>
              <w:t>财政对城乡居民基本医疗保险基金的补助</w:t>
            </w:r>
          </w:p>
        </w:tc>
        <w:tc>
          <w:tcPr>
            <w:tcW w:w="1361" w:type="dxa"/>
            <w:vAlign w:val="center"/>
          </w:tcPr>
          <w:p>
            <w:pPr>
              <w:pStyle w:val="12"/>
            </w:pPr>
            <w:r>
              <w:t>4630.00</w:t>
            </w:r>
          </w:p>
        </w:tc>
        <w:tc>
          <w:tcPr>
            <w:tcW w:w="1361" w:type="dxa"/>
            <w:vAlign w:val="center"/>
          </w:tcPr>
          <w:p>
            <w:pPr>
              <w:pStyle w:val="12"/>
            </w:pPr>
          </w:p>
        </w:tc>
        <w:tc>
          <w:tcPr>
            <w:tcW w:w="1361" w:type="dxa"/>
            <w:vAlign w:val="center"/>
          </w:tcPr>
          <w:p>
            <w:pPr>
              <w:pStyle w:val="12"/>
            </w:pPr>
            <w:r>
              <w:t>4630.00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21013</w:t>
            </w:r>
          </w:p>
        </w:tc>
        <w:tc>
          <w:tcPr>
            <w:tcW w:w="4535" w:type="dxa"/>
            <w:vAlign w:val="center"/>
          </w:tcPr>
          <w:p>
            <w:pPr>
              <w:pStyle w:val="13"/>
            </w:pPr>
            <w:r>
              <w:t>医疗救助</w:t>
            </w:r>
          </w:p>
        </w:tc>
        <w:tc>
          <w:tcPr>
            <w:tcW w:w="1361" w:type="dxa"/>
            <w:vAlign w:val="center"/>
          </w:tcPr>
          <w:p>
            <w:pPr>
              <w:pStyle w:val="12"/>
            </w:pPr>
            <w:r>
              <w:t>51.30</w:t>
            </w:r>
          </w:p>
        </w:tc>
        <w:tc>
          <w:tcPr>
            <w:tcW w:w="1361" w:type="dxa"/>
            <w:vAlign w:val="center"/>
          </w:tcPr>
          <w:p>
            <w:pPr>
              <w:pStyle w:val="12"/>
            </w:pPr>
          </w:p>
        </w:tc>
        <w:tc>
          <w:tcPr>
            <w:tcW w:w="1361" w:type="dxa"/>
            <w:vAlign w:val="center"/>
          </w:tcPr>
          <w:p>
            <w:pPr>
              <w:pStyle w:val="12"/>
            </w:pPr>
            <w:r>
              <w:t>51.30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2101301</w:t>
            </w:r>
          </w:p>
        </w:tc>
        <w:tc>
          <w:tcPr>
            <w:tcW w:w="4535" w:type="dxa"/>
            <w:vAlign w:val="center"/>
          </w:tcPr>
          <w:p>
            <w:pPr>
              <w:pStyle w:val="13"/>
            </w:pPr>
            <w:r>
              <w:t>城乡医疗救助</w:t>
            </w:r>
          </w:p>
        </w:tc>
        <w:tc>
          <w:tcPr>
            <w:tcW w:w="1361" w:type="dxa"/>
            <w:vAlign w:val="center"/>
          </w:tcPr>
          <w:p>
            <w:pPr>
              <w:pStyle w:val="12"/>
            </w:pPr>
            <w:r>
              <w:t>51.30</w:t>
            </w:r>
          </w:p>
        </w:tc>
        <w:tc>
          <w:tcPr>
            <w:tcW w:w="1361" w:type="dxa"/>
            <w:vAlign w:val="center"/>
          </w:tcPr>
          <w:p>
            <w:pPr>
              <w:pStyle w:val="12"/>
            </w:pPr>
          </w:p>
        </w:tc>
        <w:tc>
          <w:tcPr>
            <w:tcW w:w="1361" w:type="dxa"/>
            <w:vAlign w:val="center"/>
          </w:tcPr>
          <w:p>
            <w:pPr>
              <w:pStyle w:val="12"/>
            </w:pPr>
            <w:r>
              <w:t>51.30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21015</w:t>
            </w:r>
          </w:p>
        </w:tc>
        <w:tc>
          <w:tcPr>
            <w:tcW w:w="4535" w:type="dxa"/>
            <w:vAlign w:val="center"/>
          </w:tcPr>
          <w:p>
            <w:pPr>
              <w:pStyle w:val="13"/>
            </w:pPr>
            <w:r>
              <w:t>医疗保障管理事务</w:t>
            </w:r>
          </w:p>
        </w:tc>
        <w:tc>
          <w:tcPr>
            <w:tcW w:w="1361" w:type="dxa"/>
            <w:vAlign w:val="center"/>
          </w:tcPr>
          <w:p>
            <w:pPr>
              <w:pStyle w:val="12"/>
            </w:pPr>
            <w:r>
              <w:t>422.71</w:t>
            </w:r>
          </w:p>
        </w:tc>
        <w:tc>
          <w:tcPr>
            <w:tcW w:w="1361" w:type="dxa"/>
            <w:vAlign w:val="center"/>
          </w:tcPr>
          <w:p>
            <w:pPr>
              <w:pStyle w:val="12"/>
            </w:pPr>
            <w:r>
              <w:t>355.21</w:t>
            </w:r>
          </w:p>
        </w:tc>
        <w:tc>
          <w:tcPr>
            <w:tcW w:w="1361" w:type="dxa"/>
            <w:vAlign w:val="center"/>
          </w:tcPr>
          <w:p>
            <w:pPr>
              <w:pStyle w:val="12"/>
            </w:pPr>
            <w:r>
              <w:t>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2101501</w:t>
            </w:r>
          </w:p>
        </w:tc>
        <w:tc>
          <w:tcPr>
            <w:tcW w:w="4535" w:type="dxa"/>
            <w:vAlign w:val="center"/>
          </w:tcPr>
          <w:p>
            <w:pPr>
              <w:pStyle w:val="13"/>
            </w:pPr>
            <w:r>
              <w:t>行政运行</w:t>
            </w:r>
          </w:p>
        </w:tc>
        <w:tc>
          <w:tcPr>
            <w:tcW w:w="1361" w:type="dxa"/>
            <w:vAlign w:val="center"/>
          </w:tcPr>
          <w:p>
            <w:pPr>
              <w:pStyle w:val="12"/>
            </w:pPr>
            <w:r>
              <w:t>355.21</w:t>
            </w:r>
          </w:p>
        </w:tc>
        <w:tc>
          <w:tcPr>
            <w:tcW w:w="1361" w:type="dxa"/>
            <w:vAlign w:val="center"/>
          </w:tcPr>
          <w:p>
            <w:pPr>
              <w:pStyle w:val="12"/>
            </w:pPr>
            <w:r>
              <w:t>355.21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2101502</w:t>
            </w:r>
          </w:p>
        </w:tc>
        <w:tc>
          <w:tcPr>
            <w:tcW w:w="4535" w:type="dxa"/>
            <w:vAlign w:val="center"/>
          </w:tcPr>
          <w:p>
            <w:pPr>
              <w:pStyle w:val="13"/>
            </w:pPr>
            <w:r>
              <w:t>一般行政管理事务</w:t>
            </w:r>
          </w:p>
        </w:tc>
        <w:tc>
          <w:tcPr>
            <w:tcW w:w="1361" w:type="dxa"/>
            <w:vAlign w:val="center"/>
          </w:tcPr>
          <w:p>
            <w:pPr>
              <w:pStyle w:val="12"/>
            </w:pPr>
            <w:r>
              <w:t>38.50</w:t>
            </w:r>
          </w:p>
        </w:tc>
        <w:tc>
          <w:tcPr>
            <w:tcW w:w="1361" w:type="dxa"/>
            <w:vAlign w:val="center"/>
          </w:tcPr>
          <w:p>
            <w:pPr>
              <w:pStyle w:val="12"/>
            </w:pPr>
          </w:p>
        </w:tc>
        <w:tc>
          <w:tcPr>
            <w:tcW w:w="1361" w:type="dxa"/>
            <w:vAlign w:val="center"/>
          </w:tcPr>
          <w:p>
            <w:pPr>
              <w:pStyle w:val="12"/>
            </w:pPr>
            <w:r>
              <w:t>38.50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2101505</w:t>
            </w:r>
          </w:p>
        </w:tc>
        <w:tc>
          <w:tcPr>
            <w:tcW w:w="4535" w:type="dxa"/>
            <w:vAlign w:val="center"/>
          </w:tcPr>
          <w:p>
            <w:pPr>
              <w:pStyle w:val="13"/>
            </w:pPr>
            <w:r>
              <w:t>医疗保障政策管理</w:t>
            </w:r>
          </w:p>
        </w:tc>
        <w:tc>
          <w:tcPr>
            <w:tcW w:w="1361" w:type="dxa"/>
            <w:vAlign w:val="center"/>
          </w:tcPr>
          <w:p>
            <w:pPr>
              <w:pStyle w:val="12"/>
            </w:pPr>
            <w:r>
              <w:t>29.00</w:t>
            </w:r>
          </w:p>
        </w:tc>
        <w:tc>
          <w:tcPr>
            <w:tcW w:w="1361" w:type="dxa"/>
            <w:vAlign w:val="center"/>
          </w:tcPr>
          <w:p>
            <w:pPr>
              <w:pStyle w:val="12"/>
            </w:pPr>
          </w:p>
        </w:tc>
        <w:tc>
          <w:tcPr>
            <w:tcW w:w="1361" w:type="dxa"/>
            <w:vAlign w:val="center"/>
          </w:tcPr>
          <w:p>
            <w:pPr>
              <w:pStyle w:val="12"/>
            </w:pPr>
            <w:r>
              <w:t>29.00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21099</w:t>
            </w:r>
          </w:p>
        </w:tc>
        <w:tc>
          <w:tcPr>
            <w:tcW w:w="4535" w:type="dxa"/>
            <w:vAlign w:val="center"/>
          </w:tcPr>
          <w:p>
            <w:pPr>
              <w:pStyle w:val="13"/>
            </w:pPr>
            <w:r>
              <w:t>其他卫生健康支出</w:t>
            </w:r>
          </w:p>
        </w:tc>
        <w:tc>
          <w:tcPr>
            <w:tcW w:w="1361" w:type="dxa"/>
            <w:vAlign w:val="center"/>
          </w:tcPr>
          <w:p>
            <w:pPr>
              <w:pStyle w:val="12"/>
            </w:pPr>
            <w:r>
              <w:t>2.20</w:t>
            </w:r>
          </w:p>
        </w:tc>
        <w:tc>
          <w:tcPr>
            <w:tcW w:w="1361" w:type="dxa"/>
            <w:vAlign w:val="center"/>
          </w:tcPr>
          <w:p>
            <w:pPr>
              <w:pStyle w:val="12"/>
            </w:pPr>
          </w:p>
        </w:tc>
        <w:tc>
          <w:tcPr>
            <w:tcW w:w="1361" w:type="dxa"/>
            <w:vAlign w:val="center"/>
          </w:tcPr>
          <w:p>
            <w:pPr>
              <w:pStyle w:val="12"/>
            </w:pPr>
            <w:r>
              <w:t>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2109999</w:t>
            </w:r>
          </w:p>
        </w:tc>
        <w:tc>
          <w:tcPr>
            <w:tcW w:w="4535" w:type="dxa"/>
            <w:vAlign w:val="center"/>
          </w:tcPr>
          <w:p>
            <w:pPr>
              <w:pStyle w:val="13"/>
            </w:pPr>
            <w:r>
              <w:t>其他卫生健康支出</w:t>
            </w:r>
          </w:p>
        </w:tc>
        <w:tc>
          <w:tcPr>
            <w:tcW w:w="1361" w:type="dxa"/>
            <w:vAlign w:val="center"/>
          </w:tcPr>
          <w:p>
            <w:pPr>
              <w:pStyle w:val="12"/>
            </w:pPr>
            <w:r>
              <w:t>2.20</w:t>
            </w:r>
          </w:p>
        </w:tc>
        <w:tc>
          <w:tcPr>
            <w:tcW w:w="1361" w:type="dxa"/>
            <w:vAlign w:val="center"/>
          </w:tcPr>
          <w:p>
            <w:pPr>
              <w:pStyle w:val="12"/>
            </w:pPr>
          </w:p>
        </w:tc>
        <w:tc>
          <w:tcPr>
            <w:tcW w:w="1361" w:type="dxa"/>
            <w:vAlign w:val="center"/>
          </w:tcPr>
          <w:p>
            <w:pPr>
              <w:pStyle w:val="12"/>
            </w:pPr>
            <w:r>
              <w:t>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452行唐县医疗保障局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5158.22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36.37</w:t>
            </w:r>
          </w:p>
        </w:tc>
        <w:tc>
          <w:tcPr>
            <w:tcW w:w="1474" w:type="dxa"/>
            <w:vAlign w:val="center"/>
          </w:tcPr>
          <w:p>
            <w:pPr>
              <w:pStyle w:val="12"/>
            </w:pPr>
            <w:r>
              <w:t>36.37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5121.85</w:t>
            </w:r>
          </w:p>
        </w:tc>
        <w:tc>
          <w:tcPr>
            <w:tcW w:w="1474" w:type="dxa"/>
            <w:vAlign w:val="center"/>
          </w:tcPr>
          <w:p>
            <w:pPr>
              <w:pStyle w:val="12"/>
            </w:pPr>
            <w:r>
              <w:t>5121.85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5158.22</w:t>
            </w:r>
          </w:p>
        </w:tc>
        <w:tc>
          <w:tcPr>
            <w:tcW w:w="3402" w:type="dxa"/>
            <w:vAlign w:val="center"/>
          </w:tcPr>
          <w:p>
            <w:pPr>
              <w:pStyle w:val="15"/>
            </w:pPr>
            <w:r>
              <w:t>本年支出合计</w:t>
            </w:r>
          </w:p>
        </w:tc>
        <w:tc>
          <w:tcPr>
            <w:tcW w:w="1474" w:type="dxa"/>
            <w:vAlign w:val="center"/>
          </w:tcPr>
          <w:p>
            <w:pPr>
              <w:pStyle w:val="16"/>
            </w:pPr>
            <w:r>
              <w:t>5158.22</w:t>
            </w:r>
          </w:p>
        </w:tc>
        <w:tc>
          <w:tcPr>
            <w:tcW w:w="1474" w:type="dxa"/>
            <w:vAlign w:val="center"/>
          </w:tcPr>
          <w:p>
            <w:pPr>
              <w:pStyle w:val="16"/>
            </w:pPr>
            <w:r>
              <w:t>5158.22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5158.22</w:t>
            </w:r>
          </w:p>
        </w:tc>
        <w:tc>
          <w:tcPr>
            <w:tcW w:w="3402" w:type="dxa"/>
            <w:vAlign w:val="center"/>
          </w:tcPr>
          <w:p>
            <w:pPr>
              <w:pStyle w:val="15"/>
            </w:pPr>
            <w:r>
              <w:t>支出总计</w:t>
            </w:r>
          </w:p>
        </w:tc>
        <w:tc>
          <w:tcPr>
            <w:tcW w:w="1474" w:type="dxa"/>
            <w:vAlign w:val="center"/>
          </w:tcPr>
          <w:p>
            <w:pPr>
              <w:pStyle w:val="16"/>
            </w:pPr>
            <w:r>
              <w:t>5158.22</w:t>
            </w:r>
          </w:p>
        </w:tc>
        <w:tc>
          <w:tcPr>
            <w:tcW w:w="1474" w:type="dxa"/>
            <w:vAlign w:val="center"/>
          </w:tcPr>
          <w:p>
            <w:pPr>
              <w:pStyle w:val="16"/>
            </w:pPr>
            <w:r>
              <w:t>5158.22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452行唐县医疗保障局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5158.22</w:t>
            </w:r>
          </w:p>
        </w:tc>
        <w:tc>
          <w:tcPr>
            <w:tcW w:w="2551" w:type="dxa"/>
            <w:vAlign w:val="center"/>
          </w:tcPr>
          <w:p>
            <w:pPr>
              <w:pStyle w:val="16"/>
            </w:pPr>
            <w:r>
              <w:t>407.22</w:t>
            </w:r>
          </w:p>
        </w:tc>
        <w:tc>
          <w:tcPr>
            <w:tcW w:w="2551" w:type="dxa"/>
            <w:vAlign w:val="center"/>
          </w:tcPr>
          <w:p>
            <w:pPr>
              <w:pStyle w:val="16"/>
            </w:pPr>
            <w:r>
              <w:t>4751.00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36.37</w:t>
            </w:r>
          </w:p>
        </w:tc>
        <w:tc>
          <w:tcPr>
            <w:tcW w:w="2551" w:type="dxa"/>
            <w:vAlign w:val="center"/>
          </w:tcPr>
          <w:p>
            <w:pPr>
              <w:pStyle w:val="12"/>
            </w:pPr>
            <w:r>
              <w:t>36.37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36.37</w:t>
            </w:r>
          </w:p>
        </w:tc>
        <w:tc>
          <w:tcPr>
            <w:tcW w:w="2551" w:type="dxa"/>
            <w:vAlign w:val="center"/>
          </w:tcPr>
          <w:p>
            <w:pPr>
              <w:pStyle w:val="12"/>
            </w:pPr>
            <w:r>
              <w:t>36.37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36.37</w:t>
            </w:r>
          </w:p>
        </w:tc>
        <w:tc>
          <w:tcPr>
            <w:tcW w:w="2551" w:type="dxa"/>
            <w:vAlign w:val="center"/>
          </w:tcPr>
          <w:p>
            <w:pPr>
              <w:pStyle w:val="12"/>
            </w:pPr>
            <w:r>
              <w:t>36.37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5121.85</w:t>
            </w:r>
          </w:p>
        </w:tc>
        <w:tc>
          <w:tcPr>
            <w:tcW w:w="2551" w:type="dxa"/>
            <w:vAlign w:val="center"/>
          </w:tcPr>
          <w:p>
            <w:pPr>
              <w:pStyle w:val="12"/>
            </w:pPr>
            <w:r>
              <w:t>370.85</w:t>
            </w:r>
          </w:p>
        </w:tc>
        <w:tc>
          <w:tcPr>
            <w:tcW w:w="2551" w:type="dxa"/>
            <w:vAlign w:val="center"/>
          </w:tcPr>
          <w:p>
            <w:pPr>
              <w:pStyle w:val="12"/>
            </w:pPr>
            <w:r>
              <w:t>4751.00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15.64</w:t>
            </w:r>
          </w:p>
        </w:tc>
        <w:tc>
          <w:tcPr>
            <w:tcW w:w="2551" w:type="dxa"/>
            <w:vAlign w:val="center"/>
          </w:tcPr>
          <w:p>
            <w:pPr>
              <w:pStyle w:val="12"/>
            </w:pPr>
            <w:r>
              <w:t>15.64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7</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15.64</w:t>
            </w:r>
          </w:p>
        </w:tc>
        <w:tc>
          <w:tcPr>
            <w:tcW w:w="2551" w:type="dxa"/>
            <w:vAlign w:val="center"/>
          </w:tcPr>
          <w:p>
            <w:pPr>
              <w:pStyle w:val="12"/>
            </w:pPr>
            <w:r>
              <w:t>15.64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21012</w:t>
            </w:r>
          </w:p>
        </w:tc>
        <w:tc>
          <w:tcPr>
            <w:tcW w:w="4535" w:type="dxa"/>
            <w:vAlign w:val="center"/>
          </w:tcPr>
          <w:p>
            <w:pPr>
              <w:pStyle w:val="13"/>
            </w:pPr>
            <w:r>
              <w:t>财政对基本医疗保险基金的补助</w:t>
            </w:r>
          </w:p>
        </w:tc>
        <w:tc>
          <w:tcPr>
            <w:tcW w:w="2551" w:type="dxa"/>
            <w:vAlign w:val="center"/>
          </w:tcPr>
          <w:p>
            <w:pPr>
              <w:pStyle w:val="12"/>
            </w:pPr>
            <w:r>
              <w:t>4630.00</w:t>
            </w:r>
          </w:p>
        </w:tc>
        <w:tc>
          <w:tcPr>
            <w:tcW w:w="2551" w:type="dxa"/>
            <w:vAlign w:val="center"/>
          </w:tcPr>
          <w:p>
            <w:pPr>
              <w:pStyle w:val="12"/>
            </w:pPr>
          </w:p>
        </w:tc>
        <w:tc>
          <w:tcPr>
            <w:tcW w:w="2551" w:type="dxa"/>
            <w:vAlign w:val="center"/>
          </w:tcPr>
          <w:p>
            <w:pPr>
              <w:pStyle w:val="12"/>
            </w:pPr>
            <w:r>
              <w:t>4630.00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2101202</w:t>
            </w:r>
          </w:p>
        </w:tc>
        <w:tc>
          <w:tcPr>
            <w:tcW w:w="4535" w:type="dxa"/>
            <w:vAlign w:val="center"/>
          </w:tcPr>
          <w:p>
            <w:pPr>
              <w:pStyle w:val="13"/>
            </w:pPr>
            <w:r>
              <w:t>财政对城乡居民基本医疗保险基金的补助</w:t>
            </w:r>
          </w:p>
        </w:tc>
        <w:tc>
          <w:tcPr>
            <w:tcW w:w="2551" w:type="dxa"/>
            <w:vAlign w:val="center"/>
          </w:tcPr>
          <w:p>
            <w:pPr>
              <w:pStyle w:val="12"/>
            </w:pPr>
            <w:r>
              <w:t>4630.00</w:t>
            </w:r>
          </w:p>
        </w:tc>
        <w:tc>
          <w:tcPr>
            <w:tcW w:w="2551" w:type="dxa"/>
            <w:vAlign w:val="center"/>
          </w:tcPr>
          <w:p>
            <w:pPr>
              <w:pStyle w:val="12"/>
            </w:pPr>
          </w:p>
        </w:tc>
        <w:tc>
          <w:tcPr>
            <w:tcW w:w="2551" w:type="dxa"/>
            <w:vAlign w:val="center"/>
          </w:tcPr>
          <w:p>
            <w:pPr>
              <w:pStyle w:val="12"/>
            </w:pPr>
            <w:r>
              <w:t>4630.00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21013</w:t>
            </w:r>
          </w:p>
        </w:tc>
        <w:tc>
          <w:tcPr>
            <w:tcW w:w="4535" w:type="dxa"/>
            <w:vAlign w:val="center"/>
          </w:tcPr>
          <w:p>
            <w:pPr>
              <w:pStyle w:val="13"/>
            </w:pPr>
            <w:r>
              <w:t>医疗救助</w:t>
            </w:r>
          </w:p>
        </w:tc>
        <w:tc>
          <w:tcPr>
            <w:tcW w:w="2551" w:type="dxa"/>
            <w:vAlign w:val="center"/>
          </w:tcPr>
          <w:p>
            <w:pPr>
              <w:pStyle w:val="12"/>
            </w:pPr>
            <w:r>
              <w:t>51.30</w:t>
            </w:r>
          </w:p>
        </w:tc>
        <w:tc>
          <w:tcPr>
            <w:tcW w:w="2551" w:type="dxa"/>
            <w:vAlign w:val="center"/>
          </w:tcPr>
          <w:p>
            <w:pPr>
              <w:pStyle w:val="12"/>
            </w:pPr>
          </w:p>
        </w:tc>
        <w:tc>
          <w:tcPr>
            <w:tcW w:w="2551" w:type="dxa"/>
            <w:vAlign w:val="center"/>
          </w:tcPr>
          <w:p>
            <w:pPr>
              <w:pStyle w:val="12"/>
            </w:pPr>
            <w:r>
              <w:t>51.30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2101301</w:t>
            </w:r>
          </w:p>
        </w:tc>
        <w:tc>
          <w:tcPr>
            <w:tcW w:w="4535" w:type="dxa"/>
            <w:vAlign w:val="center"/>
          </w:tcPr>
          <w:p>
            <w:pPr>
              <w:pStyle w:val="13"/>
            </w:pPr>
            <w:r>
              <w:t>城乡医疗救助</w:t>
            </w:r>
          </w:p>
        </w:tc>
        <w:tc>
          <w:tcPr>
            <w:tcW w:w="2551" w:type="dxa"/>
            <w:vAlign w:val="center"/>
          </w:tcPr>
          <w:p>
            <w:pPr>
              <w:pStyle w:val="12"/>
            </w:pPr>
            <w:r>
              <w:t>51.30</w:t>
            </w:r>
          </w:p>
        </w:tc>
        <w:tc>
          <w:tcPr>
            <w:tcW w:w="2551" w:type="dxa"/>
            <w:vAlign w:val="center"/>
          </w:tcPr>
          <w:p>
            <w:pPr>
              <w:pStyle w:val="12"/>
            </w:pPr>
          </w:p>
        </w:tc>
        <w:tc>
          <w:tcPr>
            <w:tcW w:w="2551" w:type="dxa"/>
            <w:vAlign w:val="center"/>
          </w:tcPr>
          <w:p>
            <w:pPr>
              <w:pStyle w:val="12"/>
            </w:pPr>
            <w:r>
              <w:t>51.30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21015</w:t>
            </w:r>
          </w:p>
        </w:tc>
        <w:tc>
          <w:tcPr>
            <w:tcW w:w="4535" w:type="dxa"/>
            <w:vAlign w:val="center"/>
          </w:tcPr>
          <w:p>
            <w:pPr>
              <w:pStyle w:val="13"/>
            </w:pPr>
            <w:r>
              <w:t>医疗保障管理事务</w:t>
            </w:r>
          </w:p>
        </w:tc>
        <w:tc>
          <w:tcPr>
            <w:tcW w:w="2551" w:type="dxa"/>
            <w:vAlign w:val="center"/>
          </w:tcPr>
          <w:p>
            <w:pPr>
              <w:pStyle w:val="12"/>
            </w:pPr>
            <w:r>
              <w:t>422.71</w:t>
            </w:r>
          </w:p>
        </w:tc>
        <w:tc>
          <w:tcPr>
            <w:tcW w:w="2551" w:type="dxa"/>
            <w:vAlign w:val="center"/>
          </w:tcPr>
          <w:p>
            <w:pPr>
              <w:pStyle w:val="12"/>
            </w:pPr>
            <w:r>
              <w:t>355.21</w:t>
            </w:r>
          </w:p>
        </w:tc>
        <w:tc>
          <w:tcPr>
            <w:tcW w:w="2551" w:type="dxa"/>
            <w:vAlign w:val="center"/>
          </w:tcPr>
          <w:p>
            <w:pPr>
              <w:pStyle w:val="12"/>
            </w:pPr>
            <w:r>
              <w:t>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2101501</w:t>
            </w:r>
          </w:p>
        </w:tc>
        <w:tc>
          <w:tcPr>
            <w:tcW w:w="4535" w:type="dxa"/>
            <w:vAlign w:val="center"/>
          </w:tcPr>
          <w:p>
            <w:pPr>
              <w:pStyle w:val="13"/>
            </w:pPr>
            <w:r>
              <w:t>行政运行</w:t>
            </w:r>
          </w:p>
        </w:tc>
        <w:tc>
          <w:tcPr>
            <w:tcW w:w="2551" w:type="dxa"/>
            <w:vAlign w:val="center"/>
          </w:tcPr>
          <w:p>
            <w:pPr>
              <w:pStyle w:val="12"/>
            </w:pPr>
            <w:r>
              <w:t>355.21</w:t>
            </w:r>
          </w:p>
        </w:tc>
        <w:tc>
          <w:tcPr>
            <w:tcW w:w="2551" w:type="dxa"/>
            <w:vAlign w:val="center"/>
          </w:tcPr>
          <w:p>
            <w:pPr>
              <w:pStyle w:val="12"/>
            </w:pPr>
            <w:r>
              <w:t>355.21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2101502</w:t>
            </w:r>
          </w:p>
        </w:tc>
        <w:tc>
          <w:tcPr>
            <w:tcW w:w="4535" w:type="dxa"/>
            <w:vAlign w:val="center"/>
          </w:tcPr>
          <w:p>
            <w:pPr>
              <w:pStyle w:val="13"/>
            </w:pPr>
            <w:r>
              <w:t>一般行政管理事务</w:t>
            </w:r>
          </w:p>
        </w:tc>
        <w:tc>
          <w:tcPr>
            <w:tcW w:w="2551" w:type="dxa"/>
            <w:vAlign w:val="center"/>
          </w:tcPr>
          <w:p>
            <w:pPr>
              <w:pStyle w:val="12"/>
            </w:pPr>
            <w:r>
              <w:t>38.50</w:t>
            </w:r>
          </w:p>
        </w:tc>
        <w:tc>
          <w:tcPr>
            <w:tcW w:w="2551" w:type="dxa"/>
            <w:vAlign w:val="center"/>
          </w:tcPr>
          <w:p>
            <w:pPr>
              <w:pStyle w:val="12"/>
            </w:pPr>
          </w:p>
        </w:tc>
        <w:tc>
          <w:tcPr>
            <w:tcW w:w="2551" w:type="dxa"/>
            <w:vAlign w:val="center"/>
          </w:tcPr>
          <w:p>
            <w:pPr>
              <w:pStyle w:val="12"/>
            </w:pPr>
            <w:r>
              <w:t>38.50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2101505</w:t>
            </w:r>
          </w:p>
        </w:tc>
        <w:tc>
          <w:tcPr>
            <w:tcW w:w="4535" w:type="dxa"/>
            <w:vAlign w:val="center"/>
          </w:tcPr>
          <w:p>
            <w:pPr>
              <w:pStyle w:val="13"/>
            </w:pPr>
            <w:r>
              <w:t>医疗保障政策管理</w:t>
            </w:r>
          </w:p>
        </w:tc>
        <w:tc>
          <w:tcPr>
            <w:tcW w:w="2551" w:type="dxa"/>
            <w:vAlign w:val="center"/>
          </w:tcPr>
          <w:p>
            <w:pPr>
              <w:pStyle w:val="12"/>
            </w:pPr>
            <w:r>
              <w:t>29.00</w:t>
            </w:r>
          </w:p>
        </w:tc>
        <w:tc>
          <w:tcPr>
            <w:tcW w:w="2551" w:type="dxa"/>
            <w:vAlign w:val="center"/>
          </w:tcPr>
          <w:p>
            <w:pPr>
              <w:pStyle w:val="12"/>
            </w:pPr>
          </w:p>
        </w:tc>
        <w:tc>
          <w:tcPr>
            <w:tcW w:w="2551" w:type="dxa"/>
            <w:vAlign w:val="center"/>
          </w:tcPr>
          <w:p>
            <w:pPr>
              <w:pStyle w:val="12"/>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21099</w:t>
            </w:r>
          </w:p>
        </w:tc>
        <w:tc>
          <w:tcPr>
            <w:tcW w:w="4535" w:type="dxa"/>
            <w:vAlign w:val="center"/>
          </w:tcPr>
          <w:p>
            <w:pPr>
              <w:pStyle w:val="13"/>
            </w:pPr>
            <w:r>
              <w:t>其他卫生健康支出</w:t>
            </w:r>
          </w:p>
        </w:tc>
        <w:tc>
          <w:tcPr>
            <w:tcW w:w="2551" w:type="dxa"/>
            <w:vAlign w:val="center"/>
          </w:tcPr>
          <w:p>
            <w:pPr>
              <w:pStyle w:val="12"/>
            </w:pPr>
            <w:r>
              <w:t>2.20</w:t>
            </w:r>
          </w:p>
        </w:tc>
        <w:tc>
          <w:tcPr>
            <w:tcW w:w="2551" w:type="dxa"/>
            <w:vAlign w:val="center"/>
          </w:tcPr>
          <w:p>
            <w:pPr>
              <w:pStyle w:val="12"/>
            </w:pPr>
          </w:p>
        </w:tc>
        <w:tc>
          <w:tcPr>
            <w:tcW w:w="2551" w:type="dxa"/>
            <w:vAlign w:val="center"/>
          </w:tcPr>
          <w:p>
            <w:pPr>
              <w:pStyle w:val="12"/>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2109999</w:t>
            </w:r>
          </w:p>
        </w:tc>
        <w:tc>
          <w:tcPr>
            <w:tcW w:w="4535" w:type="dxa"/>
            <w:vAlign w:val="center"/>
          </w:tcPr>
          <w:p>
            <w:pPr>
              <w:pStyle w:val="13"/>
            </w:pPr>
            <w:r>
              <w:t>其他卫生健康支出</w:t>
            </w:r>
          </w:p>
        </w:tc>
        <w:tc>
          <w:tcPr>
            <w:tcW w:w="2551" w:type="dxa"/>
            <w:vAlign w:val="center"/>
          </w:tcPr>
          <w:p>
            <w:pPr>
              <w:pStyle w:val="12"/>
            </w:pPr>
            <w:r>
              <w:t>2.20</w:t>
            </w:r>
          </w:p>
        </w:tc>
        <w:tc>
          <w:tcPr>
            <w:tcW w:w="2551" w:type="dxa"/>
            <w:vAlign w:val="center"/>
          </w:tcPr>
          <w:p>
            <w:pPr>
              <w:pStyle w:val="12"/>
            </w:pPr>
          </w:p>
        </w:tc>
        <w:tc>
          <w:tcPr>
            <w:tcW w:w="2551" w:type="dxa"/>
            <w:vAlign w:val="center"/>
          </w:tcPr>
          <w:p>
            <w:pPr>
              <w:pStyle w:val="12"/>
            </w:pPr>
            <w:r>
              <w:t>2.20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452行唐县医疗保障局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407.22</w:t>
            </w:r>
          </w:p>
        </w:tc>
        <w:tc>
          <w:tcPr>
            <w:tcW w:w="2551" w:type="dxa"/>
            <w:vAlign w:val="center"/>
          </w:tcPr>
          <w:p>
            <w:pPr>
              <w:pStyle w:val="16"/>
            </w:pPr>
            <w:r>
              <w:t>378.27</w:t>
            </w:r>
          </w:p>
        </w:tc>
        <w:tc>
          <w:tcPr>
            <w:tcW w:w="2551" w:type="dxa"/>
            <w:vAlign w:val="center"/>
          </w:tcPr>
          <w:p>
            <w:pPr>
              <w:pStyle w:val="16"/>
            </w:pPr>
            <w:r>
              <w:t>28.95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375.86</w:t>
            </w:r>
          </w:p>
        </w:tc>
        <w:tc>
          <w:tcPr>
            <w:tcW w:w="2551" w:type="dxa"/>
            <w:vAlign w:val="center"/>
          </w:tcPr>
          <w:p>
            <w:pPr>
              <w:pStyle w:val="12"/>
            </w:pPr>
            <w:r>
              <w:t>375.86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172.51</w:t>
            </w:r>
          </w:p>
        </w:tc>
        <w:tc>
          <w:tcPr>
            <w:tcW w:w="2551" w:type="dxa"/>
            <w:vAlign w:val="center"/>
          </w:tcPr>
          <w:p>
            <w:pPr>
              <w:pStyle w:val="12"/>
            </w:pPr>
            <w:r>
              <w:t>172.51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23.71</w:t>
            </w:r>
          </w:p>
        </w:tc>
        <w:tc>
          <w:tcPr>
            <w:tcW w:w="2551" w:type="dxa"/>
            <w:vAlign w:val="center"/>
          </w:tcPr>
          <w:p>
            <w:pPr>
              <w:pStyle w:val="12"/>
            </w:pPr>
            <w:r>
              <w:t>23.71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15.87</w:t>
            </w:r>
          </w:p>
        </w:tc>
        <w:tc>
          <w:tcPr>
            <w:tcW w:w="2551" w:type="dxa"/>
            <w:vAlign w:val="center"/>
          </w:tcPr>
          <w:p>
            <w:pPr>
              <w:pStyle w:val="12"/>
            </w:pPr>
            <w:r>
              <w:t>15.87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79.98</w:t>
            </w:r>
          </w:p>
        </w:tc>
        <w:tc>
          <w:tcPr>
            <w:tcW w:w="2551" w:type="dxa"/>
            <w:vAlign w:val="center"/>
          </w:tcPr>
          <w:p>
            <w:pPr>
              <w:pStyle w:val="12"/>
            </w:pPr>
            <w:r>
              <w:t>79.98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36.37</w:t>
            </w:r>
          </w:p>
        </w:tc>
        <w:tc>
          <w:tcPr>
            <w:tcW w:w="2551" w:type="dxa"/>
            <w:vAlign w:val="center"/>
          </w:tcPr>
          <w:p>
            <w:pPr>
              <w:pStyle w:val="12"/>
            </w:pPr>
            <w:r>
              <w:t>36.37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15.64</w:t>
            </w:r>
          </w:p>
        </w:tc>
        <w:tc>
          <w:tcPr>
            <w:tcW w:w="2551" w:type="dxa"/>
            <w:vAlign w:val="center"/>
          </w:tcPr>
          <w:p>
            <w:pPr>
              <w:pStyle w:val="12"/>
            </w:pPr>
            <w:r>
              <w:t>15.64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2.81</w:t>
            </w:r>
          </w:p>
        </w:tc>
        <w:tc>
          <w:tcPr>
            <w:tcW w:w="2551" w:type="dxa"/>
            <w:vAlign w:val="center"/>
          </w:tcPr>
          <w:p>
            <w:pPr>
              <w:pStyle w:val="12"/>
            </w:pPr>
            <w:r>
              <w:t>2.81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28.97</w:t>
            </w:r>
          </w:p>
        </w:tc>
        <w:tc>
          <w:tcPr>
            <w:tcW w:w="2551" w:type="dxa"/>
            <w:vAlign w:val="center"/>
          </w:tcPr>
          <w:p>
            <w:pPr>
              <w:pStyle w:val="12"/>
            </w:pPr>
            <w:r>
              <w:t>28.97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28.95</w:t>
            </w:r>
          </w:p>
        </w:tc>
        <w:tc>
          <w:tcPr>
            <w:tcW w:w="2551" w:type="dxa"/>
            <w:vAlign w:val="center"/>
          </w:tcPr>
          <w:p>
            <w:pPr>
              <w:pStyle w:val="12"/>
            </w:pPr>
          </w:p>
        </w:tc>
        <w:tc>
          <w:tcPr>
            <w:tcW w:w="2551" w:type="dxa"/>
            <w:vAlign w:val="center"/>
          </w:tcPr>
          <w:p>
            <w:pPr>
              <w:pStyle w:val="12"/>
            </w:pPr>
            <w:r>
              <w:t>28.95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1.45</w:t>
            </w:r>
          </w:p>
        </w:tc>
        <w:tc>
          <w:tcPr>
            <w:tcW w:w="2551" w:type="dxa"/>
            <w:vAlign w:val="center"/>
          </w:tcPr>
          <w:p>
            <w:pPr>
              <w:pStyle w:val="12"/>
            </w:pPr>
          </w:p>
        </w:tc>
        <w:tc>
          <w:tcPr>
            <w:tcW w:w="2551" w:type="dxa"/>
            <w:vAlign w:val="center"/>
          </w:tcPr>
          <w:p>
            <w:pPr>
              <w:pStyle w:val="12"/>
            </w:pPr>
            <w:r>
              <w:t>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1.45</w:t>
            </w:r>
          </w:p>
        </w:tc>
        <w:tc>
          <w:tcPr>
            <w:tcW w:w="2551" w:type="dxa"/>
            <w:vAlign w:val="center"/>
          </w:tcPr>
          <w:p>
            <w:pPr>
              <w:pStyle w:val="12"/>
            </w:pPr>
          </w:p>
        </w:tc>
        <w:tc>
          <w:tcPr>
            <w:tcW w:w="2551" w:type="dxa"/>
            <w:vAlign w:val="center"/>
          </w:tcPr>
          <w:p>
            <w:pPr>
              <w:pStyle w:val="12"/>
            </w:pPr>
            <w:r>
              <w:t>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2.90</w:t>
            </w:r>
          </w:p>
        </w:tc>
        <w:tc>
          <w:tcPr>
            <w:tcW w:w="2551" w:type="dxa"/>
            <w:vAlign w:val="center"/>
          </w:tcPr>
          <w:p>
            <w:pPr>
              <w:pStyle w:val="12"/>
            </w:pPr>
          </w:p>
        </w:tc>
        <w:tc>
          <w:tcPr>
            <w:tcW w:w="2551" w:type="dxa"/>
            <w:vAlign w:val="center"/>
          </w:tcPr>
          <w:p>
            <w:pPr>
              <w:pStyle w:val="12"/>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0.81</w:t>
            </w:r>
          </w:p>
        </w:tc>
        <w:tc>
          <w:tcPr>
            <w:tcW w:w="2551" w:type="dxa"/>
            <w:vAlign w:val="center"/>
          </w:tcPr>
          <w:p>
            <w:pPr>
              <w:pStyle w:val="12"/>
            </w:pPr>
          </w:p>
        </w:tc>
        <w:tc>
          <w:tcPr>
            <w:tcW w:w="2551" w:type="dxa"/>
            <w:vAlign w:val="center"/>
          </w:tcPr>
          <w:p>
            <w:pPr>
              <w:pStyle w:val="12"/>
            </w:pPr>
            <w: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2.05</w:t>
            </w:r>
          </w:p>
        </w:tc>
        <w:tc>
          <w:tcPr>
            <w:tcW w:w="2551" w:type="dxa"/>
            <w:vAlign w:val="center"/>
          </w:tcPr>
          <w:p>
            <w:pPr>
              <w:pStyle w:val="12"/>
            </w:pPr>
          </w:p>
        </w:tc>
        <w:tc>
          <w:tcPr>
            <w:tcW w:w="2551" w:type="dxa"/>
            <w:vAlign w:val="center"/>
          </w:tcPr>
          <w:p>
            <w:pPr>
              <w:pStyle w:val="12"/>
            </w:pPr>
            <w:r>
              <w:t>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2.32</w:t>
            </w:r>
          </w:p>
        </w:tc>
        <w:tc>
          <w:tcPr>
            <w:tcW w:w="2551" w:type="dxa"/>
            <w:vAlign w:val="center"/>
          </w:tcPr>
          <w:p>
            <w:pPr>
              <w:pStyle w:val="12"/>
            </w:pPr>
          </w:p>
        </w:tc>
        <w:tc>
          <w:tcPr>
            <w:tcW w:w="2551" w:type="dxa"/>
            <w:vAlign w:val="center"/>
          </w:tcPr>
          <w:p>
            <w:pPr>
              <w:pStyle w:val="12"/>
            </w:pPr>
            <w:r>
              <w:t>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2.32</w:t>
            </w:r>
          </w:p>
        </w:tc>
        <w:tc>
          <w:tcPr>
            <w:tcW w:w="2551" w:type="dxa"/>
            <w:vAlign w:val="center"/>
          </w:tcPr>
          <w:p>
            <w:pPr>
              <w:pStyle w:val="12"/>
            </w:pPr>
          </w:p>
        </w:tc>
        <w:tc>
          <w:tcPr>
            <w:tcW w:w="2551" w:type="dxa"/>
            <w:vAlign w:val="center"/>
          </w:tcPr>
          <w:p>
            <w:pPr>
              <w:pStyle w:val="12"/>
            </w:pPr>
            <w:r>
              <w:t>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2.59</w:t>
            </w:r>
          </w:p>
        </w:tc>
        <w:tc>
          <w:tcPr>
            <w:tcW w:w="2551" w:type="dxa"/>
            <w:vAlign w:val="center"/>
          </w:tcPr>
          <w:p>
            <w:pPr>
              <w:pStyle w:val="12"/>
            </w:pPr>
          </w:p>
        </w:tc>
        <w:tc>
          <w:tcPr>
            <w:tcW w:w="2551" w:type="dxa"/>
            <w:vAlign w:val="center"/>
          </w:tcPr>
          <w:p>
            <w:pPr>
              <w:pStyle w:val="12"/>
            </w:pPr>
            <w:r>
              <w:t>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5.82</w:t>
            </w:r>
          </w:p>
        </w:tc>
        <w:tc>
          <w:tcPr>
            <w:tcW w:w="2551" w:type="dxa"/>
            <w:vAlign w:val="center"/>
          </w:tcPr>
          <w:p>
            <w:pPr>
              <w:pStyle w:val="12"/>
            </w:pPr>
          </w:p>
        </w:tc>
        <w:tc>
          <w:tcPr>
            <w:tcW w:w="2551" w:type="dxa"/>
            <w:vAlign w:val="center"/>
          </w:tcPr>
          <w:p>
            <w:pPr>
              <w:pStyle w:val="12"/>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4.54</w:t>
            </w:r>
          </w:p>
        </w:tc>
        <w:tc>
          <w:tcPr>
            <w:tcW w:w="2551" w:type="dxa"/>
            <w:vAlign w:val="center"/>
          </w:tcPr>
          <w:p>
            <w:pPr>
              <w:pStyle w:val="12"/>
            </w:pPr>
          </w:p>
        </w:tc>
        <w:tc>
          <w:tcPr>
            <w:tcW w:w="2551" w:type="dxa"/>
            <w:vAlign w:val="center"/>
          </w:tcPr>
          <w:p>
            <w:pPr>
              <w:pStyle w:val="12"/>
            </w:pPr>
            <w:r>
              <w:t>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2.41</w:t>
            </w:r>
          </w:p>
        </w:tc>
        <w:tc>
          <w:tcPr>
            <w:tcW w:w="2551" w:type="dxa"/>
            <w:vAlign w:val="center"/>
          </w:tcPr>
          <w:p>
            <w:pPr>
              <w:pStyle w:val="12"/>
            </w:pPr>
            <w:r>
              <w:t>2.41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2.41</w:t>
            </w:r>
          </w:p>
        </w:tc>
        <w:tc>
          <w:tcPr>
            <w:tcW w:w="2551" w:type="dxa"/>
            <w:vAlign w:val="center"/>
          </w:tcPr>
          <w:p>
            <w:pPr>
              <w:pStyle w:val="12"/>
            </w:pPr>
            <w:r>
              <w:t>2.41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452行唐县医疗保障局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452行唐县医疗保障局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452行唐县医疗保障局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行唐县医疗保障局2026年部门预算信息公开情况说明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行唐县医疗保障局2026年部门预算信息公开情况说明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按照《中华人民共和国预算法》、《地方预决算公开操作规程》和《关于进一步推进预算公开工作的实施意见》规定，现将行唐县医疗保障局2026年部门预算公开如下：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pPr>
      <w:r>
        <w:t>1、贯彻落实国家、省、市关于城镇职工和城乡居民医疗保险、生育保险、长期护理保险、医疗救助等医疗保障法规、政府规章以及政策、制度、规划和标准。按照上级制定的医疗保障政策规定，抓好组织实施。</w:t>
      </w:r>
    </w:p>
    <w:p>
      <w:pPr>
        <w:pStyle w:val="26"/>
      </w:pPr>
      <w:r>
        <w:t>2、贯彻落实国家、省、市关于医疗保障基金监督管理规定，建立健全医疗保障基金安全防控机制，建设维护网络信息系统和智能监控平台，推进医疗保障基金支付方式改革，并组织实施。</w:t>
      </w:r>
    </w:p>
    <w:p>
      <w:pPr>
        <w:pStyle w:val="26"/>
      </w:pPr>
      <w:r>
        <w:t>3、贯彻落实城镇职工和城乡居民参保筹资和保障待遇政策。</w:t>
      </w:r>
    </w:p>
    <w:p>
      <w:pPr>
        <w:pStyle w:val="26"/>
      </w:pPr>
      <w:r>
        <w:t>4、贯彻落实城乡统一的药品、医用耗材、医疗服务项目、医疗服务设施等医保支付标准。</w:t>
      </w:r>
    </w:p>
    <w:p>
      <w:pPr>
        <w:pStyle w:val="26"/>
      </w:pPr>
      <w:r>
        <w:t>5、按照政策规定制定和调整县级公立基层医疗机构医疗服务价格。贯彻落实上级医保支付医药服务价格政策。依法管理药品、医用耗材、医疗服务价格政策执行情况。组织实施药品、医用耗材和医疗服务价格监测信息发布工作。</w:t>
      </w:r>
    </w:p>
    <w:p>
      <w:pPr>
        <w:pStyle w:val="26"/>
      </w:pPr>
      <w:r>
        <w:t>6、落实药品、医用耗材招标采购政策并监督实施，指导药品、医用耗材指标采购平台建设。</w:t>
      </w:r>
    </w:p>
    <w:p>
      <w:pPr>
        <w:pStyle w:val="26"/>
      </w:pPr>
      <w:r>
        <w:t>7、落实市定点医药机构协议和支付管理办法并组织实施。建立健全医疗保障信用评价体系和信息披露制度，监督管理定点医疗机构的医疗服务行为、医疗费用和医药价格，依法查处医疗保障领域违法违规行为。</w:t>
      </w:r>
    </w:p>
    <w:p>
      <w:pPr>
        <w:pStyle w:val="26"/>
      </w:pPr>
      <w:r>
        <w:t>8、负责医疗保障经办管理、公共服务体系和信息化建设。贯彻落实异地就医管理和费用结算政策、医疗保障关系转移接续制度。</w:t>
      </w:r>
    </w:p>
    <w:p>
      <w:pPr>
        <w:pStyle w:val="26"/>
      </w:pPr>
      <w:r>
        <w:t>9、完成县委、县政府和上级交办的其他任务。</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行唐县医疗保障局本级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7"/>
      </w:pPr>
      <w:r>
        <w:t>按照预算管理有关规定，目前单位预算的编制实行综合预算管理，即全部收入和支出都反映在预算中。</w:t>
      </w:r>
    </w:p>
    <w:p>
      <w:pPr>
        <w:pStyle w:val="27"/>
      </w:pPr>
      <w:r>
        <w:t>1、收入说明</w:t>
      </w:r>
    </w:p>
    <w:p>
      <w:pPr>
        <w:pStyle w:val="27"/>
      </w:pPr>
      <w:r>
        <w:t>反映本</w:t>
      </w:r>
      <w:r>
        <w:rPr>
          <w:rFonts w:hint="eastAsia"/>
          <w:lang w:val="en-US" w:eastAsia="zh-CN"/>
        </w:rPr>
        <w:t>部门</w:t>
      </w:r>
      <w:r>
        <w:t>当年全部收入。202</w:t>
      </w:r>
      <w:r>
        <w:rPr>
          <w:rFonts w:hint="eastAsia"/>
          <w:lang w:val="en-US" w:eastAsia="zh-CN"/>
        </w:rPr>
        <w:t>6</w:t>
      </w:r>
      <w:r>
        <w:t>年预算收入</w:t>
      </w:r>
      <w:r>
        <w:rPr>
          <w:rFonts w:hint="eastAsia"/>
          <w:lang w:val="en-US" w:eastAsia="zh-CN"/>
        </w:rPr>
        <w:t>5158.225</w:t>
      </w:r>
      <w:r>
        <w:t>万元，其中：一般公共预算收入</w:t>
      </w:r>
      <w:r>
        <w:rPr>
          <w:rFonts w:hint="eastAsia"/>
          <w:lang w:val="en-US" w:eastAsia="zh-CN"/>
        </w:rPr>
        <w:t>5158.22</w:t>
      </w:r>
      <w:r>
        <w:t>万元，基金预算收入0.00万元，国有资本经营预算收入0.00万元，财政专户核拨收入0.00万元，单位资金收入0.00万元，上年结转结余0.00万元。</w:t>
      </w:r>
    </w:p>
    <w:p>
      <w:pPr>
        <w:pStyle w:val="27"/>
      </w:pPr>
      <w:r>
        <w:t>2、支出说明</w:t>
      </w:r>
    </w:p>
    <w:p>
      <w:pPr>
        <w:pStyle w:val="27"/>
      </w:pPr>
      <w:r>
        <w:t>收支预算总表支出栏、基本支出表、项目支出表按经济分类和支出功能分类科目编制，反映行唐县医疗保障局</w:t>
      </w:r>
      <w:r>
        <w:rPr>
          <w:rFonts w:hint="eastAsia"/>
          <w:lang w:val="en-US" w:eastAsia="zh-CN"/>
        </w:rPr>
        <w:t>部门</w:t>
      </w:r>
      <w:r>
        <w:t>年度单位预算中支出预算的总体情况。202</w:t>
      </w:r>
      <w:r>
        <w:rPr>
          <w:rFonts w:hint="eastAsia"/>
          <w:lang w:val="en-US" w:eastAsia="zh-CN"/>
        </w:rPr>
        <w:t>6</w:t>
      </w:r>
      <w:r>
        <w:t>年支出预算</w:t>
      </w:r>
      <w:r>
        <w:rPr>
          <w:rFonts w:hint="eastAsia"/>
          <w:lang w:val="en-US" w:eastAsia="zh-CN"/>
        </w:rPr>
        <w:t>5158.22</w:t>
      </w:r>
      <w:r>
        <w:t>万元，其中基本支出</w:t>
      </w:r>
      <w:r>
        <w:rPr>
          <w:rFonts w:hint="eastAsia"/>
          <w:lang w:val="en-US" w:eastAsia="zh-CN"/>
        </w:rPr>
        <w:t>407.22</w:t>
      </w:r>
      <w:r>
        <w:t>万元，包括人员经费</w:t>
      </w:r>
      <w:r>
        <w:rPr>
          <w:rFonts w:hint="eastAsia"/>
          <w:lang w:val="en-US" w:eastAsia="zh-CN"/>
        </w:rPr>
        <w:t>378.27</w:t>
      </w:r>
      <w:r>
        <w:t>万元和日常公用经费</w:t>
      </w:r>
      <w:r>
        <w:rPr>
          <w:rFonts w:hint="eastAsia"/>
          <w:lang w:val="en-US" w:eastAsia="zh-CN"/>
        </w:rPr>
        <w:t>28.95</w:t>
      </w:r>
      <w:r>
        <w:t>万元；项目支出</w:t>
      </w:r>
      <w:r>
        <w:rPr>
          <w:rFonts w:hint="eastAsia"/>
          <w:lang w:val="en-US" w:eastAsia="zh-CN"/>
        </w:rPr>
        <w:t>4751.00</w:t>
      </w:r>
      <w:r>
        <w:t>万元，主要为项目支持主要包括：医保骨干网运行经费5.8万元，财政对城乡居民基本医疗保险基金的补助</w:t>
      </w:r>
      <w:r>
        <w:rPr>
          <w:rFonts w:hint="eastAsia"/>
          <w:lang w:val="en-US" w:eastAsia="zh-CN"/>
        </w:rPr>
        <w:t>4630.00</w:t>
      </w:r>
      <w:r>
        <w:t>万元，</w:t>
      </w:r>
      <w:r>
        <w:rPr>
          <w:rFonts w:hint="eastAsia"/>
          <w:lang w:val="en-US" w:eastAsia="zh-CN"/>
        </w:rPr>
        <w:t>城乡居民低收入人员参保费县级医疗救助补助配套资金51.3万元，离休及建国前老工人住院费和门诊治疗费用28</w:t>
      </w:r>
      <w:r>
        <w:t>万元，医保业务专项经费4.7万元，冀财社【202</w:t>
      </w:r>
      <w:r>
        <w:rPr>
          <w:rFonts w:hint="eastAsia"/>
          <w:lang w:val="en-US" w:eastAsia="zh-CN"/>
        </w:rPr>
        <w:t>5</w:t>
      </w:r>
      <w:r>
        <w:t>】1</w:t>
      </w:r>
      <w:r>
        <w:rPr>
          <w:rFonts w:hint="eastAsia"/>
          <w:lang w:val="en-US" w:eastAsia="zh-CN"/>
        </w:rPr>
        <w:t>2</w:t>
      </w:r>
      <w:r>
        <w:t>8号</w:t>
      </w:r>
      <w:r>
        <w:rPr>
          <w:rFonts w:hint="eastAsia"/>
          <w:lang w:val="en-US" w:eastAsia="zh-CN"/>
        </w:rPr>
        <w:t>提前下达</w:t>
      </w:r>
      <w:r>
        <w:t>202</w:t>
      </w:r>
      <w:r>
        <w:rPr>
          <w:rFonts w:hint="eastAsia"/>
          <w:lang w:val="en-US" w:eastAsia="zh-CN"/>
        </w:rPr>
        <w:t>6</w:t>
      </w:r>
      <w:r>
        <w:t>年中央财政医疗服务与保障能力提升资金</w:t>
      </w:r>
      <w:r>
        <w:rPr>
          <w:rFonts w:hint="eastAsia"/>
          <w:lang w:val="en-US" w:eastAsia="zh-CN"/>
        </w:rPr>
        <w:t>29万元</w:t>
      </w:r>
      <w:r>
        <w:t>，冀财社【202</w:t>
      </w:r>
      <w:r>
        <w:rPr>
          <w:rFonts w:hint="eastAsia"/>
          <w:lang w:val="en-US" w:eastAsia="zh-CN"/>
        </w:rPr>
        <w:t>5</w:t>
      </w:r>
      <w:r>
        <w:t>】1</w:t>
      </w:r>
      <w:r>
        <w:rPr>
          <w:rFonts w:hint="eastAsia"/>
          <w:lang w:val="en-US" w:eastAsia="zh-CN"/>
        </w:rPr>
        <w:t>21</w:t>
      </w:r>
      <w:r>
        <w:t>号</w:t>
      </w:r>
      <w:r>
        <w:rPr>
          <w:rFonts w:hint="eastAsia"/>
          <w:lang w:val="en-US" w:eastAsia="zh-CN"/>
        </w:rPr>
        <w:t>提前下达</w:t>
      </w:r>
      <w:r>
        <w:t>202</w:t>
      </w:r>
      <w:r>
        <w:rPr>
          <w:rFonts w:hint="eastAsia"/>
          <w:lang w:val="en-US" w:eastAsia="zh-CN"/>
        </w:rPr>
        <w:t>6</w:t>
      </w:r>
      <w:r>
        <w:t>脱贫县离休干部医药费补助资金</w:t>
      </w:r>
      <w:r>
        <w:rPr>
          <w:rFonts w:hint="eastAsia"/>
          <w:lang w:val="en-US" w:eastAsia="zh-CN"/>
        </w:rPr>
        <w:t>2.2</w:t>
      </w:r>
      <w:r>
        <w:t>万元。</w:t>
      </w:r>
    </w:p>
    <w:p>
      <w:pPr>
        <w:pStyle w:val="27"/>
      </w:pPr>
      <w:r>
        <w:t>3、比上年增减情况</w:t>
      </w:r>
    </w:p>
    <w:p>
      <w:pPr>
        <w:pStyle w:val="27"/>
      </w:pPr>
      <w:r>
        <w:t>202</w:t>
      </w:r>
      <w:r>
        <w:rPr>
          <w:rFonts w:hint="eastAsia"/>
          <w:lang w:val="en-US" w:eastAsia="zh-CN"/>
        </w:rPr>
        <w:t>6</w:t>
      </w:r>
      <w:r>
        <w:t>年预算收支安排</w:t>
      </w:r>
      <w:r>
        <w:rPr>
          <w:rFonts w:hint="eastAsia"/>
          <w:lang w:val="en-US" w:eastAsia="zh-CN"/>
        </w:rPr>
        <w:t>5158.22</w:t>
      </w:r>
      <w:r>
        <w:t>万元，较202</w:t>
      </w:r>
      <w:r>
        <w:rPr>
          <w:rFonts w:hint="eastAsia"/>
          <w:lang w:val="en-US" w:eastAsia="zh-CN"/>
        </w:rPr>
        <w:t>5</w:t>
      </w:r>
      <w:r>
        <w:t>年预算减少</w:t>
      </w:r>
      <w:r>
        <w:rPr>
          <w:rFonts w:hint="eastAsia"/>
          <w:lang w:val="en-US" w:eastAsia="zh-CN"/>
        </w:rPr>
        <w:t>53.34</w:t>
      </w:r>
      <w:r>
        <w:t>万元，其中：基本支出</w:t>
      </w:r>
      <w:r>
        <w:rPr>
          <w:rFonts w:hint="eastAsia"/>
          <w:lang w:val="en-US" w:eastAsia="zh-CN"/>
        </w:rPr>
        <w:t>增加32.46</w:t>
      </w:r>
      <w:r>
        <w:t>万元，主要为202</w:t>
      </w:r>
      <w:r>
        <w:rPr>
          <w:rFonts w:hint="eastAsia"/>
          <w:lang w:val="en-US" w:eastAsia="zh-CN"/>
        </w:rPr>
        <w:t>6</w:t>
      </w:r>
      <w:r>
        <w:t>年相比202</w:t>
      </w:r>
      <w:r>
        <w:rPr>
          <w:rFonts w:hint="eastAsia"/>
          <w:lang w:val="en-US" w:eastAsia="zh-CN"/>
        </w:rPr>
        <w:t>5</w:t>
      </w:r>
      <w:r>
        <w:t>年行政人员</w:t>
      </w:r>
      <w:r>
        <w:rPr>
          <w:rFonts w:hint="eastAsia"/>
          <w:lang w:val="en-US" w:eastAsia="zh-CN"/>
        </w:rPr>
        <w:t>增加2</w:t>
      </w:r>
      <w:r>
        <w:t>人。项目支出减少</w:t>
      </w:r>
      <w:r>
        <w:rPr>
          <w:rFonts w:hint="eastAsia"/>
          <w:lang w:val="en-US" w:eastAsia="zh-CN"/>
        </w:rPr>
        <w:t>85.80</w:t>
      </w:r>
      <w:r>
        <w:t>万元，主要为因医保基金市级统筹，</w:t>
      </w:r>
      <w:r>
        <w:rPr>
          <w:rFonts w:hint="eastAsia"/>
          <w:lang w:val="en-US" w:eastAsia="zh-CN"/>
        </w:rPr>
        <w:t>根据</w:t>
      </w:r>
      <w:r>
        <w:t>上级下达</w:t>
      </w:r>
      <w:r>
        <w:rPr>
          <w:rFonts w:hint="eastAsia"/>
          <w:lang w:val="en-US" w:eastAsia="zh-CN"/>
        </w:rPr>
        <w:t>数据2026年城乡居民低收入人员参保费县级医疗救助补助配套资金年初预算与上年相比较</w:t>
      </w:r>
      <w:r>
        <w:t>减少</w:t>
      </w:r>
      <w:r>
        <w:rPr>
          <w:rFonts w:hint="eastAsia"/>
          <w:lang w:val="en-US" w:eastAsia="zh-CN"/>
        </w:rPr>
        <w:t>117.42万元</w:t>
      </w:r>
      <w:r>
        <w:t>。</w:t>
      </w:r>
    </w:p>
    <w:p>
      <w:pPr>
        <w:pStyle w:val="27"/>
      </w:pPr>
    </w:p>
    <w:p>
      <w:pPr>
        <w:pStyle w:val="19"/>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spacing w:before="0" w:after="0" w:line="500" w:lineRule="exact"/>
        <w:ind w:firstLine="560"/>
        <w:jc w:val="left"/>
        <w:outlineLvl w:val="9"/>
        <w:rPr>
          <w:rFonts w:hint="default" w:eastAsia="方正仿宋_GBK"/>
          <w:lang w:val="en-US" w:eastAsia="zh-CN"/>
        </w:rPr>
      </w:pPr>
      <w:r>
        <w:rPr>
          <w:rFonts w:hint="eastAsia" w:eastAsia="方正仿宋_GBK" w:cs="Times New Roman"/>
          <w:b w:val="0"/>
          <w:color w:val="000000"/>
          <w:sz w:val="28"/>
          <w:lang w:val="en-US" w:eastAsia="zh-CN"/>
        </w:rPr>
        <w:t>2026年我部门机关运行经费年初共安排28.95万元。主要用于日常维修，办公耗材，办公用房水电费，办公用房取暖费，公务交通补贴，公务用车运行维护费等日常运行支出。</w:t>
      </w:r>
    </w:p>
    <w:p>
      <w:pPr>
        <w:pStyle w:val="28"/>
        <w:rPr>
          <w:rFonts w:hint="default" w:eastAsia="方正仿宋_GBK"/>
          <w:lang w:val="en-US" w:eastAsia="zh-CN"/>
        </w:rPr>
      </w:pPr>
    </w:p>
    <w:p>
      <w:pPr>
        <w:pStyle w:val="20"/>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pStyle w:val="29"/>
        <w:rPr>
          <w:rFonts w:hint="default" w:eastAsia="方正仿宋_GBK"/>
          <w:lang w:val="en-US" w:eastAsia="zh-CN"/>
        </w:rPr>
      </w:pPr>
    </w:p>
    <w:p>
      <w:pPr>
        <w:numPr>
          <w:ilvl w:val="0"/>
          <w:numId w:val="0"/>
        </w:numPr>
        <w:spacing w:before="10" w:after="10" w:line="360" w:lineRule="auto"/>
        <w:jc w:val="left"/>
        <w:outlineLvl w:val="2"/>
        <w:rPr>
          <w:rFonts w:ascii="黑体" w:hAnsi="黑体" w:eastAsia="黑体" w:cs="黑体"/>
          <w:color w:val="000000"/>
          <w:sz w:val="32"/>
        </w:rPr>
      </w:pPr>
    </w:p>
    <w:p>
      <w:pPr>
        <w:pStyle w:val="29"/>
        <w:rPr>
          <w:rFonts w:hint="default" w:eastAsia="方正仿宋_GBK"/>
          <w:lang w:val="en-US" w:eastAsia="zh-CN"/>
        </w:rPr>
      </w:pPr>
      <w:r>
        <w:rPr>
          <w:rFonts w:hint="eastAsia"/>
          <w:lang w:val="en-US" w:eastAsia="zh-CN"/>
        </w:rPr>
        <w:t>2026年我部门财政拨款“三公”经费预算安排2.7万元，其中因公出国（境）费0.00万元；公务用车购置及运维费2.5万元；（其中：公务用车购置费0.00万元，公务用车运行维护费2.5万元.);公务接待费0.2万元；与上年相比较减少0.1万元，主要原因公务用车运行维护费年初预算标准降低0.1万元 。</w:t>
      </w:r>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深入贯彻习近平总书记关于医保工作的重要讲话和批示指示精神为引领，认真落实党的二十届三中全会精神，增强风险意识，落实全民参保政策，提高工作预见性和主动性，协同推进“三医联动”，深化医保支付方式改革，提高医保基金使用效能，为广大人民群众提供更可靠、更充分的保障，不断满足人民群众多层次多样化需求，健全覆盖全民、统筹城乡、公平统一、可持续的多层次社会医疗保障体系。</w:t>
      </w:r>
    </w:p>
    <w:p>
      <w:pPr>
        <w:pStyle w:val="22"/>
      </w:pPr>
      <w:r>
        <w:t>全面强化党员干部的教育管理，以思想自觉引领行动自觉，加强能力培训，扎实推进学习型党组织建设，重点提升干部学习动力、执行效力、应变能力，抓好全体干部职工集中学习以及业务学习常态化，突出理想信念教育，提高政治鉴别力，不断提升理论业务素养。严格落实“三会一课”制度，严肃党内生活，严格执行党员活动日，激励引导机关党员发挥先锋模范作用。不折不扣推进全面从严治党，落实党组书记第一责任人和班子成员“一岗双责”责任，完善作风建设长效机制，强化监督检查，持续正风肃纪。</w:t>
      </w:r>
    </w:p>
    <w:p>
      <w:pPr>
        <w:pStyle w:val="22"/>
      </w:pPr>
      <w:r>
        <w:t>是持续保持打击欺诈骗保的高压态势，加大案件查处力度，严厉打击诱导参保人员小病大养、虚假住院等监督检查。二是通过智能监管子系统，提升日常监管，鼓励定点医药机构“事前防范”。通过床位监管子系统，有效防范挂床住院、冒名住院等问题发生。通过大数据分析子系统，及时发现违规数据疑点，将问题消灭在萌芽状态。三是规范医疗服务行为。督促定点医疗机构主动控制成本，在保证临床需求的基础上，按照先价格较低、后价格较高的原则进行采购。从源头上降低诊疗成本，从根本上提升实际报销比例。做好低收入人口参保工作，确保困难群众应保尽保。全力抓好医疗救助政策落实，完善防贫监测预警机制，落实好医疗保障各项待遇落到实处。提升医疗保障经办服务水平加强工作人员业务及工作作风培训，健全制度机制，紧盯重点和关键环节，跟进监督、精准监督、做实监督，强化纪律约束。强化宣传引导，提升政策知晓程度.不定期对定点医疗机构医保经办人员、乡镇社保员、村医等进行医保政策解读培训，通过基层工作人员服务参保人过程中，宣传解释医保政策。在参保征缴、基金监管、医保电子凭证应用、跨省就医结算等重点工作上，通过安排培训会、现场流程操作等方式，讲解各类重点工作的内容、流程、注意事项等，提升各项重点工作的完成率。积极主动在多种媒体平台上进行宣传，及时向群众发放医保政策明白纸、宣传折页，公布政策咨询电话，提升参保群众对各项医保政策的知晓率，保障参保群众能够按规定享受医保待遇。四是深入基层卫生院、卫生室进行医保政策宣传，了解服务理念，促使医疗机构改进作风，增强服务意识，并征求对医保意见建议，及时提供政策支持，第一时间发现问题，防范化解重大风险，确保基金安全。</w:t>
      </w:r>
    </w:p>
    <w:p>
      <w:pPr>
        <w:pStyle w:val="22"/>
      </w:pPr>
    </w:p>
    <w:p>
      <w:pPr>
        <w:spacing w:before="0" w:after="0" w:line="500" w:lineRule="exact"/>
        <w:ind w:firstLine="560"/>
        <w:jc w:val="left"/>
        <w:outlineLvl w:val="9"/>
        <w:rPr>
          <w:rFonts w:ascii="Times New Roman" w:hAnsi="Times New Roman" w:eastAsia="方正仿宋_GBK" w:cs="Times New Roman"/>
          <w:color w:val="000000"/>
          <w:sz w:val="28"/>
        </w:rPr>
      </w:pPr>
    </w:p>
    <w:p>
      <w:pPr>
        <w:spacing w:before="0" w:after="0" w:line="500" w:lineRule="exact"/>
        <w:ind w:firstLine="560"/>
        <w:jc w:val="left"/>
        <w:outlineLvl w:val="9"/>
        <w:rPr>
          <w:rFonts w:ascii="Times New Roman" w:hAnsi="Times New Roman" w:eastAsia="方正仿宋_GBK" w:cs="Times New Roman"/>
          <w:color w:val="000000"/>
          <w:sz w:val="28"/>
        </w:rPr>
      </w:pPr>
    </w:p>
    <w:p>
      <w:pPr>
        <w:spacing w:before="0" w:after="0" w:line="500" w:lineRule="exact"/>
        <w:ind w:firstLine="560"/>
        <w:jc w:val="left"/>
        <w:outlineLvl w:val="9"/>
        <w:rPr>
          <w:rFonts w:ascii="Times New Roman" w:hAnsi="Times New Roman" w:eastAsia="方正仿宋_GBK" w:cs="Times New Roman"/>
          <w:color w:val="000000"/>
          <w:sz w:val="28"/>
        </w:rPr>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一，城乡居民县级医保财政补助资金</w:t>
      </w:r>
    </w:p>
    <w:p>
      <w:pPr>
        <w:pStyle w:val="23"/>
      </w:pPr>
    </w:p>
    <w:p>
      <w:pPr>
        <w:pStyle w:val="23"/>
      </w:pPr>
      <w:r>
        <w:t>绩效目标：用于补助我县城乡居民基本医疗保险的县级配套资金，巩固参保率，稳步提高保障水平，实现基金收支平衡</w:t>
      </w:r>
    </w:p>
    <w:p>
      <w:pPr>
        <w:pStyle w:val="23"/>
      </w:pPr>
    </w:p>
    <w:p>
      <w:pPr>
        <w:pStyle w:val="23"/>
      </w:pPr>
      <w:r>
        <w:t>绩效指标：提高城乡居民基本医疗保险参保率，改善低收入人群生活质量。</w:t>
      </w:r>
    </w:p>
    <w:p>
      <w:pPr>
        <w:pStyle w:val="23"/>
      </w:pPr>
    </w:p>
    <w:p>
      <w:pPr>
        <w:pStyle w:val="23"/>
      </w:pPr>
      <w:r>
        <w:t>二，</w:t>
      </w:r>
      <w:r>
        <w:rPr>
          <w:rFonts w:hint="eastAsia"/>
          <w:lang w:val="en-US" w:eastAsia="zh-CN"/>
        </w:rPr>
        <w:t>城乡居民</w:t>
      </w:r>
      <w:r>
        <w:t>低收入人员参保费及医疗保障救助</w:t>
      </w:r>
    </w:p>
    <w:p>
      <w:pPr>
        <w:pStyle w:val="23"/>
      </w:pPr>
    </w:p>
    <w:p>
      <w:pPr>
        <w:pStyle w:val="23"/>
      </w:pPr>
      <w:r>
        <w:t>绩效目标：用于我县低收入人员参保费县级负担部分的资金</w:t>
      </w:r>
    </w:p>
    <w:p>
      <w:pPr>
        <w:pStyle w:val="23"/>
      </w:pPr>
    </w:p>
    <w:p>
      <w:pPr>
        <w:pStyle w:val="23"/>
      </w:pPr>
      <w:r>
        <w:t>绩效指标：有效缓解我县困难群众看病就医负担减轻程度。</w:t>
      </w:r>
    </w:p>
    <w:p>
      <w:pPr>
        <w:pStyle w:val="23"/>
      </w:pPr>
    </w:p>
    <w:p>
      <w:pPr>
        <w:pStyle w:val="23"/>
        <w:rPr>
          <w:rFonts w:hint="default" w:eastAsia="方正仿宋_GBK"/>
          <w:lang w:val="en-US" w:eastAsia="zh-CN"/>
        </w:rPr>
      </w:pPr>
      <w:r>
        <w:t>三，</w:t>
      </w:r>
      <w:r>
        <w:rPr>
          <w:rFonts w:hint="eastAsia"/>
          <w:lang w:val="en-US" w:eastAsia="zh-CN"/>
        </w:rPr>
        <w:t>离休及建国前老工人住院费和门诊治疗费用</w:t>
      </w:r>
    </w:p>
    <w:p>
      <w:pPr>
        <w:pStyle w:val="23"/>
      </w:pPr>
      <w:r>
        <w:t>绩效目标：</w:t>
      </w:r>
      <w:r>
        <w:rPr>
          <w:rFonts w:hint="eastAsia"/>
        </w:rPr>
        <w:t>保障离休及建国前老工人发生的住院费及门诊治疗费用及时发放到位</w:t>
      </w:r>
    </w:p>
    <w:p>
      <w:pPr>
        <w:pStyle w:val="23"/>
      </w:pPr>
    </w:p>
    <w:p>
      <w:pPr>
        <w:pStyle w:val="23"/>
      </w:pPr>
      <w:r>
        <w:t>绩效指标：有效提高我县</w:t>
      </w:r>
      <w:r>
        <w:rPr>
          <w:rFonts w:hint="eastAsia"/>
          <w:lang w:val="en-US" w:eastAsia="zh-CN"/>
        </w:rPr>
        <w:t>离休人员</w:t>
      </w:r>
      <w:r>
        <w:rPr>
          <w:rFonts w:hint="eastAsia"/>
        </w:rPr>
        <w:t>生活水平，提升生活质量。</w:t>
      </w:r>
      <w:r>
        <w:t>。</w:t>
      </w:r>
    </w:p>
    <w:p>
      <w:pPr>
        <w:pStyle w:val="23"/>
      </w:pPr>
    </w:p>
    <w:p>
      <w:pPr>
        <w:pStyle w:val="23"/>
      </w:pPr>
      <w:r>
        <w:rPr>
          <w:rFonts w:hint="eastAsia"/>
          <w:lang w:val="en-US" w:eastAsia="zh-CN"/>
        </w:rPr>
        <w:t>四</w:t>
      </w:r>
      <w:r>
        <w:t>，冀财社【202</w:t>
      </w:r>
      <w:r>
        <w:rPr>
          <w:rFonts w:hint="eastAsia"/>
          <w:lang w:val="en-US" w:eastAsia="zh-CN"/>
        </w:rPr>
        <w:t>5</w:t>
      </w:r>
      <w:r>
        <w:t>】1</w:t>
      </w:r>
      <w:r>
        <w:rPr>
          <w:rFonts w:hint="eastAsia"/>
          <w:lang w:val="en-US" w:eastAsia="zh-CN"/>
        </w:rPr>
        <w:t>21</w:t>
      </w:r>
      <w:r>
        <w:t>号</w:t>
      </w:r>
      <w:r>
        <w:rPr>
          <w:rFonts w:hint="eastAsia"/>
          <w:lang w:val="en-US" w:eastAsia="zh-CN"/>
        </w:rPr>
        <w:t>提前下达</w:t>
      </w:r>
      <w:r>
        <w:t>202</w:t>
      </w:r>
      <w:r>
        <w:rPr>
          <w:rFonts w:hint="eastAsia"/>
          <w:lang w:val="en-US" w:eastAsia="zh-CN"/>
        </w:rPr>
        <w:t>6</w:t>
      </w:r>
      <w:r>
        <w:t>年脱贫县离休干部医药费补助资金</w:t>
      </w:r>
    </w:p>
    <w:p>
      <w:pPr>
        <w:pStyle w:val="23"/>
      </w:pPr>
    </w:p>
    <w:p>
      <w:pPr>
        <w:pStyle w:val="23"/>
      </w:pPr>
      <w:r>
        <w:t>绩效目标：切实保障我县离休干部医药费按规定实报实销。</w:t>
      </w:r>
    </w:p>
    <w:p>
      <w:pPr>
        <w:pStyle w:val="23"/>
      </w:pPr>
      <w:r>
        <w:t>绩效指标：提高我县离休干部生活水平，提升生活质量。</w:t>
      </w:r>
    </w:p>
    <w:p>
      <w:pPr>
        <w:pStyle w:val="23"/>
      </w:pPr>
    </w:p>
    <w:p>
      <w:pPr>
        <w:pStyle w:val="23"/>
      </w:pPr>
      <w:r>
        <w:rPr>
          <w:rFonts w:hint="eastAsia"/>
          <w:lang w:val="en-US" w:eastAsia="zh-CN"/>
        </w:rPr>
        <w:t>五</w:t>
      </w:r>
      <w:r>
        <w:t>，冀财社【202</w:t>
      </w:r>
      <w:r>
        <w:rPr>
          <w:rFonts w:hint="eastAsia"/>
          <w:lang w:val="en-US" w:eastAsia="zh-CN"/>
        </w:rPr>
        <w:t>5</w:t>
      </w:r>
      <w:r>
        <w:t>】1</w:t>
      </w:r>
      <w:r>
        <w:rPr>
          <w:rFonts w:hint="eastAsia"/>
          <w:lang w:val="en-US" w:eastAsia="zh-CN"/>
        </w:rPr>
        <w:t>2</w:t>
      </w:r>
      <w:r>
        <w:t>8号</w:t>
      </w:r>
      <w:r>
        <w:rPr>
          <w:rFonts w:hint="eastAsia"/>
          <w:lang w:val="en-US" w:eastAsia="zh-CN"/>
        </w:rPr>
        <w:t>提前下达</w:t>
      </w:r>
      <w:r>
        <w:t>202</w:t>
      </w:r>
      <w:r>
        <w:rPr>
          <w:rFonts w:hint="eastAsia"/>
          <w:lang w:val="en-US" w:eastAsia="zh-CN"/>
        </w:rPr>
        <w:t>6</w:t>
      </w:r>
      <w:r>
        <w:t>年中央财政医疗服务与保障能力提升资金</w:t>
      </w:r>
    </w:p>
    <w:p>
      <w:pPr>
        <w:pStyle w:val="23"/>
      </w:pPr>
    </w:p>
    <w:p>
      <w:pPr>
        <w:pStyle w:val="23"/>
      </w:pPr>
      <w:r>
        <w:t>绩效目标：主要用于对医保信息化管理、加强基金监管，提高城乡居民的医保政策知晓率等方面的支出。</w:t>
      </w:r>
    </w:p>
    <w:p>
      <w:pPr>
        <w:pStyle w:val="23"/>
      </w:pPr>
    </w:p>
    <w:p>
      <w:pPr>
        <w:pStyle w:val="23"/>
      </w:pPr>
      <w:r>
        <w:t>绩效指标：提高受益群众满意度，提升医疗保障工作效率。</w:t>
      </w:r>
    </w:p>
    <w:p>
      <w:pPr>
        <w:pStyle w:val="23"/>
      </w:pPr>
    </w:p>
    <w:p>
      <w:pPr>
        <w:pStyle w:val="23"/>
      </w:pPr>
      <w:r>
        <w:rPr>
          <w:rFonts w:hint="eastAsia"/>
          <w:lang w:val="en-US" w:eastAsia="zh-CN"/>
        </w:rPr>
        <w:t>六</w:t>
      </w:r>
      <w:r>
        <w:t>，医保业务专项经费</w:t>
      </w:r>
    </w:p>
    <w:p>
      <w:pPr>
        <w:pStyle w:val="23"/>
      </w:pPr>
    </w:p>
    <w:p>
      <w:pPr>
        <w:pStyle w:val="23"/>
      </w:pPr>
      <w:r>
        <w:t>绩效目标：有效提高医保基金合规使用率，确保医保基金正常运转。</w:t>
      </w:r>
    </w:p>
    <w:p>
      <w:pPr>
        <w:pStyle w:val="23"/>
      </w:pPr>
    </w:p>
    <w:p>
      <w:pPr>
        <w:pStyle w:val="23"/>
      </w:pPr>
      <w:r>
        <w:t>绩效指标：提高医疗保障管理水平，确保医保待遇落到实处。</w:t>
      </w:r>
    </w:p>
    <w:p>
      <w:pPr>
        <w:pStyle w:val="23"/>
      </w:pPr>
    </w:p>
    <w:p>
      <w:pPr>
        <w:pStyle w:val="23"/>
      </w:pPr>
      <w:r>
        <w:rPr>
          <w:rFonts w:hint="eastAsia"/>
          <w:lang w:val="en-US" w:eastAsia="zh-CN"/>
        </w:rPr>
        <w:t>七</w:t>
      </w:r>
      <w:r>
        <w:t>，医保骨干网运行经费</w:t>
      </w:r>
    </w:p>
    <w:p>
      <w:pPr>
        <w:pStyle w:val="23"/>
      </w:pPr>
    </w:p>
    <w:p>
      <w:pPr>
        <w:pStyle w:val="23"/>
      </w:pPr>
      <w:r>
        <w:t>绩效目标：为更好的对医保基金进行管理，使广大人民群众能够及时享受医保待遇。</w:t>
      </w:r>
    </w:p>
    <w:p>
      <w:pPr>
        <w:pStyle w:val="23"/>
      </w:pPr>
      <w:r>
        <w:t>绩效指标：有效提升参保群众的生活质量。</w:t>
      </w:r>
    </w:p>
    <w:p>
      <w:pPr>
        <w:pStyle w:val="23"/>
      </w:pP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p>
    <w:p>
      <w:pPr>
        <w:pStyle w:val="24"/>
        <w:sectPr>
          <w:pgSz w:w="16840" w:h="11900" w:orient="landscape"/>
          <w:pgMar w:top="1361" w:right="1020" w:bottom="1361" w:left="1020" w:header="720" w:footer="720" w:gutter="0"/>
          <w:cols w:space="720" w:num="1"/>
        </w:sectPr>
      </w:pPr>
      <w:r>
        <w:t>加强项目资金的管理使用，提高项目资金的使用率，发挥好项目资金促进民生的作用。根据各相关科室工作内容、享受政策人数及上年度项目资金结余情况，对项目资金进行科学分配，确保项目资金用完、用好，发挥项目资金的最大效益。建立对资金使用情况定期监测制度，及时发现资金使用中存在的问题，确保资金安全使用。加大绩效评价结果运用力度，积极推进绩效评价结果在项目申报、资金安排方面的运用，提升资金使用效益</w:t>
      </w:r>
    </w:p>
    <w:p>
      <w:pPr>
        <w:pStyle w:val="24"/>
        <w:sectPr>
          <w:pgSz w:w="16840" w:h="11900" w:orient="landscape"/>
          <w:pgMar w:top="1361" w:right="1020" w:bottom="1361"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1、城乡居民低收入人员参保费县级医疗救助补助配套资金绩效目标表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13012526P000031100041</w:t>
            </w:r>
          </w:p>
        </w:tc>
        <w:tc>
          <w:tcPr>
            <w:tcW w:w="2835" w:type="dxa"/>
            <w:vAlign w:val="center"/>
          </w:tcPr>
          <w:p>
            <w:pPr>
              <w:pStyle w:val="11"/>
            </w:pPr>
            <w:r>
              <w:t>项目名称</w:t>
            </w:r>
          </w:p>
        </w:tc>
        <w:tc>
          <w:tcPr>
            <w:tcW w:w="6095" w:type="dxa"/>
            <w:gridSpan w:val="3"/>
            <w:vAlign w:val="center"/>
          </w:tcPr>
          <w:p>
            <w:pPr>
              <w:pStyle w:val="13"/>
            </w:pPr>
            <w:r>
              <w:t>城乡居民低收入人员参保费县级医疗救助补助配套资金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51.30</w:t>
            </w:r>
          </w:p>
        </w:tc>
        <w:tc>
          <w:tcPr>
            <w:tcW w:w="2835" w:type="dxa"/>
            <w:vAlign w:val="center"/>
          </w:tcPr>
          <w:p>
            <w:pPr>
              <w:pStyle w:val="11"/>
            </w:pPr>
            <w:r>
              <w:t>其中：财政    资金</w:t>
            </w:r>
          </w:p>
        </w:tc>
        <w:tc>
          <w:tcPr>
            <w:tcW w:w="2551" w:type="dxa"/>
            <w:vAlign w:val="center"/>
          </w:tcPr>
          <w:p>
            <w:pPr>
              <w:pStyle w:val="13"/>
            </w:pPr>
            <w:r>
              <w:t>51.30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用于资助我县低收入人员参保费及医疗费用县级负担部分的资金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w:t>
            </w:r>
          </w:p>
        </w:tc>
        <w:tc>
          <w:tcPr>
            <w:tcW w:w="2835" w:type="dxa"/>
            <w:vAlign w:val="center"/>
          </w:tcPr>
          <w:p>
            <w:pPr>
              <w:pStyle w:val="14"/>
            </w:pPr>
            <w:r>
              <w:t>30.00</w:t>
            </w:r>
          </w:p>
        </w:tc>
        <w:tc>
          <w:tcPr>
            <w:tcW w:w="2551" w:type="dxa"/>
            <w:vAlign w:val="center"/>
          </w:tcPr>
          <w:p>
            <w:pPr>
              <w:pStyle w:val="14"/>
            </w:pPr>
            <w:r>
              <w:t>40.00</w:t>
            </w:r>
          </w:p>
        </w:tc>
        <w:tc>
          <w:tcPr>
            <w:tcW w:w="3544" w:type="dxa"/>
            <w:gridSpan w:val="2"/>
            <w:vAlign w:val="center"/>
          </w:tcPr>
          <w:p>
            <w:pPr>
              <w:pStyle w:val="14"/>
            </w:pPr>
            <w:r>
              <w:t>51.30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1.根据上级通知及时完成资金上解任务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享受医疗救助待遇人数</w:t>
            </w:r>
          </w:p>
        </w:tc>
        <w:tc>
          <w:tcPr>
            <w:tcW w:w="5386" w:type="dxa"/>
            <w:vAlign w:val="center"/>
          </w:tcPr>
          <w:p>
            <w:pPr>
              <w:pStyle w:val="13"/>
            </w:pPr>
            <w:r>
              <w:t>根据医务科室2025年10月份最新统计数字，特困人员及孤儿2460人*400/参保费=984000元；低保及返贫检测人员11519人*（400元/人*90%）=4146840元，以上合计5130840元，根据石政办函【2019】1号文规定，县级负担10%比例计算为51.31万元</w:t>
            </w:r>
          </w:p>
        </w:tc>
        <w:tc>
          <w:tcPr>
            <w:tcW w:w="2268" w:type="dxa"/>
            <w:vAlign w:val="center"/>
          </w:tcPr>
          <w:p>
            <w:pPr>
              <w:pStyle w:val="13"/>
            </w:pPr>
            <w:r>
              <w:t>享受待遇13979人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参保覆盖率</w:t>
            </w:r>
          </w:p>
        </w:tc>
        <w:tc>
          <w:tcPr>
            <w:tcW w:w="5386" w:type="dxa"/>
            <w:vAlign w:val="center"/>
          </w:tcPr>
          <w:p>
            <w:pPr>
              <w:pStyle w:val="13"/>
            </w:pPr>
            <w:r>
              <w:t>符合资助条件的农村低收入人口资助参保政策覆盖率</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报销覆盖率</w:t>
            </w:r>
          </w:p>
        </w:tc>
        <w:tc>
          <w:tcPr>
            <w:tcW w:w="5386" w:type="dxa"/>
            <w:vAlign w:val="center"/>
          </w:tcPr>
          <w:p>
            <w:pPr>
              <w:pStyle w:val="13"/>
            </w:pPr>
            <w:r>
              <w:t>县域内享受参保资助覆盖地区</w:t>
            </w:r>
          </w:p>
        </w:tc>
        <w:tc>
          <w:tcPr>
            <w:tcW w:w="2268" w:type="dxa"/>
            <w:vAlign w:val="center"/>
          </w:tcPr>
          <w:p>
            <w:pPr>
              <w:pStyle w:val="13"/>
            </w:pPr>
            <w:r>
              <w:t>不低于上年</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我县低收入人员参保费县级负担部分的资金</w:t>
            </w:r>
          </w:p>
        </w:tc>
        <w:tc>
          <w:tcPr>
            <w:tcW w:w="2268" w:type="dxa"/>
            <w:vAlign w:val="center"/>
          </w:tcPr>
          <w:p>
            <w:pPr>
              <w:pStyle w:val="13"/>
            </w:pPr>
            <w:r>
              <w:t>不超51.3万元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困难群众负担减轻程度</w:t>
            </w:r>
          </w:p>
        </w:tc>
        <w:tc>
          <w:tcPr>
            <w:tcW w:w="5386" w:type="dxa"/>
            <w:vAlign w:val="center"/>
          </w:tcPr>
          <w:p>
            <w:pPr>
              <w:pStyle w:val="13"/>
            </w:pPr>
            <w:r>
              <w:t>困难群众看病就医负担减轻程度</w:t>
            </w:r>
          </w:p>
        </w:tc>
        <w:tc>
          <w:tcPr>
            <w:tcW w:w="2268" w:type="dxa"/>
            <w:vAlign w:val="center"/>
          </w:tcPr>
          <w:p>
            <w:pPr>
              <w:pStyle w:val="13"/>
            </w:pPr>
            <w:r>
              <w:t>有效缓解</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低收入人群对参保救助满意度的比率</w:t>
            </w:r>
          </w:p>
        </w:tc>
        <w:tc>
          <w:tcPr>
            <w:tcW w:w="2268" w:type="dxa"/>
            <w:vAlign w:val="center"/>
          </w:tcPr>
          <w:p>
            <w:pPr>
              <w:pStyle w:val="13"/>
            </w:pPr>
            <w:r>
              <w:t>≥95%</w:t>
            </w:r>
          </w:p>
        </w:tc>
        <w:tc>
          <w:tcPr>
            <w:tcW w:w="1276" w:type="dxa"/>
            <w:vAlign w:val="center"/>
          </w:tcPr>
          <w:p>
            <w:pPr>
              <w:pStyle w:val="13"/>
            </w:pPr>
            <w:r>
              <w:t>计划标准</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2、城乡居民县级医保财政补助资金绩效目标表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13012526P00003010006J</w:t>
            </w:r>
          </w:p>
        </w:tc>
        <w:tc>
          <w:tcPr>
            <w:tcW w:w="2835" w:type="dxa"/>
            <w:vAlign w:val="center"/>
          </w:tcPr>
          <w:p>
            <w:pPr>
              <w:pStyle w:val="11"/>
            </w:pPr>
            <w:r>
              <w:t>项目名称</w:t>
            </w:r>
          </w:p>
        </w:tc>
        <w:tc>
          <w:tcPr>
            <w:tcW w:w="6095" w:type="dxa"/>
            <w:gridSpan w:val="3"/>
            <w:vAlign w:val="center"/>
          </w:tcPr>
          <w:p>
            <w:pPr>
              <w:pStyle w:val="13"/>
            </w:pPr>
            <w:r>
              <w:t>城乡居民县级医保财政补助资金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4630.00</w:t>
            </w:r>
          </w:p>
        </w:tc>
        <w:tc>
          <w:tcPr>
            <w:tcW w:w="2835" w:type="dxa"/>
            <w:vAlign w:val="center"/>
          </w:tcPr>
          <w:p>
            <w:pPr>
              <w:pStyle w:val="11"/>
            </w:pPr>
            <w:r>
              <w:t>其中：财政    资金</w:t>
            </w:r>
          </w:p>
        </w:tc>
        <w:tc>
          <w:tcPr>
            <w:tcW w:w="2551" w:type="dxa"/>
            <w:vAlign w:val="center"/>
          </w:tcPr>
          <w:p>
            <w:pPr>
              <w:pStyle w:val="13"/>
            </w:pPr>
            <w:r>
              <w:t>4630.00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用于补助我县城乡居民基本医疗保险的县级配套资金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1630.00</w:t>
            </w:r>
          </w:p>
        </w:tc>
        <w:tc>
          <w:tcPr>
            <w:tcW w:w="2835" w:type="dxa"/>
            <w:vAlign w:val="center"/>
          </w:tcPr>
          <w:p>
            <w:pPr>
              <w:pStyle w:val="14"/>
            </w:pPr>
            <w:r>
              <w:t>2630.00</w:t>
            </w:r>
          </w:p>
        </w:tc>
        <w:tc>
          <w:tcPr>
            <w:tcW w:w="2551" w:type="dxa"/>
            <w:vAlign w:val="center"/>
          </w:tcPr>
          <w:p>
            <w:pPr>
              <w:pStyle w:val="14"/>
            </w:pPr>
            <w:r>
              <w:t>3630.00</w:t>
            </w:r>
          </w:p>
        </w:tc>
        <w:tc>
          <w:tcPr>
            <w:tcW w:w="3544" w:type="dxa"/>
            <w:gridSpan w:val="2"/>
            <w:vAlign w:val="center"/>
          </w:tcPr>
          <w:p>
            <w:pPr>
              <w:pStyle w:val="14"/>
            </w:pPr>
            <w:r>
              <w:t>4630.00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1.根据上级统筹安排及时完成上解资金任务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参保人数</w:t>
            </w:r>
          </w:p>
        </w:tc>
        <w:tc>
          <w:tcPr>
            <w:tcW w:w="5386" w:type="dxa"/>
            <w:vAlign w:val="center"/>
          </w:tcPr>
          <w:p>
            <w:pPr>
              <w:pStyle w:val="13"/>
            </w:pPr>
            <w:r>
              <w:t>我县医疗保险参保人数</w:t>
            </w:r>
          </w:p>
        </w:tc>
        <w:tc>
          <w:tcPr>
            <w:tcW w:w="2268" w:type="dxa"/>
            <w:vAlign w:val="center"/>
          </w:tcPr>
          <w:p>
            <w:pPr>
              <w:pStyle w:val="13"/>
            </w:pPr>
            <w:r>
              <w:t>33万人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参保率</w:t>
            </w:r>
          </w:p>
        </w:tc>
        <w:tc>
          <w:tcPr>
            <w:tcW w:w="5386" w:type="dxa"/>
            <w:vAlign w:val="center"/>
          </w:tcPr>
          <w:p>
            <w:pPr>
              <w:pStyle w:val="13"/>
            </w:pPr>
            <w:r>
              <w:t>常住人口参保率</w:t>
            </w:r>
          </w:p>
        </w:tc>
        <w:tc>
          <w:tcPr>
            <w:tcW w:w="2268" w:type="dxa"/>
            <w:vAlign w:val="center"/>
          </w:tcPr>
          <w:p>
            <w:pPr>
              <w:pStyle w:val="13"/>
            </w:pPr>
            <w:r>
              <w:t>≥95%</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结算率</w:t>
            </w:r>
          </w:p>
        </w:tc>
        <w:tc>
          <w:tcPr>
            <w:tcW w:w="5386" w:type="dxa"/>
            <w:vAlign w:val="center"/>
          </w:tcPr>
          <w:p>
            <w:pPr>
              <w:pStyle w:val="13"/>
            </w:pPr>
            <w:r>
              <w:t>医疗费用即时结算率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县级医保财政补助配套资金每人146元/人，按参保人数332000人计算，共计金额4847万元。</w:t>
            </w:r>
          </w:p>
        </w:tc>
        <w:tc>
          <w:tcPr>
            <w:tcW w:w="2268" w:type="dxa"/>
            <w:vAlign w:val="center"/>
          </w:tcPr>
          <w:p>
            <w:pPr>
              <w:pStyle w:val="13"/>
            </w:pPr>
            <w:r>
              <w:t>不超4630万元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享受医保补助情况</w:t>
            </w:r>
          </w:p>
        </w:tc>
        <w:tc>
          <w:tcPr>
            <w:tcW w:w="5386" w:type="dxa"/>
            <w:vAlign w:val="center"/>
          </w:tcPr>
          <w:p>
            <w:pPr>
              <w:pStyle w:val="13"/>
            </w:pPr>
            <w:r>
              <w:t>提高城乡居民基本医疗保险参保率，改善低收入人群生活质量。</w:t>
            </w:r>
          </w:p>
        </w:tc>
        <w:tc>
          <w:tcPr>
            <w:tcW w:w="2268" w:type="dxa"/>
            <w:vAlign w:val="center"/>
          </w:tcPr>
          <w:p>
            <w:pPr>
              <w:pStyle w:val="13"/>
            </w:pPr>
            <w:r>
              <w:t>有效改善</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参保对象满意度</w:t>
            </w:r>
          </w:p>
        </w:tc>
        <w:tc>
          <w:tcPr>
            <w:tcW w:w="2268" w:type="dxa"/>
            <w:vAlign w:val="center"/>
          </w:tcPr>
          <w:p>
            <w:pPr>
              <w:pStyle w:val="13"/>
            </w:pPr>
            <w:r>
              <w:t>≥90%</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3、冀财社【2025】121号提前下达2026年脱贫县离休干部医药费补助资金绩效目标表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13012526P000032100085</w:t>
            </w:r>
          </w:p>
        </w:tc>
        <w:tc>
          <w:tcPr>
            <w:tcW w:w="2835" w:type="dxa"/>
            <w:vAlign w:val="center"/>
          </w:tcPr>
          <w:p>
            <w:pPr>
              <w:pStyle w:val="11"/>
            </w:pPr>
            <w:r>
              <w:t>项目名称</w:t>
            </w:r>
          </w:p>
        </w:tc>
        <w:tc>
          <w:tcPr>
            <w:tcW w:w="6095" w:type="dxa"/>
            <w:gridSpan w:val="3"/>
            <w:vAlign w:val="center"/>
          </w:tcPr>
          <w:p>
            <w:pPr>
              <w:pStyle w:val="13"/>
            </w:pPr>
            <w:r>
              <w:t>冀财社【2025】121号提前下达2026年脱贫县离休干部医药费补助资金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w:t>
            </w:r>
          </w:p>
        </w:tc>
        <w:tc>
          <w:tcPr>
            <w:tcW w:w="2835" w:type="dxa"/>
            <w:vAlign w:val="center"/>
          </w:tcPr>
          <w:p>
            <w:pPr>
              <w:pStyle w:val="11"/>
            </w:pPr>
            <w:r>
              <w:t>其中：财政    资金</w:t>
            </w:r>
          </w:p>
        </w:tc>
        <w:tc>
          <w:tcPr>
            <w:tcW w:w="2551" w:type="dxa"/>
            <w:vAlign w:val="center"/>
          </w:tcPr>
          <w:p>
            <w:pPr>
              <w:pStyle w:val="13"/>
            </w:pPr>
            <w:r>
              <w:t>2.20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用于支付我县离休干部住院费及门诊治疗费用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1.50</w:t>
            </w:r>
          </w:p>
        </w:tc>
        <w:tc>
          <w:tcPr>
            <w:tcW w:w="2551" w:type="dxa"/>
            <w:vAlign w:val="center"/>
          </w:tcPr>
          <w:p>
            <w:pPr>
              <w:pStyle w:val="14"/>
            </w:pPr>
            <w:r>
              <w:t>2.00</w:t>
            </w:r>
          </w:p>
        </w:tc>
        <w:tc>
          <w:tcPr>
            <w:tcW w:w="3544" w:type="dxa"/>
            <w:gridSpan w:val="2"/>
            <w:vAlign w:val="center"/>
          </w:tcPr>
          <w:p>
            <w:pPr>
              <w:pStyle w:val="14"/>
            </w:pPr>
            <w:r>
              <w:t>2.20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1.切实保障我县离休干部医药费按规定实报实销。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5386" w:type="dxa"/>
            <w:vAlign w:val="center"/>
          </w:tcPr>
          <w:p>
            <w:pPr>
              <w:pStyle w:val="13"/>
            </w:pPr>
            <w:r>
              <w:t>我县符合补助条件的人员数量</w:t>
            </w:r>
          </w:p>
        </w:tc>
        <w:tc>
          <w:tcPr>
            <w:tcW w:w="2268" w:type="dxa"/>
            <w:vAlign w:val="center"/>
          </w:tcPr>
          <w:p>
            <w:pPr>
              <w:pStyle w:val="13"/>
            </w:pPr>
            <w:r>
              <w:t>11人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医药费报销比例</w:t>
            </w:r>
          </w:p>
        </w:tc>
        <w:tc>
          <w:tcPr>
            <w:tcW w:w="5386" w:type="dxa"/>
            <w:vAlign w:val="center"/>
          </w:tcPr>
          <w:p>
            <w:pPr>
              <w:pStyle w:val="13"/>
            </w:pPr>
            <w:r>
              <w:t>离休干部医药费实报与应报比例</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医药费报销及时性</w:t>
            </w:r>
          </w:p>
        </w:tc>
        <w:tc>
          <w:tcPr>
            <w:tcW w:w="5386" w:type="dxa"/>
            <w:vAlign w:val="center"/>
          </w:tcPr>
          <w:p>
            <w:pPr>
              <w:pStyle w:val="13"/>
            </w:pPr>
            <w:r>
              <w:t>离休干部医药费待遇报销按规定时限及时报销情况</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实际发生报销金额2.2万元</w:t>
            </w:r>
          </w:p>
        </w:tc>
        <w:tc>
          <w:tcPr>
            <w:tcW w:w="2268" w:type="dxa"/>
            <w:vAlign w:val="center"/>
          </w:tcPr>
          <w:p>
            <w:pPr>
              <w:pStyle w:val="13"/>
            </w:pPr>
            <w:r>
              <w:t>不超预算</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生活改善情况</w:t>
            </w:r>
          </w:p>
        </w:tc>
        <w:tc>
          <w:tcPr>
            <w:tcW w:w="5386" w:type="dxa"/>
            <w:vAlign w:val="center"/>
          </w:tcPr>
          <w:p>
            <w:pPr>
              <w:pStyle w:val="13"/>
            </w:pPr>
            <w:r>
              <w:t>提高生活水平，提升生活质量。</w:t>
            </w:r>
          </w:p>
        </w:tc>
        <w:tc>
          <w:tcPr>
            <w:tcW w:w="2268" w:type="dxa"/>
            <w:vAlign w:val="center"/>
          </w:tcPr>
          <w:p>
            <w:pPr>
              <w:pStyle w:val="13"/>
            </w:pPr>
            <w:r>
              <w:t>有效提升</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满意和较满意的受益对象占全部受益对象的比率</w:t>
            </w:r>
          </w:p>
        </w:tc>
        <w:tc>
          <w:tcPr>
            <w:tcW w:w="2268" w:type="dxa"/>
            <w:vAlign w:val="center"/>
          </w:tcPr>
          <w:p>
            <w:pPr>
              <w:pStyle w:val="13"/>
            </w:pPr>
            <w:r>
              <w:t>≥95%</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4、冀财社【2025】128号提前下达2026年中央财政医疗服务与保障能力提升补助资金绩效目标表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13012526P00003410007W</w:t>
            </w:r>
          </w:p>
        </w:tc>
        <w:tc>
          <w:tcPr>
            <w:tcW w:w="2835" w:type="dxa"/>
            <w:vAlign w:val="center"/>
          </w:tcPr>
          <w:p>
            <w:pPr>
              <w:pStyle w:val="11"/>
            </w:pPr>
            <w:r>
              <w:t>项目名称</w:t>
            </w:r>
          </w:p>
        </w:tc>
        <w:tc>
          <w:tcPr>
            <w:tcW w:w="6095" w:type="dxa"/>
            <w:gridSpan w:val="3"/>
            <w:vAlign w:val="center"/>
          </w:tcPr>
          <w:p>
            <w:pPr>
              <w:pStyle w:val="13"/>
            </w:pPr>
            <w:r>
              <w:t>冀财社【2025】128号提前下达2026年中央财政医疗服务与保障能力提升补助资金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29.00</w:t>
            </w:r>
          </w:p>
        </w:tc>
        <w:tc>
          <w:tcPr>
            <w:tcW w:w="2835" w:type="dxa"/>
            <w:vAlign w:val="center"/>
          </w:tcPr>
          <w:p>
            <w:pPr>
              <w:pStyle w:val="11"/>
            </w:pPr>
            <w:r>
              <w:t>其中：财政    资金</w:t>
            </w:r>
          </w:p>
        </w:tc>
        <w:tc>
          <w:tcPr>
            <w:tcW w:w="2551" w:type="dxa"/>
            <w:vAlign w:val="center"/>
          </w:tcPr>
          <w:p>
            <w:pPr>
              <w:pStyle w:val="13"/>
            </w:pPr>
            <w:r>
              <w:t>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主要用于基金监管，提高城乡居民的医保政策知晓率政策宣传等方面的支出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10.00</w:t>
            </w:r>
          </w:p>
        </w:tc>
        <w:tc>
          <w:tcPr>
            <w:tcW w:w="2551" w:type="dxa"/>
            <w:vAlign w:val="center"/>
          </w:tcPr>
          <w:p>
            <w:pPr>
              <w:pStyle w:val="14"/>
            </w:pPr>
            <w:r>
              <w:t>20.00</w:t>
            </w:r>
          </w:p>
        </w:tc>
        <w:tc>
          <w:tcPr>
            <w:tcW w:w="3544" w:type="dxa"/>
            <w:gridSpan w:val="2"/>
            <w:vAlign w:val="center"/>
          </w:tcPr>
          <w:p>
            <w:pPr>
              <w:pStyle w:val="14"/>
            </w:pPr>
            <w:r>
              <w:t>29.00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1.主要用于对医保信息化管理、加强基金监管，提高城乡居民的医保政策知晓率等方面的支出。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政策宣传数量</w:t>
            </w:r>
          </w:p>
        </w:tc>
        <w:tc>
          <w:tcPr>
            <w:tcW w:w="5386" w:type="dxa"/>
            <w:vAlign w:val="center"/>
          </w:tcPr>
          <w:p>
            <w:pPr>
              <w:pStyle w:val="13"/>
            </w:pPr>
            <w:r>
              <w:t>开展医保政策宣传的乡镇数量</w:t>
            </w:r>
          </w:p>
        </w:tc>
        <w:tc>
          <w:tcPr>
            <w:tcW w:w="2268" w:type="dxa"/>
            <w:vAlign w:val="center"/>
          </w:tcPr>
          <w:p>
            <w:pPr>
              <w:pStyle w:val="13"/>
            </w:pPr>
            <w:r>
              <w:t>15个乡镇</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5386" w:type="dxa"/>
            <w:vAlign w:val="center"/>
          </w:tcPr>
          <w:p>
            <w:pPr>
              <w:pStyle w:val="13"/>
            </w:pPr>
            <w:r>
              <w:t>使用支出资金占全部资金的合规率</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资金使用完成率</w:t>
            </w:r>
          </w:p>
        </w:tc>
        <w:tc>
          <w:tcPr>
            <w:tcW w:w="5386" w:type="dxa"/>
            <w:vAlign w:val="center"/>
          </w:tcPr>
          <w:p>
            <w:pPr>
              <w:pStyle w:val="13"/>
            </w:pPr>
            <w:r>
              <w:t>在本年度内医保能力提升资金使用完成率</w:t>
            </w:r>
          </w:p>
        </w:tc>
        <w:tc>
          <w:tcPr>
            <w:tcW w:w="2268" w:type="dxa"/>
            <w:vAlign w:val="center"/>
          </w:tcPr>
          <w:p>
            <w:pPr>
              <w:pStyle w:val="13"/>
            </w:pPr>
            <w:r>
              <w:t>≥95%</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医保能力提升资金使用成本控制率</w:t>
            </w:r>
          </w:p>
        </w:tc>
        <w:tc>
          <w:tcPr>
            <w:tcW w:w="2268" w:type="dxa"/>
            <w:vAlign w:val="center"/>
          </w:tcPr>
          <w:p>
            <w:pPr>
              <w:pStyle w:val="13"/>
            </w:pPr>
            <w:r>
              <w:t>不超29万元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提高医疗保障管理水平</w:t>
            </w:r>
          </w:p>
        </w:tc>
        <w:tc>
          <w:tcPr>
            <w:tcW w:w="5386" w:type="dxa"/>
            <w:vAlign w:val="center"/>
          </w:tcPr>
          <w:p>
            <w:pPr>
              <w:pStyle w:val="13"/>
            </w:pPr>
            <w:r>
              <w:t>提高受益群众满意度，提升医疗保障工作效率</w:t>
            </w:r>
          </w:p>
        </w:tc>
        <w:tc>
          <w:tcPr>
            <w:tcW w:w="2268" w:type="dxa"/>
            <w:vAlign w:val="center"/>
          </w:tcPr>
          <w:p>
            <w:pPr>
              <w:pStyle w:val="13"/>
            </w:pPr>
            <w:r>
              <w:t>有效提升</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参保群众对医保服务的满意度</w:t>
            </w:r>
          </w:p>
        </w:tc>
        <w:tc>
          <w:tcPr>
            <w:tcW w:w="2268" w:type="dxa"/>
            <w:vAlign w:val="center"/>
          </w:tcPr>
          <w:p>
            <w:pPr>
              <w:pStyle w:val="13"/>
            </w:pPr>
            <w:r>
              <w:t>≥95%</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5、离休及建国前老工人住院费和门诊治疗费用绩效目标表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13012526P00003210009Q</w:t>
            </w:r>
          </w:p>
        </w:tc>
        <w:tc>
          <w:tcPr>
            <w:tcW w:w="2835" w:type="dxa"/>
            <w:vAlign w:val="center"/>
          </w:tcPr>
          <w:p>
            <w:pPr>
              <w:pStyle w:val="11"/>
            </w:pPr>
            <w:r>
              <w:t>项目名称</w:t>
            </w:r>
          </w:p>
        </w:tc>
        <w:tc>
          <w:tcPr>
            <w:tcW w:w="6095" w:type="dxa"/>
            <w:gridSpan w:val="3"/>
            <w:vAlign w:val="center"/>
          </w:tcPr>
          <w:p>
            <w:pPr>
              <w:pStyle w:val="13"/>
            </w:pPr>
            <w:r>
              <w:t>离休及建国前老工人住院费和门诊治疗费用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w:t>
            </w:r>
          </w:p>
        </w:tc>
        <w:tc>
          <w:tcPr>
            <w:tcW w:w="2835" w:type="dxa"/>
            <w:vAlign w:val="center"/>
          </w:tcPr>
          <w:p>
            <w:pPr>
              <w:pStyle w:val="11"/>
            </w:pPr>
            <w:r>
              <w:t>其中：财政    资金</w:t>
            </w:r>
          </w:p>
        </w:tc>
        <w:tc>
          <w:tcPr>
            <w:tcW w:w="2551" w:type="dxa"/>
            <w:vAlign w:val="center"/>
          </w:tcPr>
          <w:p>
            <w:pPr>
              <w:pStyle w:val="13"/>
            </w:pPr>
            <w:r>
              <w:t>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用于支付我县离休干部发生的住院费及门诊治疗费用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11.00</w:t>
            </w:r>
          </w:p>
        </w:tc>
        <w:tc>
          <w:tcPr>
            <w:tcW w:w="2835" w:type="dxa"/>
            <w:vAlign w:val="center"/>
          </w:tcPr>
          <w:p>
            <w:pPr>
              <w:pStyle w:val="14"/>
            </w:pPr>
            <w:r>
              <w:t>19.00</w:t>
            </w:r>
          </w:p>
        </w:tc>
        <w:tc>
          <w:tcPr>
            <w:tcW w:w="2551" w:type="dxa"/>
            <w:vAlign w:val="center"/>
          </w:tcPr>
          <w:p>
            <w:pPr>
              <w:pStyle w:val="14"/>
            </w:pPr>
            <w:r>
              <w:t>25.00</w:t>
            </w:r>
          </w:p>
        </w:tc>
        <w:tc>
          <w:tcPr>
            <w:tcW w:w="3544" w:type="dxa"/>
            <w:gridSpan w:val="2"/>
            <w:vAlign w:val="center"/>
          </w:tcPr>
          <w:p>
            <w:pPr>
              <w:pStyle w:val="14"/>
            </w:pPr>
            <w:r>
              <w:t>28.00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1.保障离休及建国前老工人发生的住院费及门诊治疗费用及时发放到位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5386" w:type="dxa"/>
            <w:vAlign w:val="center"/>
          </w:tcPr>
          <w:p>
            <w:pPr>
              <w:pStyle w:val="13"/>
            </w:pPr>
            <w:r>
              <w:t>本次符合补助条件的人员数量</w:t>
            </w:r>
          </w:p>
        </w:tc>
        <w:tc>
          <w:tcPr>
            <w:tcW w:w="2268" w:type="dxa"/>
            <w:vAlign w:val="center"/>
          </w:tcPr>
          <w:p>
            <w:pPr>
              <w:pStyle w:val="13"/>
            </w:pPr>
            <w:r>
              <w:t>11人</w:t>
            </w:r>
          </w:p>
        </w:tc>
        <w:tc>
          <w:tcPr>
            <w:tcW w:w="1276" w:type="dxa"/>
            <w:vAlign w:val="center"/>
          </w:tcPr>
          <w:p>
            <w:pPr>
              <w:pStyle w:val="13"/>
            </w:pPr>
            <w:r>
              <w:t>计划标准</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医疗保障覆盖率</w:t>
            </w:r>
          </w:p>
        </w:tc>
        <w:tc>
          <w:tcPr>
            <w:tcW w:w="5386" w:type="dxa"/>
            <w:vAlign w:val="center"/>
          </w:tcPr>
          <w:p>
            <w:pPr>
              <w:pStyle w:val="13"/>
            </w:pPr>
            <w:r>
              <w:t>医疗待遇按时足额发放人数占应发放人数的比率</w:t>
            </w:r>
          </w:p>
        </w:tc>
        <w:tc>
          <w:tcPr>
            <w:tcW w:w="2268" w:type="dxa"/>
            <w:vAlign w:val="center"/>
          </w:tcPr>
          <w:p>
            <w:pPr>
              <w:pStyle w:val="13"/>
            </w:pPr>
            <w:r>
              <w:t>100%</w:t>
            </w:r>
          </w:p>
        </w:tc>
        <w:tc>
          <w:tcPr>
            <w:tcW w:w="1276" w:type="dxa"/>
            <w:vAlign w:val="center"/>
          </w:tcPr>
          <w:p>
            <w:pPr>
              <w:pStyle w:val="13"/>
            </w:pPr>
            <w:r>
              <w:t>计划标准</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医疗保险待遇报销及时率</w:t>
            </w:r>
          </w:p>
        </w:tc>
        <w:tc>
          <w:tcPr>
            <w:tcW w:w="5386" w:type="dxa"/>
            <w:vAlign w:val="center"/>
          </w:tcPr>
          <w:p>
            <w:pPr>
              <w:pStyle w:val="13"/>
            </w:pPr>
            <w:r>
              <w:t>医疗保险待遇报销按规定时限及时报销情况</w:t>
            </w:r>
          </w:p>
        </w:tc>
        <w:tc>
          <w:tcPr>
            <w:tcW w:w="2268" w:type="dxa"/>
            <w:vAlign w:val="center"/>
          </w:tcPr>
          <w:p>
            <w:pPr>
              <w:pStyle w:val="13"/>
            </w:pPr>
            <w:r>
              <w:t>≥95%</w:t>
            </w:r>
          </w:p>
        </w:tc>
        <w:tc>
          <w:tcPr>
            <w:tcW w:w="1276" w:type="dxa"/>
            <w:vAlign w:val="center"/>
          </w:tcPr>
          <w:p>
            <w:pPr>
              <w:pStyle w:val="13"/>
            </w:pPr>
            <w:r>
              <w:t>计划标准</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按实际发生金额报销</w:t>
            </w:r>
          </w:p>
        </w:tc>
        <w:tc>
          <w:tcPr>
            <w:tcW w:w="2268" w:type="dxa"/>
            <w:vAlign w:val="center"/>
          </w:tcPr>
          <w:p>
            <w:pPr>
              <w:pStyle w:val="13"/>
            </w:pPr>
            <w:r>
              <w:t>不超28万元</w:t>
            </w:r>
          </w:p>
        </w:tc>
        <w:tc>
          <w:tcPr>
            <w:tcW w:w="1276" w:type="dxa"/>
            <w:vAlign w:val="center"/>
          </w:tcPr>
          <w:p>
            <w:pPr>
              <w:pStyle w:val="13"/>
            </w:pPr>
            <w:r>
              <w:t>计划标准</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生活改善情况</w:t>
            </w:r>
          </w:p>
        </w:tc>
        <w:tc>
          <w:tcPr>
            <w:tcW w:w="5386" w:type="dxa"/>
            <w:vAlign w:val="center"/>
          </w:tcPr>
          <w:p>
            <w:pPr>
              <w:pStyle w:val="13"/>
            </w:pPr>
            <w:r>
              <w:t>提高生活水平，提升生活质量。</w:t>
            </w:r>
          </w:p>
        </w:tc>
        <w:tc>
          <w:tcPr>
            <w:tcW w:w="2268" w:type="dxa"/>
            <w:vAlign w:val="center"/>
          </w:tcPr>
          <w:p>
            <w:pPr>
              <w:pStyle w:val="13"/>
            </w:pPr>
            <w:r>
              <w:t>有效提升</w:t>
            </w:r>
          </w:p>
          <w:p>
            <w:pPr>
              <w:pStyle w:val="13"/>
            </w:pPr>
          </w:p>
        </w:tc>
        <w:tc>
          <w:tcPr>
            <w:tcW w:w="1276" w:type="dxa"/>
            <w:vAlign w:val="center"/>
          </w:tcPr>
          <w:p>
            <w:pPr>
              <w:pStyle w:val="13"/>
            </w:pPr>
            <w:r>
              <w:t>计划标准</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受益人群满意度</w:t>
            </w:r>
          </w:p>
        </w:tc>
        <w:tc>
          <w:tcPr>
            <w:tcW w:w="5386" w:type="dxa"/>
            <w:vAlign w:val="center"/>
          </w:tcPr>
          <w:p>
            <w:pPr>
              <w:pStyle w:val="13"/>
            </w:pPr>
            <w:r>
              <w:t>满意和较满意的受益对象占全部受益对象的比率</w:t>
            </w:r>
          </w:p>
        </w:tc>
        <w:tc>
          <w:tcPr>
            <w:tcW w:w="2268" w:type="dxa"/>
            <w:vAlign w:val="center"/>
          </w:tcPr>
          <w:p>
            <w:pPr>
              <w:pStyle w:val="13"/>
            </w:pPr>
            <w:r>
              <w:t>≥95%</w:t>
            </w:r>
          </w:p>
        </w:tc>
        <w:tc>
          <w:tcPr>
            <w:tcW w:w="1276" w:type="dxa"/>
            <w:vAlign w:val="center"/>
          </w:tcPr>
          <w:p>
            <w:pPr>
              <w:pStyle w:val="13"/>
            </w:pPr>
            <w:r>
              <w:t>计划标准</w:t>
            </w:r>
            <w:r>
              <w:tab/>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6、医保骨干网运行经费绩效目标表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13012526P00001010009Y</w:t>
            </w:r>
          </w:p>
        </w:tc>
        <w:tc>
          <w:tcPr>
            <w:tcW w:w="2835" w:type="dxa"/>
            <w:vAlign w:val="center"/>
          </w:tcPr>
          <w:p>
            <w:pPr>
              <w:pStyle w:val="11"/>
            </w:pPr>
            <w:r>
              <w:t>项目名称</w:t>
            </w:r>
          </w:p>
        </w:tc>
        <w:tc>
          <w:tcPr>
            <w:tcW w:w="6095" w:type="dxa"/>
            <w:gridSpan w:val="3"/>
            <w:vAlign w:val="center"/>
          </w:tcPr>
          <w:p>
            <w:pPr>
              <w:pStyle w:val="13"/>
            </w:pPr>
            <w:r>
              <w:t>医保骨干网运行经费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5.80</w:t>
            </w:r>
          </w:p>
        </w:tc>
        <w:tc>
          <w:tcPr>
            <w:tcW w:w="2835" w:type="dxa"/>
            <w:vAlign w:val="center"/>
          </w:tcPr>
          <w:p>
            <w:pPr>
              <w:pStyle w:val="11"/>
            </w:pPr>
            <w:r>
              <w:t>其中：财政    资金</w:t>
            </w:r>
          </w:p>
        </w:tc>
        <w:tc>
          <w:tcPr>
            <w:tcW w:w="2551" w:type="dxa"/>
            <w:vAlign w:val="center"/>
          </w:tcPr>
          <w:p>
            <w:pPr>
              <w:pStyle w:val="13"/>
            </w:pPr>
            <w:r>
              <w:t>5.80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主要用于支付医保骨干网的通信网络服务费及运行期间的设备维修费用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5.20</w:t>
            </w:r>
          </w:p>
        </w:tc>
        <w:tc>
          <w:tcPr>
            <w:tcW w:w="2835" w:type="dxa"/>
            <w:vAlign w:val="center"/>
          </w:tcPr>
          <w:p>
            <w:pPr>
              <w:pStyle w:val="14"/>
            </w:pPr>
            <w:r>
              <w:t>5.40</w:t>
            </w:r>
          </w:p>
        </w:tc>
        <w:tc>
          <w:tcPr>
            <w:tcW w:w="2551" w:type="dxa"/>
            <w:vAlign w:val="center"/>
          </w:tcPr>
          <w:p>
            <w:pPr>
              <w:pStyle w:val="14"/>
            </w:pPr>
            <w:r>
              <w:t>5.60</w:t>
            </w:r>
          </w:p>
        </w:tc>
        <w:tc>
          <w:tcPr>
            <w:tcW w:w="3544" w:type="dxa"/>
            <w:gridSpan w:val="2"/>
            <w:vAlign w:val="center"/>
          </w:tcPr>
          <w:p>
            <w:pPr>
              <w:pStyle w:val="14"/>
            </w:pPr>
            <w:r>
              <w:t>5.80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1.更好的对医保基金进行管理，使广大人民群众能够及时享受医保待遇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完成数量</w:t>
            </w:r>
          </w:p>
        </w:tc>
        <w:tc>
          <w:tcPr>
            <w:tcW w:w="5386" w:type="dxa"/>
            <w:vAlign w:val="center"/>
          </w:tcPr>
          <w:p>
            <w:pPr>
              <w:pStyle w:val="13"/>
            </w:pPr>
            <w:r>
              <w:t>局端及16个乡镇连接骨干网络</w:t>
            </w:r>
          </w:p>
        </w:tc>
        <w:tc>
          <w:tcPr>
            <w:tcW w:w="2268" w:type="dxa"/>
            <w:vAlign w:val="center"/>
          </w:tcPr>
          <w:p>
            <w:pPr>
              <w:pStyle w:val="13"/>
            </w:pPr>
            <w:r>
              <w:t>共计17个单位</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5386" w:type="dxa"/>
            <w:vAlign w:val="center"/>
          </w:tcPr>
          <w:p>
            <w:pPr>
              <w:pStyle w:val="13"/>
            </w:pPr>
            <w:r>
              <w:t>按上级要求实际完成网络连接的单位占应连接单位的比率</w:t>
            </w:r>
          </w:p>
        </w:tc>
        <w:tc>
          <w:tcPr>
            <w:tcW w:w="2268" w:type="dxa"/>
            <w:vAlign w:val="center"/>
          </w:tcPr>
          <w:p>
            <w:pPr>
              <w:pStyle w:val="13"/>
            </w:pPr>
            <w:r>
              <w:t>≥95%</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按上级要求时限实际完成占应完成的比率</w:t>
            </w:r>
          </w:p>
        </w:tc>
        <w:tc>
          <w:tcPr>
            <w:tcW w:w="2268" w:type="dxa"/>
            <w:vAlign w:val="center"/>
          </w:tcPr>
          <w:p>
            <w:pPr>
              <w:pStyle w:val="13"/>
            </w:pPr>
            <w:r>
              <w:t>≥95%</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不超预算</w:t>
            </w:r>
          </w:p>
        </w:tc>
        <w:tc>
          <w:tcPr>
            <w:tcW w:w="2268" w:type="dxa"/>
            <w:vAlign w:val="center"/>
          </w:tcPr>
          <w:p>
            <w:pPr>
              <w:pStyle w:val="13"/>
            </w:pPr>
            <w:r>
              <w:t>2026年预算安排5.8万元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提升质量</w:t>
            </w:r>
          </w:p>
        </w:tc>
        <w:tc>
          <w:tcPr>
            <w:tcW w:w="5386" w:type="dxa"/>
            <w:vAlign w:val="center"/>
          </w:tcPr>
          <w:p>
            <w:pPr>
              <w:pStyle w:val="13"/>
            </w:pPr>
            <w:r>
              <w:t>有效提升参保群众的生活质量</w:t>
            </w:r>
          </w:p>
        </w:tc>
        <w:tc>
          <w:tcPr>
            <w:tcW w:w="2268" w:type="dxa"/>
            <w:vAlign w:val="center"/>
          </w:tcPr>
          <w:p>
            <w:pPr>
              <w:pStyle w:val="13"/>
            </w:pPr>
            <w:r>
              <w:t>有效改善</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实际受益群众占应受益群众的比率</w:t>
            </w:r>
          </w:p>
        </w:tc>
        <w:tc>
          <w:tcPr>
            <w:tcW w:w="2268" w:type="dxa"/>
            <w:vAlign w:val="center"/>
          </w:tcPr>
          <w:p>
            <w:pPr>
              <w:pStyle w:val="13"/>
            </w:pPr>
            <w:r>
              <w:t>≥95%</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7、医保业务专项经费绩效目标表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13012526P00001010010A</w:t>
            </w:r>
          </w:p>
        </w:tc>
        <w:tc>
          <w:tcPr>
            <w:tcW w:w="2835" w:type="dxa"/>
            <w:vAlign w:val="center"/>
          </w:tcPr>
          <w:p>
            <w:pPr>
              <w:pStyle w:val="11"/>
            </w:pPr>
            <w:r>
              <w:t>项目名称</w:t>
            </w:r>
          </w:p>
        </w:tc>
        <w:tc>
          <w:tcPr>
            <w:tcW w:w="6095" w:type="dxa"/>
            <w:gridSpan w:val="3"/>
            <w:vAlign w:val="center"/>
          </w:tcPr>
          <w:p>
            <w:pPr>
              <w:pStyle w:val="13"/>
            </w:pPr>
            <w:r>
              <w:t>医保业务专项经费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4.70</w:t>
            </w:r>
          </w:p>
        </w:tc>
        <w:tc>
          <w:tcPr>
            <w:tcW w:w="2835" w:type="dxa"/>
            <w:vAlign w:val="center"/>
          </w:tcPr>
          <w:p>
            <w:pPr>
              <w:pStyle w:val="11"/>
            </w:pPr>
            <w:r>
              <w:t>其中：财政    资金</w:t>
            </w:r>
          </w:p>
        </w:tc>
        <w:tc>
          <w:tcPr>
            <w:tcW w:w="2551" w:type="dxa"/>
            <w:vAlign w:val="center"/>
          </w:tcPr>
          <w:p>
            <w:pPr>
              <w:pStyle w:val="13"/>
            </w:pPr>
            <w:r>
              <w:t>4.70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用于支付单位网络运转及医保政策宣传的费用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4" w:type="dxa"/>
            <w:gridSpan w:val="2"/>
            <w:vAlign w:val="center"/>
          </w:tcPr>
          <w:p>
            <w:pPr>
              <w:pStyle w:val="14"/>
            </w:pPr>
            <w:r>
              <w:t>4.70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1.有效提高医保基金使用效率，确保医保基金正常运转，提高医保基金使用合规性，确保医疗保障待遇落到实处。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政策宣传数量</w:t>
            </w:r>
          </w:p>
        </w:tc>
        <w:tc>
          <w:tcPr>
            <w:tcW w:w="5386" w:type="dxa"/>
            <w:vAlign w:val="center"/>
          </w:tcPr>
          <w:p>
            <w:pPr>
              <w:pStyle w:val="13"/>
            </w:pPr>
            <w:r>
              <w:t>开展医保政策宣传的乡镇数量</w:t>
            </w:r>
          </w:p>
        </w:tc>
        <w:tc>
          <w:tcPr>
            <w:tcW w:w="2268" w:type="dxa"/>
            <w:vAlign w:val="center"/>
          </w:tcPr>
          <w:p>
            <w:pPr>
              <w:pStyle w:val="13"/>
            </w:pPr>
            <w:r>
              <w:t>15给乡镇</w:t>
            </w:r>
          </w:p>
        </w:tc>
        <w:tc>
          <w:tcPr>
            <w:tcW w:w="1276" w:type="dxa"/>
            <w:vAlign w:val="center"/>
          </w:tcPr>
          <w:p>
            <w:pPr>
              <w:pStyle w:val="13"/>
            </w:pPr>
            <w:r>
              <w:t>计划标准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5386" w:type="dxa"/>
            <w:vAlign w:val="center"/>
          </w:tcPr>
          <w:p>
            <w:pPr>
              <w:pStyle w:val="13"/>
            </w:pPr>
            <w:r>
              <w:t>使用支出资金占全部资金的合规率</w:t>
            </w:r>
          </w:p>
        </w:tc>
        <w:tc>
          <w:tcPr>
            <w:tcW w:w="2268" w:type="dxa"/>
            <w:vAlign w:val="center"/>
          </w:tcPr>
          <w:p>
            <w:pPr>
              <w:pStyle w:val="13"/>
            </w:pPr>
            <w:r>
              <w:t>≥95%</w:t>
            </w:r>
          </w:p>
        </w:tc>
        <w:tc>
          <w:tcPr>
            <w:tcW w:w="1276" w:type="dxa"/>
            <w:vAlign w:val="center"/>
          </w:tcPr>
          <w:p>
            <w:pPr>
              <w:pStyle w:val="13"/>
            </w:pPr>
            <w:r>
              <w:t>计划标准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资金使用完成率</w:t>
            </w:r>
          </w:p>
        </w:tc>
        <w:tc>
          <w:tcPr>
            <w:tcW w:w="5386" w:type="dxa"/>
            <w:vAlign w:val="center"/>
          </w:tcPr>
          <w:p>
            <w:pPr>
              <w:pStyle w:val="13"/>
            </w:pPr>
            <w:r>
              <w:t>在本年度内资金使用完成率</w:t>
            </w:r>
          </w:p>
        </w:tc>
        <w:tc>
          <w:tcPr>
            <w:tcW w:w="2268" w:type="dxa"/>
            <w:vAlign w:val="center"/>
          </w:tcPr>
          <w:p>
            <w:pPr>
              <w:pStyle w:val="13"/>
            </w:pPr>
            <w:r>
              <w:t>≥95%</w:t>
            </w:r>
          </w:p>
        </w:tc>
        <w:tc>
          <w:tcPr>
            <w:tcW w:w="1276" w:type="dxa"/>
            <w:vAlign w:val="center"/>
          </w:tcPr>
          <w:p>
            <w:pPr>
              <w:pStyle w:val="13"/>
            </w:pPr>
            <w:r>
              <w:t>计划标准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资金使用成本控制率</w:t>
            </w:r>
          </w:p>
        </w:tc>
        <w:tc>
          <w:tcPr>
            <w:tcW w:w="2268" w:type="dxa"/>
            <w:vAlign w:val="center"/>
          </w:tcPr>
          <w:p>
            <w:pPr>
              <w:pStyle w:val="13"/>
            </w:pPr>
            <w:r>
              <w:t>不超4.7万元</w:t>
            </w:r>
          </w:p>
        </w:tc>
        <w:tc>
          <w:tcPr>
            <w:tcW w:w="1276" w:type="dxa"/>
            <w:vAlign w:val="center"/>
          </w:tcPr>
          <w:p>
            <w:pPr>
              <w:pStyle w:val="13"/>
            </w:pPr>
            <w:r>
              <w:t>计划标准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提高医疗保障管理水平</w:t>
            </w:r>
          </w:p>
        </w:tc>
        <w:tc>
          <w:tcPr>
            <w:tcW w:w="5386" w:type="dxa"/>
            <w:vAlign w:val="center"/>
          </w:tcPr>
          <w:p>
            <w:pPr>
              <w:pStyle w:val="13"/>
            </w:pPr>
            <w:r>
              <w:t>提高受益群众满意度，提升医疗保障工作效率</w:t>
            </w:r>
          </w:p>
        </w:tc>
        <w:tc>
          <w:tcPr>
            <w:tcW w:w="2268" w:type="dxa"/>
            <w:vAlign w:val="center"/>
          </w:tcPr>
          <w:p>
            <w:pPr>
              <w:pStyle w:val="13"/>
            </w:pPr>
            <w:r>
              <w:t>有效提高</w:t>
            </w:r>
          </w:p>
        </w:tc>
        <w:tc>
          <w:tcPr>
            <w:tcW w:w="1276" w:type="dxa"/>
            <w:vAlign w:val="center"/>
          </w:tcPr>
          <w:p>
            <w:pPr>
              <w:pStyle w:val="13"/>
            </w:pPr>
            <w:r>
              <w:t>计划标准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满意和较满意的受益对象占全部受益对象的比率</w:t>
            </w:r>
          </w:p>
        </w:tc>
        <w:tc>
          <w:tcPr>
            <w:tcW w:w="2268" w:type="dxa"/>
            <w:vAlign w:val="center"/>
          </w:tcPr>
          <w:p>
            <w:pPr>
              <w:pStyle w:val="13"/>
            </w:pPr>
            <w:r>
              <w:t>≥95%</w:t>
            </w:r>
          </w:p>
        </w:tc>
        <w:tc>
          <w:tcPr>
            <w:tcW w:w="1276" w:type="dxa"/>
            <w:vAlign w:val="center"/>
          </w:tcPr>
          <w:p>
            <w:pPr>
              <w:pStyle w:val="13"/>
            </w:pPr>
            <w:r>
              <w:t>计划标准</w:t>
            </w:r>
          </w:p>
          <w:p>
            <w:pPr>
              <w:pStyle w:val="13"/>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452行唐县医疗保障局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行唐县医疗保障局（含所属单位）上年末固定资产金额为</w:t>
      </w:r>
      <w:r>
        <w:rPr>
          <w:rFonts w:hint="eastAsia" w:eastAsia="方正仿宋_GBK" w:cs="Times New Roman"/>
          <w:b w:val="0"/>
          <w:color w:val="000000"/>
          <w:sz w:val="28"/>
          <w:lang w:val="en-US" w:eastAsia="zh-CN"/>
        </w:rPr>
        <w:t>123.34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452行唐县医疗保障局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资产总额</w:t>
            </w:r>
          </w:p>
        </w:tc>
        <w:tc>
          <w:tcPr>
            <w:tcW w:w="2835" w:type="dxa"/>
            <w:vAlign w:val="center"/>
          </w:tcPr>
          <w:p>
            <w:pPr>
              <w:pStyle w:val="14"/>
              <w:ind w:firstLine="0" w:firstLineChars="0"/>
            </w:pPr>
          </w:p>
        </w:tc>
        <w:tc>
          <w:tcPr>
            <w:tcW w:w="2835" w:type="dxa"/>
            <w:vAlign w:val="center"/>
          </w:tcPr>
          <w:p>
            <w:pPr>
              <w:pStyle w:val="12"/>
              <w:ind w:firstLine="0" w:firstLineChars="0"/>
            </w:pPr>
            <w:r>
              <w:t>123.34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1、房屋（平方米）</w:t>
            </w:r>
          </w:p>
        </w:tc>
        <w:tc>
          <w:tcPr>
            <w:tcW w:w="2835" w:type="dxa"/>
            <w:vAlign w:val="center"/>
          </w:tcPr>
          <w:p>
            <w:pPr>
              <w:pStyle w:val="14"/>
              <w:ind w:firstLine="0" w:firstLineChars="0"/>
            </w:pPr>
            <w:r>
              <w:t>834</w:t>
            </w:r>
          </w:p>
        </w:tc>
        <w:tc>
          <w:tcPr>
            <w:tcW w:w="2835" w:type="dxa"/>
            <w:vAlign w:val="center"/>
          </w:tcPr>
          <w:p>
            <w:pPr>
              <w:pStyle w:val="12"/>
              <w:ind w:firstLine="0" w:firstLineChars="0"/>
            </w:pPr>
            <w:r>
              <w:t>82.53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　　其中：办公用房（平方米）</w:t>
            </w:r>
          </w:p>
        </w:tc>
        <w:tc>
          <w:tcPr>
            <w:tcW w:w="2835" w:type="dxa"/>
            <w:vAlign w:val="center"/>
          </w:tcPr>
          <w:p>
            <w:pPr>
              <w:pStyle w:val="14"/>
              <w:ind w:firstLine="0" w:firstLineChars="0"/>
            </w:pPr>
            <w:r>
              <w:t>480</w:t>
            </w:r>
          </w:p>
        </w:tc>
        <w:tc>
          <w:tcPr>
            <w:tcW w:w="2835" w:type="dxa"/>
            <w:vAlign w:val="center"/>
          </w:tcPr>
          <w:p>
            <w:pPr>
              <w:pStyle w:val="12"/>
              <w:ind w:firstLine="0" w:firstLineChars="0"/>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2、车辆（台、辆）</w:t>
            </w:r>
          </w:p>
        </w:tc>
        <w:tc>
          <w:tcPr>
            <w:tcW w:w="2835" w:type="dxa"/>
            <w:vAlign w:val="center"/>
          </w:tcPr>
          <w:p>
            <w:pPr>
              <w:pStyle w:val="14"/>
              <w:ind w:firstLine="0" w:firstLineChars="0"/>
            </w:pPr>
            <w:r>
              <w:t>1</w:t>
            </w:r>
          </w:p>
        </w:tc>
        <w:tc>
          <w:tcPr>
            <w:tcW w:w="2835" w:type="dxa"/>
            <w:vAlign w:val="center"/>
          </w:tcPr>
          <w:p>
            <w:pPr>
              <w:pStyle w:val="12"/>
              <w:ind w:firstLine="0" w:firstLineChars="0"/>
            </w:pPr>
            <w:r>
              <w:t>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3、单价在20万元以上的设备</w:t>
            </w:r>
          </w:p>
        </w:tc>
        <w:tc>
          <w:tcPr>
            <w:tcW w:w="2835" w:type="dxa"/>
            <w:vAlign w:val="center"/>
          </w:tcPr>
          <w:p>
            <w:pPr>
              <w:pStyle w:val="14"/>
              <w:ind w:firstLine="0" w:firstLineChars="0"/>
            </w:pPr>
          </w:p>
        </w:tc>
        <w:tc>
          <w:tcPr>
            <w:tcW w:w="2835"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4、其他固定资产</w:t>
            </w:r>
          </w:p>
        </w:tc>
        <w:tc>
          <w:tcPr>
            <w:tcW w:w="2835" w:type="dxa"/>
            <w:vAlign w:val="center"/>
          </w:tcPr>
          <w:p>
            <w:pPr>
              <w:pStyle w:val="14"/>
              <w:ind w:firstLine="0" w:firstLineChars="0"/>
            </w:pPr>
            <w:r>
              <w:t>130</w:t>
            </w:r>
          </w:p>
        </w:tc>
        <w:tc>
          <w:tcPr>
            <w:tcW w:w="2835" w:type="dxa"/>
            <w:vAlign w:val="center"/>
          </w:tcPr>
          <w:p>
            <w:pPr>
              <w:pStyle w:val="12"/>
              <w:ind w:firstLine="0" w:firstLineChars="0"/>
            </w:pPr>
            <w:r>
              <w:t>3</w:t>
            </w:r>
            <w:r>
              <w:rPr>
                <w:rFonts w:hint="eastAsia"/>
                <w:lang w:val="en-US" w:eastAsia="zh-CN"/>
              </w:rPr>
              <w:t>0.5</w:t>
            </w:r>
            <w:r>
              <w:t>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EF863B7"/>
    <w:multiLevelType w:val="singleLevel"/>
    <w:tmpl w:val="9EF863B7"/>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RjZjM3YTAxNjc2Y2M1ODc0NWNmYmUwMDU1Zjk2YzcifQ=="/>
  </w:docVars>
  <w:rsids>
    <w:rsidRoot w:val="00000000"/>
    <w:rsid w:val="01232ADB"/>
    <w:rsid w:val="04B75B22"/>
    <w:rsid w:val="121C1EB4"/>
    <w:rsid w:val="14123EF8"/>
    <w:rsid w:val="14E004D1"/>
    <w:rsid w:val="2C725FA5"/>
    <w:rsid w:val="36062369"/>
    <w:rsid w:val="371A37AE"/>
    <w:rsid w:val="41F13EC0"/>
    <w:rsid w:val="5BDD594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单位职责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7">
    <w:name w:val="插入文本样式-插入预算公开单位预算安排的总体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机关运行经费安排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财政拨款三公经费预算情况及增减变化原因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TotalTime>1</TotalTime>
  <ScaleCrop>false</ScaleCrop>
  <LinksUpToDate>false</LinksUpToDate>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2026-02-24T11:27:00Z</dcterms:created>
  <dc:creator>DELL</dc:creator>
  <cp:lastModifiedBy>DELL</cp:lastModifiedBy>
  <dcterms:modified xsi:type="dcterms:W3CDTF">2026-02-25T07:42:31Z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6A07E30BF25E4E2A97D00D0BE1E14288_13</vt:lpwstr>
  </property>
</Properties>
</file>