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542行唐县信访局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222.06</w:t>
            </w:r>
          </w:p>
        </w:tc>
        <w:tc>
          <w:tcPr>
            <w:tcW w:w="4535" w:type="dxa"/>
            <w:vAlign w:val="center"/>
          </w:tcPr>
          <w:p>
            <w:pPr>
              <w:pStyle w:val="13"/>
            </w:pPr>
            <w:r>
              <w:t>一、一般公共服务支出</w:t>
            </w:r>
          </w:p>
        </w:tc>
        <w:tc>
          <w:tcPr>
            <w:tcW w:w="2126" w:type="dxa"/>
            <w:vAlign w:val="center"/>
          </w:tcPr>
          <w:p>
            <w:pPr>
              <w:pStyle w:val="12"/>
            </w:pPr>
            <w:r>
              <w:t>190.69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222.06</w:t>
            </w:r>
          </w:p>
        </w:tc>
        <w:tc>
          <w:tcPr>
            <w:tcW w:w="4535" w:type="dxa"/>
            <w:vAlign w:val="center"/>
          </w:tcPr>
          <w:p>
            <w:pPr>
              <w:pStyle w:val="15"/>
            </w:pPr>
            <w:r>
              <w:t>本年支出合计</w:t>
            </w:r>
          </w:p>
        </w:tc>
        <w:tc>
          <w:tcPr>
            <w:tcW w:w="2126" w:type="dxa"/>
            <w:vAlign w:val="center"/>
          </w:tcPr>
          <w:p>
            <w:pPr>
              <w:pStyle w:val="16"/>
            </w:pPr>
            <w:r>
              <w:t>222.06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222.06</w:t>
            </w:r>
          </w:p>
        </w:tc>
        <w:tc>
          <w:tcPr>
            <w:tcW w:w="4535" w:type="dxa"/>
            <w:vAlign w:val="center"/>
          </w:tcPr>
          <w:p>
            <w:pPr>
              <w:pStyle w:val="15"/>
            </w:pPr>
            <w:r>
              <w:t>支出总计</w:t>
            </w:r>
          </w:p>
        </w:tc>
        <w:tc>
          <w:tcPr>
            <w:tcW w:w="2126" w:type="dxa"/>
            <w:vAlign w:val="center"/>
          </w:tcPr>
          <w:p>
            <w:pPr>
              <w:pStyle w:val="16"/>
            </w:pPr>
            <w:r>
              <w:t>222.06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542行唐县信访局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222.06</w:t>
            </w:r>
          </w:p>
        </w:tc>
        <w:tc>
          <w:tcPr>
            <w:tcW w:w="1134" w:type="dxa"/>
            <w:vAlign w:val="center"/>
          </w:tcPr>
          <w:p>
            <w:pPr>
              <w:pStyle w:val="16"/>
            </w:pPr>
            <w:r>
              <w:t>222.06</w:t>
            </w:r>
          </w:p>
        </w:tc>
        <w:tc>
          <w:tcPr>
            <w:tcW w:w="1134" w:type="dxa"/>
            <w:vAlign w:val="center"/>
          </w:tcPr>
          <w:p>
            <w:pPr>
              <w:pStyle w:val="16"/>
            </w:pPr>
            <w:r>
              <w:t>222.06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190.69</w:t>
            </w:r>
          </w:p>
        </w:tc>
        <w:tc>
          <w:tcPr>
            <w:tcW w:w="1134" w:type="dxa"/>
            <w:vAlign w:val="center"/>
          </w:tcPr>
          <w:p>
            <w:pPr>
              <w:pStyle w:val="12"/>
            </w:pPr>
            <w:r>
              <w:t>190.69</w:t>
            </w:r>
          </w:p>
        </w:tc>
        <w:tc>
          <w:tcPr>
            <w:tcW w:w="1134" w:type="dxa"/>
            <w:vAlign w:val="center"/>
          </w:tcPr>
          <w:p>
            <w:pPr>
              <w:pStyle w:val="12"/>
            </w:pPr>
            <w:r>
              <w:t>190.69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20111</w:t>
            </w:r>
          </w:p>
        </w:tc>
        <w:tc>
          <w:tcPr>
            <w:tcW w:w="1559" w:type="dxa"/>
            <w:vAlign w:val="center"/>
          </w:tcPr>
          <w:p>
            <w:pPr>
              <w:pStyle w:val="13"/>
            </w:pPr>
            <w:r>
              <w:t>纪检监察事务</w:t>
            </w:r>
          </w:p>
        </w:tc>
        <w:tc>
          <w:tcPr>
            <w:tcW w:w="1134" w:type="dxa"/>
            <w:vAlign w:val="center"/>
          </w:tcPr>
          <w:p>
            <w:pPr>
              <w:pStyle w:val="12"/>
            </w:pPr>
            <w:r>
              <w:t>1.98</w:t>
            </w:r>
          </w:p>
        </w:tc>
        <w:tc>
          <w:tcPr>
            <w:tcW w:w="1134" w:type="dxa"/>
            <w:vAlign w:val="center"/>
          </w:tcPr>
          <w:p>
            <w:pPr>
              <w:pStyle w:val="12"/>
            </w:pPr>
            <w:r>
              <w:t>1.98</w:t>
            </w:r>
          </w:p>
        </w:tc>
        <w:tc>
          <w:tcPr>
            <w:tcW w:w="1134" w:type="dxa"/>
            <w:vAlign w:val="center"/>
          </w:tcPr>
          <w:p>
            <w:pPr>
              <w:pStyle w:val="12"/>
            </w:pPr>
            <w:r>
              <w:t>1.98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2011102</w:t>
            </w:r>
          </w:p>
        </w:tc>
        <w:tc>
          <w:tcPr>
            <w:tcW w:w="1559" w:type="dxa"/>
            <w:vAlign w:val="center"/>
          </w:tcPr>
          <w:p>
            <w:pPr>
              <w:pStyle w:val="13"/>
            </w:pPr>
            <w:r>
              <w:t>一般行政管理事务</w:t>
            </w:r>
          </w:p>
        </w:tc>
        <w:tc>
          <w:tcPr>
            <w:tcW w:w="1134" w:type="dxa"/>
            <w:vAlign w:val="center"/>
          </w:tcPr>
          <w:p>
            <w:pPr>
              <w:pStyle w:val="12"/>
            </w:pPr>
            <w:r>
              <w:t>1.98</w:t>
            </w:r>
          </w:p>
        </w:tc>
        <w:tc>
          <w:tcPr>
            <w:tcW w:w="1134" w:type="dxa"/>
            <w:vAlign w:val="center"/>
          </w:tcPr>
          <w:p>
            <w:pPr>
              <w:pStyle w:val="12"/>
            </w:pPr>
            <w:r>
              <w:t>1.98</w:t>
            </w:r>
          </w:p>
        </w:tc>
        <w:tc>
          <w:tcPr>
            <w:tcW w:w="1134" w:type="dxa"/>
            <w:vAlign w:val="center"/>
          </w:tcPr>
          <w:p>
            <w:pPr>
              <w:pStyle w:val="12"/>
            </w:pPr>
            <w:r>
              <w:t>1.98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188.71</w:t>
            </w:r>
          </w:p>
        </w:tc>
        <w:tc>
          <w:tcPr>
            <w:tcW w:w="1134" w:type="dxa"/>
            <w:vAlign w:val="center"/>
          </w:tcPr>
          <w:p>
            <w:pPr>
              <w:pStyle w:val="12"/>
            </w:pPr>
            <w:r>
              <w:t>188.71</w:t>
            </w:r>
          </w:p>
        </w:tc>
        <w:tc>
          <w:tcPr>
            <w:tcW w:w="1134" w:type="dxa"/>
            <w:vAlign w:val="center"/>
          </w:tcPr>
          <w:p>
            <w:pPr>
              <w:pStyle w:val="12"/>
            </w:pPr>
            <w:r>
              <w:t>188.71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2014001</w:t>
            </w:r>
          </w:p>
        </w:tc>
        <w:tc>
          <w:tcPr>
            <w:tcW w:w="1559" w:type="dxa"/>
            <w:vAlign w:val="center"/>
          </w:tcPr>
          <w:p>
            <w:pPr>
              <w:pStyle w:val="13"/>
            </w:pPr>
            <w:r>
              <w:t>行政运行</w:t>
            </w:r>
          </w:p>
        </w:tc>
        <w:tc>
          <w:tcPr>
            <w:tcW w:w="1134" w:type="dxa"/>
            <w:vAlign w:val="center"/>
          </w:tcPr>
          <w:p>
            <w:pPr>
              <w:pStyle w:val="12"/>
            </w:pPr>
            <w:r>
              <w:t>165.20</w:t>
            </w:r>
          </w:p>
        </w:tc>
        <w:tc>
          <w:tcPr>
            <w:tcW w:w="1134" w:type="dxa"/>
            <w:vAlign w:val="center"/>
          </w:tcPr>
          <w:p>
            <w:pPr>
              <w:pStyle w:val="12"/>
            </w:pPr>
            <w:r>
              <w:t>165.20</w:t>
            </w:r>
          </w:p>
        </w:tc>
        <w:tc>
          <w:tcPr>
            <w:tcW w:w="1134" w:type="dxa"/>
            <w:vAlign w:val="center"/>
          </w:tcPr>
          <w:p>
            <w:pPr>
              <w:pStyle w:val="12"/>
            </w:pPr>
            <w:r>
              <w:t>165.20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2014002</w:t>
            </w:r>
          </w:p>
        </w:tc>
        <w:tc>
          <w:tcPr>
            <w:tcW w:w="1559" w:type="dxa"/>
            <w:vAlign w:val="center"/>
          </w:tcPr>
          <w:p>
            <w:pPr>
              <w:pStyle w:val="13"/>
            </w:pPr>
            <w:r>
              <w:t>一般行政管理事务</w:t>
            </w:r>
          </w:p>
        </w:tc>
        <w:tc>
          <w:tcPr>
            <w:tcW w:w="1134" w:type="dxa"/>
            <w:vAlign w:val="center"/>
          </w:tcPr>
          <w:p>
            <w:pPr>
              <w:pStyle w:val="12"/>
            </w:pPr>
            <w:r>
              <w:t>23.51</w:t>
            </w:r>
          </w:p>
        </w:tc>
        <w:tc>
          <w:tcPr>
            <w:tcW w:w="1134" w:type="dxa"/>
            <w:vAlign w:val="center"/>
          </w:tcPr>
          <w:p>
            <w:pPr>
              <w:pStyle w:val="12"/>
            </w:pPr>
            <w:r>
              <w:t>23.51</w:t>
            </w:r>
          </w:p>
        </w:tc>
        <w:tc>
          <w:tcPr>
            <w:tcW w:w="1134" w:type="dxa"/>
            <w:vAlign w:val="center"/>
          </w:tcPr>
          <w:p>
            <w:pPr>
              <w:pStyle w:val="12"/>
            </w:pPr>
            <w:r>
              <w:t>23.51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14.31</w:t>
            </w:r>
          </w:p>
        </w:tc>
        <w:tc>
          <w:tcPr>
            <w:tcW w:w="1134" w:type="dxa"/>
            <w:vAlign w:val="center"/>
          </w:tcPr>
          <w:p>
            <w:pPr>
              <w:pStyle w:val="12"/>
            </w:pPr>
            <w:r>
              <w:t>14.31</w:t>
            </w:r>
          </w:p>
        </w:tc>
        <w:tc>
          <w:tcPr>
            <w:tcW w:w="1134" w:type="dxa"/>
            <w:vAlign w:val="center"/>
          </w:tcPr>
          <w:p>
            <w:pPr>
              <w:pStyle w:val="12"/>
            </w:pPr>
            <w:r>
              <w:t>14.31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14.31</w:t>
            </w:r>
          </w:p>
        </w:tc>
        <w:tc>
          <w:tcPr>
            <w:tcW w:w="1134" w:type="dxa"/>
            <w:vAlign w:val="center"/>
          </w:tcPr>
          <w:p>
            <w:pPr>
              <w:pStyle w:val="12"/>
            </w:pPr>
            <w:r>
              <w:t>14.31</w:t>
            </w:r>
          </w:p>
        </w:tc>
        <w:tc>
          <w:tcPr>
            <w:tcW w:w="1134" w:type="dxa"/>
            <w:vAlign w:val="center"/>
          </w:tcPr>
          <w:p>
            <w:pPr>
              <w:pStyle w:val="12"/>
            </w:pPr>
            <w:r>
              <w:t>14.31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14.31</w:t>
            </w:r>
          </w:p>
        </w:tc>
        <w:tc>
          <w:tcPr>
            <w:tcW w:w="1134" w:type="dxa"/>
            <w:vAlign w:val="center"/>
          </w:tcPr>
          <w:p>
            <w:pPr>
              <w:pStyle w:val="12"/>
            </w:pPr>
            <w:r>
              <w:t>14.31</w:t>
            </w:r>
          </w:p>
        </w:tc>
        <w:tc>
          <w:tcPr>
            <w:tcW w:w="1134" w:type="dxa"/>
            <w:vAlign w:val="center"/>
          </w:tcPr>
          <w:p>
            <w:pPr>
              <w:pStyle w:val="12"/>
            </w:pPr>
            <w:r>
              <w:t>14.31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4.44</w:t>
            </w:r>
          </w:p>
        </w:tc>
        <w:tc>
          <w:tcPr>
            <w:tcW w:w="1134" w:type="dxa"/>
            <w:vAlign w:val="center"/>
          </w:tcPr>
          <w:p>
            <w:pPr>
              <w:pStyle w:val="12"/>
            </w:pPr>
            <w:r>
              <w:t>4.44</w:t>
            </w:r>
          </w:p>
        </w:tc>
        <w:tc>
          <w:tcPr>
            <w:tcW w:w="1134" w:type="dxa"/>
            <w:vAlign w:val="center"/>
          </w:tcPr>
          <w:p>
            <w:pPr>
              <w:pStyle w:val="12"/>
            </w:pPr>
            <w:r>
              <w:t>4.44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4.44</w:t>
            </w:r>
          </w:p>
        </w:tc>
        <w:tc>
          <w:tcPr>
            <w:tcW w:w="1134" w:type="dxa"/>
            <w:vAlign w:val="center"/>
          </w:tcPr>
          <w:p>
            <w:pPr>
              <w:pStyle w:val="12"/>
            </w:pPr>
            <w:r>
              <w:t>4.44</w:t>
            </w:r>
          </w:p>
        </w:tc>
        <w:tc>
          <w:tcPr>
            <w:tcW w:w="1134" w:type="dxa"/>
            <w:vAlign w:val="center"/>
          </w:tcPr>
          <w:p>
            <w:pPr>
              <w:pStyle w:val="12"/>
            </w:pPr>
            <w:r>
              <w:t>4.44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4.44</w:t>
            </w:r>
          </w:p>
        </w:tc>
        <w:tc>
          <w:tcPr>
            <w:tcW w:w="1134" w:type="dxa"/>
            <w:vAlign w:val="center"/>
          </w:tcPr>
          <w:p>
            <w:pPr>
              <w:pStyle w:val="12"/>
            </w:pPr>
            <w:r>
              <w:t>4.44</w:t>
            </w:r>
          </w:p>
        </w:tc>
        <w:tc>
          <w:tcPr>
            <w:tcW w:w="1134" w:type="dxa"/>
            <w:vAlign w:val="center"/>
          </w:tcPr>
          <w:p>
            <w:pPr>
              <w:pStyle w:val="12"/>
            </w:pPr>
            <w:r>
              <w:t>4.44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12.62</w:t>
            </w:r>
          </w:p>
        </w:tc>
        <w:tc>
          <w:tcPr>
            <w:tcW w:w="1134" w:type="dxa"/>
            <w:vAlign w:val="center"/>
          </w:tcPr>
          <w:p>
            <w:pPr>
              <w:pStyle w:val="12"/>
            </w:pPr>
            <w:r>
              <w:t>12.62</w:t>
            </w:r>
          </w:p>
        </w:tc>
        <w:tc>
          <w:tcPr>
            <w:tcW w:w="1134" w:type="dxa"/>
            <w:vAlign w:val="center"/>
          </w:tcPr>
          <w:p>
            <w:pPr>
              <w:pStyle w:val="12"/>
            </w:pPr>
            <w:r>
              <w:t>12.62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12.62</w:t>
            </w:r>
          </w:p>
        </w:tc>
        <w:tc>
          <w:tcPr>
            <w:tcW w:w="1134" w:type="dxa"/>
            <w:vAlign w:val="center"/>
          </w:tcPr>
          <w:p>
            <w:pPr>
              <w:pStyle w:val="12"/>
            </w:pPr>
            <w:r>
              <w:t>12.62</w:t>
            </w:r>
          </w:p>
        </w:tc>
        <w:tc>
          <w:tcPr>
            <w:tcW w:w="1134" w:type="dxa"/>
            <w:vAlign w:val="center"/>
          </w:tcPr>
          <w:p>
            <w:pPr>
              <w:pStyle w:val="12"/>
            </w:pPr>
            <w:r>
              <w:t>12.62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12.62</w:t>
            </w:r>
          </w:p>
        </w:tc>
        <w:tc>
          <w:tcPr>
            <w:tcW w:w="1134" w:type="dxa"/>
            <w:vAlign w:val="center"/>
          </w:tcPr>
          <w:p>
            <w:pPr>
              <w:pStyle w:val="12"/>
            </w:pPr>
            <w:r>
              <w:t>12.62</w:t>
            </w:r>
          </w:p>
        </w:tc>
        <w:tc>
          <w:tcPr>
            <w:tcW w:w="1134" w:type="dxa"/>
            <w:vAlign w:val="center"/>
          </w:tcPr>
          <w:p>
            <w:pPr>
              <w:pStyle w:val="12"/>
            </w:pPr>
            <w:r>
              <w:t>12.62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542行唐县信访局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222.06</w:t>
            </w:r>
          </w:p>
        </w:tc>
        <w:tc>
          <w:tcPr>
            <w:tcW w:w="1361" w:type="dxa"/>
            <w:vAlign w:val="center"/>
          </w:tcPr>
          <w:p>
            <w:pPr>
              <w:pStyle w:val="16"/>
            </w:pPr>
            <w:r>
              <w:t>198.55</w:t>
            </w:r>
          </w:p>
        </w:tc>
        <w:tc>
          <w:tcPr>
            <w:tcW w:w="1361" w:type="dxa"/>
            <w:vAlign w:val="center"/>
          </w:tcPr>
          <w:p>
            <w:pPr>
              <w:pStyle w:val="16"/>
            </w:pPr>
            <w:r>
              <w:t>23.51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190.69</w:t>
            </w:r>
          </w:p>
        </w:tc>
        <w:tc>
          <w:tcPr>
            <w:tcW w:w="1361" w:type="dxa"/>
            <w:vAlign w:val="center"/>
          </w:tcPr>
          <w:p>
            <w:pPr>
              <w:pStyle w:val="12"/>
            </w:pPr>
            <w:r>
              <w:t>167.18</w:t>
            </w:r>
          </w:p>
        </w:tc>
        <w:tc>
          <w:tcPr>
            <w:tcW w:w="1361" w:type="dxa"/>
            <w:vAlign w:val="center"/>
          </w:tcPr>
          <w:p>
            <w:pPr>
              <w:pStyle w:val="12"/>
            </w:pPr>
            <w:r>
              <w:t>23.51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20111</w:t>
            </w:r>
          </w:p>
        </w:tc>
        <w:tc>
          <w:tcPr>
            <w:tcW w:w="4535" w:type="dxa"/>
            <w:vAlign w:val="center"/>
          </w:tcPr>
          <w:p>
            <w:pPr>
              <w:pStyle w:val="13"/>
            </w:pPr>
            <w:r>
              <w:t>纪检监察事务</w:t>
            </w:r>
          </w:p>
        </w:tc>
        <w:tc>
          <w:tcPr>
            <w:tcW w:w="1361" w:type="dxa"/>
            <w:vAlign w:val="center"/>
          </w:tcPr>
          <w:p>
            <w:pPr>
              <w:pStyle w:val="12"/>
            </w:pPr>
            <w:r>
              <w:t>1.98</w:t>
            </w:r>
          </w:p>
        </w:tc>
        <w:tc>
          <w:tcPr>
            <w:tcW w:w="1361" w:type="dxa"/>
            <w:vAlign w:val="center"/>
          </w:tcPr>
          <w:p>
            <w:pPr>
              <w:pStyle w:val="12"/>
            </w:pPr>
            <w:r>
              <w:t>1.98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2011102</w:t>
            </w:r>
          </w:p>
        </w:tc>
        <w:tc>
          <w:tcPr>
            <w:tcW w:w="4535" w:type="dxa"/>
            <w:vAlign w:val="center"/>
          </w:tcPr>
          <w:p>
            <w:pPr>
              <w:pStyle w:val="13"/>
            </w:pPr>
            <w:r>
              <w:t>一般行政管理事务</w:t>
            </w:r>
          </w:p>
        </w:tc>
        <w:tc>
          <w:tcPr>
            <w:tcW w:w="1361" w:type="dxa"/>
            <w:vAlign w:val="center"/>
          </w:tcPr>
          <w:p>
            <w:pPr>
              <w:pStyle w:val="12"/>
            </w:pPr>
            <w:r>
              <w:t>1.98</w:t>
            </w:r>
          </w:p>
        </w:tc>
        <w:tc>
          <w:tcPr>
            <w:tcW w:w="1361" w:type="dxa"/>
            <w:vAlign w:val="center"/>
          </w:tcPr>
          <w:p>
            <w:pPr>
              <w:pStyle w:val="12"/>
            </w:pPr>
            <w:r>
              <w:t>1.98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188.71</w:t>
            </w:r>
          </w:p>
        </w:tc>
        <w:tc>
          <w:tcPr>
            <w:tcW w:w="1361" w:type="dxa"/>
            <w:vAlign w:val="center"/>
          </w:tcPr>
          <w:p>
            <w:pPr>
              <w:pStyle w:val="12"/>
            </w:pPr>
            <w:r>
              <w:t>165.20</w:t>
            </w:r>
          </w:p>
        </w:tc>
        <w:tc>
          <w:tcPr>
            <w:tcW w:w="1361" w:type="dxa"/>
            <w:vAlign w:val="center"/>
          </w:tcPr>
          <w:p>
            <w:pPr>
              <w:pStyle w:val="12"/>
            </w:pPr>
            <w:r>
              <w:t>23.51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2014001</w:t>
            </w:r>
          </w:p>
        </w:tc>
        <w:tc>
          <w:tcPr>
            <w:tcW w:w="4535" w:type="dxa"/>
            <w:vAlign w:val="center"/>
          </w:tcPr>
          <w:p>
            <w:pPr>
              <w:pStyle w:val="13"/>
            </w:pPr>
            <w:r>
              <w:t>行政运行</w:t>
            </w:r>
          </w:p>
        </w:tc>
        <w:tc>
          <w:tcPr>
            <w:tcW w:w="1361" w:type="dxa"/>
            <w:vAlign w:val="center"/>
          </w:tcPr>
          <w:p>
            <w:pPr>
              <w:pStyle w:val="12"/>
            </w:pPr>
            <w:r>
              <w:t>165.20</w:t>
            </w:r>
          </w:p>
        </w:tc>
        <w:tc>
          <w:tcPr>
            <w:tcW w:w="1361" w:type="dxa"/>
            <w:vAlign w:val="center"/>
          </w:tcPr>
          <w:p>
            <w:pPr>
              <w:pStyle w:val="12"/>
            </w:pPr>
            <w:r>
              <w:t>165.20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2014002</w:t>
            </w:r>
          </w:p>
        </w:tc>
        <w:tc>
          <w:tcPr>
            <w:tcW w:w="4535" w:type="dxa"/>
            <w:vAlign w:val="center"/>
          </w:tcPr>
          <w:p>
            <w:pPr>
              <w:pStyle w:val="13"/>
            </w:pPr>
            <w:r>
              <w:t>一般行政管理事务</w:t>
            </w:r>
          </w:p>
        </w:tc>
        <w:tc>
          <w:tcPr>
            <w:tcW w:w="1361" w:type="dxa"/>
            <w:vAlign w:val="center"/>
          </w:tcPr>
          <w:p>
            <w:pPr>
              <w:pStyle w:val="12"/>
            </w:pPr>
            <w:r>
              <w:t>23.51</w:t>
            </w:r>
          </w:p>
        </w:tc>
        <w:tc>
          <w:tcPr>
            <w:tcW w:w="1361" w:type="dxa"/>
            <w:vAlign w:val="center"/>
          </w:tcPr>
          <w:p>
            <w:pPr>
              <w:pStyle w:val="12"/>
            </w:pPr>
          </w:p>
        </w:tc>
        <w:tc>
          <w:tcPr>
            <w:tcW w:w="1361" w:type="dxa"/>
            <w:vAlign w:val="center"/>
          </w:tcPr>
          <w:p>
            <w:pPr>
              <w:pStyle w:val="12"/>
            </w:pPr>
            <w:r>
              <w:t>23.51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14.31</w:t>
            </w:r>
          </w:p>
        </w:tc>
        <w:tc>
          <w:tcPr>
            <w:tcW w:w="1361" w:type="dxa"/>
            <w:vAlign w:val="center"/>
          </w:tcPr>
          <w:p>
            <w:pPr>
              <w:pStyle w:val="12"/>
            </w:pPr>
            <w:r>
              <w:t>14.31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14.31</w:t>
            </w:r>
          </w:p>
        </w:tc>
        <w:tc>
          <w:tcPr>
            <w:tcW w:w="1361" w:type="dxa"/>
            <w:vAlign w:val="center"/>
          </w:tcPr>
          <w:p>
            <w:pPr>
              <w:pStyle w:val="12"/>
            </w:pPr>
            <w:r>
              <w:t>14.31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14.31</w:t>
            </w:r>
          </w:p>
        </w:tc>
        <w:tc>
          <w:tcPr>
            <w:tcW w:w="1361" w:type="dxa"/>
            <w:vAlign w:val="center"/>
          </w:tcPr>
          <w:p>
            <w:pPr>
              <w:pStyle w:val="12"/>
            </w:pPr>
            <w:r>
              <w:t>14.31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4.44</w:t>
            </w:r>
          </w:p>
        </w:tc>
        <w:tc>
          <w:tcPr>
            <w:tcW w:w="1361" w:type="dxa"/>
            <w:vAlign w:val="center"/>
          </w:tcPr>
          <w:p>
            <w:pPr>
              <w:pStyle w:val="12"/>
            </w:pPr>
            <w:r>
              <w:t>4.44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4.44</w:t>
            </w:r>
          </w:p>
        </w:tc>
        <w:tc>
          <w:tcPr>
            <w:tcW w:w="1361" w:type="dxa"/>
            <w:vAlign w:val="center"/>
          </w:tcPr>
          <w:p>
            <w:pPr>
              <w:pStyle w:val="12"/>
            </w:pPr>
            <w:r>
              <w:t>4.44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4.44</w:t>
            </w:r>
          </w:p>
        </w:tc>
        <w:tc>
          <w:tcPr>
            <w:tcW w:w="1361" w:type="dxa"/>
            <w:vAlign w:val="center"/>
          </w:tcPr>
          <w:p>
            <w:pPr>
              <w:pStyle w:val="12"/>
            </w:pPr>
            <w:r>
              <w:t>4.44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12.62</w:t>
            </w:r>
          </w:p>
        </w:tc>
        <w:tc>
          <w:tcPr>
            <w:tcW w:w="1361" w:type="dxa"/>
            <w:vAlign w:val="center"/>
          </w:tcPr>
          <w:p>
            <w:pPr>
              <w:pStyle w:val="12"/>
            </w:pPr>
            <w:r>
              <w:t>12.62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12.62</w:t>
            </w:r>
          </w:p>
        </w:tc>
        <w:tc>
          <w:tcPr>
            <w:tcW w:w="1361" w:type="dxa"/>
            <w:vAlign w:val="center"/>
          </w:tcPr>
          <w:p>
            <w:pPr>
              <w:pStyle w:val="12"/>
            </w:pPr>
            <w:r>
              <w:t>12.62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12.62</w:t>
            </w:r>
          </w:p>
        </w:tc>
        <w:tc>
          <w:tcPr>
            <w:tcW w:w="1361" w:type="dxa"/>
            <w:vAlign w:val="center"/>
          </w:tcPr>
          <w:p>
            <w:pPr>
              <w:pStyle w:val="12"/>
            </w:pPr>
            <w:r>
              <w:t>12.62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542行唐县信访局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222.06</w:t>
            </w:r>
          </w:p>
        </w:tc>
        <w:tc>
          <w:tcPr>
            <w:tcW w:w="3402" w:type="dxa"/>
            <w:vAlign w:val="center"/>
          </w:tcPr>
          <w:p>
            <w:pPr>
              <w:pStyle w:val="13"/>
            </w:pPr>
            <w:r>
              <w:t>一、一般公共服务支出</w:t>
            </w:r>
          </w:p>
        </w:tc>
        <w:tc>
          <w:tcPr>
            <w:tcW w:w="1474" w:type="dxa"/>
            <w:vAlign w:val="center"/>
          </w:tcPr>
          <w:p>
            <w:pPr>
              <w:pStyle w:val="12"/>
            </w:pPr>
            <w:r>
              <w:t>190.69</w:t>
            </w:r>
          </w:p>
        </w:tc>
        <w:tc>
          <w:tcPr>
            <w:tcW w:w="1474" w:type="dxa"/>
            <w:vAlign w:val="center"/>
          </w:tcPr>
          <w:p>
            <w:pPr>
              <w:pStyle w:val="12"/>
            </w:pPr>
            <w:r>
              <w:t>190.69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14.31</w:t>
            </w:r>
          </w:p>
        </w:tc>
        <w:tc>
          <w:tcPr>
            <w:tcW w:w="1474" w:type="dxa"/>
            <w:vAlign w:val="center"/>
          </w:tcPr>
          <w:p>
            <w:pPr>
              <w:pStyle w:val="12"/>
            </w:pPr>
            <w:r>
              <w:t>14.31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4.44</w:t>
            </w:r>
          </w:p>
        </w:tc>
        <w:tc>
          <w:tcPr>
            <w:tcW w:w="1474" w:type="dxa"/>
            <w:vAlign w:val="center"/>
          </w:tcPr>
          <w:p>
            <w:pPr>
              <w:pStyle w:val="12"/>
            </w:pPr>
            <w:r>
              <w:t>4.44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12.62</w:t>
            </w:r>
          </w:p>
        </w:tc>
        <w:tc>
          <w:tcPr>
            <w:tcW w:w="1474" w:type="dxa"/>
            <w:vAlign w:val="center"/>
          </w:tcPr>
          <w:p>
            <w:pPr>
              <w:pStyle w:val="12"/>
            </w:pPr>
            <w:r>
              <w:t>12.62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222.06</w:t>
            </w:r>
          </w:p>
        </w:tc>
        <w:tc>
          <w:tcPr>
            <w:tcW w:w="3402" w:type="dxa"/>
            <w:vAlign w:val="center"/>
          </w:tcPr>
          <w:p>
            <w:pPr>
              <w:pStyle w:val="15"/>
            </w:pPr>
            <w:r>
              <w:t>本年支出合计</w:t>
            </w:r>
          </w:p>
        </w:tc>
        <w:tc>
          <w:tcPr>
            <w:tcW w:w="1474" w:type="dxa"/>
            <w:vAlign w:val="center"/>
          </w:tcPr>
          <w:p>
            <w:pPr>
              <w:pStyle w:val="16"/>
            </w:pPr>
            <w:r>
              <w:t>222.06</w:t>
            </w:r>
          </w:p>
        </w:tc>
        <w:tc>
          <w:tcPr>
            <w:tcW w:w="1474" w:type="dxa"/>
            <w:vAlign w:val="center"/>
          </w:tcPr>
          <w:p>
            <w:pPr>
              <w:pStyle w:val="16"/>
            </w:pPr>
            <w:r>
              <w:t>222.06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222.06</w:t>
            </w:r>
          </w:p>
        </w:tc>
        <w:tc>
          <w:tcPr>
            <w:tcW w:w="3402" w:type="dxa"/>
            <w:vAlign w:val="center"/>
          </w:tcPr>
          <w:p>
            <w:pPr>
              <w:pStyle w:val="15"/>
            </w:pPr>
            <w:r>
              <w:t>支出总计</w:t>
            </w:r>
          </w:p>
        </w:tc>
        <w:tc>
          <w:tcPr>
            <w:tcW w:w="1474" w:type="dxa"/>
            <w:vAlign w:val="center"/>
          </w:tcPr>
          <w:p>
            <w:pPr>
              <w:pStyle w:val="16"/>
            </w:pPr>
            <w:r>
              <w:t>222.06</w:t>
            </w:r>
          </w:p>
        </w:tc>
        <w:tc>
          <w:tcPr>
            <w:tcW w:w="1474" w:type="dxa"/>
            <w:vAlign w:val="center"/>
          </w:tcPr>
          <w:p>
            <w:pPr>
              <w:pStyle w:val="16"/>
            </w:pPr>
            <w:r>
              <w:t>222.06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542行唐县信访局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222.06</w:t>
            </w:r>
          </w:p>
        </w:tc>
        <w:tc>
          <w:tcPr>
            <w:tcW w:w="2551" w:type="dxa"/>
            <w:vAlign w:val="center"/>
          </w:tcPr>
          <w:p>
            <w:pPr>
              <w:pStyle w:val="16"/>
            </w:pPr>
            <w:r>
              <w:t>198.55</w:t>
            </w:r>
          </w:p>
        </w:tc>
        <w:tc>
          <w:tcPr>
            <w:tcW w:w="2551" w:type="dxa"/>
            <w:vAlign w:val="center"/>
          </w:tcPr>
          <w:p>
            <w:pPr>
              <w:pStyle w:val="16"/>
            </w:pPr>
            <w:r>
              <w:t>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190.69</w:t>
            </w:r>
          </w:p>
        </w:tc>
        <w:tc>
          <w:tcPr>
            <w:tcW w:w="2551" w:type="dxa"/>
            <w:vAlign w:val="center"/>
          </w:tcPr>
          <w:p>
            <w:pPr>
              <w:pStyle w:val="12"/>
            </w:pPr>
            <w:r>
              <w:t>167.18</w:t>
            </w:r>
          </w:p>
        </w:tc>
        <w:tc>
          <w:tcPr>
            <w:tcW w:w="2551" w:type="dxa"/>
            <w:vAlign w:val="center"/>
          </w:tcPr>
          <w:p>
            <w:pPr>
              <w:pStyle w:val="12"/>
            </w:pPr>
            <w:r>
              <w:t>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20111</w:t>
            </w:r>
          </w:p>
        </w:tc>
        <w:tc>
          <w:tcPr>
            <w:tcW w:w="4535" w:type="dxa"/>
            <w:vAlign w:val="center"/>
          </w:tcPr>
          <w:p>
            <w:pPr>
              <w:pStyle w:val="13"/>
            </w:pPr>
            <w:r>
              <w:t>纪检监察事务</w:t>
            </w:r>
          </w:p>
        </w:tc>
        <w:tc>
          <w:tcPr>
            <w:tcW w:w="2551" w:type="dxa"/>
            <w:vAlign w:val="center"/>
          </w:tcPr>
          <w:p>
            <w:pPr>
              <w:pStyle w:val="12"/>
            </w:pPr>
            <w:r>
              <w:t>1.98</w:t>
            </w:r>
          </w:p>
        </w:tc>
        <w:tc>
          <w:tcPr>
            <w:tcW w:w="2551" w:type="dxa"/>
            <w:vAlign w:val="center"/>
          </w:tcPr>
          <w:p>
            <w:pPr>
              <w:pStyle w:val="12"/>
            </w:pPr>
            <w:r>
              <w:t>1.98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2011102</w:t>
            </w:r>
          </w:p>
        </w:tc>
        <w:tc>
          <w:tcPr>
            <w:tcW w:w="4535" w:type="dxa"/>
            <w:vAlign w:val="center"/>
          </w:tcPr>
          <w:p>
            <w:pPr>
              <w:pStyle w:val="13"/>
            </w:pPr>
            <w:r>
              <w:t>一般行政管理事务</w:t>
            </w:r>
          </w:p>
        </w:tc>
        <w:tc>
          <w:tcPr>
            <w:tcW w:w="2551" w:type="dxa"/>
            <w:vAlign w:val="center"/>
          </w:tcPr>
          <w:p>
            <w:pPr>
              <w:pStyle w:val="12"/>
            </w:pPr>
            <w:r>
              <w:t>1.98</w:t>
            </w:r>
          </w:p>
        </w:tc>
        <w:tc>
          <w:tcPr>
            <w:tcW w:w="2551" w:type="dxa"/>
            <w:vAlign w:val="center"/>
          </w:tcPr>
          <w:p>
            <w:pPr>
              <w:pStyle w:val="12"/>
            </w:pPr>
            <w:r>
              <w:t>1.98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188.71</w:t>
            </w:r>
          </w:p>
        </w:tc>
        <w:tc>
          <w:tcPr>
            <w:tcW w:w="2551" w:type="dxa"/>
            <w:vAlign w:val="center"/>
          </w:tcPr>
          <w:p>
            <w:pPr>
              <w:pStyle w:val="12"/>
            </w:pPr>
            <w:r>
              <w:t>165.20</w:t>
            </w:r>
          </w:p>
        </w:tc>
        <w:tc>
          <w:tcPr>
            <w:tcW w:w="2551" w:type="dxa"/>
            <w:vAlign w:val="center"/>
          </w:tcPr>
          <w:p>
            <w:pPr>
              <w:pStyle w:val="12"/>
            </w:pPr>
            <w:r>
              <w:t>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2014001</w:t>
            </w:r>
          </w:p>
        </w:tc>
        <w:tc>
          <w:tcPr>
            <w:tcW w:w="4535" w:type="dxa"/>
            <w:vAlign w:val="center"/>
          </w:tcPr>
          <w:p>
            <w:pPr>
              <w:pStyle w:val="13"/>
            </w:pPr>
            <w:r>
              <w:t>行政运行</w:t>
            </w:r>
          </w:p>
        </w:tc>
        <w:tc>
          <w:tcPr>
            <w:tcW w:w="2551" w:type="dxa"/>
            <w:vAlign w:val="center"/>
          </w:tcPr>
          <w:p>
            <w:pPr>
              <w:pStyle w:val="12"/>
            </w:pPr>
            <w:r>
              <w:t>165.20</w:t>
            </w:r>
          </w:p>
        </w:tc>
        <w:tc>
          <w:tcPr>
            <w:tcW w:w="2551" w:type="dxa"/>
            <w:vAlign w:val="center"/>
          </w:tcPr>
          <w:p>
            <w:pPr>
              <w:pStyle w:val="12"/>
            </w:pPr>
            <w:r>
              <w:t>165.20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2014002</w:t>
            </w:r>
          </w:p>
        </w:tc>
        <w:tc>
          <w:tcPr>
            <w:tcW w:w="4535" w:type="dxa"/>
            <w:vAlign w:val="center"/>
          </w:tcPr>
          <w:p>
            <w:pPr>
              <w:pStyle w:val="13"/>
            </w:pPr>
            <w:r>
              <w:t>一般行政管理事务</w:t>
            </w:r>
          </w:p>
        </w:tc>
        <w:tc>
          <w:tcPr>
            <w:tcW w:w="2551" w:type="dxa"/>
            <w:vAlign w:val="center"/>
          </w:tcPr>
          <w:p>
            <w:pPr>
              <w:pStyle w:val="12"/>
            </w:pPr>
            <w:r>
              <w:t>23.51</w:t>
            </w:r>
          </w:p>
        </w:tc>
        <w:tc>
          <w:tcPr>
            <w:tcW w:w="2551" w:type="dxa"/>
            <w:vAlign w:val="center"/>
          </w:tcPr>
          <w:p>
            <w:pPr>
              <w:pStyle w:val="12"/>
            </w:pPr>
          </w:p>
        </w:tc>
        <w:tc>
          <w:tcPr>
            <w:tcW w:w="2551" w:type="dxa"/>
            <w:vAlign w:val="center"/>
          </w:tcPr>
          <w:p>
            <w:pPr>
              <w:pStyle w:val="12"/>
            </w:pPr>
            <w:r>
              <w:t>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14.31</w:t>
            </w:r>
          </w:p>
        </w:tc>
        <w:tc>
          <w:tcPr>
            <w:tcW w:w="2551" w:type="dxa"/>
            <w:vAlign w:val="center"/>
          </w:tcPr>
          <w:p>
            <w:pPr>
              <w:pStyle w:val="12"/>
            </w:pPr>
            <w:r>
              <w:t>14.31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14.31</w:t>
            </w:r>
          </w:p>
        </w:tc>
        <w:tc>
          <w:tcPr>
            <w:tcW w:w="2551" w:type="dxa"/>
            <w:vAlign w:val="center"/>
          </w:tcPr>
          <w:p>
            <w:pPr>
              <w:pStyle w:val="12"/>
            </w:pPr>
            <w:r>
              <w:t>14.31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14.31</w:t>
            </w:r>
          </w:p>
        </w:tc>
        <w:tc>
          <w:tcPr>
            <w:tcW w:w="2551" w:type="dxa"/>
            <w:vAlign w:val="center"/>
          </w:tcPr>
          <w:p>
            <w:pPr>
              <w:pStyle w:val="12"/>
            </w:pPr>
            <w:r>
              <w:t>14.31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4.44</w:t>
            </w:r>
          </w:p>
        </w:tc>
        <w:tc>
          <w:tcPr>
            <w:tcW w:w="2551" w:type="dxa"/>
            <w:vAlign w:val="center"/>
          </w:tcPr>
          <w:p>
            <w:pPr>
              <w:pStyle w:val="12"/>
            </w:pPr>
            <w:r>
              <w:t>4.44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4.44</w:t>
            </w:r>
          </w:p>
        </w:tc>
        <w:tc>
          <w:tcPr>
            <w:tcW w:w="2551" w:type="dxa"/>
            <w:vAlign w:val="center"/>
          </w:tcPr>
          <w:p>
            <w:pPr>
              <w:pStyle w:val="12"/>
            </w:pPr>
            <w:r>
              <w:t>4.44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4.44</w:t>
            </w:r>
          </w:p>
        </w:tc>
        <w:tc>
          <w:tcPr>
            <w:tcW w:w="2551" w:type="dxa"/>
            <w:vAlign w:val="center"/>
          </w:tcPr>
          <w:p>
            <w:pPr>
              <w:pStyle w:val="12"/>
            </w:pPr>
            <w:r>
              <w:t>4.44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12.62</w:t>
            </w:r>
          </w:p>
        </w:tc>
        <w:tc>
          <w:tcPr>
            <w:tcW w:w="2551" w:type="dxa"/>
            <w:vAlign w:val="center"/>
          </w:tcPr>
          <w:p>
            <w:pPr>
              <w:pStyle w:val="12"/>
            </w:pPr>
            <w:r>
              <w:t>12.62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12.62</w:t>
            </w:r>
          </w:p>
        </w:tc>
        <w:tc>
          <w:tcPr>
            <w:tcW w:w="2551" w:type="dxa"/>
            <w:vAlign w:val="center"/>
          </w:tcPr>
          <w:p>
            <w:pPr>
              <w:pStyle w:val="12"/>
            </w:pPr>
            <w:r>
              <w:t>12.62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12.62</w:t>
            </w:r>
          </w:p>
        </w:tc>
        <w:tc>
          <w:tcPr>
            <w:tcW w:w="2551" w:type="dxa"/>
            <w:vAlign w:val="center"/>
          </w:tcPr>
          <w:p>
            <w:pPr>
              <w:pStyle w:val="12"/>
            </w:pPr>
            <w:r>
              <w:t>12.62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542行唐县信访局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198.55</w:t>
            </w:r>
          </w:p>
        </w:tc>
        <w:tc>
          <w:tcPr>
            <w:tcW w:w="2551" w:type="dxa"/>
            <w:vAlign w:val="center"/>
          </w:tcPr>
          <w:p>
            <w:pPr>
              <w:pStyle w:val="16"/>
            </w:pPr>
            <w:r>
              <w:t>173.62</w:t>
            </w:r>
          </w:p>
        </w:tc>
        <w:tc>
          <w:tcPr>
            <w:tcW w:w="2551" w:type="dxa"/>
            <w:vAlign w:val="center"/>
          </w:tcPr>
          <w:p>
            <w:pPr>
              <w:pStyle w:val="16"/>
            </w:pPr>
            <w:r>
              <w:t>24.93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160.30</w:t>
            </w:r>
          </w:p>
        </w:tc>
        <w:tc>
          <w:tcPr>
            <w:tcW w:w="2551" w:type="dxa"/>
            <w:vAlign w:val="center"/>
          </w:tcPr>
          <w:p>
            <w:pPr>
              <w:pStyle w:val="12"/>
            </w:pPr>
            <w:r>
              <w:t>160.30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70.78</w:t>
            </w:r>
          </w:p>
        </w:tc>
        <w:tc>
          <w:tcPr>
            <w:tcW w:w="2551" w:type="dxa"/>
            <w:vAlign w:val="center"/>
          </w:tcPr>
          <w:p>
            <w:pPr>
              <w:pStyle w:val="12"/>
            </w:pPr>
            <w:r>
              <w:t>70.78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21.31</w:t>
            </w:r>
          </w:p>
        </w:tc>
        <w:tc>
          <w:tcPr>
            <w:tcW w:w="2551" w:type="dxa"/>
            <w:vAlign w:val="center"/>
          </w:tcPr>
          <w:p>
            <w:pPr>
              <w:pStyle w:val="12"/>
            </w:pPr>
            <w:r>
              <w:t>21.31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19.97</w:t>
            </w:r>
          </w:p>
        </w:tc>
        <w:tc>
          <w:tcPr>
            <w:tcW w:w="2551" w:type="dxa"/>
            <w:vAlign w:val="center"/>
          </w:tcPr>
          <w:p>
            <w:pPr>
              <w:pStyle w:val="12"/>
            </w:pPr>
            <w:r>
              <w:t>19.97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14.33</w:t>
            </w:r>
          </w:p>
        </w:tc>
        <w:tc>
          <w:tcPr>
            <w:tcW w:w="2551" w:type="dxa"/>
            <w:vAlign w:val="center"/>
          </w:tcPr>
          <w:p>
            <w:pPr>
              <w:pStyle w:val="12"/>
            </w:pPr>
            <w:r>
              <w:t>14.33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14.31</w:t>
            </w:r>
          </w:p>
        </w:tc>
        <w:tc>
          <w:tcPr>
            <w:tcW w:w="2551" w:type="dxa"/>
            <w:vAlign w:val="center"/>
          </w:tcPr>
          <w:p>
            <w:pPr>
              <w:pStyle w:val="12"/>
            </w:pPr>
            <w:r>
              <w:t>14.31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6.42</w:t>
            </w:r>
          </w:p>
        </w:tc>
        <w:tc>
          <w:tcPr>
            <w:tcW w:w="2551" w:type="dxa"/>
            <w:vAlign w:val="center"/>
          </w:tcPr>
          <w:p>
            <w:pPr>
              <w:pStyle w:val="12"/>
            </w:pPr>
            <w:r>
              <w:t>6.42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0.56</w:t>
            </w:r>
          </w:p>
        </w:tc>
        <w:tc>
          <w:tcPr>
            <w:tcW w:w="2551" w:type="dxa"/>
            <w:vAlign w:val="center"/>
          </w:tcPr>
          <w:p>
            <w:pPr>
              <w:pStyle w:val="12"/>
            </w:pPr>
            <w:r>
              <w:t>0.56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12.62</w:t>
            </w:r>
          </w:p>
        </w:tc>
        <w:tc>
          <w:tcPr>
            <w:tcW w:w="2551" w:type="dxa"/>
            <w:vAlign w:val="center"/>
          </w:tcPr>
          <w:p>
            <w:pPr>
              <w:pStyle w:val="12"/>
            </w:pPr>
            <w:r>
              <w:t>12.62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24.93</w:t>
            </w:r>
          </w:p>
        </w:tc>
        <w:tc>
          <w:tcPr>
            <w:tcW w:w="2551" w:type="dxa"/>
            <w:vAlign w:val="center"/>
          </w:tcPr>
          <w:p>
            <w:pPr>
              <w:pStyle w:val="12"/>
            </w:pPr>
          </w:p>
        </w:tc>
        <w:tc>
          <w:tcPr>
            <w:tcW w:w="2551" w:type="dxa"/>
            <w:vAlign w:val="center"/>
          </w:tcPr>
          <w:p>
            <w:pPr>
              <w:pStyle w:val="12"/>
            </w:pPr>
            <w:r>
              <w:t>24.93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0.65</w:t>
            </w:r>
          </w:p>
        </w:tc>
        <w:tc>
          <w:tcPr>
            <w:tcW w:w="2551" w:type="dxa"/>
            <w:vAlign w:val="center"/>
          </w:tcPr>
          <w:p>
            <w:pPr>
              <w:pStyle w:val="12"/>
            </w:pPr>
          </w:p>
        </w:tc>
        <w:tc>
          <w:tcPr>
            <w:tcW w:w="2551" w:type="dxa"/>
            <w:vAlign w:val="center"/>
          </w:tcPr>
          <w:p>
            <w:pPr>
              <w:pStyle w:val="12"/>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0.65</w:t>
            </w:r>
          </w:p>
        </w:tc>
        <w:tc>
          <w:tcPr>
            <w:tcW w:w="2551" w:type="dxa"/>
            <w:vAlign w:val="center"/>
          </w:tcPr>
          <w:p>
            <w:pPr>
              <w:pStyle w:val="12"/>
            </w:pPr>
          </w:p>
        </w:tc>
        <w:tc>
          <w:tcPr>
            <w:tcW w:w="2551" w:type="dxa"/>
            <w:vAlign w:val="center"/>
          </w:tcPr>
          <w:p>
            <w:pPr>
              <w:pStyle w:val="12"/>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0.78</w:t>
            </w:r>
          </w:p>
        </w:tc>
        <w:tc>
          <w:tcPr>
            <w:tcW w:w="2551" w:type="dxa"/>
            <w:vAlign w:val="center"/>
          </w:tcPr>
          <w:p>
            <w:pPr>
              <w:pStyle w:val="12"/>
            </w:pPr>
          </w:p>
        </w:tc>
        <w:tc>
          <w:tcPr>
            <w:tcW w:w="2551" w:type="dxa"/>
            <w:vAlign w:val="center"/>
          </w:tcPr>
          <w:p>
            <w:pPr>
              <w:pStyle w:val="12"/>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3.42</w:t>
            </w:r>
          </w:p>
        </w:tc>
        <w:tc>
          <w:tcPr>
            <w:tcW w:w="2551" w:type="dxa"/>
            <w:vAlign w:val="center"/>
          </w:tcPr>
          <w:p>
            <w:pPr>
              <w:pStyle w:val="12"/>
            </w:pPr>
          </w:p>
        </w:tc>
        <w:tc>
          <w:tcPr>
            <w:tcW w:w="2551" w:type="dxa"/>
            <w:vAlign w:val="center"/>
          </w:tcPr>
          <w:p>
            <w:pPr>
              <w:pStyle w:val="12"/>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1.04</w:t>
            </w:r>
          </w:p>
        </w:tc>
        <w:tc>
          <w:tcPr>
            <w:tcW w:w="2551" w:type="dxa"/>
            <w:vAlign w:val="center"/>
          </w:tcPr>
          <w:p>
            <w:pPr>
              <w:pStyle w:val="12"/>
            </w:pPr>
          </w:p>
        </w:tc>
        <w:tc>
          <w:tcPr>
            <w:tcW w:w="2551" w:type="dxa"/>
            <w:vAlign w:val="center"/>
          </w:tcPr>
          <w:p>
            <w:pPr>
              <w:pStyle w:val="12"/>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1.04</w:t>
            </w:r>
          </w:p>
        </w:tc>
        <w:tc>
          <w:tcPr>
            <w:tcW w:w="2551" w:type="dxa"/>
            <w:vAlign w:val="center"/>
          </w:tcPr>
          <w:p>
            <w:pPr>
              <w:pStyle w:val="12"/>
            </w:pPr>
          </w:p>
        </w:tc>
        <w:tc>
          <w:tcPr>
            <w:tcW w:w="2551" w:type="dxa"/>
            <w:vAlign w:val="center"/>
          </w:tcPr>
          <w:p>
            <w:pPr>
              <w:pStyle w:val="12"/>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0.21</w:t>
            </w:r>
          </w:p>
        </w:tc>
        <w:tc>
          <w:tcPr>
            <w:tcW w:w="2551" w:type="dxa"/>
            <w:vAlign w:val="center"/>
          </w:tcPr>
          <w:p>
            <w:pPr>
              <w:pStyle w:val="12"/>
            </w:pPr>
          </w:p>
        </w:tc>
        <w:tc>
          <w:tcPr>
            <w:tcW w:w="2551" w:type="dxa"/>
            <w:vAlign w:val="center"/>
          </w:tcPr>
          <w:p>
            <w:pPr>
              <w:pStyle w:val="12"/>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1.16</w:t>
            </w:r>
          </w:p>
        </w:tc>
        <w:tc>
          <w:tcPr>
            <w:tcW w:w="2551" w:type="dxa"/>
            <w:vAlign w:val="center"/>
          </w:tcPr>
          <w:p>
            <w:pPr>
              <w:pStyle w:val="12"/>
            </w:pPr>
          </w:p>
        </w:tc>
        <w:tc>
          <w:tcPr>
            <w:tcW w:w="2551" w:type="dxa"/>
            <w:vAlign w:val="center"/>
          </w:tcPr>
          <w:p>
            <w:pPr>
              <w:pStyle w:val="12"/>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6.24</w:t>
            </w:r>
          </w:p>
        </w:tc>
        <w:tc>
          <w:tcPr>
            <w:tcW w:w="2551" w:type="dxa"/>
            <w:vAlign w:val="center"/>
          </w:tcPr>
          <w:p>
            <w:pPr>
              <w:pStyle w:val="12"/>
            </w:pPr>
          </w:p>
        </w:tc>
        <w:tc>
          <w:tcPr>
            <w:tcW w:w="2551" w:type="dxa"/>
            <w:vAlign w:val="center"/>
          </w:tcPr>
          <w:p>
            <w:pPr>
              <w:pStyle w:val="12"/>
            </w:pPr>
            <w:r>
              <w:t>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2.24</w:t>
            </w:r>
          </w:p>
        </w:tc>
        <w:tc>
          <w:tcPr>
            <w:tcW w:w="2551" w:type="dxa"/>
            <w:vAlign w:val="center"/>
          </w:tcPr>
          <w:p>
            <w:pPr>
              <w:pStyle w:val="12"/>
            </w:pPr>
          </w:p>
        </w:tc>
        <w:tc>
          <w:tcPr>
            <w:tcW w:w="2551" w:type="dxa"/>
            <w:vAlign w:val="center"/>
          </w:tcPr>
          <w:p>
            <w:pPr>
              <w:pStyle w:val="12"/>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13.32</w:t>
            </w:r>
          </w:p>
        </w:tc>
        <w:tc>
          <w:tcPr>
            <w:tcW w:w="2551" w:type="dxa"/>
            <w:vAlign w:val="center"/>
          </w:tcPr>
          <w:p>
            <w:pPr>
              <w:pStyle w:val="12"/>
            </w:pPr>
            <w:r>
              <w:t>13.32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11.11</w:t>
            </w:r>
          </w:p>
        </w:tc>
        <w:tc>
          <w:tcPr>
            <w:tcW w:w="2551" w:type="dxa"/>
            <w:vAlign w:val="center"/>
          </w:tcPr>
          <w:p>
            <w:pPr>
              <w:pStyle w:val="12"/>
            </w:pPr>
            <w:r>
              <w:t>11.11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2.21</w:t>
            </w:r>
          </w:p>
        </w:tc>
        <w:tc>
          <w:tcPr>
            <w:tcW w:w="2551" w:type="dxa"/>
            <w:vAlign w:val="center"/>
          </w:tcPr>
          <w:p>
            <w:pPr>
              <w:pStyle w:val="12"/>
            </w:pPr>
            <w:r>
              <w:t>2.21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542行唐县信访局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542行唐县信访局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542行唐县信访局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行唐县信访局2026年部门预算信息公开情况说明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行唐县信访局2026年部门预算信息公开情况说明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按照《中华人民共和国预算法》、《地方预决算公开操作规程》和《关于进一步推进预算公开工作的实施意见》规定，现将行唐县信访局2026年部门预算公开如下：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（一）研究提出全县信访工作思路，起草行工作规章草案。</w:t>
      </w:r>
    </w:p>
    <w:p>
      <w:pPr>
        <w:pStyle w:val="18"/>
      </w:pPr>
      <w:r>
        <w:t>（二）办理人民群众来信，接待群众来访，受理群众网上投诉，查办信访案件，负责人民群众建议征集工作。</w:t>
      </w:r>
    </w:p>
    <w:p>
      <w:pPr>
        <w:pStyle w:val="18"/>
      </w:pPr>
      <w:r>
        <w:t>（三）调查研究和综合分析全县信访形势及信访工作状况，总结推广各地各单位信访工作经验，提出改进和加强信访工作的意见和建议。</w:t>
      </w:r>
    </w:p>
    <w:p>
      <w:pPr>
        <w:pStyle w:val="18"/>
      </w:pPr>
      <w:r>
        <w:t>（四）参与组织、协调、指导全县社会治安综合治理和维护社会稳定工作，协助保障国家和县、市、县重大政治活动顺利进行，参与处理影响社会政治稳定的突发性、群体性事件。</w:t>
      </w:r>
    </w:p>
    <w:p>
      <w:pPr>
        <w:pStyle w:val="18"/>
      </w:pPr>
      <w:r>
        <w:t>（五）督促检查和指导各乡镇党委、政府，县经济开发区党工委、管委会和县直各单位的信访工作。对乡镇党委、政府，县经济开发区党工委、管委会和县直单位信访工作年度责任目标进行考核，对全县社会治安综合治理和维护社会政治稳定年度责任目标中有关信访工作进行考核。</w:t>
      </w:r>
    </w:p>
    <w:p>
      <w:pPr>
        <w:pStyle w:val="18"/>
      </w:pPr>
      <w:r>
        <w:t>（六）协助国家信访局、县信访局、市信访局处理行唐县群众进京赴县上访工作，综合协调处理跨地区、跨单位、跨行业的重要信访问题。</w:t>
      </w:r>
    </w:p>
    <w:p>
      <w:pPr>
        <w:pStyle w:val="18"/>
      </w:pPr>
      <w:r>
        <w:t>（七）负责县、市、县领导及县直、市值领导公开接访和包联案件的组织协调工作。</w:t>
      </w:r>
    </w:p>
    <w:p>
      <w:pPr>
        <w:pStyle w:val="18"/>
      </w:pPr>
      <w:r>
        <w:t>（八）承担行唐县信访工作联席会议的日常工作，督促落实联席会议决定的事项。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行唐县信访局本级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按照预算管理有关规定，目前部门预算的编制实行综合预算管理，即全部收入和支出都反映在预算中。行唐县信访局机关及所属事业单位的收支包含在部门预算中。</w:t>
      </w:r>
    </w:p>
    <w:p>
      <w:pPr>
        <w:pStyle w:val="19"/>
      </w:pPr>
      <w:r>
        <w:t>1、收入说明</w:t>
      </w:r>
    </w:p>
    <w:p>
      <w:pPr>
        <w:pStyle w:val="26"/>
      </w:pPr>
      <w:r>
        <w:t>反映本部门当年全部收入。202</w:t>
      </w:r>
      <w:r>
        <w:rPr>
          <w:rFonts w:hint="eastAsia"/>
          <w:lang w:val="en-US" w:eastAsia="zh-CN"/>
        </w:rPr>
        <w:t>6</w:t>
      </w:r>
      <w:r>
        <w:t>年预算收入2</w:t>
      </w:r>
      <w:r>
        <w:rPr>
          <w:rFonts w:hint="eastAsia"/>
          <w:lang w:val="en-US" w:eastAsia="zh-CN"/>
        </w:rPr>
        <w:t>22.06</w:t>
      </w:r>
      <w:r>
        <w:t>万元，其中：一般公共预算收入2</w:t>
      </w:r>
      <w:r>
        <w:rPr>
          <w:rFonts w:hint="eastAsia"/>
          <w:lang w:val="en-US" w:eastAsia="zh-CN"/>
        </w:rPr>
        <w:t>22.06</w:t>
      </w:r>
      <w:r>
        <w:t>万元，基金预算收入0.00万元，国有资本经营预算收入0.00万元，财政专户核拨收入0.00万元，</w:t>
      </w:r>
      <w:r>
        <w:rPr>
          <w:rFonts w:hint="eastAsia"/>
          <w:lang w:eastAsia="zh-CN"/>
        </w:rPr>
        <w:t>部门</w:t>
      </w:r>
      <w:r>
        <w:t>资金收入0.00万元，上年结转结余0.00万元。</w:t>
      </w:r>
    </w:p>
    <w:p>
      <w:pPr>
        <w:pStyle w:val="19"/>
      </w:pPr>
      <w:r>
        <w:t>2、支出说明</w:t>
      </w:r>
    </w:p>
    <w:p>
      <w:pPr>
        <w:pStyle w:val="26"/>
      </w:pPr>
      <w:bookmarkStart w:id="11" w:name="_Toc_3_3_0000000012"/>
      <w:r>
        <w:t>收支预算总表支出栏、基本支出表、项目支出表按经济分类和支出功能分类科目编制，反映行唐县信访局年度</w:t>
      </w:r>
      <w:r>
        <w:rPr>
          <w:rFonts w:hint="eastAsia"/>
          <w:lang w:eastAsia="zh-CN"/>
        </w:rPr>
        <w:t>部门</w:t>
      </w:r>
      <w:r>
        <w:t>预算中支出预算的总体情况。202</w:t>
      </w:r>
      <w:r>
        <w:rPr>
          <w:rFonts w:hint="eastAsia"/>
          <w:lang w:val="en-US" w:eastAsia="zh-CN"/>
        </w:rPr>
        <w:t>6</w:t>
      </w:r>
      <w:r>
        <w:t>年支出预算2</w:t>
      </w:r>
      <w:r>
        <w:rPr>
          <w:rFonts w:hint="eastAsia"/>
          <w:lang w:val="en-US" w:eastAsia="zh-CN"/>
        </w:rPr>
        <w:t>22.06</w:t>
      </w:r>
      <w:r>
        <w:t>万元，其中基本支出</w:t>
      </w:r>
      <w:r>
        <w:rPr>
          <w:rFonts w:hint="eastAsia"/>
          <w:lang w:val="en-US" w:eastAsia="zh-CN"/>
        </w:rPr>
        <w:t>198.55</w:t>
      </w:r>
      <w:r>
        <w:t>万元，包括人员经费1</w:t>
      </w:r>
      <w:r>
        <w:rPr>
          <w:rFonts w:hint="eastAsia"/>
          <w:lang w:val="en-US" w:eastAsia="zh-CN"/>
        </w:rPr>
        <w:t>73.62</w:t>
      </w:r>
      <w:r>
        <w:t>万元和日常公用经费</w:t>
      </w:r>
      <w:r>
        <w:rPr>
          <w:rFonts w:hint="eastAsia"/>
          <w:lang w:val="en-US" w:eastAsia="zh-CN"/>
        </w:rPr>
        <w:t>24.93</w:t>
      </w:r>
      <w:r>
        <w:t>万元；项目支出</w:t>
      </w:r>
      <w:r>
        <w:rPr>
          <w:rFonts w:hint="eastAsia"/>
          <w:lang w:val="en-US" w:eastAsia="zh-CN"/>
        </w:rPr>
        <w:t>23.51</w:t>
      </w:r>
      <w:r>
        <w:t>万元，主要为</w:t>
      </w:r>
      <w:r>
        <w:rPr>
          <w:rFonts w:hint="eastAsia"/>
          <w:lang w:eastAsia="zh-CN"/>
        </w:rPr>
        <w:t>劳务派遣人员经费</w:t>
      </w:r>
      <w:r>
        <w:rPr>
          <w:rFonts w:hint="eastAsia"/>
          <w:lang w:val="en-US" w:eastAsia="zh-CN"/>
        </w:rPr>
        <w:t>23.51万元</w:t>
      </w:r>
      <w:r>
        <w:t>。</w:t>
      </w:r>
    </w:p>
    <w:p>
      <w:pPr>
        <w:pStyle w:val="26"/>
      </w:pPr>
      <w:r>
        <w:t>3、比上年增减情况</w:t>
      </w:r>
    </w:p>
    <w:p>
      <w:pPr>
        <w:pStyle w:val="26"/>
        <w:rPr>
          <w:rFonts w:ascii="黑体" w:hAnsi="黑体" w:eastAsia="黑体" w:cs="黑体"/>
          <w:color w:val="000000"/>
          <w:sz w:val="32"/>
        </w:rPr>
      </w:pPr>
      <w:r>
        <w:t>202</w:t>
      </w:r>
      <w:r>
        <w:rPr>
          <w:rFonts w:hint="eastAsia"/>
          <w:lang w:val="en-US" w:eastAsia="zh-CN"/>
        </w:rPr>
        <w:t>6</w:t>
      </w:r>
      <w:r>
        <w:t>年预算收支安排2</w:t>
      </w:r>
      <w:r>
        <w:rPr>
          <w:rFonts w:hint="eastAsia"/>
          <w:lang w:val="en-US" w:eastAsia="zh-CN"/>
        </w:rPr>
        <w:t>22.06</w:t>
      </w:r>
      <w:r>
        <w:t>万元，较202</w:t>
      </w:r>
      <w:r>
        <w:rPr>
          <w:rFonts w:hint="eastAsia"/>
          <w:lang w:val="en-US" w:eastAsia="zh-CN"/>
        </w:rPr>
        <w:t>5</w:t>
      </w:r>
      <w:r>
        <w:t>年预算</w:t>
      </w:r>
      <w:r>
        <w:rPr>
          <w:rFonts w:hint="eastAsia"/>
          <w:lang w:eastAsia="zh-CN"/>
        </w:rPr>
        <w:t>增加</w:t>
      </w:r>
      <w:r>
        <w:rPr>
          <w:rFonts w:hint="eastAsia"/>
          <w:lang w:val="en-US" w:eastAsia="zh-CN"/>
        </w:rPr>
        <w:t>18.51</w:t>
      </w:r>
      <w:r>
        <w:t>万元，其中：基本支出增加</w:t>
      </w:r>
      <w:r>
        <w:rPr>
          <w:rFonts w:hint="eastAsia"/>
          <w:lang w:val="en-US" w:eastAsia="zh-CN"/>
        </w:rPr>
        <w:t>13.20</w:t>
      </w:r>
      <w:r>
        <w:t>万元，主要为人员经费增加</w:t>
      </w:r>
      <w:r>
        <w:rPr>
          <w:rFonts w:hint="eastAsia"/>
          <w:lang w:val="en-US" w:eastAsia="zh-CN"/>
        </w:rPr>
        <w:t>11.65</w:t>
      </w:r>
      <w:r>
        <w:t>万元，日常公用经费</w:t>
      </w:r>
      <w:r>
        <w:rPr>
          <w:rFonts w:hint="eastAsia"/>
          <w:lang w:eastAsia="zh-CN"/>
        </w:rPr>
        <w:t>增加</w:t>
      </w:r>
      <w:r>
        <w:rPr>
          <w:rFonts w:hint="eastAsia"/>
          <w:lang w:val="en-US" w:eastAsia="zh-CN"/>
        </w:rPr>
        <w:t>1.55</w:t>
      </w:r>
      <w:r>
        <w:t>万元。项目支出</w:t>
      </w:r>
      <w:r>
        <w:rPr>
          <w:rFonts w:hint="eastAsia"/>
          <w:lang w:eastAsia="zh-CN"/>
        </w:rPr>
        <w:t>增加</w:t>
      </w:r>
      <w:r>
        <w:rPr>
          <w:rFonts w:hint="eastAsia"/>
          <w:lang w:val="en-US" w:eastAsia="zh-CN"/>
        </w:rPr>
        <w:t>5.31</w:t>
      </w:r>
      <w:r>
        <w:t>万元，主要为</w:t>
      </w:r>
      <w:r>
        <w:rPr>
          <w:rFonts w:hint="eastAsia"/>
          <w:lang w:eastAsia="zh-CN"/>
        </w:rPr>
        <w:t>劳务派遣人员增加</w:t>
      </w:r>
      <w:r>
        <w:rPr>
          <w:rFonts w:hint="eastAsia"/>
          <w:lang w:val="en-US" w:eastAsia="zh-CN"/>
        </w:rPr>
        <w:t>5.31万元</w:t>
      </w:r>
      <w:r>
        <w:t>。</w:t>
      </w:r>
    </w:p>
    <w:p>
      <w:pPr>
        <w:numPr>
          <w:ilvl w:val="0"/>
          <w:numId w:val="1"/>
        </w:num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机关运行经费安排情况</w:t>
      </w:r>
      <w:bookmarkEnd w:id="11"/>
    </w:p>
    <w:p>
      <w:pPr>
        <w:keepNext w:val="0"/>
        <w:keepLines w:val="0"/>
        <w:pageBreakBefore w:val="0"/>
        <w:widowControl/>
        <w:numPr>
          <w:numId w:val="0"/>
        </w:numPr>
        <w:kinsoku/>
        <w:wordWrap/>
        <w:overflowPunct/>
        <w:topLinePunct w:val="0"/>
        <w:autoSpaceDE/>
        <w:autoSpaceDN/>
        <w:bidi w:val="0"/>
        <w:adjustRightInd/>
        <w:snapToGrid/>
        <w:spacing w:before="10" w:after="10" w:line="240" w:lineRule="auto"/>
        <w:ind w:firstLine="840" w:firstLineChars="300"/>
        <w:jc w:val="left"/>
        <w:textAlignment w:val="auto"/>
        <w:outlineLvl w:val="2"/>
        <w:rPr>
          <w:rFonts w:ascii="Times New Roman" w:hAnsi="Times New Roman" w:eastAsia="方正仿宋_GBK" w:cs="Times New Roman"/>
          <w:sz w:val="28"/>
          <w:szCs w:val="22"/>
          <w:lang w:val="en-US" w:eastAsia="uk-UA"/>
        </w:rPr>
      </w:pPr>
      <w:r>
        <w:rPr>
          <w:rFonts w:ascii="Times New Roman" w:hAnsi="Times New Roman" w:eastAsia="方正仿宋_GBK" w:cs="Times New Roman"/>
          <w:sz w:val="28"/>
          <w:szCs w:val="22"/>
          <w:lang w:val="en-US" w:eastAsia="uk-UA"/>
        </w:rPr>
        <w:t>202</w:t>
      </w:r>
      <w:r>
        <w:rPr>
          <w:rFonts w:hint="eastAsia" w:ascii="Times New Roman" w:hAnsi="Times New Roman" w:eastAsia="方正仿宋_GBK" w:cs="Times New Roman"/>
          <w:sz w:val="28"/>
          <w:szCs w:val="22"/>
          <w:lang w:val="en-US" w:eastAsia="zh-CN"/>
        </w:rPr>
        <w:t>6</w:t>
      </w:r>
      <w:r>
        <w:rPr>
          <w:rFonts w:ascii="Times New Roman" w:hAnsi="Times New Roman" w:eastAsia="方正仿宋_GBK" w:cs="Times New Roman"/>
          <w:sz w:val="28"/>
          <w:szCs w:val="22"/>
          <w:lang w:val="en-US" w:eastAsia="uk-UA"/>
        </w:rPr>
        <w:t>年我部门机关运行经费共计安排</w:t>
      </w:r>
      <w:r>
        <w:rPr>
          <w:rFonts w:hint="eastAsia" w:ascii="Times New Roman" w:hAnsi="Times New Roman" w:eastAsia="方正仿宋_GBK" w:cs="Times New Roman"/>
          <w:sz w:val="28"/>
          <w:szCs w:val="22"/>
          <w:lang w:val="en-US" w:eastAsia="zh-CN"/>
        </w:rPr>
        <w:t>18.69</w:t>
      </w:r>
      <w:r>
        <w:rPr>
          <w:rFonts w:ascii="Times New Roman" w:hAnsi="Times New Roman" w:eastAsia="方正仿宋_GBK" w:cs="Times New Roman"/>
          <w:sz w:val="28"/>
          <w:szCs w:val="22"/>
          <w:lang w:val="en-US" w:eastAsia="uk-UA"/>
        </w:rPr>
        <w:t>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7"/>
      </w:pPr>
      <w:r>
        <w:t>202</w:t>
      </w:r>
      <w:r>
        <w:rPr>
          <w:rFonts w:hint="eastAsia"/>
          <w:lang w:val="en-US" w:eastAsia="zh-CN"/>
        </w:rPr>
        <w:t>6</w:t>
      </w:r>
      <w:r>
        <w:t>年</w:t>
      </w:r>
      <w:bookmarkStart w:id="20" w:name="_GoBack"/>
      <w:bookmarkEnd w:id="20"/>
      <w:r>
        <w:t>我部门财政拨款“三公”经费预算安排2.</w:t>
      </w:r>
      <w:r>
        <w:rPr>
          <w:rFonts w:hint="eastAsia"/>
          <w:lang w:val="en-US" w:eastAsia="zh-CN"/>
        </w:rPr>
        <w:t>71</w:t>
      </w:r>
      <w:r>
        <w:t>万元，其中因公出国（境）费0.00万元；公务用车购置及运维费2.</w:t>
      </w:r>
      <w:r>
        <w:rPr>
          <w:rFonts w:hint="eastAsia"/>
          <w:lang w:val="en-US" w:eastAsia="zh-CN"/>
        </w:rPr>
        <w:t>5</w:t>
      </w:r>
      <w:r>
        <w:t>0万元（其中：公务用车购置费为0.00万元，公务用车运维费2.</w:t>
      </w:r>
      <w:r>
        <w:rPr>
          <w:rFonts w:hint="eastAsia"/>
          <w:lang w:val="en-US" w:eastAsia="zh-CN"/>
        </w:rPr>
        <w:t>5</w:t>
      </w:r>
      <w:r>
        <w:t>0万元)；公务接待费0.</w:t>
      </w:r>
      <w:r>
        <w:rPr>
          <w:rFonts w:hint="eastAsia"/>
          <w:lang w:val="en-US" w:eastAsia="zh-CN"/>
        </w:rPr>
        <w:t>21</w:t>
      </w:r>
      <w:r>
        <w:t>万元。与202</w:t>
      </w:r>
      <w:r>
        <w:rPr>
          <w:rFonts w:hint="eastAsia"/>
          <w:lang w:val="en-US" w:eastAsia="zh-CN"/>
        </w:rPr>
        <w:t>5</w:t>
      </w:r>
      <w:r>
        <w:t>年相比减少0.1</w:t>
      </w:r>
      <w:r>
        <w:rPr>
          <w:rFonts w:hint="eastAsia"/>
          <w:lang w:val="en-US" w:eastAsia="zh-CN"/>
        </w:rPr>
        <w:t>0</w:t>
      </w:r>
      <w:r>
        <w:t>万元，增减变化的主要原因是公务用车运维费与202</w:t>
      </w:r>
      <w:r>
        <w:rPr>
          <w:rFonts w:hint="eastAsia"/>
          <w:lang w:val="en-US" w:eastAsia="zh-CN"/>
        </w:rPr>
        <w:t>5</w:t>
      </w:r>
      <w:r>
        <w:t>年相比减少0.1万元，主要是我单位减少公务用车出行；公务接待费与202</w:t>
      </w:r>
      <w:r>
        <w:rPr>
          <w:rFonts w:hint="eastAsia"/>
          <w:lang w:val="en-US" w:eastAsia="zh-CN"/>
        </w:rPr>
        <w:t>5</w:t>
      </w:r>
      <w:r>
        <w:t>年相比</w:t>
      </w:r>
      <w:r>
        <w:rPr>
          <w:rFonts w:hint="eastAsia"/>
          <w:lang w:eastAsia="zh-CN"/>
        </w:rPr>
        <w:t>无变化</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紧紧围绕着省委提出的“北京不能去、河北不能聚”的总目标，以解决好群众合理诉求、发挥好政治“护城河”作用为出发点和落脚点，重点抓好以下几项工作。</w:t>
      </w:r>
    </w:p>
    <w:p>
      <w:pPr>
        <w:pStyle w:val="22"/>
      </w:pPr>
      <w:r>
        <w:t>一是切实做好排查化解工作。明确排查责任和工作要求，坚持经常排查和集中排查相结合，及早发现信访苗头和倾向，及早解决，防止小事拖大、矛盾上行。</w:t>
      </w:r>
    </w:p>
    <w:p>
      <w:pPr>
        <w:pStyle w:val="22"/>
      </w:pPr>
      <w:r>
        <w:t>二是切实加大问题解决力度。严格落实信访问题化解责任，加大化解力度，逐案查明事实、分清责任，推动信访事项解决。</w:t>
      </w:r>
    </w:p>
    <w:p>
      <w:pPr>
        <w:pStyle w:val="22"/>
      </w:pPr>
      <w:r>
        <w:t>三是切实抓好进京访治理。进一步完善人员接劝、依法处置、解决问题、落实稳控等进京访处置工作机制，形成各部门协调联动、综合治理、齐抓共管的工作局面，坚决将进京访降下来，发挥好政治“护城河”作用。</w:t>
      </w:r>
    </w:p>
    <w:p>
      <w:pPr>
        <w:pStyle w:val="22"/>
      </w:pPr>
      <w:r>
        <w:t>四是提升基础工作规范化。协调督导各乡镇、各部门配齐配强信访工作力量，抓好业务培训，杜绝立案流程不顺畅、办案程序不规范、结案效率不达标的问题，切实提高信访事项办理“三率”。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w:t>
      </w:r>
      <w:r>
        <w:rPr>
          <w:rFonts w:hint="eastAsia"/>
          <w:lang w:val="en-US" w:eastAsia="zh-CN"/>
        </w:rPr>
        <w:t>1</w:t>
      </w:r>
      <w:r>
        <w:t>）畅通信访渠道，减少信访案件，维护社会稳定</w:t>
      </w:r>
    </w:p>
    <w:p>
      <w:pPr>
        <w:pStyle w:val="23"/>
      </w:pPr>
      <w:r>
        <w:t>绩效目标：畅通信访渠道，提高信访事项办理质量和效率。</w:t>
      </w:r>
    </w:p>
    <w:p>
      <w:pPr>
        <w:pStyle w:val="23"/>
      </w:pPr>
      <w:r>
        <w:t>绩效指标：及时受理人民群众来信、来访；协助上级信访局处理越级上访工作；妥善处置非访、突发性及群体性事件，维护社会大局和谐稳定；信访事项及时受理率达90%以上，信访案件按期办结率达90%以上。</w:t>
      </w:r>
    </w:p>
    <w:p>
      <w:pPr>
        <w:pStyle w:val="23"/>
      </w:pPr>
      <w:r>
        <w:t>（</w:t>
      </w:r>
      <w:r>
        <w:rPr>
          <w:rFonts w:hint="eastAsia"/>
          <w:lang w:val="en-US" w:eastAsia="zh-CN"/>
        </w:rPr>
        <w:t>2</w:t>
      </w:r>
      <w:r>
        <w:t>）推动重要信访事项解决，规范信访事项办理</w:t>
      </w:r>
    </w:p>
    <w:p>
      <w:pPr>
        <w:pStyle w:val="23"/>
      </w:pPr>
      <w:r>
        <w:t>绩效目标：做好信访事项督查、复查、听证工作。</w:t>
      </w:r>
    </w:p>
    <w:p>
      <w:pPr>
        <w:pStyle w:val="23"/>
      </w:pPr>
      <w:r>
        <w:t>绩效指标：组织做好信访案件督查、复查、听证等工作，并对相关事项进行审核、上报；加强对信访疑难案件的督办，全年解决特殊疑难案件不低于30件。</w:t>
      </w:r>
    </w:p>
    <w:p>
      <w:pPr>
        <w:pStyle w:val="23"/>
      </w:pPr>
      <w:r>
        <w:t>（</w:t>
      </w:r>
      <w:r>
        <w:rPr>
          <w:rFonts w:hint="eastAsia"/>
          <w:lang w:val="en-US" w:eastAsia="zh-CN"/>
        </w:rPr>
        <w:t>3</w:t>
      </w:r>
      <w:r>
        <w:t>）进一步提高信访干部业务能力</w:t>
      </w:r>
    </w:p>
    <w:p>
      <w:pPr>
        <w:pStyle w:val="23"/>
      </w:pPr>
      <w:r>
        <w:t>绩效目标：加强信访干部学习业务能力，吸收可行性建议；改进工作方式，提高信访信息化应用水平。</w:t>
      </w:r>
    </w:p>
    <w:p>
      <w:pPr>
        <w:pStyle w:val="23"/>
      </w:pPr>
      <w:r>
        <w:t>绩效指标：调研提出信访工作对策建议；督促检查和指导信访工作；加强信息化建设和运维管理；保障机要邮件正常传递和群众工作中心正常运转；确保会议正常</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w:t>
      </w:r>
      <w:r>
        <w:rPr>
          <w:rFonts w:hint="eastAsia"/>
          <w:lang w:val="en-US" w:eastAsia="zh-CN"/>
        </w:rPr>
        <w:t>1</w:t>
      </w:r>
      <w:r>
        <w:t>）认真贯彻落实中央、省、市及县委、</w:t>
      </w:r>
      <w:r>
        <w:rPr>
          <w:rFonts w:hint="eastAsia"/>
          <w:lang w:eastAsia="zh-CN"/>
        </w:rPr>
        <w:t>县</w:t>
      </w:r>
      <w:r>
        <w:t>政府对信访工作的决策部署，圆满完成本职工作各项任务，充分发挥好在建设平安行唐，构建和谐社会的职能作用。</w:t>
      </w:r>
    </w:p>
    <w:p>
      <w:pPr>
        <w:pStyle w:val="24"/>
      </w:pPr>
      <w:r>
        <w:t>（</w:t>
      </w:r>
      <w:r>
        <w:rPr>
          <w:rFonts w:hint="eastAsia"/>
          <w:lang w:val="en-US" w:eastAsia="zh-CN"/>
        </w:rPr>
        <w:t>2</w:t>
      </w:r>
      <w:r>
        <w:t>）定期排查影响全县社会稳定的各类矛盾纠纷和不稳定因素，督促相关部门及时化解。分析信访形势，提出相应的工作措施和对策，为县委、</w:t>
      </w:r>
      <w:r>
        <w:rPr>
          <w:rFonts w:hint="eastAsia"/>
          <w:lang w:eastAsia="zh-CN"/>
        </w:rPr>
        <w:t>县</w:t>
      </w:r>
      <w:r>
        <w:t>政府决策提供依据。</w:t>
      </w:r>
    </w:p>
    <w:p>
      <w:pPr>
        <w:pStyle w:val="24"/>
      </w:pPr>
      <w:r>
        <w:t>（</w:t>
      </w:r>
      <w:r>
        <w:rPr>
          <w:rFonts w:hint="eastAsia"/>
          <w:lang w:val="en-US" w:eastAsia="zh-CN"/>
        </w:rPr>
        <w:t>3</w:t>
      </w:r>
      <w:r>
        <w:t>）创新工作思路，强化信访工作责任制的考核，确保信访工作措施全面落实。</w:t>
      </w:r>
    </w:p>
    <w:p>
      <w:pPr>
        <w:pStyle w:val="24"/>
      </w:pPr>
      <w:r>
        <w:t>（</w:t>
      </w:r>
      <w:r>
        <w:rPr>
          <w:rFonts w:hint="eastAsia"/>
          <w:lang w:val="en-US" w:eastAsia="zh-CN"/>
        </w:rPr>
        <w:t>4</w:t>
      </w:r>
      <w:r>
        <w:t>）加强信访队伍建设，健全工作机制，严格执行《信访条例》及国际法律、法规，落实党风廉政建设责任制，严格遵守党纪、政纪和执法办案的工作禁令，督促依法解决问题、一心为民、文明办案各项措施的落实。</w:t>
      </w:r>
    </w:p>
    <w:p>
      <w:pPr>
        <w:pStyle w:val="24"/>
      </w:pPr>
      <w:r>
        <w:t>（</w:t>
      </w:r>
      <w:r>
        <w:rPr>
          <w:rFonts w:hint="eastAsia"/>
          <w:lang w:val="en-US" w:eastAsia="zh-CN"/>
        </w:rPr>
        <w:t>5</w:t>
      </w:r>
      <w:r>
        <w:t>）热情街道来访群众，督促及时办理信访案件。</w:t>
      </w:r>
    </w:p>
    <w:p>
      <w:pPr>
        <w:pStyle w:val="24"/>
      </w:pPr>
      <w:r>
        <w:t>（</w:t>
      </w:r>
      <w:r>
        <w:rPr>
          <w:rFonts w:hint="eastAsia"/>
          <w:lang w:val="en-US" w:eastAsia="zh-CN"/>
        </w:rPr>
        <w:t>6</w:t>
      </w:r>
      <w:r>
        <w:t>）继续落实驻京值班制度，加强进京访治理工作，坚决使进京访数量降下来。</w:t>
      </w:r>
    </w:p>
    <w:p>
      <w:pPr>
        <w:pStyle w:val="24"/>
        <w:sectPr>
          <w:footerReference r:id="rId5" w:type="default"/>
          <w:footerReference r:id="rId6" w:type="even"/>
          <w:pgSz w:w="16840" w:h="11900" w:orient="landscape"/>
          <w:pgMar w:top="1361" w:right="1020" w:bottom="1361" w:left="1020" w:header="720" w:footer="720" w:gutter="0"/>
          <w:cols w:space="720" w:num="1"/>
        </w:sectPr>
      </w:pPr>
      <w:r>
        <w:t>（</w:t>
      </w:r>
      <w:r>
        <w:rPr>
          <w:rFonts w:hint="eastAsia"/>
          <w:lang w:val="en-US" w:eastAsia="zh-CN"/>
        </w:rPr>
        <w:t>7</w:t>
      </w:r>
      <w:r>
        <w:t>）全力做好重大敏感节点的信访稳定工作，在各级“两会”及其他重要会议活动期间，按照上级要求和县委、县政府的工作部署，全力以赴做好信访稳定工作。</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bookmarkStart w:id="15" w:name="_Toc_3_3_0000000016"/>
    </w:p>
    <w:p>
      <w:pPr>
        <w:spacing w:before="10" w:after="10" w:line="360" w:lineRule="auto"/>
        <w:ind w:firstLine="640"/>
        <w:jc w:val="left"/>
        <w:outlineLvl w:val="2"/>
        <w:rPr>
          <w:rFonts w:hint="eastAsia" w:ascii="黑体" w:hAnsi="黑体" w:eastAsia="黑体" w:cs="黑体"/>
          <w:color w:val="000000"/>
          <w:sz w:val="32"/>
          <w:lang w:eastAsia="zh-CN"/>
        </w:r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13012526P00004310350C</w:t>
            </w:r>
          </w:p>
        </w:tc>
        <w:tc>
          <w:tcPr>
            <w:tcW w:w="2835" w:type="dxa"/>
            <w:vAlign w:val="center"/>
          </w:tcPr>
          <w:p>
            <w:pPr>
              <w:pStyle w:val="11"/>
            </w:pPr>
            <w:r>
              <w:t>项目名称</w:t>
            </w:r>
          </w:p>
        </w:tc>
        <w:tc>
          <w:tcPr>
            <w:tcW w:w="6095" w:type="dxa"/>
            <w:gridSpan w:val="3"/>
            <w:vAlign w:val="center"/>
          </w:tcPr>
          <w:p>
            <w:pPr>
              <w:pStyle w:val="13"/>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23.51</w:t>
            </w:r>
          </w:p>
        </w:tc>
        <w:tc>
          <w:tcPr>
            <w:tcW w:w="2835" w:type="dxa"/>
            <w:vAlign w:val="center"/>
          </w:tcPr>
          <w:p>
            <w:pPr>
              <w:pStyle w:val="11"/>
            </w:pPr>
            <w:r>
              <w:t>其中：财政    资金</w:t>
            </w:r>
          </w:p>
        </w:tc>
        <w:tc>
          <w:tcPr>
            <w:tcW w:w="2551" w:type="dxa"/>
            <w:vAlign w:val="center"/>
          </w:tcPr>
          <w:p>
            <w:pPr>
              <w:pStyle w:val="13"/>
            </w:pPr>
            <w:r>
              <w:t>23.51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用于6名劳务人员工资、保险、管理费等支出，充实工作力量。</w:t>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5.89</w:t>
            </w:r>
          </w:p>
        </w:tc>
        <w:tc>
          <w:tcPr>
            <w:tcW w:w="2835" w:type="dxa"/>
            <w:vAlign w:val="center"/>
          </w:tcPr>
          <w:p>
            <w:pPr>
              <w:pStyle w:val="14"/>
            </w:pPr>
            <w:r>
              <w:t>11.56</w:t>
            </w:r>
          </w:p>
        </w:tc>
        <w:tc>
          <w:tcPr>
            <w:tcW w:w="2551" w:type="dxa"/>
            <w:vAlign w:val="center"/>
          </w:tcPr>
          <w:p>
            <w:pPr>
              <w:pStyle w:val="14"/>
            </w:pPr>
            <w:r>
              <w:t>17.64</w:t>
            </w:r>
          </w:p>
        </w:tc>
        <w:tc>
          <w:tcPr>
            <w:tcW w:w="3544" w:type="dxa"/>
            <w:gridSpan w:val="2"/>
            <w:vAlign w:val="center"/>
          </w:tcPr>
          <w:p>
            <w:pPr>
              <w:pStyle w:val="14"/>
            </w:pPr>
            <w:r>
              <w:t>23.51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1.用于6名劳务人员工资、保险、管理费等支出，充实工作力量。</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劳务派遣人员数量</w:t>
            </w:r>
          </w:p>
        </w:tc>
        <w:tc>
          <w:tcPr>
            <w:tcW w:w="5386" w:type="dxa"/>
            <w:vAlign w:val="center"/>
          </w:tcPr>
          <w:p>
            <w:pPr>
              <w:pStyle w:val="13"/>
            </w:pPr>
            <w:r>
              <w:t>劳务派遣人员数量</w:t>
            </w:r>
          </w:p>
        </w:tc>
        <w:tc>
          <w:tcPr>
            <w:tcW w:w="2268" w:type="dxa"/>
            <w:vAlign w:val="center"/>
          </w:tcPr>
          <w:p>
            <w:pPr>
              <w:pStyle w:val="13"/>
            </w:pPr>
            <w:r>
              <w:t>6人</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补助发放到位率</w:t>
            </w:r>
          </w:p>
        </w:tc>
        <w:tc>
          <w:tcPr>
            <w:tcW w:w="5386" w:type="dxa"/>
            <w:vAlign w:val="center"/>
          </w:tcPr>
          <w:p>
            <w:pPr>
              <w:pStyle w:val="13"/>
            </w:pPr>
            <w:r>
              <w:t>补助发放到位率</w:t>
            </w:r>
          </w:p>
        </w:tc>
        <w:tc>
          <w:tcPr>
            <w:tcW w:w="2268" w:type="dxa"/>
            <w:vAlign w:val="center"/>
          </w:tcPr>
          <w:p>
            <w:pPr>
              <w:pStyle w:val="13"/>
            </w:pPr>
            <w:r>
              <w:t>≥95%</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按规定时间及时发放</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人均发放标准</w:t>
            </w:r>
          </w:p>
        </w:tc>
        <w:tc>
          <w:tcPr>
            <w:tcW w:w="5386" w:type="dxa"/>
            <w:vAlign w:val="center"/>
          </w:tcPr>
          <w:p>
            <w:pPr>
              <w:pStyle w:val="13"/>
            </w:pPr>
            <w:r>
              <w:t>年人均发放标准</w:t>
            </w:r>
          </w:p>
        </w:tc>
        <w:tc>
          <w:tcPr>
            <w:tcW w:w="2268" w:type="dxa"/>
            <w:vAlign w:val="center"/>
          </w:tcPr>
          <w:p>
            <w:pPr>
              <w:pStyle w:val="13"/>
            </w:pPr>
            <w:r>
              <w:t>≤23.51万元</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领取补助人员生活水平同比提高</w:t>
            </w:r>
          </w:p>
        </w:tc>
        <w:tc>
          <w:tcPr>
            <w:tcW w:w="5386" w:type="dxa"/>
            <w:vAlign w:val="center"/>
          </w:tcPr>
          <w:p>
            <w:pPr>
              <w:pStyle w:val="13"/>
            </w:pPr>
            <w:r>
              <w:t>领取补助人员生活水平同比提高</w:t>
            </w:r>
          </w:p>
        </w:tc>
        <w:tc>
          <w:tcPr>
            <w:tcW w:w="2268" w:type="dxa"/>
            <w:vAlign w:val="center"/>
          </w:tcPr>
          <w:p>
            <w:pPr>
              <w:pStyle w:val="13"/>
            </w:pPr>
            <w:r>
              <w:t>有效改善</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劳务派遣人员满意度</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542行唐县信访局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行唐县信访局（含所属单位）上年末固定资产金额为75.66万元（详见下表）。本年度拟购置固定资产总额为0.00万元，已按要求列入政府采购预算，详见政府采购预算表。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542行唐县信访局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1800</w:t>
            </w:r>
          </w:p>
        </w:tc>
        <w:tc>
          <w:tcPr>
            <w:tcW w:w="2835" w:type="dxa"/>
            <w:vAlign w:val="center"/>
          </w:tcPr>
          <w:p>
            <w:pPr>
              <w:pStyle w:val="12"/>
            </w:pPr>
            <w:r>
              <w:t>71.66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100</w:t>
            </w:r>
          </w:p>
        </w:tc>
        <w:tc>
          <w:tcPr>
            <w:tcW w:w="2835" w:type="dxa"/>
            <w:vAlign w:val="center"/>
          </w:tcPr>
          <w:p>
            <w:pPr>
              <w:pStyle w:val="12"/>
            </w:pPr>
            <w:r>
              <w:t>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 w:name="方正仿宋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文本框 1" o:spid="_x0000_s2052" o:spt="202" type="#_x0000_t202" style="position:absolute;left:0pt;margin-top:0pt;height:144pt;width:144pt;mso-position-horizontal:left;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6pebnPAAAABQEAAA8A&#10;AAAAAAAAAQAgAAAAIgAAAGRycy9kb3ducmV2LnhtbFBLAQIUABQAAAAIAIdO4kCziH4F5wEAAMcD&#10;AAAOAAAAAAAAAAEAIAAAAB4BAABkcnMvZTJvRG9jLnhtbFBLBQYAAAAABgAGAFkBAAB3BQAAAAA=&#1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1</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文本框 2" o:spid="_x0000_s2051" o:spt="202" type="#_x0000_t202" style="position:absolute;left:0pt;margin-top:0pt;height:144pt;width:144pt;mso-position-horizontal:left;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6pebnPAAAABQEAAA8A&#10;AAAAAAAAAQAgAAAAIgAAAGRycy9kb3ducmV2LnhtbFBLAQIUABQAAAAIAIdO4kCtTvnA5wEAAMcD&#10;AAAOAAAAAAAAAAEAIAAAAB4BAABkcnMvZTJvRG9jLnhtbFBLBQYAAAAABgAGAFkBAAB3BQAAAAA=&#10;">
          <v:path/>
          <v:fill on="f" focussize="0,0"/>
          <v:stroke on="f"/>
          <v:imagedata o:title=""/>
          <o:lock v:ext="edit" aspectratio="f"/>
          <v:textbox inset="0mm,0mm,0mm,0mm" style="mso-fit-shape-to-text:t;">
            <w:txbxContent>
              <w:p>
                <w:r>
                  <w:fldChar w:fldCharType="begin"/>
                </w:r>
                <w:r>
                  <w:instrText xml:space="preserve">PAGE "page number"</w:instrText>
                </w:r>
                <w:r>
                  <w:fldChar w:fldCharType="separate"/>
                </w:r>
                <w:r>
                  <w:t>2</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7117C39"/>
    <w:multiLevelType w:val="singleLevel"/>
    <w:tmpl w:val="57117C39"/>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4"/>
  <w:bordersDoNotSurroundHeader w:val="0"/>
  <w:bordersDoNotSurroundFooter w:val="0"/>
  <w:doNotTrackMoves/>
  <w:documentProtection w:enforcement="0"/>
  <w:defaultTabStop w:val="720"/>
  <w:evenAndOddHeaders w:val="1"/>
  <w:characterSpacingControl w:val="doNotCompress"/>
  <w:hdrShapeDefaults>
    <o:shapelayout v:ext="edit">
      <o:idmap v:ext="edit" data="2"/>
    </o:shapelayout>
  </w:hdrShapeDefaults>
  <w:compat>
    <w:doNotLeaveBackslashAlone/>
    <w:doNotExpandShiftReturn/>
    <w:adjustLineHeightInTable/>
    <w:useFELayout/>
    <w:compatSetting w:name="compatibilityMode" w:uri="http://schemas.microsoft.com/office/word" w:val="12"/>
  </w:compat>
  <w:rsids>
    <w:rsidRoot w:val="00000000"/>
    <w:rsid w:val="2603740E"/>
    <w:rsid w:val="56DE7E0A"/>
    <w:rsid w:val="6683217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7">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2052" textRotate="1"/>
    <customShpInfo spid="_x0000_s2051"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TotalTime>1</TotalTime>
  <ScaleCrop>false</ScaleCrop>
  <LinksUpToDate>false</LinksUpToDate>
  <Application>WPS Office_11.8.2.11019_F1E327BC-269C-435d-A152-05C5408002CA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2026-02-24T14:44:00Z</dcterms:created>
  <dc:creator>Administrator</dc:creator>
  <cp:lastModifiedBy>Administrator</cp:lastModifiedBy>
  <dcterms:modified xsi:type="dcterms:W3CDTF">2026-02-24T07:40:33Z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2052-11.8.2.11019</vt:lpwstr>
  </property>
  <property fmtid="{D5CDD505-2E9C-101B-9397-08002B2CF9AE}" pid="3" name="ICV">
    <vt:lpwstr>F9BE09DD23BE4451927BA7004565719D</vt:lpwstr>
  </property>
</Properties>
</file>