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r>
        <w:fldChar w:fldCharType="begin"/>
      </w:r>
      <w:r>
        <w:instrText xml:space="preserve">TOC \o "4-4" \h \z \u</w:instrText>
      </w:r>
      <w:r>
        <w:fldChar w:fldCharType="separate"/>
      </w:r>
    </w:p>
    <w:p>
      <w:pPr>
        <w:jc w:val="center"/>
      </w:pPr>
      <w:r>
        <w:rPr>
          <w:rFonts w:ascii="黑体" w:hAnsi="黑体" w:eastAsia="黑体" w:cs="黑体"/>
          <w:b/>
          <w:color w:val="000000"/>
          <w:sz w:val="30"/>
        </w:rPr>
        <w:t xml:space="preserve"> </w:t>
      </w:r>
    </w:p>
    <w:p>
      <w:pPr>
        <w:keepNext w:val="0"/>
        <w:keepLines w:val="0"/>
        <w:pageBreakBefore w:val="0"/>
        <w:widowControl/>
        <w:kinsoku/>
        <w:wordWrap/>
        <w:overflowPunct/>
        <w:topLinePunct w:val="0"/>
        <w:autoSpaceDE/>
        <w:autoSpaceDN/>
        <w:bidi w:val="0"/>
        <w:adjustRightInd/>
        <w:snapToGrid/>
        <w:spacing w:before="120"/>
        <w:textAlignment w:val="auto"/>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4"/>
        <w:keepNext w:val="0"/>
        <w:keepLines w:val="0"/>
        <w:pageBreakBefore w:val="0"/>
        <w:widowControl/>
        <w:tabs>
          <w:tab w:val="right" w:leader="dot" w:pos="14562"/>
        </w:tabs>
        <w:kinsoku/>
        <w:wordWrap/>
        <w:overflowPunct/>
        <w:topLinePunct w:val="0"/>
        <w:autoSpaceDE/>
        <w:autoSpaceDN/>
        <w:bidi w:val="0"/>
        <w:adjustRightInd/>
        <w:snapToGrid/>
        <w:spacing w:before="120" w:line="240" w:lineRule="auto"/>
        <w:ind w:firstLine="561"/>
        <w:textAlignment w:val="auto"/>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pPr>
        <w:pStyle w:val="24"/>
        <w:keepNext w:val="0"/>
        <w:keepLines w:val="0"/>
        <w:pageBreakBefore w:val="0"/>
        <w:widowControl/>
        <w:tabs>
          <w:tab w:val="right" w:leader="dot" w:pos="14562"/>
        </w:tabs>
        <w:kinsoku/>
        <w:wordWrap/>
        <w:overflowPunct/>
        <w:topLinePunct w:val="0"/>
        <w:autoSpaceDE/>
        <w:autoSpaceDN/>
        <w:bidi w:val="0"/>
        <w:adjustRightInd/>
        <w:snapToGrid/>
        <w:spacing w:before="120" w:line="240" w:lineRule="auto"/>
        <w:ind w:firstLine="561"/>
        <w:textAlignment w:val="auto"/>
      </w:pPr>
      <w:r>
        <w:fldChar w:fldCharType="begin"/>
      </w:r>
      <w:r>
        <w:instrText xml:space="preserve"> HYPERLINK \l "_Toc_2_2_0000000002" </w:instrText>
      </w:r>
      <w:r>
        <w:fldChar w:fldCharType="separate"/>
      </w:r>
      <w:r>
        <w:rPr>
          <w:rFonts w:hint="eastAsia"/>
          <w:lang w:eastAsia="zh-CN"/>
        </w:rPr>
        <w:t>单位预算收入总表</w:t>
      </w:r>
      <w:r>
        <w:tab/>
      </w:r>
      <w:r>
        <w:rPr>
          <w:rFonts w:hint="eastAsia"/>
          <w:lang w:val="en-US" w:eastAsia="zh-CN"/>
        </w:rPr>
        <w:t>3</w:t>
      </w:r>
      <w:r>
        <w:fldChar w:fldCharType="end"/>
      </w:r>
    </w:p>
    <w:p>
      <w:pPr>
        <w:pStyle w:val="24"/>
        <w:keepNext w:val="0"/>
        <w:keepLines w:val="0"/>
        <w:pageBreakBefore w:val="0"/>
        <w:widowControl/>
        <w:tabs>
          <w:tab w:val="right" w:leader="dot" w:pos="14562"/>
        </w:tabs>
        <w:kinsoku/>
        <w:wordWrap/>
        <w:overflowPunct/>
        <w:topLinePunct w:val="0"/>
        <w:autoSpaceDE/>
        <w:autoSpaceDN/>
        <w:bidi w:val="0"/>
        <w:adjustRightInd/>
        <w:snapToGrid/>
        <w:spacing w:before="120" w:line="240" w:lineRule="auto"/>
        <w:ind w:firstLine="561"/>
        <w:textAlignment w:val="auto"/>
        <w:rPr>
          <w:rFonts w:hint="default"/>
          <w:lang w:val="en-US" w:eastAsia="zh-CN"/>
        </w:rPr>
      </w:pPr>
      <w:r>
        <w:fldChar w:fldCharType="begin"/>
      </w:r>
      <w:r>
        <w:instrText xml:space="preserve"> HYPERLINK \l "_Toc_2_2_0000000003" </w:instrText>
      </w:r>
      <w:r>
        <w:fldChar w:fldCharType="separate"/>
      </w:r>
      <w:r>
        <w:rPr>
          <w:rFonts w:hint="eastAsia"/>
          <w:lang w:eastAsia="zh-CN"/>
        </w:rPr>
        <w:t>单位预算支出总表</w:t>
      </w:r>
      <w:r>
        <w:tab/>
      </w:r>
      <w:r>
        <w:rPr>
          <w:rFonts w:hint="eastAsia"/>
          <w:lang w:val="en-US" w:eastAsia="zh-CN"/>
        </w:rPr>
        <w:t>5</w:t>
      </w:r>
      <w:r>
        <w:rPr>
          <w:rFonts w:hint="eastAsia"/>
          <w:lang w:eastAsia="zh-CN"/>
        </w:rPr>
        <w:fldChar w:fldCharType="end"/>
      </w:r>
    </w:p>
    <w:p>
      <w:pPr>
        <w:pStyle w:val="24"/>
        <w:keepNext w:val="0"/>
        <w:keepLines w:val="0"/>
        <w:pageBreakBefore w:val="0"/>
        <w:widowControl/>
        <w:tabs>
          <w:tab w:val="right" w:leader="dot" w:pos="14562"/>
        </w:tabs>
        <w:kinsoku/>
        <w:wordWrap/>
        <w:overflowPunct/>
        <w:topLinePunct w:val="0"/>
        <w:autoSpaceDE/>
        <w:autoSpaceDN/>
        <w:bidi w:val="0"/>
        <w:adjustRightInd/>
        <w:snapToGrid/>
        <w:spacing w:before="120" w:line="240" w:lineRule="auto"/>
        <w:ind w:firstLine="561"/>
        <w:textAlignment w:val="auto"/>
        <w:rPr>
          <w:rFonts w:hint="eastAsia"/>
          <w:lang w:eastAsia="zh-CN"/>
        </w:rPr>
      </w:pPr>
      <w:r>
        <w:fldChar w:fldCharType="begin"/>
      </w:r>
      <w:r>
        <w:instrText xml:space="preserve"> HYPERLINK \l "_Toc_2_2_0000000004" </w:instrText>
      </w:r>
      <w:r>
        <w:fldChar w:fldCharType="separate"/>
      </w:r>
      <w:r>
        <w:rPr>
          <w:rFonts w:hint="eastAsia"/>
          <w:lang w:eastAsia="zh-CN"/>
        </w:rPr>
        <w:t>单位预算财政拨款收支总表</w:t>
      </w:r>
      <w:r>
        <w:tab/>
      </w:r>
      <w:r>
        <w:rPr>
          <w:rFonts w:hint="eastAsia"/>
          <w:lang w:val="en-US" w:eastAsia="zh-CN"/>
        </w:rPr>
        <w:t>7</w:t>
      </w:r>
      <w:r>
        <w:rPr>
          <w:rFonts w:hint="eastAsia"/>
          <w:lang w:eastAsia="zh-CN"/>
        </w:rPr>
        <w:fldChar w:fldCharType="end"/>
      </w:r>
    </w:p>
    <w:p>
      <w:pPr>
        <w:pStyle w:val="24"/>
        <w:keepNext w:val="0"/>
        <w:keepLines w:val="0"/>
        <w:pageBreakBefore w:val="0"/>
        <w:widowControl/>
        <w:tabs>
          <w:tab w:val="right" w:leader="dot" w:pos="14562"/>
        </w:tabs>
        <w:kinsoku/>
        <w:wordWrap/>
        <w:overflowPunct/>
        <w:topLinePunct w:val="0"/>
        <w:autoSpaceDE/>
        <w:autoSpaceDN/>
        <w:bidi w:val="0"/>
        <w:adjustRightInd/>
        <w:snapToGrid/>
        <w:spacing w:before="120" w:line="240" w:lineRule="auto"/>
        <w:ind w:firstLine="561"/>
        <w:textAlignment w:val="auto"/>
        <w:rPr>
          <w:rFonts w:hint="eastAsia"/>
          <w:lang w:val="en-US" w:eastAsia="zh-CN"/>
        </w:rPr>
      </w:pPr>
      <w:r>
        <w:rPr>
          <w:rFonts w:hint="eastAsia"/>
          <w:lang w:eastAsia="zh-CN"/>
        </w:rPr>
        <w:t>单位</w:t>
      </w:r>
      <w:r>
        <w:rPr>
          <w:rFonts w:hint="default"/>
          <w:lang w:val="en-US" w:eastAsia="zh-CN"/>
        </w:rPr>
        <w:t>预算一般公共预算财政拨款支出表</w:t>
      </w:r>
      <w:r>
        <w:tab/>
      </w:r>
      <w:r>
        <w:rPr>
          <w:rFonts w:hint="eastAsia"/>
          <w:lang w:val="en-US" w:eastAsia="zh-CN"/>
        </w:rPr>
        <w:t>10</w:t>
      </w:r>
    </w:p>
    <w:p>
      <w:pPr>
        <w:pStyle w:val="24"/>
        <w:keepNext w:val="0"/>
        <w:keepLines w:val="0"/>
        <w:pageBreakBefore w:val="0"/>
        <w:widowControl/>
        <w:tabs>
          <w:tab w:val="right" w:leader="dot" w:pos="14562"/>
        </w:tabs>
        <w:kinsoku/>
        <w:wordWrap/>
        <w:overflowPunct/>
        <w:topLinePunct w:val="0"/>
        <w:autoSpaceDE/>
        <w:autoSpaceDN/>
        <w:bidi w:val="0"/>
        <w:adjustRightInd/>
        <w:snapToGrid/>
        <w:spacing w:before="120" w:line="240" w:lineRule="auto"/>
        <w:ind w:firstLine="561"/>
        <w:textAlignment w:val="auto"/>
        <w:rPr>
          <w:rFonts w:hint="default"/>
          <w:lang w:val="en-US" w:eastAsia="zh-CN"/>
        </w:rPr>
      </w:pPr>
      <w:r>
        <w:rPr>
          <w:rFonts w:hint="default"/>
          <w:lang w:val="en-US" w:eastAsia="zh-CN"/>
        </w:rPr>
        <w:t>单位预算一般公共预算财政拨款基本支出表</w:t>
      </w:r>
      <w:r>
        <w:tab/>
      </w:r>
      <w:r>
        <w:rPr>
          <w:rFonts w:hint="eastAsia"/>
          <w:lang w:val="en-US" w:eastAsia="zh-CN"/>
        </w:rPr>
        <w:t>11</w:t>
      </w:r>
    </w:p>
    <w:p>
      <w:pPr>
        <w:pStyle w:val="24"/>
        <w:keepNext w:val="0"/>
        <w:keepLines w:val="0"/>
        <w:pageBreakBefore w:val="0"/>
        <w:widowControl/>
        <w:tabs>
          <w:tab w:val="right" w:leader="dot" w:pos="14562"/>
        </w:tabs>
        <w:kinsoku/>
        <w:wordWrap/>
        <w:overflowPunct/>
        <w:topLinePunct w:val="0"/>
        <w:autoSpaceDE/>
        <w:autoSpaceDN/>
        <w:bidi w:val="0"/>
        <w:adjustRightInd/>
        <w:snapToGrid/>
        <w:spacing w:before="120" w:line="240" w:lineRule="auto"/>
        <w:ind w:firstLine="561"/>
        <w:textAlignment w:val="auto"/>
        <w:rPr>
          <w:rFonts w:hint="default"/>
          <w:lang w:val="en-US" w:eastAsia="zh-CN"/>
        </w:rPr>
      </w:pPr>
      <w:r>
        <w:rPr>
          <w:rFonts w:hint="default"/>
          <w:lang w:val="en-US" w:eastAsia="zh-CN"/>
        </w:rPr>
        <w:t>单位预算政府性基金预算财政拨款支出表</w:t>
      </w:r>
      <w:r>
        <w:tab/>
      </w:r>
      <w:r>
        <w:rPr>
          <w:rFonts w:hint="eastAsia"/>
          <w:lang w:val="en-US" w:eastAsia="zh-CN"/>
        </w:rPr>
        <w:t>13</w:t>
      </w:r>
    </w:p>
    <w:p>
      <w:pPr>
        <w:pStyle w:val="24"/>
        <w:keepNext w:val="0"/>
        <w:keepLines w:val="0"/>
        <w:pageBreakBefore w:val="0"/>
        <w:widowControl/>
        <w:tabs>
          <w:tab w:val="right" w:leader="dot" w:pos="14562"/>
        </w:tabs>
        <w:kinsoku/>
        <w:wordWrap/>
        <w:overflowPunct/>
        <w:topLinePunct w:val="0"/>
        <w:autoSpaceDE/>
        <w:autoSpaceDN/>
        <w:bidi w:val="0"/>
        <w:adjustRightInd/>
        <w:snapToGrid/>
        <w:spacing w:before="120" w:line="240" w:lineRule="auto"/>
        <w:ind w:firstLine="561"/>
        <w:textAlignment w:val="auto"/>
        <w:rPr>
          <w:rFonts w:hint="default"/>
          <w:lang w:val="en-US" w:eastAsia="zh-CN"/>
        </w:rPr>
      </w:pPr>
      <w:r>
        <w:rPr>
          <w:rFonts w:hint="default"/>
          <w:lang w:val="en-US" w:eastAsia="zh-CN"/>
        </w:rPr>
        <w:t>单位预算国有资本经营预算财政拨款支出表</w:t>
      </w:r>
      <w:r>
        <w:tab/>
      </w:r>
      <w:r>
        <w:rPr>
          <w:rFonts w:hint="eastAsia"/>
          <w:lang w:val="en-US" w:eastAsia="zh-CN"/>
        </w:rPr>
        <w:t>14</w:t>
      </w:r>
    </w:p>
    <w:p>
      <w:pPr>
        <w:pStyle w:val="24"/>
        <w:keepNext w:val="0"/>
        <w:keepLines w:val="0"/>
        <w:pageBreakBefore w:val="0"/>
        <w:widowControl/>
        <w:tabs>
          <w:tab w:val="right" w:leader="dot" w:pos="14562"/>
        </w:tabs>
        <w:kinsoku/>
        <w:wordWrap/>
        <w:overflowPunct/>
        <w:topLinePunct w:val="0"/>
        <w:autoSpaceDE/>
        <w:autoSpaceDN/>
        <w:bidi w:val="0"/>
        <w:adjustRightInd/>
        <w:snapToGrid/>
        <w:spacing w:before="120" w:line="240" w:lineRule="auto"/>
        <w:ind w:firstLine="561"/>
        <w:textAlignment w:val="auto"/>
        <w:rPr>
          <w:rFonts w:hint="default"/>
          <w:lang w:val="en-US" w:eastAsia="zh-CN"/>
        </w:rPr>
      </w:pPr>
      <w:r>
        <w:rPr>
          <w:rFonts w:hint="default"/>
          <w:lang w:val="en-US" w:eastAsia="zh-CN"/>
        </w:rPr>
        <w:t>单位预算财政拨款“三公”经费支出表</w:t>
      </w:r>
      <w:r>
        <w:tab/>
      </w:r>
      <w:r>
        <w:rPr>
          <w:rFonts w:hint="eastAsia"/>
          <w:lang w:val="en-US" w:eastAsia="zh-CN"/>
        </w:rPr>
        <w:t>15</w:t>
      </w:r>
    </w:p>
    <w:p>
      <w:pPr>
        <w:keepNext w:val="0"/>
        <w:keepLines w:val="0"/>
        <w:pageBreakBefore w:val="0"/>
        <w:widowControl/>
        <w:kinsoku/>
        <w:wordWrap/>
        <w:overflowPunct/>
        <w:topLinePunct w:val="0"/>
        <w:autoSpaceDE/>
        <w:autoSpaceDN/>
        <w:bidi w:val="0"/>
        <w:adjustRightInd/>
        <w:snapToGrid/>
        <w:spacing w:before="120" w:line="240" w:lineRule="auto"/>
        <w:textAlignment w:val="auto"/>
      </w:pPr>
      <w:r>
        <w:fldChar w:fldCharType="end"/>
      </w:r>
    </w:p>
    <w:p>
      <w:pPr>
        <w:keepNext w:val="0"/>
        <w:keepLines w:val="0"/>
        <w:pageBreakBefore w:val="0"/>
        <w:widowControl/>
        <w:kinsoku/>
        <w:wordWrap/>
        <w:overflowPunct/>
        <w:topLinePunct w:val="0"/>
        <w:autoSpaceDE/>
        <w:autoSpaceDN/>
        <w:bidi w:val="0"/>
        <w:adjustRightInd/>
        <w:snapToGrid/>
        <w:spacing w:before="120"/>
        <w:textAlignment w:val="auto"/>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4"/>
        <w:keepNext w:val="0"/>
        <w:keepLines w:val="0"/>
        <w:pageBreakBefore w:val="0"/>
        <w:widowControl/>
        <w:tabs>
          <w:tab w:val="right" w:leader="dot" w:pos="14562"/>
        </w:tabs>
        <w:kinsoku/>
        <w:wordWrap/>
        <w:overflowPunct/>
        <w:topLinePunct w:val="0"/>
        <w:autoSpaceDE/>
        <w:autoSpaceDN/>
        <w:bidi w:val="0"/>
        <w:adjustRightInd/>
        <w:snapToGrid/>
        <w:spacing w:before="120"/>
        <w:textAlignment w:val="auto"/>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4"/>
        <w:keepNext w:val="0"/>
        <w:keepLines w:val="0"/>
        <w:pageBreakBefore w:val="0"/>
        <w:widowControl/>
        <w:tabs>
          <w:tab w:val="right" w:leader="dot" w:pos="14562"/>
        </w:tabs>
        <w:kinsoku/>
        <w:wordWrap/>
        <w:overflowPunct/>
        <w:topLinePunct w:val="0"/>
        <w:autoSpaceDE/>
        <w:autoSpaceDN/>
        <w:bidi w:val="0"/>
        <w:adjustRightInd/>
        <w:snapToGrid/>
        <w:spacing w:before="120"/>
        <w:textAlignment w:val="auto"/>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4"/>
        <w:keepNext w:val="0"/>
        <w:keepLines w:val="0"/>
        <w:pageBreakBefore w:val="0"/>
        <w:widowControl/>
        <w:tabs>
          <w:tab w:val="right" w:leader="dot" w:pos="14562"/>
        </w:tabs>
        <w:kinsoku/>
        <w:wordWrap/>
        <w:overflowPunct/>
        <w:topLinePunct w:val="0"/>
        <w:autoSpaceDE/>
        <w:autoSpaceDN/>
        <w:bidi w:val="0"/>
        <w:adjustRightInd/>
        <w:snapToGrid/>
        <w:spacing w:before="120"/>
        <w:textAlignment w:val="auto"/>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4"/>
        <w:keepNext w:val="0"/>
        <w:keepLines w:val="0"/>
        <w:pageBreakBefore w:val="0"/>
        <w:widowControl/>
        <w:tabs>
          <w:tab w:val="right" w:leader="dot" w:pos="14562"/>
        </w:tabs>
        <w:kinsoku/>
        <w:wordWrap/>
        <w:overflowPunct/>
        <w:topLinePunct w:val="0"/>
        <w:autoSpaceDE/>
        <w:autoSpaceDN/>
        <w:bidi w:val="0"/>
        <w:adjustRightInd/>
        <w:snapToGrid/>
        <w:spacing w:before="120"/>
        <w:textAlignment w:val="auto"/>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4"/>
        <w:keepNext w:val="0"/>
        <w:keepLines w:val="0"/>
        <w:pageBreakBefore w:val="0"/>
        <w:widowControl/>
        <w:tabs>
          <w:tab w:val="right" w:leader="dot" w:pos="14562"/>
        </w:tabs>
        <w:kinsoku/>
        <w:wordWrap/>
        <w:overflowPunct/>
        <w:topLinePunct w:val="0"/>
        <w:autoSpaceDE/>
        <w:autoSpaceDN/>
        <w:bidi w:val="0"/>
        <w:adjustRightInd/>
        <w:snapToGrid/>
        <w:spacing w:before="120"/>
        <w:textAlignment w:val="auto"/>
      </w:pPr>
      <w:r>
        <w:fldChar w:fldCharType="begin"/>
      </w:r>
      <w:r>
        <w:instrText xml:space="preserve">HYPERLINK \l _Toc_3_3_0000000014</w:instrText>
      </w:r>
      <w:r>
        <w:fldChar w:fldCharType="separate"/>
      </w:r>
      <w:r>
        <w:t>五、单位项目预算安排情况及绩效目标</w:t>
      </w:r>
      <w:r>
        <w:tab/>
      </w:r>
      <w:r>
        <w:fldChar w:fldCharType="begin"/>
      </w:r>
      <w:r>
        <w:instrText xml:space="preserve">PAGEREF _Toc_3_3_0000000014 \h</w:instrText>
      </w:r>
      <w:r>
        <w:fldChar w:fldCharType="separate"/>
      </w:r>
      <w:r>
        <w:t>1</w:t>
      </w:r>
      <w:r>
        <w:rPr>
          <w:rFonts w:hint="eastAsia"/>
          <w:lang w:val="en-US" w:eastAsia="zh-CN"/>
        </w:rPr>
        <w:t>9</w:t>
      </w:r>
      <w:r>
        <w:fldChar w:fldCharType="end"/>
      </w:r>
      <w:r>
        <w:fldChar w:fldCharType="end"/>
      </w:r>
    </w:p>
    <w:p>
      <w:pPr>
        <w:pStyle w:val="4"/>
        <w:keepNext w:val="0"/>
        <w:keepLines w:val="0"/>
        <w:pageBreakBefore w:val="0"/>
        <w:widowControl/>
        <w:tabs>
          <w:tab w:val="right" w:leader="dot" w:pos="14562"/>
        </w:tabs>
        <w:kinsoku/>
        <w:wordWrap/>
        <w:overflowPunct/>
        <w:topLinePunct w:val="0"/>
        <w:autoSpaceDE/>
        <w:autoSpaceDN/>
        <w:bidi w:val="0"/>
        <w:adjustRightInd/>
        <w:snapToGrid/>
        <w:spacing w:before="120"/>
        <w:textAlignment w:val="auto"/>
      </w:pPr>
      <w:r>
        <w:fldChar w:fldCharType="begin"/>
      </w:r>
      <w:r>
        <w:instrText xml:space="preserve">HYPERLINK \l _Toc_3_3_0000000015</w:instrText>
      </w:r>
      <w:r>
        <w:fldChar w:fldCharType="separate"/>
      </w:r>
      <w:r>
        <w:t>六、政府采购预算情况</w:t>
      </w:r>
      <w:r>
        <w:tab/>
      </w:r>
      <w:r>
        <w:fldChar w:fldCharType="begin"/>
      </w:r>
      <w:r>
        <w:instrText xml:space="preserve">PAGEREF _Toc_3_3_0000000015 \h</w:instrText>
      </w:r>
      <w:r>
        <w:fldChar w:fldCharType="separate"/>
      </w:r>
      <w:r>
        <w:t>18</w:t>
      </w:r>
      <w:r>
        <w:fldChar w:fldCharType="end"/>
      </w:r>
      <w:r>
        <w:fldChar w:fldCharType="end"/>
      </w:r>
    </w:p>
    <w:p>
      <w:pPr>
        <w:pStyle w:val="4"/>
        <w:keepNext w:val="0"/>
        <w:keepLines w:val="0"/>
        <w:pageBreakBefore w:val="0"/>
        <w:widowControl/>
        <w:tabs>
          <w:tab w:val="right" w:leader="dot" w:pos="14562"/>
        </w:tabs>
        <w:kinsoku/>
        <w:wordWrap/>
        <w:overflowPunct/>
        <w:topLinePunct w:val="0"/>
        <w:autoSpaceDE/>
        <w:autoSpaceDN/>
        <w:bidi w:val="0"/>
        <w:adjustRightInd/>
        <w:snapToGrid/>
        <w:spacing w:before="120"/>
        <w:textAlignment w:val="auto"/>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4"/>
        <w:keepNext w:val="0"/>
        <w:keepLines w:val="0"/>
        <w:pageBreakBefore w:val="0"/>
        <w:widowControl/>
        <w:tabs>
          <w:tab w:val="right" w:leader="dot" w:pos="14562"/>
        </w:tabs>
        <w:kinsoku/>
        <w:wordWrap/>
        <w:overflowPunct/>
        <w:topLinePunct w:val="0"/>
        <w:autoSpaceDE/>
        <w:autoSpaceDN/>
        <w:bidi w:val="0"/>
        <w:adjustRightInd/>
        <w:snapToGrid/>
        <w:spacing w:before="120"/>
        <w:textAlignment w:val="auto"/>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4"/>
        <w:keepNext w:val="0"/>
        <w:keepLines w:val="0"/>
        <w:pageBreakBefore w:val="0"/>
        <w:widowControl/>
        <w:tabs>
          <w:tab w:val="right" w:leader="dot" w:pos="14562"/>
        </w:tabs>
        <w:kinsoku/>
        <w:wordWrap/>
        <w:overflowPunct/>
        <w:topLinePunct w:val="0"/>
        <w:autoSpaceDE/>
        <w:autoSpaceDN/>
        <w:bidi w:val="0"/>
        <w:adjustRightInd/>
        <w:snapToGrid/>
        <w:spacing w:before="120"/>
        <w:textAlignment w:val="auto"/>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2</w:t>
      </w:r>
      <w:r>
        <w:fldChar w:fldCharType="end"/>
      </w:r>
      <w:r>
        <w:rPr>
          <w:rFonts w:hint="eastAsia"/>
          <w:lang w:val="en-US" w:eastAsia="zh-CN"/>
        </w:rPr>
        <w:t>1</w:t>
      </w:r>
    </w:p>
    <w:p>
      <w:pPr>
        <w:pStyle w:val="4"/>
        <w:keepNext w:val="0"/>
        <w:keepLines w:val="0"/>
        <w:pageBreakBefore w:val="0"/>
        <w:widowControl/>
        <w:tabs>
          <w:tab w:val="right" w:leader="dot" w:pos="14562"/>
        </w:tabs>
        <w:kinsoku/>
        <w:wordWrap/>
        <w:overflowPunct/>
        <w:topLinePunct w:val="0"/>
        <w:autoSpaceDE/>
        <w:autoSpaceDN/>
        <w:bidi w:val="0"/>
        <w:adjustRightInd/>
        <w:snapToGrid/>
        <w:spacing w:before="120"/>
        <w:textAlignment w:val="auto"/>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4"/>
        <w:keepNext w:val="0"/>
        <w:keepLines w:val="0"/>
        <w:pageBreakBefore w:val="0"/>
        <w:widowControl/>
        <w:tabs>
          <w:tab w:val="right" w:leader="dot" w:pos="14562"/>
        </w:tabs>
        <w:kinsoku/>
        <w:wordWrap/>
        <w:overflowPunct/>
        <w:topLinePunct w:val="0"/>
        <w:autoSpaceDE/>
        <w:autoSpaceDN/>
        <w:bidi w:val="0"/>
        <w:adjustRightInd/>
        <w:snapToGrid/>
        <w:spacing w:before="120"/>
        <w:textAlignment w:val="auto"/>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keepNext w:val="0"/>
        <w:keepLines w:val="0"/>
        <w:pageBreakBefore w:val="0"/>
        <w:widowControl/>
        <w:kinsoku/>
        <w:wordWrap/>
        <w:overflowPunct/>
        <w:topLinePunct w:val="0"/>
        <w:autoSpaceDE/>
        <w:autoSpaceDN/>
        <w:bidi w:val="0"/>
        <w:adjustRightInd/>
        <w:snapToGrid/>
        <w:spacing w:before="120"/>
        <w:textAlignment w:val="auto"/>
        <w:sectPr>
          <w:pgSz w:w="16840" w:h="11900" w:orient="landscape"/>
          <w:pgMar w:top="1587" w:right="1134" w:bottom="1361" w:left="1134" w:header="720" w:footer="720" w:gutter="0"/>
          <w:pgNumType w:start="1"/>
          <w:cols w:space="720" w:num="1"/>
        </w:sectPr>
      </w:pPr>
      <w:r>
        <w:fldChar w:fldCharType="end"/>
      </w:r>
    </w:p>
    <w:p>
      <w:r>
        <w:fldChar w:fldCharType="end"/>
      </w:r>
      <w:bookmarkStart w:id="0" w:name="_Toc_4_4_0000000001"/>
      <w:r>
        <w:rPr>
          <w:rFonts w:ascii="方正小标宋_GBK" w:hAnsi="方正小标宋_GBK" w:eastAsia="方正小标宋_GBK" w:cs="方正小标宋_GBK"/>
          <w:b w:val="0"/>
          <w:color w:val="000000"/>
          <w:sz w:val="44"/>
        </w:rPr>
        <w:t>一、行唐县信访局本级收支预算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5"/>
        <w:gridCol w:w="4352"/>
        <w:gridCol w:w="2040"/>
        <w:gridCol w:w="4351"/>
        <w:gridCol w:w="20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8" w:hRule="atLeast"/>
          <w:tblHeader/>
          <w:jc w:val="center"/>
        </w:trPr>
        <w:tc>
          <w:tcPr>
            <w:tcW w:w="5167" w:type="dxa"/>
            <w:gridSpan w:val="2"/>
            <w:tcBorders>
              <w:top w:val="single" w:color="FFFFFF" w:sz="6" w:space="0"/>
              <w:left w:val="single" w:color="FFFFFF" w:sz="6" w:space="0"/>
              <w:right w:val="single" w:color="FFFFFF" w:sz="6" w:space="0"/>
            </w:tcBorders>
            <w:vAlign w:val="center"/>
          </w:tcPr>
          <w:p>
            <w:pPr>
              <w:pStyle w:val="11"/>
            </w:pPr>
            <w:r>
              <w:t>542001行唐县信访局本级</w:t>
            </w:r>
          </w:p>
        </w:tc>
        <w:tc>
          <w:tcPr>
            <w:tcW w:w="2040" w:type="dxa"/>
            <w:tcBorders>
              <w:top w:val="single" w:color="FFFFFF" w:sz="6" w:space="0"/>
              <w:left w:val="single" w:color="FFFFFF" w:sz="6" w:space="0"/>
              <w:right w:val="single" w:color="FFFFFF" w:sz="6" w:space="0"/>
            </w:tcBorders>
            <w:vAlign w:val="center"/>
          </w:tcPr>
          <w:p>
            <w:pPr>
              <w:pStyle w:val="10"/>
            </w:pPr>
            <w:r>
              <w:t>预算年度：2026</w:t>
            </w:r>
          </w:p>
        </w:tc>
        <w:tc>
          <w:tcPr>
            <w:tcW w:w="639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tblHeader/>
          <w:jc w:val="center"/>
        </w:trPr>
        <w:tc>
          <w:tcPr>
            <w:tcW w:w="815" w:type="dxa"/>
            <w:vMerge w:val="restart"/>
            <w:vAlign w:val="center"/>
          </w:tcPr>
          <w:p>
            <w:pPr>
              <w:pStyle w:val="12"/>
            </w:pPr>
            <w:r>
              <w:t>序号</w:t>
            </w:r>
          </w:p>
        </w:tc>
        <w:tc>
          <w:tcPr>
            <w:tcW w:w="6392" w:type="dxa"/>
            <w:gridSpan w:val="2"/>
            <w:vAlign w:val="center"/>
          </w:tcPr>
          <w:p>
            <w:pPr>
              <w:pStyle w:val="12"/>
            </w:pPr>
            <w:r>
              <w:t>收入</w:t>
            </w:r>
          </w:p>
        </w:tc>
        <w:tc>
          <w:tcPr>
            <w:tcW w:w="639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tblHeader/>
          <w:jc w:val="center"/>
        </w:trPr>
        <w:tc>
          <w:tcPr>
            <w:tcW w:w="815" w:type="dxa"/>
            <w:vMerge w:val="continue"/>
          </w:tcPr>
          <w:p/>
        </w:tc>
        <w:tc>
          <w:tcPr>
            <w:tcW w:w="4352" w:type="dxa"/>
            <w:vAlign w:val="center"/>
          </w:tcPr>
          <w:p>
            <w:pPr>
              <w:pStyle w:val="12"/>
            </w:pPr>
            <w:r>
              <w:t>项  目</w:t>
            </w:r>
          </w:p>
        </w:tc>
        <w:tc>
          <w:tcPr>
            <w:tcW w:w="2040" w:type="dxa"/>
            <w:vAlign w:val="center"/>
          </w:tcPr>
          <w:p>
            <w:pPr>
              <w:pStyle w:val="12"/>
            </w:pPr>
            <w:r>
              <w:t>预算数</w:t>
            </w:r>
          </w:p>
        </w:tc>
        <w:tc>
          <w:tcPr>
            <w:tcW w:w="4351" w:type="dxa"/>
            <w:vAlign w:val="center"/>
          </w:tcPr>
          <w:p>
            <w:pPr>
              <w:pStyle w:val="12"/>
            </w:pPr>
            <w:r>
              <w:t>项  目</w:t>
            </w:r>
          </w:p>
        </w:tc>
        <w:tc>
          <w:tcPr>
            <w:tcW w:w="204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tblHeader/>
          <w:jc w:val="center"/>
        </w:trPr>
        <w:tc>
          <w:tcPr>
            <w:tcW w:w="815" w:type="dxa"/>
            <w:vAlign w:val="center"/>
          </w:tcPr>
          <w:p>
            <w:pPr>
              <w:pStyle w:val="12"/>
            </w:pPr>
            <w:r>
              <w:t>栏次</w:t>
            </w:r>
          </w:p>
        </w:tc>
        <w:tc>
          <w:tcPr>
            <w:tcW w:w="4352" w:type="dxa"/>
            <w:vAlign w:val="center"/>
          </w:tcPr>
          <w:p>
            <w:pPr>
              <w:pStyle w:val="12"/>
            </w:pPr>
            <w:r>
              <w:t>1</w:t>
            </w:r>
          </w:p>
        </w:tc>
        <w:tc>
          <w:tcPr>
            <w:tcW w:w="2040" w:type="dxa"/>
            <w:vAlign w:val="center"/>
          </w:tcPr>
          <w:p>
            <w:pPr>
              <w:pStyle w:val="12"/>
            </w:pPr>
            <w:r>
              <w:t>2</w:t>
            </w:r>
          </w:p>
        </w:tc>
        <w:tc>
          <w:tcPr>
            <w:tcW w:w="4351" w:type="dxa"/>
            <w:vAlign w:val="center"/>
          </w:tcPr>
          <w:p>
            <w:pPr>
              <w:pStyle w:val="12"/>
            </w:pPr>
            <w:r>
              <w:t>3</w:t>
            </w:r>
          </w:p>
        </w:tc>
        <w:tc>
          <w:tcPr>
            <w:tcW w:w="204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1</w:t>
            </w:r>
          </w:p>
        </w:tc>
        <w:tc>
          <w:tcPr>
            <w:tcW w:w="4352" w:type="dxa"/>
            <w:vAlign w:val="center"/>
          </w:tcPr>
          <w:p>
            <w:pPr>
              <w:pStyle w:val="14"/>
            </w:pPr>
            <w:r>
              <w:t>一、一般公共预算拨款收入</w:t>
            </w:r>
          </w:p>
        </w:tc>
        <w:tc>
          <w:tcPr>
            <w:tcW w:w="2040" w:type="dxa"/>
            <w:vAlign w:val="center"/>
          </w:tcPr>
          <w:p>
            <w:pPr>
              <w:pStyle w:val="13"/>
            </w:pPr>
            <w:r>
              <w:t>222.06</w:t>
            </w:r>
          </w:p>
        </w:tc>
        <w:tc>
          <w:tcPr>
            <w:tcW w:w="4351" w:type="dxa"/>
            <w:vAlign w:val="center"/>
          </w:tcPr>
          <w:p>
            <w:pPr>
              <w:pStyle w:val="14"/>
            </w:pPr>
            <w:r>
              <w:t>一、一般公共服务支出</w:t>
            </w:r>
          </w:p>
        </w:tc>
        <w:tc>
          <w:tcPr>
            <w:tcW w:w="2041" w:type="dxa"/>
            <w:vAlign w:val="center"/>
          </w:tcPr>
          <w:p>
            <w:pPr>
              <w:pStyle w:val="13"/>
            </w:pPr>
            <w:r>
              <w:t>190.69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2</w:t>
            </w:r>
          </w:p>
        </w:tc>
        <w:tc>
          <w:tcPr>
            <w:tcW w:w="4352" w:type="dxa"/>
            <w:vAlign w:val="center"/>
          </w:tcPr>
          <w:p>
            <w:pPr>
              <w:pStyle w:val="14"/>
            </w:pPr>
            <w:r>
              <w:t>二、政府性基金预算拨款收入</w:t>
            </w:r>
          </w:p>
        </w:tc>
        <w:tc>
          <w:tcPr>
            <w:tcW w:w="2040" w:type="dxa"/>
            <w:vAlign w:val="center"/>
          </w:tcPr>
          <w:p>
            <w:pPr>
              <w:pStyle w:val="13"/>
            </w:pPr>
          </w:p>
        </w:tc>
        <w:tc>
          <w:tcPr>
            <w:tcW w:w="4351" w:type="dxa"/>
            <w:vAlign w:val="center"/>
          </w:tcPr>
          <w:p>
            <w:pPr>
              <w:pStyle w:val="14"/>
            </w:pPr>
            <w:r>
              <w:t>二、外交支出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3</w:t>
            </w:r>
          </w:p>
        </w:tc>
        <w:tc>
          <w:tcPr>
            <w:tcW w:w="4352" w:type="dxa"/>
            <w:vAlign w:val="center"/>
          </w:tcPr>
          <w:p>
            <w:pPr>
              <w:pStyle w:val="14"/>
            </w:pPr>
            <w:r>
              <w:t>三、国有资本经营预算拨款收入</w:t>
            </w:r>
          </w:p>
        </w:tc>
        <w:tc>
          <w:tcPr>
            <w:tcW w:w="2040" w:type="dxa"/>
            <w:vAlign w:val="center"/>
          </w:tcPr>
          <w:p>
            <w:pPr>
              <w:pStyle w:val="13"/>
            </w:pPr>
          </w:p>
        </w:tc>
        <w:tc>
          <w:tcPr>
            <w:tcW w:w="4351" w:type="dxa"/>
            <w:vAlign w:val="center"/>
          </w:tcPr>
          <w:p>
            <w:pPr>
              <w:pStyle w:val="14"/>
            </w:pPr>
            <w:r>
              <w:t>三、国防支出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4</w:t>
            </w:r>
          </w:p>
        </w:tc>
        <w:tc>
          <w:tcPr>
            <w:tcW w:w="4352" w:type="dxa"/>
            <w:vAlign w:val="center"/>
          </w:tcPr>
          <w:p>
            <w:pPr>
              <w:pStyle w:val="14"/>
            </w:pPr>
            <w:r>
              <w:t>四、财政专户管理资金收入</w:t>
            </w:r>
          </w:p>
        </w:tc>
        <w:tc>
          <w:tcPr>
            <w:tcW w:w="2040" w:type="dxa"/>
            <w:vAlign w:val="center"/>
          </w:tcPr>
          <w:p>
            <w:pPr>
              <w:pStyle w:val="13"/>
            </w:pPr>
          </w:p>
        </w:tc>
        <w:tc>
          <w:tcPr>
            <w:tcW w:w="4351" w:type="dxa"/>
            <w:vAlign w:val="center"/>
          </w:tcPr>
          <w:p>
            <w:pPr>
              <w:pStyle w:val="14"/>
            </w:pPr>
            <w:r>
              <w:t>四、公共安全支出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5</w:t>
            </w:r>
          </w:p>
        </w:tc>
        <w:tc>
          <w:tcPr>
            <w:tcW w:w="4352" w:type="dxa"/>
            <w:vAlign w:val="center"/>
          </w:tcPr>
          <w:p>
            <w:pPr>
              <w:pStyle w:val="14"/>
            </w:pPr>
            <w:r>
              <w:t>五、单位资金</w:t>
            </w:r>
          </w:p>
        </w:tc>
        <w:tc>
          <w:tcPr>
            <w:tcW w:w="2040" w:type="dxa"/>
            <w:vAlign w:val="center"/>
          </w:tcPr>
          <w:p>
            <w:pPr>
              <w:pStyle w:val="13"/>
            </w:pPr>
          </w:p>
        </w:tc>
        <w:tc>
          <w:tcPr>
            <w:tcW w:w="4351" w:type="dxa"/>
            <w:vAlign w:val="center"/>
          </w:tcPr>
          <w:p>
            <w:pPr>
              <w:pStyle w:val="14"/>
            </w:pPr>
            <w:r>
              <w:t>五、教育支出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6</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六、科学技术支出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7</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七、文化旅游体育与传媒支出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8</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八、社会保障和就业支出</w:t>
            </w:r>
          </w:p>
        </w:tc>
        <w:tc>
          <w:tcPr>
            <w:tcW w:w="2041" w:type="dxa"/>
            <w:vAlign w:val="center"/>
          </w:tcPr>
          <w:p>
            <w:pPr>
              <w:pStyle w:val="13"/>
            </w:pPr>
            <w:r>
              <w:t>14.31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9</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九、社会保险基金支出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10</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十、卫生健康支出</w:t>
            </w:r>
          </w:p>
        </w:tc>
        <w:tc>
          <w:tcPr>
            <w:tcW w:w="2041" w:type="dxa"/>
            <w:vAlign w:val="center"/>
          </w:tcPr>
          <w:p>
            <w:pPr>
              <w:pStyle w:val="13"/>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11</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十一、节能环保支出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12</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十二、城乡社区支出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13</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十三、农林水支出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14</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十四、交通运输支出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15</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十五、资源勘探工业信息等支出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16</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十六、商业服务业等支出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17</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十七、金融支出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18</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十八、援助其他地区支出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19</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十九、自然资源海洋气象等支出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20</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二十、住房保障支出</w:t>
            </w:r>
          </w:p>
        </w:tc>
        <w:tc>
          <w:tcPr>
            <w:tcW w:w="2041" w:type="dxa"/>
            <w:vAlign w:val="center"/>
          </w:tcPr>
          <w:p>
            <w:pPr>
              <w:pStyle w:val="13"/>
            </w:pPr>
            <w:r>
              <w:t>12.62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21</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二十一、粮油物资储备支出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22</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二十二、国有资本经营预算支出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23</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二十三、灾害防治及应急管理支出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24</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二十四、预备费</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25</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二十五、其他支出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26</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二十六、转移性支出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27</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二十七、债务还本支出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28</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二十八、债务付息支出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29</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二十九、债务发行费用支出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30</w:t>
            </w:r>
          </w:p>
        </w:tc>
        <w:tc>
          <w:tcPr>
            <w:tcW w:w="4352" w:type="dxa"/>
            <w:vAlign w:val="center"/>
          </w:tcPr>
          <w:p>
            <w:pPr>
              <w:pStyle w:val="14"/>
            </w:pPr>
          </w:p>
        </w:tc>
        <w:tc>
          <w:tcPr>
            <w:tcW w:w="2040" w:type="dxa"/>
            <w:vAlign w:val="center"/>
          </w:tcPr>
          <w:p>
            <w:pPr>
              <w:pStyle w:val="13"/>
            </w:pPr>
          </w:p>
        </w:tc>
        <w:tc>
          <w:tcPr>
            <w:tcW w:w="4351" w:type="dxa"/>
            <w:vAlign w:val="center"/>
          </w:tcPr>
          <w:p>
            <w:pPr>
              <w:pStyle w:val="14"/>
            </w:pPr>
            <w:r>
              <w:t>三十、抗疫特别国债安排的支出</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31</w:t>
            </w:r>
          </w:p>
        </w:tc>
        <w:tc>
          <w:tcPr>
            <w:tcW w:w="4352" w:type="dxa"/>
            <w:vAlign w:val="center"/>
          </w:tcPr>
          <w:p>
            <w:pPr>
              <w:pStyle w:val="16"/>
            </w:pPr>
            <w:r>
              <w:t>本年收入合计</w:t>
            </w:r>
          </w:p>
        </w:tc>
        <w:tc>
          <w:tcPr>
            <w:tcW w:w="2040" w:type="dxa"/>
            <w:vAlign w:val="center"/>
          </w:tcPr>
          <w:p>
            <w:pPr>
              <w:pStyle w:val="17"/>
            </w:pPr>
            <w:r>
              <w:t>222.06</w:t>
            </w:r>
          </w:p>
        </w:tc>
        <w:tc>
          <w:tcPr>
            <w:tcW w:w="4351" w:type="dxa"/>
            <w:vAlign w:val="center"/>
          </w:tcPr>
          <w:p>
            <w:pPr>
              <w:pStyle w:val="16"/>
            </w:pPr>
            <w:r>
              <w:t>本年支出合计</w:t>
            </w:r>
          </w:p>
        </w:tc>
        <w:tc>
          <w:tcPr>
            <w:tcW w:w="2041" w:type="dxa"/>
            <w:vAlign w:val="center"/>
          </w:tcPr>
          <w:p>
            <w:pPr>
              <w:pStyle w:val="17"/>
            </w:pPr>
            <w:r>
              <w:t>222.06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 w:hRule="atLeast"/>
          <w:jc w:val="center"/>
        </w:trPr>
        <w:tc>
          <w:tcPr>
            <w:tcW w:w="815" w:type="dxa"/>
            <w:vAlign w:val="center"/>
          </w:tcPr>
          <w:p>
            <w:pPr>
              <w:pStyle w:val="15"/>
            </w:pPr>
            <w:r>
              <w:t>32</w:t>
            </w:r>
          </w:p>
        </w:tc>
        <w:tc>
          <w:tcPr>
            <w:tcW w:w="4352" w:type="dxa"/>
            <w:vAlign w:val="center"/>
          </w:tcPr>
          <w:p>
            <w:pPr>
              <w:pStyle w:val="14"/>
            </w:pPr>
            <w:r>
              <w:t>上年结转结余</w:t>
            </w:r>
          </w:p>
        </w:tc>
        <w:tc>
          <w:tcPr>
            <w:tcW w:w="2040" w:type="dxa"/>
            <w:vAlign w:val="center"/>
          </w:tcPr>
          <w:p>
            <w:pPr>
              <w:pStyle w:val="13"/>
            </w:pPr>
          </w:p>
        </w:tc>
        <w:tc>
          <w:tcPr>
            <w:tcW w:w="4351" w:type="dxa"/>
            <w:vAlign w:val="center"/>
          </w:tcPr>
          <w:p>
            <w:pPr>
              <w:pStyle w:val="14"/>
            </w:pPr>
            <w:r>
              <w:t>年终结转结余</w:t>
            </w:r>
          </w:p>
        </w:tc>
        <w:tc>
          <w:tcPr>
            <w:tcW w:w="20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9" w:hRule="atLeast"/>
          <w:jc w:val="center"/>
        </w:trPr>
        <w:tc>
          <w:tcPr>
            <w:tcW w:w="815" w:type="dxa"/>
            <w:vAlign w:val="center"/>
          </w:tcPr>
          <w:p>
            <w:pPr>
              <w:pStyle w:val="15"/>
            </w:pPr>
            <w:r>
              <w:t>33</w:t>
            </w:r>
          </w:p>
        </w:tc>
        <w:tc>
          <w:tcPr>
            <w:tcW w:w="4352" w:type="dxa"/>
            <w:vAlign w:val="center"/>
          </w:tcPr>
          <w:p>
            <w:pPr>
              <w:pStyle w:val="16"/>
            </w:pPr>
            <w:r>
              <w:t>收入总计</w:t>
            </w:r>
          </w:p>
        </w:tc>
        <w:tc>
          <w:tcPr>
            <w:tcW w:w="2040" w:type="dxa"/>
            <w:vAlign w:val="center"/>
          </w:tcPr>
          <w:p>
            <w:pPr>
              <w:pStyle w:val="17"/>
            </w:pPr>
            <w:r>
              <w:t>222.06</w:t>
            </w:r>
          </w:p>
        </w:tc>
        <w:tc>
          <w:tcPr>
            <w:tcW w:w="4351" w:type="dxa"/>
            <w:vAlign w:val="center"/>
          </w:tcPr>
          <w:p>
            <w:pPr>
              <w:pStyle w:val="16"/>
            </w:pPr>
            <w:r>
              <w:t>支出总计</w:t>
            </w:r>
          </w:p>
        </w:tc>
        <w:tc>
          <w:tcPr>
            <w:tcW w:w="2041" w:type="dxa"/>
            <w:vAlign w:val="center"/>
          </w:tcPr>
          <w:p>
            <w:pPr>
              <w:pStyle w:val="17"/>
            </w:pPr>
            <w:r>
              <w:t>222.06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542001行唐县信访局本级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222.06</w:t>
            </w:r>
          </w:p>
        </w:tc>
        <w:tc>
          <w:tcPr>
            <w:tcW w:w="1134" w:type="dxa"/>
            <w:vAlign w:val="center"/>
          </w:tcPr>
          <w:p>
            <w:pPr>
              <w:pStyle w:val="17"/>
            </w:pPr>
            <w:r>
              <w:t>222.06</w:t>
            </w:r>
          </w:p>
        </w:tc>
        <w:tc>
          <w:tcPr>
            <w:tcW w:w="1134" w:type="dxa"/>
            <w:vAlign w:val="center"/>
          </w:tcPr>
          <w:p>
            <w:pPr>
              <w:pStyle w:val="17"/>
            </w:pPr>
            <w:r>
              <w:t>222.06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190.69</w:t>
            </w:r>
          </w:p>
        </w:tc>
        <w:tc>
          <w:tcPr>
            <w:tcW w:w="1134" w:type="dxa"/>
            <w:vAlign w:val="center"/>
          </w:tcPr>
          <w:p>
            <w:pPr>
              <w:pStyle w:val="13"/>
            </w:pPr>
            <w:r>
              <w:t>190.69</w:t>
            </w:r>
          </w:p>
        </w:tc>
        <w:tc>
          <w:tcPr>
            <w:tcW w:w="1134" w:type="dxa"/>
            <w:vAlign w:val="center"/>
          </w:tcPr>
          <w:p>
            <w:pPr>
              <w:pStyle w:val="13"/>
            </w:pPr>
            <w:r>
              <w:t>190.69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20111</w:t>
            </w:r>
          </w:p>
        </w:tc>
        <w:tc>
          <w:tcPr>
            <w:tcW w:w="1559" w:type="dxa"/>
            <w:vAlign w:val="center"/>
          </w:tcPr>
          <w:p>
            <w:pPr>
              <w:pStyle w:val="14"/>
            </w:pPr>
            <w:r>
              <w:t>纪检监察事务</w:t>
            </w:r>
          </w:p>
        </w:tc>
        <w:tc>
          <w:tcPr>
            <w:tcW w:w="1134" w:type="dxa"/>
            <w:vAlign w:val="center"/>
          </w:tcPr>
          <w:p>
            <w:pPr>
              <w:pStyle w:val="13"/>
            </w:pPr>
            <w:r>
              <w:t>1.98</w:t>
            </w:r>
          </w:p>
        </w:tc>
        <w:tc>
          <w:tcPr>
            <w:tcW w:w="1134" w:type="dxa"/>
            <w:vAlign w:val="center"/>
          </w:tcPr>
          <w:p>
            <w:pPr>
              <w:pStyle w:val="13"/>
            </w:pPr>
            <w:r>
              <w:t>1.98</w:t>
            </w:r>
          </w:p>
        </w:tc>
        <w:tc>
          <w:tcPr>
            <w:tcW w:w="1134" w:type="dxa"/>
            <w:vAlign w:val="center"/>
          </w:tcPr>
          <w:p>
            <w:pPr>
              <w:pStyle w:val="13"/>
            </w:pPr>
            <w:r>
              <w:t>1.98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2011102</w:t>
            </w:r>
          </w:p>
        </w:tc>
        <w:tc>
          <w:tcPr>
            <w:tcW w:w="1559" w:type="dxa"/>
            <w:vAlign w:val="center"/>
          </w:tcPr>
          <w:p>
            <w:pPr>
              <w:pStyle w:val="14"/>
            </w:pPr>
            <w:r>
              <w:t>一般行政管理事务</w:t>
            </w:r>
          </w:p>
        </w:tc>
        <w:tc>
          <w:tcPr>
            <w:tcW w:w="1134" w:type="dxa"/>
            <w:vAlign w:val="center"/>
          </w:tcPr>
          <w:p>
            <w:pPr>
              <w:pStyle w:val="13"/>
            </w:pPr>
            <w:r>
              <w:t>1.98</w:t>
            </w:r>
          </w:p>
        </w:tc>
        <w:tc>
          <w:tcPr>
            <w:tcW w:w="1134" w:type="dxa"/>
            <w:vAlign w:val="center"/>
          </w:tcPr>
          <w:p>
            <w:pPr>
              <w:pStyle w:val="13"/>
            </w:pPr>
            <w:r>
              <w:t>1.98</w:t>
            </w:r>
          </w:p>
        </w:tc>
        <w:tc>
          <w:tcPr>
            <w:tcW w:w="1134" w:type="dxa"/>
            <w:vAlign w:val="center"/>
          </w:tcPr>
          <w:p>
            <w:pPr>
              <w:pStyle w:val="13"/>
            </w:pPr>
            <w:r>
              <w:t>1.98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20140</w:t>
            </w:r>
          </w:p>
        </w:tc>
        <w:tc>
          <w:tcPr>
            <w:tcW w:w="1559" w:type="dxa"/>
            <w:vAlign w:val="center"/>
          </w:tcPr>
          <w:p>
            <w:pPr>
              <w:pStyle w:val="14"/>
            </w:pPr>
            <w:r>
              <w:t>信访事务</w:t>
            </w:r>
          </w:p>
        </w:tc>
        <w:tc>
          <w:tcPr>
            <w:tcW w:w="1134" w:type="dxa"/>
            <w:vAlign w:val="center"/>
          </w:tcPr>
          <w:p>
            <w:pPr>
              <w:pStyle w:val="13"/>
            </w:pPr>
            <w:r>
              <w:t>188.71</w:t>
            </w:r>
          </w:p>
        </w:tc>
        <w:tc>
          <w:tcPr>
            <w:tcW w:w="1134" w:type="dxa"/>
            <w:vAlign w:val="center"/>
          </w:tcPr>
          <w:p>
            <w:pPr>
              <w:pStyle w:val="13"/>
            </w:pPr>
            <w:r>
              <w:t>188.71</w:t>
            </w:r>
          </w:p>
        </w:tc>
        <w:tc>
          <w:tcPr>
            <w:tcW w:w="1134" w:type="dxa"/>
            <w:vAlign w:val="center"/>
          </w:tcPr>
          <w:p>
            <w:pPr>
              <w:pStyle w:val="13"/>
            </w:pPr>
            <w:r>
              <w:t>188.71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2014001</w:t>
            </w:r>
          </w:p>
        </w:tc>
        <w:tc>
          <w:tcPr>
            <w:tcW w:w="1559" w:type="dxa"/>
            <w:vAlign w:val="center"/>
          </w:tcPr>
          <w:p>
            <w:pPr>
              <w:pStyle w:val="14"/>
            </w:pPr>
            <w:r>
              <w:t>行政运行</w:t>
            </w:r>
          </w:p>
        </w:tc>
        <w:tc>
          <w:tcPr>
            <w:tcW w:w="1134" w:type="dxa"/>
            <w:vAlign w:val="center"/>
          </w:tcPr>
          <w:p>
            <w:pPr>
              <w:pStyle w:val="13"/>
            </w:pPr>
            <w:r>
              <w:t>165.20</w:t>
            </w:r>
          </w:p>
        </w:tc>
        <w:tc>
          <w:tcPr>
            <w:tcW w:w="1134" w:type="dxa"/>
            <w:vAlign w:val="center"/>
          </w:tcPr>
          <w:p>
            <w:pPr>
              <w:pStyle w:val="13"/>
            </w:pPr>
            <w:r>
              <w:t>165.20</w:t>
            </w:r>
          </w:p>
        </w:tc>
        <w:tc>
          <w:tcPr>
            <w:tcW w:w="1134" w:type="dxa"/>
            <w:vAlign w:val="center"/>
          </w:tcPr>
          <w:p>
            <w:pPr>
              <w:pStyle w:val="13"/>
            </w:pPr>
            <w:r>
              <w:t>165.20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2014002</w:t>
            </w:r>
          </w:p>
        </w:tc>
        <w:tc>
          <w:tcPr>
            <w:tcW w:w="1559" w:type="dxa"/>
            <w:vAlign w:val="center"/>
          </w:tcPr>
          <w:p>
            <w:pPr>
              <w:pStyle w:val="14"/>
            </w:pPr>
            <w:r>
              <w:t>一般行政管理事务</w:t>
            </w:r>
          </w:p>
        </w:tc>
        <w:tc>
          <w:tcPr>
            <w:tcW w:w="1134" w:type="dxa"/>
            <w:vAlign w:val="center"/>
          </w:tcPr>
          <w:p>
            <w:pPr>
              <w:pStyle w:val="13"/>
            </w:pPr>
            <w:r>
              <w:t>23.51</w:t>
            </w:r>
          </w:p>
        </w:tc>
        <w:tc>
          <w:tcPr>
            <w:tcW w:w="1134" w:type="dxa"/>
            <w:vAlign w:val="center"/>
          </w:tcPr>
          <w:p>
            <w:pPr>
              <w:pStyle w:val="13"/>
            </w:pPr>
            <w:r>
              <w:t>23.51</w:t>
            </w:r>
          </w:p>
        </w:tc>
        <w:tc>
          <w:tcPr>
            <w:tcW w:w="1134" w:type="dxa"/>
            <w:vAlign w:val="center"/>
          </w:tcPr>
          <w:p>
            <w:pPr>
              <w:pStyle w:val="13"/>
            </w:pPr>
            <w:r>
              <w:t>23.51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14.31</w:t>
            </w:r>
          </w:p>
        </w:tc>
        <w:tc>
          <w:tcPr>
            <w:tcW w:w="1134" w:type="dxa"/>
            <w:vAlign w:val="center"/>
          </w:tcPr>
          <w:p>
            <w:pPr>
              <w:pStyle w:val="13"/>
            </w:pPr>
            <w:r>
              <w:t>14.31</w:t>
            </w:r>
          </w:p>
        </w:tc>
        <w:tc>
          <w:tcPr>
            <w:tcW w:w="1134" w:type="dxa"/>
            <w:vAlign w:val="center"/>
          </w:tcPr>
          <w:p>
            <w:pPr>
              <w:pStyle w:val="13"/>
            </w:pPr>
            <w:r>
              <w:t>14.31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14.31</w:t>
            </w:r>
          </w:p>
        </w:tc>
        <w:tc>
          <w:tcPr>
            <w:tcW w:w="1134" w:type="dxa"/>
            <w:vAlign w:val="center"/>
          </w:tcPr>
          <w:p>
            <w:pPr>
              <w:pStyle w:val="13"/>
            </w:pPr>
            <w:r>
              <w:t>14.31</w:t>
            </w:r>
          </w:p>
        </w:tc>
        <w:tc>
          <w:tcPr>
            <w:tcW w:w="1134" w:type="dxa"/>
            <w:vAlign w:val="center"/>
          </w:tcPr>
          <w:p>
            <w:pPr>
              <w:pStyle w:val="13"/>
            </w:pPr>
            <w:r>
              <w:t>14.31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14.31</w:t>
            </w:r>
          </w:p>
        </w:tc>
        <w:tc>
          <w:tcPr>
            <w:tcW w:w="1134" w:type="dxa"/>
            <w:vAlign w:val="center"/>
          </w:tcPr>
          <w:p>
            <w:pPr>
              <w:pStyle w:val="13"/>
            </w:pPr>
            <w:r>
              <w:t>14.31</w:t>
            </w:r>
          </w:p>
        </w:tc>
        <w:tc>
          <w:tcPr>
            <w:tcW w:w="1134" w:type="dxa"/>
            <w:vAlign w:val="center"/>
          </w:tcPr>
          <w:p>
            <w:pPr>
              <w:pStyle w:val="13"/>
            </w:pPr>
            <w:r>
              <w:t>14.31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4.44</w:t>
            </w:r>
          </w:p>
        </w:tc>
        <w:tc>
          <w:tcPr>
            <w:tcW w:w="1134" w:type="dxa"/>
            <w:vAlign w:val="center"/>
          </w:tcPr>
          <w:p>
            <w:pPr>
              <w:pStyle w:val="13"/>
            </w:pPr>
            <w:r>
              <w:t>4.44</w:t>
            </w:r>
          </w:p>
        </w:tc>
        <w:tc>
          <w:tcPr>
            <w:tcW w:w="1134" w:type="dxa"/>
            <w:vAlign w:val="center"/>
          </w:tcPr>
          <w:p>
            <w:pPr>
              <w:pStyle w:val="13"/>
            </w:pPr>
            <w:r>
              <w:t>4.44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4.44</w:t>
            </w:r>
          </w:p>
        </w:tc>
        <w:tc>
          <w:tcPr>
            <w:tcW w:w="1134" w:type="dxa"/>
            <w:vAlign w:val="center"/>
          </w:tcPr>
          <w:p>
            <w:pPr>
              <w:pStyle w:val="13"/>
            </w:pPr>
            <w:r>
              <w:t>4.44</w:t>
            </w:r>
          </w:p>
        </w:tc>
        <w:tc>
          <w:tcPr>
            <w:tcW w:w="1134" w:type="dxa"/>
            <w:vAlign w:val="center"/>
          </w:tcPr>
          <w:p>
            <w:pPr>
              <w:pStyle w:val="13"/>
            </w:pPr>
            <w:r>
              <w:t>4.44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4.44</w:t>
            </w:r>
          </w:p>
        </w:tc>
        <w:tc>
          <w:tcPr>
            <w:tcW w:w="1134" w:type="dxa"/>
            <w:vAlign w:val="center"/>
          </w:tcPr>
          <w:p>
            <w:pPr>
              <w:pStyle w:val="13"/>
            </w:pPr>
            <w:r>
              <w:t>4.44</w:t>
            </w:r>
          </w:p>
        </w:tc>
        <w:tc>
          <w:tcPr>
            <w:tcW w:w="1134" w:type="dxa"/>
            <w:vAlign w:val="center"/>
          </w:tcPr>
          <w:p>
            <w:pPr>
              <w:pStyle w:val="13"/>
            </w:pPr>
            <w:r>
              <w:t>4.44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12.62</w:t>
            </w:r>
          </w:p>
        </w:tc>
        <w:tc>
          <w:tcPr>
            <w:tcW w:w="1134" w:type="dxa"/>
            <w:vAlign w:val="center"/>
          </w:tcPr>
          <w:p>
            <w:pPr>
              <w:pStyle w:val="13"/>
            </w:pPr>
            <w:r>
              <w:t>12.62</w:t>
            </w:r>
          </w:p>
        </w:tc>
        <w:tc>
          <w:tcPr>
            <w:tcW w:w="1134" w:type="dxa"/>
            <w:vAlign w:val="center"/>
          </w:tcPr>
          <w:p>
            <w:pPr>
              <w:pStyle w:val="13"/>
            </w:pPr>
            <w:r>
              <w:t>12.62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12.62</w:t>
            </w:r>
          </w:p>
        </w:tc>
        <w:tc>
          <w:tcPr>
            <w:tcW w:w="1134" w:type="dxa"/>
            <w:vAlign w:val="center"/>
          </w:tcPr>
          <w:p>
            <w:pPr>
              <w:pStyle w:val="13"/>
            </w:pPr>
            <w:r>
              <w:t>12.62</w:t>
            </w:r>
          </w:p>
        </w:tc>
        <w:tc>
          <w:tcPr>
            <w:tcW w:w="1134" w:type="dxa"/>
            <w:vAlign w:val="center"/>
          </w:tcPr>
          <w:p>
            <w:pPr>
              <w:pStyle w:val="13"/>
            </w:pPr>
            <w:r>
              <w:t>12.62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12.62</w:t>
            </w:r>
          </w:p>
        </w:tc>
        <w:tc>
          <w:tcPr>
            <w:tcW w:w="1134" w:type="dxa"/>
            <w:vAlign w:val="center"/>
          </w:tcPr>
          <w:p>
            <w:pPr>
              <w:pStyle w:val="13"/>
            </w:pPr>
            <w:r>
              <w:t>12.62</w:t>
            </w:r>
          </w:p>
        </w:tc>
        <w:tc>
          <w:tcPr>
            <w:tcW w:w="1134" w:type="dxa"/>
            <w:vAlign w:val="center"/>
          </w:tcPr>
          <w:p>
            <w:pPr>
              <w:pStyle w:val="13"/>
            </w:pPr>
            <w:r>
              <w:t>12.62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542001行唐县信访局本级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222.06</w:t>
            </w:r>
          </w:p>
        </w:tc>
        <w:tc>
          <w:tcPr>
            <w:tcW w:w="1361" w:type="dxa"/>
            <w:vAlign w:val="center"/>
          </w:tcPr>
          <w:p>
            <w:pPr>
              <w:pStyle w:val="17"/>
            </w:pPr>
            <w:r>
              <w:t>198.55</w:t>
            </w:r>
          </w:p>
        </w:tc>
        <w:tc>
          <w:tcPr>
            <w:tcW w:w="1361" w:type="dxa"/>
            <w:vAlign w:val="center"/>
          </w:tcPr>
          <w:p>
            <w:pPr>
              <w:pStyle w:val="17"/>
            </w:pPr>
            <w:r>
              <w:t>23.51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190.69</w:t>
            </w:r>
          </w:p>
        </w:tc>
        <w:tc>
          <w:tcPr>
            <w:tcW w:w="1361" w:type="dxa"/>
            <w:vAlign w:val="center"/>
          </w:tcPr>
          <w:p>
            <w:pPr>
              <w:pStyle w:val="13"/>
            </w:pPr>
            <w:r>
              <w:t>167.18</w:t>
            </w:r>
          </w:p>
        </w:tc>
        <w:tc>
          <w:tcPr>
            <w:tcW w:w="1361" w:type="dxa"/>
            <w:vAlign w:val="center"/>
          </w:tcPr>
          <w:p>
            <w:pPr>
              <w:pStyle w:val="13"/>
            </w:pPr>
            <w:r>
              <w:t>23.51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5" w:type="dxa"/>
            <w:vAlign w:val="center"/>
          </w:tcPr>
          <w:p>
            <w:pPr>
              <w:pStyle w:val="14"/>
            </w:pPr>
            <w:r>
              <w:t>纪检监察事务</w:t>
            </w:r>
          </w:p>
        </w:tc>
        <w:tc>
          <w:tcPr>
            <w:tcW w:w="1361" w:type="dxa"/>
            <w:vAlign w:val="center"/>
          </w:tcPr>
          <w:p>
            <w:pPr>
              <w:pStyle w:val="13"/>
            </w:pPr>
            <w:r>
              <w:t>1.98</w:t>
            </w:r>
          </w:p>
        </w:tc>
        <w:tc>
          <w:tcPr>
            <w:tcW w:w="1361" w:type="dxa"/>
            <w:vAlign w:val="center"/>
          </w:tcPr>
          <w:p>
            <w:pPr>
              <w:pStyle w:val="13"/>
            </w:pPr>
            <w:r>
              <w:t>1.98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2011102</w:t>
            </w:r>
          </w:p>
        </w:tc>
        <w:tc>
          <w:tcPr>
            <w:tcW w:w="4535" w:type="dxa"/>
            <w:vAlign w:val="center"/>
          </w:tcPr>
          <w:p>
            <w:pPr>
              <w:pStyle w:val="14"/>
            </w:pPr>
            <w:r>
              <w:t>一般行政管理事务</w:t>
            </w:r>
          </w:p>
        </w:tc>
        <w:tc>
          <w:tcPr>
            <w:tcW w:w="1361" w:type="dxa"/>
            <w:vAlign w:val="center"/>
          </w:tcPr>
          <w:p>
            <w:pPr>
              <w:pStyle w:val="13"/>
            </w:pPr>
            <w:r>
              <w:t>1.98</w:t>
            </w:r>
          </w:p>
        </w:tc>
        <w:tc>
          <w:tcPr>
            <w:tcW w:w="1361" w:type="dxa"/>
            <w:vAlign w:val="center"/>
          </w:tcPr>
          <w:p>
            <w:pPr>
              <w:pStyle w:val="13"/>
            </w:pPr>
            <w:r>
              <w:t>1.98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20140</w:t>
            </w:r>
          </w:p>
        </w:tc>
        <w:tc>
          <w:tcPr>
            <w:tcW w:w="4535" w:type="dxa"/>
            <w:vAlign w:val="center"/>
          </w:tcPr>
          <w:p>
            <w:pPr>
              <w:pStyle w:val="14"/>
            </w:pPr>
            <w:r>
              <w:t>信访事务</w:t>
            </w:r>
          </w:p>
        </w:tc>
        <w:tc>
          <w:tcPr>
            <w:tcW w:w="1361" w:type="dxa"/>
            <w:vAlign w:val="center"/>
          </w:tcPr>
          <w:p>
            <w:pPr>
              <w:pStyle w:val="13"/>
            </w:pPr>
            <w:r>
              <w:t>188.71</w:t>
            </w:r>
          </w:p>
        </w:tc>
        <w:tc>
          <w:tcPr>
            <w:tcW w:w="1361" w:type="dxa"/>
            <w:vAlign w:val="center"/>
          </w:tcPr>
          <w:p>
            <w:pPr>
              <w:pStyle w:val="13"/>
            </w:pPr>
            <w:r>
              <w:t>165.20</w:t>
            </w:r>
          </w:p>
        </w:tc>
        <w:tc>
          <w:tcPr>
            <w:tcW w:w="1361" w:type="dxa"/>
            <w:vAlign w:val="center"/>
          </w:tcPr>
          <w:p>
            <w:pPr>
              <w:pStyle w:val="13"/>
            </w:pPr>
            <w:r>
              <w:t>23.51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2014001</w:t>
            </w:r>
          </w:p>
        </w:tc>
        <w:tc>
          <w:tcPr>
            <w:tcW w:w="4535" w:type="dxa"/>
            <w:vAlign w:val="center"/>
          </w:tcPr>
          <w:p>
            <w:pPr>
              <w:pStyle w:val="14"/>
            </w:pPr>
            <w:r>
              <w:t>行政运行</w:t>
            </w:r>
          </w:p>
        </w:tc>
        <w:tc>
          <w:tcPr>
            <w:tcW w:w="1361" w:type="dxa"/>
            <w:vAlign w:val="center"/>
          </w:tcPr>
          <w:p>
            <w:pPr>
              <w:pStyle w:val="13"/>
            </w:pPr>
            <w:r>
              <w:t>165.20</w:t>
            </w:r>
          </w:p>
        </w:tc>
        <w:tc>
          <w:tcPr>
            <w:tcW w:w="1361" w:type="dxa"/>
            <w:vAlign w:val="center"/>
          </w:tcPr>
          <w:p>
            <w:pPr>
              <w:pStyle w:val="13"/>
            </w:pPr>
            <w:r>
              <w:t>165.20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2014002</w:t>
            </w:r>
          </w:p>
        </w:tc>
        <w:tc>
          <w:tcPr>
            <w:tcW w:w="4535" w:type="dxa"/>
            <w:vAlign w:val="center"/>
          </w:tcPr>
          <w:p>
            <w:pPr>
              <w:pStyle w:val="14"/>
            </w:pPr>
            <w:r>
              <w:t>一般行政管理事务</w:t>
            </w:r>
          </w:p>
        </w:tc>
        <w:tc>
          <w:tcPr>
            <w:tcW w:w="1361" w:type="dxa"/>
            <w:vAlign w:val="center"/>
          </w:tcPr>
          <w:p>
            <w:pPr>
              <w:pStyle w:val="13"/>
            </w:pPr>
            <w:r>
              <w:t>23.51</w:t>
            </w:r>
          </w:p>
        </w:tc>
        <w:tc>
          <w:tcPr>
            <w:tcW w:w="1361" w:type="dxa"/>
            <w:vAlign w:val="center"/>
          </w:tcPr>
          <w:p>
            <w:pPr>
              <w:pStyle w:val="13"/>
            </w:pPr>
          </w:p>
        </w:tc>
        <w:tc>
          <w:tcPr>
            <w:tcW w:w="1361" w:type="dxa"/>
            <w:vAlign w:val="center"/>
          </w:tcPr>
          <w:p>
            <w:pPr>
              <w:pStyle w:val="13"/>
            </w:pPr>
            <w:r>
              <w:t>23.51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14.31</w:t>
            </w:r>
          </w:p>
        </w:tc>
        <w:tc>
          <w:tcPr>
            <w:tcW w:w="1361" w:type="dxa"/>
            <w:vAlign w:val="center"/>
          </w:tcPr>
          <w:p>
            <w:pPr>
              <w:pStyle w:val="13"/>
            </w:pPr>
            <w:r>
              <w:t>14.31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14.31</w:t>
            </w:r>
          </w:p>
        </w:tc>
        <w:tc>
          <w:tcPr>
            <w:tcW w:w="1361" w:type="dxa"/>
            <w:vAlign w:val="center"/>
          </w:tcPr>
          <w:p>
            <w:pPr>
              <w:pStyle w:val="13"/>
            </w:pPr>
            <w:r>
              <w:t>14.31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14.31</w:t>
            </w:r>
          </w:p>
        </w:tc>
        <w:tc>
          <w:tcPr>
            <w:tcW w:w="1361" w:type="dxa"/>
            <w:vAlign w:val="center"/>
          </w:tcPr>
          <w:p>
            <w:pPr>
              <w:pStyle w:val="13"/>
            </w:pPr>
            <w:r>
              <w:t>14.31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4.44</w:t>
            </w:r>
          </w:p>
        </w:tc>
        <w:tc>
          <w:tcPr>
            <w:tcW w:w="1361" w:type="dxa"/>
            <w:vAlign w:val="center"/>
          </w:tcPr>
          <w:p>
            <w:pPr>
              <w:pStyle w:val="13"/>
            </w:pPr>
            <w:r>
              <w:t>4.44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4.44</w:t>
            </w:r>
          </w:p>
        </w:tc>
        <w:tc>
          <w:tcPr>
            <w:tcW w:w="1361" w:type="dxa"/>
            <w:vAlign w:val="center"/>
          </w:tcPr>
          <w:p>
            <w:pPr>
              <w:pStyle w:val="13"/>
            </w:pPr>
            <w:r>
              <w:t>4.44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4.44</w:t>
            </w:r>
          </w:p>
        </w:tc>
        <w:tc>
          <w:tcPr>
            <w:tcW w:w="1361" w:type="dxa"/>
            <w:vAlign w:val="center"/>
          </w:tcPr>
          <w:p>
            <w:pPr>
              <w:pStyle w:val="13"/>
            </w:pPr>
            <w:r>
              <w:t>4.44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12.62</w:t>
            </w:r>
          </w:p>
        </w:tc>
        <w:tc>
          <w:tcPr>
            <w:tcW w:w="1361" w:type="dxa"/>
            <w:vAlign w:val="center"/>
          </w:tcPr>
          <w:p>
            <w:pPr>
              <w:pStyle w:val="13"/>
            </w:pPr>
            <w:r>
              <w:t>12.62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12.62</w:t>
            </w:r>
          </w:p>
        </w:tc>
        <w:tc>
          <w:tcPr>
            <w:tcW w:w="1361" w:type="dxa"/>
            <w:vAlign w:val="center"/>
          </w:tcPr>
          <w:p>
            <w:pPr>
              <w:pStyle w:val="13"/>
            </w:pPr>
            <w:r>
              <w:t>12.62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12.62</w:t>
            </w:r>
          </w:p>
        </w:tc>
        <w:tc>
          <w:tcPr>
            <w:tcW w:w="1361" w:type="dxa"/>
            <w:vAlign w:val="center"/>
          </w:tcPr>
          <w:p>
            <w:pPr>
              <w:pStyle w:val="13"/>
            </w:pPr>
            <w:r>
              <w:t>12.62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542001行唐县信访局本级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222.06</w:t>
            </w:r>
          </w:p>
        </w:tc>
        <w:tc>
          <w:tcPr>
            <w:tcW w:w="3402" w:type="dxa"/>
            <w:vAlign w:val="center"/>
          </w:tcPr>
          <w:p>
            <w:pPr>
              <w:pStyle w:val="14"/>
            </w:pPr>
            <w:r>
              <w:t>一、一般公共服务支出</w:t>
            </w:r>
          </w:p>
        </w:tc>
        <w:tc>
          <w:tcPr>
            <w:tcW w:w="1474" w:type="dxa"/>
            <w:vAlign w:val="center"/>
          </w:tcPr>
          <w:p>
            <w:pPr>
              <w:pStyle w:val="13"/>
            </w:pPr>
            <w:r>
              <w:t>190.69</w:t>
            </w:r>
          </w:p>
        </w:tc>
        <w:tc>
          <w:tcPr>
            <w:tcW w:w="1474" w:type="dxa"/>
            <w:vAlign w:val="center"/>
          </w:tcPr>
          <w:p>
            <w:pPr>
              <w:pStyle w:val="13"/>
            </w:pPr>
            <w:r>
              <w:t>190.69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14.31</w:t>
            </w:r>
          </w:p>
        </w:tc>
        <w:tc>
          <w:tcPr>
            <w:tcW w:w="1474" w:type="dxa"/>
            <w:vAlign w:val="center"/>
          </w:tcPr>
          <w:p>
            <w:pPr>
              <w:pStyle w:val="13"/>
            </w:pPr>
            <w:r>
              <w:t>14.31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4.44</w:t>
            </w:r>
          </w:p>
        </w:tc>
        <w:tc>
          <w:tcPr>
            <w:tcW w:w="1474" w:type="dxa"/>
            <w:vAlign w:val="center"/>
          </w:tcPr>
          <w:p>
            <w:pPr>
              <w:pStyle w:val="13"/>
            </w:pPr>
            <w:r>
              <w:t>4.44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12.62</w:t>
            </w:r>
          </w:p>
        </w:tc>
        <w:tc>
          <w:tcPr>
            <w:tcW w:w="1474" w:type="dxa"/>
            <w:vAlign w:val="center"/>
          </w:tcPr>
          <w:p>
            <w:pPr>
              <w:pStyle w:val="13"/>
            </w:pPr>
            <w:r>
              <w:t>12.62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222.06</w:t>
            </w:r>
          </w:p>
        </w:tc>
        <w:tc>
          <w:tcPr>
            <w:tcW w:w="3402" w:type="dxa"/>
            <w:vAlign w:val="center"/>
          </w:tcPr>
          <w:p>
            <w:pPr>
              <w:pStyle w:val="16"/>
            </w:pPr>
            <w:r>
              <w:t>本年支出合计</w:t>
            </w:r>
          </w:p>
        </w:tc>
        <w:tc>
          <w:tcPr>
            <w:tcW w:w="1474" w:type="dxa"/>
            <w:vAlign w:val="center"/>
          </w:tcPr>
          <w:p>
            <w:pPr>
              <w:pStyle w:val="17"/>
            </w:pPr>
            <w:r>
              <w:t>222.06</w:t>
            </w:r>
          </w:p>
        </w:tc>
        <w:tc>
          <w:tcPr>
            <w:tcW w:w="1474" w:type="dxa"/>
            <w:vAlign w:val="center"/>
          </w:tcPr>
          <w:p>
            <w:pPr>
              <w:pStyle w:val="17"/>
            </w:pPr>
            <w:r>
              <w:t>222.06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222.06</w:t>
            </w:r>
          </w:p>
        </w:tc>
        <w:tc>
          <w:tcPr>
            <w:tcW w:w="3402" w:type="dxa"/>
            <w:vAlign w:val="center"/>
          </w:tcPr>
          <w:p>
            <w:pPr>
              <w:pStyle w:val="16"/>
            </w:pPr>
            <w:r>
              <w:t>支出总计</w:t>
            </w:r>
          </w:p>
        </w:tc>
        <w:tc>
          <w:tcPr>
            <w:tcW w:w="1474" w:type="dxa"/>
            <w:vAlign w:val="center"/>
          </w:tcPr>
          <w:p>
            <w:pPr>
              <w:pStyle w:val="17"/>
            </w:pPr>
            <w:r>
              <w:t>222.06</w:t>
            </w:r>
          </w:p>
        </w:tc>
        <w:tc>
          <w:tcPr>
            <w:tcW w:w="1474" w:type="dxa"/>
            <w:vAlign w:val="center"/>
          </w:tcPr>
          <w:p>
            <w:pPr>
              <w:pStyle w:val="17"/>
            </w:pPr>
            <w:r>
              <w:t>222.06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542001行唐县信访局本级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222.06</w:t>
            </w:r>
          </w:p>
        </w:tc>
        <w:tc>
          <w:tcPr>
            <w:tcW w:w="2551" w:type="dxa"/>
            <w:vAlign w:val="center"/>
          </w:tcPr>
          <w:p>
            <w:pPr>
              <w:pStyle w:val="17"/>
            </w:pPr>
            <w:r>
              <w:t>198.55</w:t>
            </w:r>
          </w:p>
        </w:tc>
        <w:tc>
          <w:tcPr>
            <w:tcW w:w="2551" w:type="dxa"/>
            <w:vAlign w:val="center"/>
          </w:tcPr>
          <w:p>
            <w:pPr>
              <w:pStyle w:val="17"/>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190.69</w:t>
            </w:r>
          </w:p>
        </w:tc>
        <w:tc>
          <w:tcPr>
            <w:tcW w:w="2551" w:type="dxa"/>
            <w:vAlign w:val="center"/>
          </w:tcPr>
          <w:p>
            <w:pPr>
              <w:pStyle w:val="13"/>
            </w:pPr>
            <w:r>
              <w:t>167.18</w:t>
            </w:r>
          </w:p>
        </w:tc>
        <w:tc>
          <w:tcPr>
            <w:tcW w:w="2551" w:type="dxa"/>
            <w:vAlign w:val="center"/>
          </w:tcPr>
          <w:p>
            <w:pPr>
              <w:pStyle w:val="13"/>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t>纪检监察事务</w:t>
            </w:r>
          </w:p>
        </w:tc>
        <w:tc>
          <w:tcPr>
            <w:tcW w:w="2551" w:type="dxa"/>
            <w:vAlign w:val="center"/>
          </w:tcPr>
          <w:p>
            <w:pPr>
              <w:pStyle w:val="13"/>
            </w:pPr>
            <w:r>
              <w:t>1.98</w:t>
            </w:r>
          </w:p>
        </w:tc>
        <w:tc>
          <w:tcPr>
            <w:tcW w:w="2551" w:type="dxa"/>
            <w:vAlign w:val="center"/>
          </w:tcPr>
          <w:p>
            <w:pPr>
              <w:pStyle w:val="13"/>
            </w:pPr>
            <w:r>
              <w:t>1.98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2011102</w:t>
            </w:r>
          </w:p>
        </w:tc>
        <w:tc>
          <w:tcPr>
            <w:tcW w:w="4535" w:type="dxa"/>
            <w:vAlign w:val="center"/>
          </w:tcPr>
          <w:p>
            <w:pPr>
              <w:pStyle w:val="14"/>
            </w:pPr>
            <w:r>
              <w:t>一般行政管理事务</w:t>
            </w:r>
          </w:p>
        </w:tc>
        <w:tc>
          <w:tcPr>
            <w:tcW w:w="2551" w:type="dxa"/>
            <w:vAlign w:val="center"/>
          </w:tcPr>
          <w:p>
            <w:pPr>
              <w:pStyle w:val="13"/>
            </w:pPr>
            <w:r>
              <w:t>1.98</w:t>
            </w:r>
          </w:p>
        </w:tc>
        <w:tc>
          <w:tcPr>
            <w:tcW w:w="2551" w:type="dxa"/>
            <w:vAlign w:val="center"/>
          </w:tcPr>
          <w:p>
            <w:pPr>
              <w:pStyle w:val="13"/>
            </w:pPr>
            <w:r>
              <w:t>1.98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20140</w:t>
            </w:r>
          </w:p>
        </w:tc>
        <w:tc>
          <w:tcPr>
            <w:tcW w:w="4535" w:type="dxa"/>
            <w:vAlign w:val="center"/>
          </w:tcPr>
          <w:p>
            <w:pPr>
              <w:pStyle w:val="14"/>
            </w:pPr>
            <w:r>
              <w:t>信访事务</w:t>
            </w:r>
          </w:p>
        </w:tc>
        <w:tc>
          <w:tcPr>
            <w:tcW w:w="2551" w:type="dxa"/>
            <w:vAlign w:val="center"/>
          </w:tcPr>
          <w:p>
            <w:pPr>
              <w:pStyle w:val="13"/>
            </w:pPr>
            <w:r>
              <w:t>188.71</w:t>
            </w:r>
          </w:p>
        </w:tc>
        <w:tc>
          <w:tcPr>
            <w:tcW w:w="2551" w:type="dxa"/>
            <w:vAlign w:val="center"/>
          </w:tcPr>
          <w:p>
            <w:pPr>
              <w:pStyle w:val="13"/>
            </w:pPr>
            <w:r>
              <w:t>165.20</w:t>
            </w:r>
          </w:p>
        </w:tc>
        <w:tc>
          <w:tcPr>
            <w:tcW w:w="2551" w:type="dxa"/>
            <w:vAlign w:val="center"/>
          </w:tcPr>
          <w:p>
            <w:pPr>
              <w:pStyle w:val="13"/>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2014001</w:t>
            </w:r>
          </w:p>
        </w:tc>
        <w:tc>
          <w:tcPr>
            <w:tcW w:w="4535" w:type="dxa"/>
            <w:vAlign w:val="center"/>
          </w:tcPr>
          <w:p>
            <w:pPr>
              <w:pStyle w:val="14"/>
            </w:pPr>
            <w:r>
              <w:t>行政运行</w:t>
            </w:r>
          </w:p>
        </w:tc>
        <w:tc>
          <w:tcPr>
            <w:tcW w:w="2551" w:type="dxa"/>
            <w:vAlign w:val="center"/>
          </w:tcPr>
          <w:p>
            <w:pPr>
              <w:pStyle w:val="13"/>
            </w:pPr>
            <w:r>
              <w:t>165.20</w:t>
            </w:r>
          </w:p>
        </w:tc>
        <w:tc>
          <w:tcPr>
            <w:tcW w:w="2551" w:type="dxa"/>
            <w:vAlign w:val="center"/>
          </w:tcPr>
          <w:p>
            <w:pPr>
              <w:pStyle w:val="13"/>
            </w:pPr>
            <w:r>
              <w:t>165.20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2014002</w:t>
            </w:r>
          </w:p>
        </w:tc>
        <w:tc>
          <w:tcPr>
            <w:tcW w:w="4535" w:type="dxa"/>
            <w:vAlign w:val="center"/>
          </w:tcPr>
          <w:p>
            <w:pPr>
              <w:pStyle w:val="14"/>
            </w:pPr>
            <w:r>
              <w:t>一般行政管理事务</w:t>
            </w:r>
          </w:p>
        </w:tc>
        <w:tc>
          <w:tcPr>
            <w:tcW w:w="2551" w:type="dxa"/>
            <w:vAlign w:val="center"/>
          </w:tcPr>
          <w:p>
            <w:pPr>
              <w:pStyle w:val="13"/>
            </w:pPr>
            <w:r>
              <w:t>23.51</w:t>
            </w:r>
          </w:p>
        </w:tc>
        <w:tc>
          <w:tcPr>
            <w:tcW w:w="2551" w:type="dxa"/>
            <w:vAlign w:val="center"/>
          </w:tcPr>
          <w:p>
            <w:pPr>
              <w:pStyle w:val="13"/>
            </w:pPr>
          </w:p>
        </w:tc>
        <w:tc>
          <w:tcPr>
            <w:tcW w:w="2551" w:type="dxa"/>
            <w:vAlign w:val="center"/>
          </w:tcPr>
          <w:p>
            <w:pPr>
              <w:pStyle w:val="13"/>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14.31</w:t>
            </w:r>
          </w:p>
        </w:tc>
        <w:tc>
          <w:tcPr>
            <w:tcW w:w="2551" w:type="dxa"/>
            <w:vAlign w:val="center"/>
          </w:tcPr>
          <w:p>
            <w:pPr>
              <w:pStyle w:val="13"/>
            </w:pPr>
            <w:r>
              <w:t>14.31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14.31</w:t>
            </w:r>
          </w:p>
        </w:tc>
        <w:tc>
          <w:tcPr>
            <w:tcW w:w="2551" w:type="dxa"/>
            <w:vAlign w:val="center"/>
          </w:tcPr>
          <w:p>
            <w:pPr>
              <w:pStyle w:val="13"/>
            </w:pPr>
            <w:r>
              <w:t>14.31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14.31</w:t>
            </w:r>
          </w:p>
        </w:tc>
        <w:tc>
          <w:tcPr>
            <w:tcW w:w="2551" w:type="dxa"/>
            <w:vAlign w:val="center"/>
          </w:tcPr>
          <w:p>
            <w:pPr>
              <w:pStyle w:val="13"/>
            </w:pPr>
            <w:r>
              <w:t>14.31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4.44</w:t>
            </w:r>
          </w:p>
        </w:tc>
        <w:tc>
          <w:tcPr>
            <w:tcW w:w="2551" w:type="dxa"/>
            <w:vAlign w:val="center"/>
          </w:tcPr>
          <w:p>
            <w:pPr>
              <w:pStyle w:val="13"/>
            </w:pPr>
            <w:r>
              <w:t>4.44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4.44</w:t>
            </w:r>
          </w:p>
        </w:tc>
        <w:tc>
          <w:tcPr>
            <w:tcW w:w="2551" w:type="dxa"/>
            <w:vAlign w:val="center"/>
          </w:tcPr>
          <w:p>
            <w:pPr>
              <w:pStyle w:val="13"/>
            </w:pPr>
            <w:r>
              <w:t>4.44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4.44</w:t>
            </w:r>
          </w:p>
        </w:tc>
        <w:tc>
          <w:tcPr>
            <w:tcW w:w="2551" w:type="dxa"/>
            <w:vAlign w:val="center"/>
          </w:tcPr>
          <w:p>
            <w:pPr>
              <w:pStyle w:val="13"/>
            </w:pPr>
            <w:r>
              <w:t>4.44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12.62</w:t>
            </w:r>
          </w:p>
        </w:tc>
        <w:tc>
          <w:tcPr>
            <w:tcW w:w="2551" w:type="dxa"/>
            <w:vAlign w:val="center"/>
          </w:tcPr>
          <w:p>
            <w:pPr>
              <w:pStyle w:val="13"/>
            </w:pPr>
            <w:r>
              <w:t>12.62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12.62</w:t>
            </w:r>
          </w:p>
        </w:tc>
        <w:tc>
          <w:tcPr>
            <w:tcW w:w="2551" w:type="dxa"/>
            <w:vAlign w:val="center"/>
          </w:tcPr>
          <w:p>
            <w:pPr>
              <w:pStyle w:val="13"/>
            </w:pPr>
            <w:r>
              <w:t>12.62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12.62</w:t>
            </w:r>
          </w:p>
        </w:tc>
        <w:tc>
          <w:tcPr>
            <w:tcW w:w="2551" w:type="dxa"/>
            <w:vAlign w:val="center"/>
          </w:tcPr>
          <w:p>
            <w:pPr>
              <w:pStyle w:val="13"/>
            </w:pPr>
            <w:r>
              <w:t>12.62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542001行唐县信访局本级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198.55</w:t>
            </w:r>
          </w:p>
        </w:tc>
        <w:tc>
          <w:tcPr>
            <w:tcW w:w="2551" w:type="dxa"/>
            <w:vAlign w:val="center"/>
          </w:tcPr>
          <w:p>
            <w:pPr>
              <w:pStyle w:val="17"/>
            </w:pPr>
            <w:r>
              <w:t>173.62</w:t>
            </w:r>
          </w:p>
        </w:tc>
        <w:tc>
          <w:tcPr>
            <w:tcW w:w="2551" w:type="dxa"/>
            <w:vAlign w:val="center"/>
          </w:tcPr>
          <w:p>
            <w:pPr>
              <w:pStyle w:val="17"/>
            </w:pPr>
            <w:r>
              <w:t>24.93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160.30</w:t>
            </w:r>
          </w:p>
        </w:tc>
        <w:tc>
          <w:tcPr>
            <w:tcW w:w="2551" w:type="dxa"/>
            <w:vAlign w:val="center"/>
          </w:tcPr>
          <w:p>
            <w:pPr>
              <w:pStyle w:val="13"/>
            </w:pPr>
            <w:r>
              <w:t>160.30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70.78</w:t>
            </w:r>
          </w:p>
        </w:tc>
        <w:tc>
          <w:tcPr>
            <w:tcW w:w="2551" w:type="dxa"/>
            <w:vAlign w:val="center"/>
          </w:tcPr>
          <w:p>
            <w:pPr>
              <w:pStyle w:val="13"/>
            </w:pPr>
            <w:r>
              <w:t>70.78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21.31</w:t>
            </w:r>
          </w:p>
        </w:tc>
        <w:tc>
          <w:tcPr>
            <w:tcW w:w="2551" w:type="dxa"/>
            <w:vAlign w:val="center"/>
          </w:tcPr>
          <w:p>
            <w:pPr>
              <w:pStyle w:val="13"/>
            </w:pPr>
            <w:r>
              <w:t>21.31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19.97</w:t>
            </w:r>
          </w:p>
        </w:tc>
        <w:tc>
          <w:tcPr>
            <w:tcW w:w="2551" w:type="dxa"/>
            <w:vAlign w:val="center"/>
          </w:tcPr>
          <w:p>
            <w:pPr>
              <w:pStyle w:val="13"/>
            </w:pPr>
            <w:r>
              <w:t>19.97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14.33</w:t>
            </w:r>
          </w:p>
        </w:tc>
        <w:tc>
          <w:tcPr>
            <w:tcW w:w="2551" w:type="dxa"/>
            <w:vAlign w:val="center"/>
          </w:tcPr>
          <w:p>
            <w:pPr>
              <w:pStyle w:val="13"/>
            </w:pPr>
            <w:r>
              <w:t>14.33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14.31</w:t>
            </w:r>
          </w:p>
        </w:tc>
        <w:tc>
          <w:tcPr>
            <w:tcW w:w="2551" w:type="dxa"/>
            <w:vAlign w:val="center"/>
          </w:tcPr>
          <w:p>
            <w:pPr>
              <w:pStyle w:val="13"/>
            </w:pPr>
            <w:r>
              <w:t>14.31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6.42</w:t>
            </w:r>
          </w:p>
        </w:tc>
        <w:tc>
          <w:tcPr>
            <w:tcW w:w="2551" w:type="dxa"/>
            <w:vAlign w:val="center"/>
          </w:tcPr>
          <w:p>
            <w:pPr>
              <w:pStyle w:val="13"/>
            </w:pPr>
            <w:r>
              <w:t>6.42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12.62</w:t>
            </w:r>
          </w:p>
        </w:tc>
        <w:tc>
          <w:tcPr>
            <w:tcW w:w="2551" w:type="dxa"/>
            <w:vAlign w:val="center"/>
          </w:tcPr>
          <w:p>
            <w:pPr>
              <w:pStyle w:val="13"/>
            </w:pPr>
            <w:r>
              <w:t>12.62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24.93</w:t>
            </w:r>
          </w:p>
        </w:tc>
        <w:tc>
          <w:tcPr>
            <w:tcW w:w="2551" w:type="dxa"/>
            <w:vAlign w:val="center"/>
          </w:tcPr>
          <w:p>
            <w:pPr>
              <w:pStyle w:val="13"/>
            </w:pPr>
          </w:p>
        </w:tc>
        <w:tc>
          <w:tcPr>
            <w:tcW w:w="2551" w:type="dxa"/>
            <w:vAlign w:val="center"/>
          </w:tcPr>
          <w:p>
            <w:pPr>
              <w:pStyle w:val="13"/>
            </w:pPr>
            <w:r>
              <w:t>24.93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0.65</w:t>
            </w:r>
          </w:p>
        </w:tc>
        <w:tc>
          <w:tcPr>
            <w:tcW w:w="2551" w:type="dxa"/>
            <w:vAlign w:val="center"/>
          </w:tcPr>
          <w:p>
            <w:pPr>
              <w:pStyle w:val="13"/>
            </w:pPr>
          </w:p>
        </w:tc>
        <w:tc>
          <w:tcPr>
            <w:tcW w:w="2551" w:type="dxa"/>
            <w:vAlign w:val="center"/>
          </w:tcPr>
          <w:p>
            <w:pPr>
              <w:pStyle w:val="13"/>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0.65</w:t>
            </w:r>
          </w:p>
        </w:tc>
        <w:tc>
          <w:tcPr>
            <w:tcW w:w="2551" w:type="dxa"/>
            <w:vAlign w:val="center"/>
          </w:tcPr>
          <w:p>
            <w:pPr>
              <w:pStyle w:val="13"/>
            </w:pPr>
          </w:p>
        </w:tc>
        <w:tc>
          <w:tcPr>
            <w:tcW w:w="2551" w:type="dxa"/>
            <w:vAlign w:val="center"/>
          </w:tcPr>
          <w:p>
            <w:pPr>
              <w:pStyle w:val="13"/>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0.78</w:t>
            </w:r>
          </w:p>
        </w:tc>
        <w:tc>
          <w:tcPr>
            <w:tcW w:w="2551" w:type="dxa"/>
            <w:vAlign w:val="center"/>
          </w:tcPr>
          <w:p>
            <w:pPr>
              <w:pStyle w:val="13"/>
            </w:pPr>
          </w:p>
        </w:tc>
        <w:tc>
          <w:tcPr>
            <w:tcW w:w="2551" w:type="dxa"/>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3.42</w:t>
            </w:r>
          </w:p>
        </w:tc>
        <w:tc>
          <w:tcPr>
            <w:tcW w:w="2551" w:type="dxa"/>
            <w:vAlign w:val="center"/>
          </w:tcPr>
          <w:p>
            <w:pPr>
              <w:pStyle w:val="13"/>
            </w:pPr>
          </w:p>
        </w:tc>
        <w:tc>
          <w:tcPr>
            <w:tcW w:w="2551" w:type="dxa"/>
            <w:vAlign w:val="center"/>
          </w:tcPr>
          <w:p>
            <w:pPr>
              <w:pStyle w:val="13"/>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1.04</w:t>
            </w:r>
          </w:p>
        </w:tc>
        <w:tc>
          <w:tcPr>
            <w:tcW w:w="2551" w:type="dxa"/>
            <w:vAlign w:val="center"/>
          </w:tcPr>
          <w:p>
            <w:pPr>
              <w:pStyle w:val="13"/>
            </w:pPr>
          </w:p>
        </w:tc>
        <w:tc>
          <w:tcPr>
            <w:tcW w:w="2551" w:type="dxa"/>
            <w:vAlign w:val="center"/>
          </w:tcPr>
          <w:p>
            <w:pPr>
              <w:pStyle w:val="13"/>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1.04</w:t>
            </w:r>
          </w:p>
        </w:tc>
        <w:tc>
          <w:tcPr>
            <w:tcW w:w="2551" w:type="dxa"/>
            <w:vAlign w:val="center"/>
          </w:tcPr>
          <w:p>
            <w:pPr>
              <w:pStyle w:val="13"/>
            </w:pPr>
          </w:p>
        </w:tc>
        <w:tc>
          <w:tcPr>
            <w:tcW w:w="2551" w:type="dxa"/>
            <w:vAlign w:val="center"/>
          </w:tcPr>
          <w:p>
            <w:pPr>
              <w:pStyle w:val="13"/>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0.21</w:t>
            </w:r>
          </w:p>
        </w:tc>
        <w:tc>
          <w:tcPr>
            <w:tcW w:w="2551" w:type="dxa"/>
            <w:vAlign w:val="center"/>
          </w:tcPr>
          <w:p>
            <w:pPr>
              <w:pStyle w:val="13"/>
            </w:pPr>
          </w:p>
        </w:tc>
        <w:tc>
          <w:tcPr>
            <w:tcW w:w="2551" w:type="dxa"/>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1.16</w:t>
            </w:r>
          </w:p>
        </w:tc>
        <w:tc>
          <w:tcPr>
            <w:tcW w:w="2551" w:type="dxa"/>
            <w:vAlign w:val="center"/>
          </w:tcPr>
          <w:p>
            <w:pPr>
              <w:pStyle w:val="13"/>
            </w:pPr>
          </w:p>
        </w:tc>
        <w:tc>
          <w:tcPr>
            <w:tcW w:w="2551" w:type="dxa"/>
            <w:vAlign w:val="center"/>
          </w:tcPr>
          <w:p>
            <w:pPr>
              <w:pStyle w:val="13"/>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6.24</w:t>
            </w:r>
          </w:p>
        </w:tc>
        <w:tc>
          <w:tcPr>
            <w:tcW w:w="2551" w:type="dxa"/>
            <w:vAlign w:val="center"/>
          </w:tcPr>
          <w:p>
            <w:pPr>
              <w:pStyle w:val="13"/>
            </w:pPr>
          </w:p>
        </w:tc>
        <w:tc>
          <w:tcPr>
            <w:tcW w:w="2551" w:type="dxa"/>
            <w:vAlign w:val="center"/>
          </w:tcPr>
          <w:p>
            <w:pPr>
              <w:pStyle w:val="13"/>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2.24</w:t>
            </w:r>
          </w:p>
        </w:tc>
        <w:tc>
          <w:tcPr>
            <w:tcW w:w="2551" w:type="dxa"/>
            <w:vAlign w:val="center"/>
          </w:tcPr>
          <w:p>
            <w:pPr>
              <w:pStyle w:val="13"/>
            </w:pPr>
          </w:p>
        </w:tc>
        <w:tc>
          <w:tcPr>
            <w:tcW w:w="2551" w:type="dxa"/>
            <w:vAlign w:val="center"/>
          </w:tcPr>
          <w:p>
            <w:pPr>
              <w:pStyle w:val="13"/>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13.32</w:t>
            </w:r>
          </w:p>
        </w:tc>
        <w:tc>
          <w:tcPr>
            <w:tcW w:w="2551" w:type="dxa"/>
            <w:vAlign w:val="center"/>
          </w:tcPr>
          <w:p>
            <w:pPr>
              <w:pStyle w:val="13"/>
            </w:pPr>
            <w:r>
              <w:t>13.32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11.11</w:t>
            </w:r>
          </w:p>
        </w:tc>
        <w:tc>
          <w:tcPr>
            <w:tcW w:w="2551" w:type="dxa"/>
            <w:vAlign w:val="center"/>
          </w:tcPr>
          <w:p>
            <w:pPr>
              <w:pStyle w:val="13"/>
            </w:pPr>
            <w:r>
              <w:t>11.11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2.21</w:t>
            </w:r>
          </w:p>
        </w:tc>
        <w:tc>
          <w:tcPr>
            <w:tcW w:w="2551" w:type="dxa"/>
            <w:vAlign w:val="center"/>
          </w:tcPr>
          <w:p>
            <w:pPr>
              <w:pStyle w:val="13"/>
            </w:pPr>
            <w:r>
              <w:t>2.21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542001行唐县信访局本级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542001行唐县信访局本级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23"/>
        <w:gridCol w:w="1614"/>
        <w:gridCol w:w="1614"/>
        <w:gridCol w:w="378"/>
        <w:gridCol w:w="1236"/>
        <w:gridCol w:w="1145"/>
        <w:gridCol w:w="566"/>
        <w:gridCol w:w="1615"/>
        <w:gridCol w:w="1614"/>
        <w:gridCol w:w="967"/>
        <w:gridCol w:w="6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47" w:type="dxa"/>
          <w:trHeight w:val="369" w:hRule="atLeast"/>
          <w:tblHeader/>
          <w:jc w:val="center"/>
        </w:trPr>
        <w:tc>
          <w:tcPr>
            <w:tcW w:w="7029" w:type="dxa"/>
            <w:gridSpan w:val="4"/>
            <w:tcBorders>
              <w:top w:val="single" w:color="FFFFFF" w:sz="6" w:space="0"/>
              <w:left w:val="single" w:color="FFFFFF" w:sz="6" w:space="0"/>
              <w:right w:val="single" w:color="FFFFFF" w:sz="6" w:space="0"/>
            </w:tcBorders>
            <w:vAlign w:val="center"/>
          </w:tcPr>
          <w:p>
            <w:pPr>
              <w:pStyle w:val="11"/>
            </w:pPr>
            <w:r>
              <w:t>542001行唐县信访局本级</w:t>
            </w:r>
          </w:p>
        </w:tc>
        <w:tc>
          <w:tcPr>
            <w:tcW w:w="2381"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tblHeader/>
          <w:jc w:val="center"/>
        </w:trPr>
        <w:tc>
          <w:tcPr>
            <w:tcW w:w="3423" w:type="dxa"/>
            <w:vMerge w:val="restart"/>
            <w:vAlign w:val="center"/>
          </w:tcPr>
          <w:p>
            <w:pPr>
              <w:pStyle w:val="12"/>
            </w:pPr>
            <w:r>
              <w:t>支出内容</w:t>
            </w:r>
          </w:p>
        </w:tc>
        <w:tc>
          <w:tcPr>
            <w:tcW w:w="11396" w:type="dxa"/>
            <w:gridSpan w:val="10"/>
            <w:vAlign w:val="center"/>
          </w:tcPr>
          <w:p>
            <w:pPr>
              <w:pStyle w:val="12"/>
            </w:pPr>
            <w:r>
              <w:t>资  金  来  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3" w:hRule="atLeast"/>
          <w:tblHeader/>
          <w:jc w:val="center"/>
        </w:trPr>
        <w:tc>
          <w:tcPr>
            <w:tcW w:w="3423" w:type="dxa"/>
            <w:vMerge w:val="continue"/>
          </w:tcPr>
          <w:p/>
        </w:tc>
        <w:tc>
          <w:tcPr>
            <w:tcW w:w="1614" w:type="dxa"/>
            <w:vAlign w:val="center"/>
          </w:tcPr>
          <w:p>
            <w:pPr>
              <w:pStyle w:val="12"/>
            </w:pPr>
            <w:r>
              <w:t>合计</w:t>
            </w:r>
          </w:p>
        </w:tc>
        <w:tc>
          <w:tcPr>
            <w:tcW w:w="1614" w:type="dxa"/>
            <w:vAlign w:val="center"/>
          </w:tcPr>
          <w:p>
            <w:pPr>
              <w:pStyle w:val="12"/>
            </w:pPr>
            <w:r>
              <w:t>一般公共预算        拨款</w:t>
            </w:r>
          </w:p>
        </w:tc>
        <w:tc>
          <w:tcPr>
            <w:tcW w:w="1614" w:type="dxa"/>
            <w:gridSpan w:val="2"/>
            <w:vAlign w:val="center"/>
          </w:tcPr>
          <w:p>
            <w:pPr>
              <w:pStyle w:val="12"/>
            </w:pPr>
            <w:r>
              <w:t>基金预算拨款</w:t>
            </w:r>
          </w:p>
        </w:tc>
        <w:tc>
          <w:tcPr>
            <w:tcW w:w="1711" w:type="dxa"/>
            <w:gridSpan w:val="2"/>
            <w:vAlign w:val="center"/>
          </w:tcPr>
          <w:p>
            <w:pPr>
              <w:pStyle w:val="12"/>
            </w:pPr>
            <w:r>
              <w:t>国有资本经营    预算拨款</w:t>
            </w:r>
          </w:p>
        </w:tc>
        <w:tc>
          <w:tcPr>
            <w:tcW w:w="1615" w:type="dxa"/>
            <w:vAlign w:val="center"/>
          </w:tcPr>
          <w:p>
            <w:pPr>
              <w:pStyle w:val="12"/>
            </w:pPr>
            <w:r>
              <w:t>财政专户核拨</w:t>
            </w:r>
          </w:p>
        </w:tc>
        <w:tc>
          <w:tcPr>
            <w:tcW w:w="1614" w:type="dxa"/>
            <w:vAlign w:val="center"/>
          </w:tcPr>
          <w:p>
            <w:pPr>
              <w:pStyle w:val="12"/>
            </w:pPr>
            <w:r>
              <w:t>单位资金</w:t>
            </w:r>
          </w:p>
        </w:tc>
        <w:tc>
          <w:tcPr>
            <w:tcW w:w="1614" w:type="dxa"/>
            <w:gridSpan w:val="2"/>
            <w:vAlign w:val="center"/>
          </w:tcPr>
          <w:p>
            <w:pPr>
              <w:pStyle w:val="12"/>
            </w:pPr>
            <w:r>
              <w:t>上年结转结余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3423" w:type="dxa"/>
            <w:vAlign w:val="center"/>
          </w:tcPr>
          <w:p>
            <w:pPr>
              <w:pStyle w:val="16"/>
            </w:pPr>
            <w:r>
              <w:t>合计</w:t>
            </w:r>
          </w:p>
        </w:tc>
        <w:tc>
          <w:tcPr>
            <w:tcW w:w="1614" w:type="dxa"/>
            <w:vAlign w:val="center"/>
          </w:tcPr>
          <w:p>
            <w:pPr>
              <w:pStyle w:val="17"/>
            </w:pPr>
            <w:r>
              <w:t>2.</w:t>
            </w:r>
            <w:r>
              <w:rPr>
                <w:rFonts w:hint="eastAsia"/>
                <w:lang w:val="en-US" w:eastAsia="zh-CN"/>
              </w:rPr>
              <w:t>7</w:t>
            </w:r>
            <w:r>
              <w:t>1</w:t>
            </w:r>
          </w:p>
        </w:tc>
        <w:tc>
          <w:tcPr>
            <w:tcW w:w="1614" w:type="dxa"/>
            <w:vAlign w:val="center"/>
          </w:tcPr>
          <w:p>
            <w:pPr>
              <w:pStyle w:val="17"/>
            </w:pPr>
            <w:r>
              <w:t>2.</w:t>
            </w:r>
            <w:r>
              <w:rPr>
                <w:rFonts w:hint="eastAsia"/>
                <w:lang w:val="en-US" w:eastAsia="zh-CN"/>
              </w:rPr>
              <w:t>7</w:t>
            </w:r>
            <w:r>
              <w:t>1</w:t>
            </w:r>
          </w:p>
        </w:tc>
        <w:tc>
          <w:tcPr>
            <w:tcW w:w="1614" w:type="dxa"/>
            <w:gridSpan w:val="2"/>
            <w:vAlign w:val="center"/>
          </w:tcPr>
          <w:p>
            <w:pPr>
              <w:pStyle w:val="17"/>
            </w:pPr>
          </w:p>
        </w:tc>
        <w:tc>
          <w:tcPr>
            <w:tcW w:w="1711" w:type="dxa"/>
            <w:gridSpan w:val="2"/>
            <w:vAlign w:val="center"/>
          </w:tcPr>
          <w:p>
            <w:pPr>
              <w:pStyle w:val="17"/>
            </w:pPr>
          </w:p>
        </w:tc>
        <w:tc>
          <w:tcPr>
            <w:tcW w:w="1615" w:type="dxa"/>
            <w:vAlign w:val="center"/>
          </w:tcPr>
          <w:p>
            <w:pPr>
              <w:pStyle w:val="17"/>
            </w:pPr>
          </w:p>
        </w:tc>
        <w:tc>
          <w:tcPr>
            <w:tcW w:w="1614" w:type="dxa"/>
            <w:vAlign w:val="center"/>
          </w:tcPr>
          <w:p>
            <w:pPr>
              <w:pStyle w:val="17"/>
            </w:pPr>
          </w:p>
        </w:tc>
        <w:tc>
          <w:tcPr>
            <w:tcW w:w="1614" w:type="dxa"/>
            <w:gridSpan w:val="2"/>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3423" w:type="dxa"/>
            <w:vAlign w:val="center"/>
          </w:tcPr>
          <w:p>
            <w:pPr>
              <w:pStyle w:val="16"/>
            </w:pPr>
            <w:r>
              <w:t>“三公”经费小计</w:t>
            </w:r>
          </w:p>
        </w:tc>
        <w:tc>
          <w:tcPr>
            <w:tcW w:w="1614" w:type="dxa"/>
            <w:vAlign w:val="center"/>
          </w:tcPr>
          <w:p>
            <w:pPr>
              <w:pStyle w:val="17"/>
            </w:pPr>
            <w:r>
              <w:t>2.</w:t>
            </w:r>
            <w:r>
              <w:rPr>
                <w:rFonts w:hint="eastAsia"/>
                <w:lang w:val="en-US" w:eastAsia="zh-CN"/>
              </w:rPr>
              <w:t>7</w:t>
            </w:r>
            <w:r>
              <w:t>1</w:t>
            </w:r>
          </w:p>
        </w:tc>
        <w:tc>
          <w:tcPr>
            <w:tcW w:w="1614" w:type="dxa"/>
            <w:vAlign w:val="center"/>
          </w:tcPr>
          <w:p>
            <w:pPr>
              <w:pStyle w:val="17"/>
            </w:pPr>
            <w:r>
              <w:t>2.</w:t>
            </w:r>
            <w:r>
              <w:rPr>
                <w:rFonts w:hint="eastAsia"/>
                <w:lang w:val="en-US" w:eastAsia="zh-CN"/>
              </w:rPr>
              <w:t>7</w:t>
            </w:r>
            <w:r>
              <w:t>1</w:t>
            </w:r>
          </w:p>
        </w:tc>
        <w:tc>
          <w:tcPr>
            <w:tcW w:w="1614" w:type="dxa"/>
            <w:gridSpan w:val="2"/>
            <w:vAlign w:val="center"/>
          </w:tcPr>
          <w:p>
            <w:pPr>
              <w:pStyle w:val="17"/>
            </w:pPr>
          </w:p>
        </w:tc>
        <w:tc>
          <w:tcPr>
            <w:tcW w:w="1711" w:type="dxa"/>
            <w:gridSpan w:val="2"/>
            <w:vAlign w:val="center"/>
          </w:tcPr>
          <w:p>
            <w:pPr>
              <w:pStyle w:val="17"/>
            </w:pPr>
          </w:p>
        </w:tc>
        <w:tc>
          <w:tcPr>
            <w:tcW w:w="1615" w:type="dxa"/>
            <w:vAlign w:val="center"/>
          </w:tcPr>
          <w:p>
            <w:pPr>
              <w:pStyle w:val="17"/>
            </w:pPr>
          </w:p>
        </w:tc>
        <w:tc>
          <w:tcPr>
            <w:tcW w:w="1614" w:type="dxa"/>
            <w:vAlign w:val="center"/>
          </w:tcPr>
          <w:p>
            <w:pPr>
              <w:pStyle w:val="17"/>
            </w:pPr>
          </w:p>
        </w:tc>
        <w:tc>
          <w:tcPr>
            <w:tcW w:w="1614" w:type="dxa"/>
            <w:gridSpan w:val="2"/>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3423" w:type="dxa"/>
            <w:vAlign w:val="center"/>
          </w:tcPr>
          <w:p>
            <w:pPr>
              <w:pStyle w:val="14"/>
            </w:pPr>
            <w:r>
              <w:t>一、因公出国（境）费</w:t>
            </w:r>
          </w:p>
        </w:tc>
        <w:tc>
          <w:tcPr>
            <w:tcW w:w="1614" w:type="dxa"/>
            <w:vAlign w:val="center"/>
          </w:tcPr>
          <w:p>
            <w:pPr>
              <w:pStyle w:val="13"/>
            </w:pPr>
          </w:p>
        </w:tc>
        <w:tc>
          <w:tcPr>
            <w:tcW w:w="1614" w:type="dxa"/>
            <w:vAlign w:val="center"/>
          </w:tcPr>
          <w:p>
            <w:pPr>
              <w:pStyle w:val="13"/>
            </w:pPr>
          </w:p>
        </w:tc>
        <w:tc>
          <w:tcPr>
            <w:tcW w:w="1614" w:type="dxa"/>
            <w:gridSpan w:val="2"/>
            <w:vAlign w:val="center"/>
          </w:tcPr>
          <w:p>
            <w:pPr>
              <w:pStyle w:val="13"/>
            </w:pPr>
          </w:p>
        </w:tc>
        <w:tc>
          <w:tcPr>
            <w:tcW w:w="1711" w:type="dxa"/>
            <w:gridSpan w:val="2"/>
            <w:vAlign w:val="center"/>
          </w:tcPr>
          <w:p>
            <w:pPr>
              <w:pStyle w:val="13"/>
            </w:pPr>
          </w:p>
        </w:tc>
        <w:tc>
          <w:tcPr>
            <w:tcW w:w="1615" w:type="dxa"/>
            <w:vAlign w:val="center"/>
          </w:tcPr>
          <w:p>
            <w:pPr>
              <w:pStyle w:val="13"/>
            </w:pPr>
          </w:p>
        </w:tc>
        <w:tc>
          <w:tcPr>
            <w:tcW w:w="1614" w:type="dxa"/>
            <w:vAlign w:val="center"/>
          </w:tcPr>
          <w:p>
            <w:pPr>
              <w:pStyle w:val="13"/>
            </w:pPr>
          </w:p>
        </w:tc>
        <w:tc>
          <w:tcPr>
            <w:tcW w:w="1614" w:type="dxa"/>
            <w:gridSpan w:val="2"/>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3" w:hRule="atLeast"/>
          <w:jc w:val="center"/>
        </w:trPr>
        <w:tc>
          <w:tcPr>
            <w:tcW w:w="3423" w:type="dxa"/>
            <w:vAlign w:val="center"/>
          </w:tcPr>
          <w:p>
            <w:pPr>
              <w:pStyle w:val="14"/>
            </w:pPr>
            <w:r>
              <w:t xml:space="preserve">    其中：教学科研人员因公出国（境）费</w:t>
            </w:r>
          </w:p>
        </w:tc>
        <w:tc>
          <w:tcPr>
            <w:tcW w:w="1614" w:type="dxa"/>
            <w:vAlign w:val="center"/>
          </w:tcPr>
          <w:p>
            <w:pPr>
              <w:pStyle w:val="13"/>
            </w:pPr>
          </w:p>
        </w:tc>
        <w:tc>
          <w:tcPr>
            <w:tcW w:w="1614" w:type="dxa"/>
            <w:vAlign w:val="center"/>
          </w:tcPr>
          <w:p>
            <w:pPr>
              <w:pStyle w:val="13"/>
            </w:pPr>
          </w:p>
        </w:tc>
        <w:tc>
          <w:tcPr>
            <w:tcW w:w="1614" w:type="dxa"/>
            <w:gridSpan w:val="2"/>
            <w:vAlign w:val="center"/>
          </w:tcPr>
          <w:p>
            <w:pPr>
              <w:pStyle w:val="13"/>
            </w:pPr>
          </w:p>
        </w:tc>
        <w:tc>
          <w:tcPr>
            <w:tcW w:w="1711" w:type="dxa"/>
            <w:gridSpan w:val="2"/>
            <w:vAlign w:val="center"/>
          </w:tcPr>
          <w:p>
            <w:pPr>
              <w:pStyle w:val="13"/>
            </w:pPr>
          </w:p>
        </w:tc>
        <w:tc>
          <w:tcPr>
            <w:tcW w:w="1615" w:type="dxa"/>
            <w:vAlign w:val="center"/>
          </w:tcPr>
          <w:p>
            <w:pPr>
              <w:pStyle w:val="13"/>
            </w:pPr>
          </w:p>
        </w:tc>
        <w:tc>
          <w:tcPr>
            <w:tcW w:w="1614" w:type="dxa"/>
            <w:vAlign w:val="center"/>
          </w:tcPr>
          <w:p>
            <w:pPr>
              <w:pStyle w:val="13"/>
            </w:pPr>
          </w:p>
        </w:tc>
        <w:tc>
          <w:tcPr>
            <w:tcW w:w="1614" w:type="dxa"/>
            <w:gridSpan w:val="2"/>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3423" w:type="dxa"/>
            <w:vAlign w:val="center"/>
          </w:tcPr>
          <w:p>
            <w:pPr>
              <w:pStyle w:val="14"/>
            </w:pPr>
            <w:r>
              <w:t xml:space="preserve">          其他因公出国（境）费</w:t>
            </w:r>
          </w:p>
        </w:tc>
        <w:tc>
          <w:tcPr>
            <w:tcW w:w="1614" w:type="dxa"/>
            <w:vAlign w:val="center"/>
          </w:tcPr>
          <w:p>
            <w:pPr>
              <w:pStyle w:val="13"/>
            </w:pPr>
          </w:p>
        </w:tc>
        <w:tc>
          <w:tcPr>
            <w:tcW w:w="1614" w:type="dxa"/>
            <w:vAlign w:val="center"/>
          </w:tcPr>
          <w:p>
            <w:pPr>
              <w:pStyle w:val="13"/>
            </w:pPr>
          </w:p>
        </w:tc>
        <w:tc>
          <w:tcPr>
            <w:tcW w:w="1614" w:type="dxa"/>
            <w:gridSpan w:val="2"/>
            <w:vAlign w:val="center"/>
          </w:tcPr>
          <w:p>
            <w:pPr>
              <w:pStyle w:val="13"/>
            </w:pPr>
          </w:p>
        </w:tc>
        <w:tc>
          <w:tcPr>
            <w:tcW w:w="1711" w:type="dxa"/>
            <w:gridSpan w:val="2"/>
            <w:vAlign w:val="center"/>
          </w:tcPr>
          <w:p>
            <w:pPr>
              <w:pStyle w:val="13"/>
            </w:pPr>
          </w:p>
        </w:tc>
        <w:tc>
          <w:tcPr>
            <w:tcW w:w="1615" w:type="dxa"/>
            <w:vAlign w:val="center"/>
          </w:tcPr>
          <w:p>
            <w:pPr>
              <w:pStyle w:val="13"/>
            </w:pPr>
          </w:p>
        </w:tc>
        <w:tc>
          <w:tcPr>
            <w:tcW w:w="1614" w:type="dxa"/>
            <w:vAlign w:val="center"/>
          </w:tcPr>
          <w:p>
            <w:pPr>
              <w:pStyle w:val="13"/>
            </w:pPr>
          </w:p>
        </w:tc>
        <w:tc>
          <w:tcPr>
            <w:tcW w:w="1614" w:type="dxa"/>
            <w:gridSpan w:val="2"/>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3423" w:type="dxa"/>
            <w:vAlign w:val="center"/>
          </w:tcPr>
          <w:p>
            <w:pPr>
              <w:pStyle w:val="14"/>
            </w:pPr>
            <w:r>
              <w:t>二、公务用车购置及运维费</w:t>
            </w:r>
          </w:p>
        </w:tc>
        <w:tc>
          <w:tcPr>
            <w:tcW w:w="1614" w:type="dxa"/>
            <w:vAlign w:val="center"/>
          </w:tcPr>
          <w:p>
            <w:pPr>
              <w:pStyle w:val="13"/>
            </w:pPr>
            <w:r>
              <w:t>2.60</w:t>
            </w:r>
          </w:p>
        </w:tc>
        <w:tc>
          <w:tcPr>
            <w:tcW w:w="1614" w:type="dxa"/>
            <w:vAlign w:val="center"/>
          </w:tcPr>
          <w:p>
            <w:pPr>
              <w:pStyle w:val="13"/>
            </w:pPr>
            <w:r>
              <w:rPr>
                <w:rFonts w:hint="eastAsia"/>
                <w:lang w:val="en-US" w:eastAsia="zh-CN"/>
              </w:rPr>
              <w:t>2.5</w:t>
            </w:r>
            <w:r>
              <w:t>0</w:t>
            </w:r>
          </w:p>
        </w:tc>
        <w:tc>
          <w:tcPr>
            <w:tcW w:w="1614" w:type="dxa"/>
            <w:gridSpan w:val="2"/>
            <w:vAlign w:val="center"/>
          </w:tcPr>
          <w:p>
            <w:pPr>
              <w:pStyle w:val="13"/>
            </w:pPr>
          </w:p>
        </w:tc>
        <w:tc>
          <w:tcPr>
            <w:tcW w:w="1711" w:type="dxa"/>
            <w:gridSpan w:val="2"/>
            <w:vAlign w:val="center"/>
          </w:tcPr>
          <w:p>
            <w:pPr>
              <w:pStyle w:val="13"/>
            </w:pPr>
          </w:p>
        </w:tc>
        <w:tc>
          <w:tcPr>
            <w:tcW w:w="1615" w:type="dxa"/>
            <w:vAlign w:val="center"/>
          </w:tcPr>
          <w:p>
            <w:pPr>
              <w:pStyle w:val="13"/>
            </w:pPr>
          </w:p>
        </w:tc>
        <w:tc>
          <w:tcPr>
            <w:tcW w:w="1614" w:type="dxa"/>
            <w:vAlign w:val="center"/>
          </w:tcPr>
          <w:p>
            <w:pPr>
              <w:pStyle w:val="13"/>
            </w:pPr>
          </w:p>
        </w:tc>
        <w:tc>
          <w:tcPr>
            <w:tcW w:w="1614" w:type="dxa"/>
            <w:gridSpan w:val="2"/>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3423" w:type="dxa"/>
            <w:vAlign w:val="center"/>
          </w:tcPr>
          <w:p>
            <w:pPr>
              <w:pStyle w:val="14"/>
            </w:pPr>
            <w:r>
              <w:t xml:space="preserve">    其中：公务用车购置费</w:t>
            </w:r>
          </w:p>
        </w:tc>
        <w:tc>
          <w:tcPr>
            <w:tcW w:w="1614" w:type="dxa"/>
            <w:vAlign w:val="center"/>
          </w:tcPr>
          <w:p>
            <w:pPr>
              <w:pStyle w:val="13"/>
            </w:pPr>
          </w:p>
        </w:tc>
        <w:tc>
          <w:tcPr>
            <w:tcW w:w="1614" w:type="dxa"/>
            <w:vAlign w:val="center"/>
          </w:tcPr>
          <w:p>
            <w:pPr>
              <w:pStyle w:val="13"/>
            </w:pPr>
          </w:p>
        </w:tc>
        <w:tc>
          <w:tcPr>
            <w:tcW w:w="1614" w:type="dxa"/>
            <w:gridSpan w:val="2"/>
            <w:vAlign w:val="center"/>
          </w:tcPr>
          <w:p>
            <w:pPr>
              <w:pStyle w:val="13"/>
            </w:pPr>
          </w:p>
        </w:tc>
        <w:tc>
          <w:tcPr>
            <w:tcW w:w="1711" w:type="dxa"/>
            <w:gridSpan w:val="2"/>
            <w:vAlign w:val="center"/>
          </w:tcPr>
          <w:p>
            <w:pPr>
              <w:pStyle w:val="13"/>
            </w:pPr>
          </w:p>
        </w:tc>
        <w:tc>
          <w:tcPr>
            <w:tcW w:w="1615" w:type="dxa"/>
            <w:vAlign w:val="center"/>
          </w:tcPr>
          <w:p>
            <w:pPr>
              <w:pStyle w:val="13"/>
            </w:pPr>
          </w:p>
        </w:tc>
        <w:tc>
          <w:tcPr>
            <w:tcW w:w="1614" w:type="dxa"/>
            <w:vAlign w:val="center"/>
          </w:tcPr>
          <w:p>
            <w:pPr>
              <w:pStyle w:val="13"/>
            </w:pPr>
          </w:p>
        </w:tc>
        <w:tc>
          <w:tcPr>
            <w:tcW w:w="1614" w:type="dxa"/>
            <w:gridSpan w:val="2"/>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3423" w:type="dxa"/>
            <w:vAlign w:val="center"/>
          </w:tcPr>
          <w:p>
            <w:pPr>
              <w:pStyle w:val="14"/>
            </w:pPr>
            <w:r>
              <w:t xml:space="preserve">          公务用车运行维护费</w:t>
            </w:r>
          </w:p>
        </w:tc>
        <w:tc>
          <w:tcPr>
            <w:tcW w:w="1614" w:type="dxa"/>
            <w:vAlign w:val="center"/>
          </w:tcPr>
          <w:p>
            <w:pPr>
              <w:pStyle w:val="13"/>
            </w:pPr>
            <w:r>
              <w:t>2.60</w:t>
            </w:r>
          </w:p>
        </w:tc>
        <w:tc>
          <w:tcPr>
            <w:tcW w:w="1614" w:type="dxa"/>
            <w:vAlign w:val="center"/>
          </w:tcPr>
          <w:p>
            <w:pPr>
              <w:pStyle w:val="13"/>
            </w:pPr>
            <w:r>
              <w:t>2.</w:t>
            </w:r>
            <w:r>
              <w:rPr>
                <w:rFonts w:hint="eastAsia"/>
                <w:lang w:val="en-US" w:eastAsia="zh-CN"/>
              </w:rPr>
              <w:t>5</w:t>
            </w:r>
            <w:r>
              <w:t>0</w:t>
            </w:r>
          </w:p>
        </w:tc>
        <w:tc>
          <w:tcPr>
            <w:tcW w:w="1614" w:type="dxa"/>
            <w:gridSpan w:val="2"/>
            <w:vAlign w:val="center"/>
          </w:tcPr>
          <w:p>
            <w:pPr>
              <w:pStyle w:val="13"/>
            </w:pPr>
          </w:p>
        </w:tc>
        <w:tc>
          <w:tcPr>
            <w:tcW w:w="1711" w:type="dxa"/>
            <w:gridSpan w:val="2"/>
            <w:vAlign w:val="center"/>
          </w:tcPr>
          <w:p>
            <w:pPr>
              <w:pStyle w:val="13"/>
            </w:pPr>
          </w:p>
        </w:tc>
        <w:tc>
          <w:tcPr>
            <w:tcW w:w="1615" w:type="dxa"/>
            <w:vAlign w:val="center"/>
          </w:tcPr>
          <w:p>
            <w:pPr>
              <w:pStyle w:val="13"/>
            </w:pPr>
          </w:p>
        </w:tc>
        <w:tc>
          <w:tcPr>
            <w:tcW w:w="1614" w:type="dxa"/>
            <w:vAlign w:val="center"/>
          </w:tcPr>
          <w:p>
            <w:pPr>
              <w:pStyle w:val="13"/>
            </w:pPr>
          </w:p>
        </w:tc>
        <w:tc>
          <w:tcPr>
            <w:tcW w:w="1614" w:type="dxa"/>
            <w:gridSpan w:val="2"/>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3423" w:type="dxa"/>
            <w:vAlign w:val="center"/>
          </w:tcPr>
          <w:p>
            <w:pPr>
              <w:pStyle w:val="14"/>
            </w:pPr>
            <w:r>
              <w:t>三、公务接待费</w:t>
            </w:r>
          </w:p>
        </w:tc>
        <w:tc>
          <w:tcPr>
            <w:tcW w:w="1614" w:type="dxa"/>
            <w:vAlign w:val="center"/>
          </w:tcPr>
          <w:p>
            <w:pPr>
              <w:pStyle w:val="13"/>
            </w:pPr>
            <w:r>
              <w:t>0.21</w:t>
            </w:r>
          </w:p>
        </w:tc>
        <w:tc>
          <w:tcPr>
            <w:tcW w:w="1614" w:type="dxa"/>
            <w:vAlign w:val="center"/>
          </w:tcPr>
          <w:p>
            <w:pPr>
              <w:pStyle w:val="13"/>
            </w:pPr>
            <w:r>
              <w:t>0.21</w:t>
            </w:r>
          </w:p>
        </w:tc>
        <w:tc>
          <w:tcPr>
            <w:tcW w:w="1614" w:type="dxa"/>
            <w:gridSpan w:val="2"/>
            <w:vAlign w:val="center"/>
          </w:tcPr>
          <w:p>
            <w:pPr>
              <w:pStyle w:val="13"/>
            </w:pPr>
          </w:p>
        </w:tc>
        <w:tc>
          <w:tcPr>
            <w:tcW w:w="1711" w:type="dxa"/>
            <w:gridSpan w:val="2"/>
            <w:vAlign w:val="center"/>
          </w:tcPr>
          <w:p>
            <w:pPr>
              <w:pStyle w:val="13"/>
            </w:pPr>
          </w:p>
        </w:tc>
        <w:tc>
          <w:tcPr>
            <w:tcW w:w="1615" w:type="dxa"/>
            <w:vAlign w:val="center"/>
          </w:tcPr>
          <w:p>
            <w:pPr>
              <w:pStyle w:val="13"/>
            </w:pPr>
          </w:p>
        </w:tc>
        <w:tc>
          <w:tcPr>
            <w:tcW w:w="1614" w:type="dxa"/>
            <w:vAlign w:val="center"/>
          </w:tcPr>
          <w:p>
            <w:pPr>
              <w:pStyle w:val="13"/>
            </w:pPr>
          </w:p>
        </w:tc>
        <w:tc>
          <w:tcPr>
            <w:tcW w:w="1614" w:type="dxa"/>
            <w:gridSpan w:val="2"/>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3423" w:type="dxa"/>
            <w:vAlign w:val="center"/>
          </w:tcPr>
          <w:p>
            <w:pPr>
              <w:pStyle w:val="14"/>
            </w:pPr>
            <w:r>
              <w:t>四、会议费</w:t>
            </w:r>
          </w:p>
        </w:tc>
        <w:tc>
          <w:tcPr>
            <w:tcW w:w="1614" w:type="dxa"/>
            <w:vAlign w:val="center"/>
          </w:tcPr>
          <w:p>
            <w:pPr>
              <w:pStyle w:val="13"/>
            </w:pPr>
          </w:p>
        </w:tc>
        <w:tc>
          <w:tcPr>
            <w:tcW w:w="1614" w:type="dxa"/>
            <w:vAlign w:val="center"/>
          </w:tcPr>
          <w:p>
            <w:pPr>
              <w:pStyle w:val="13"/>
            </w:pPr>
          </w:p>
        </w:tc>
        <w:tc>
          <w:tcPr>
            <w:tcW w:w="1614" w:type="dxa"/>
            <w:gridSpan w:val="2"/>
            <w:vAlign w:val="center"/>
          </w:tcPr>
          <w:p>
            <w:pPr>
              <w:pStyle w:val="13"/>
            </w:pPr>
          </w:p>
        </w:tc>
        <w:tc>
          <w:tcPr>
            <w:tcW w:w="1711" w:type="dxa"/>
            <w:gridSpan w:val="2"/>
            <w:vAlign w:val="center"/>
          </w:tcPr>
          <w:p>
            <w:pPr>
              <w:pStyle w:val="13"/>
            </w:pPr>
          </w:p>
        </w:tc>
        <w:tc>
          <w:tcPr>
            <w:tcW w:w="1615" w:type="dxa"/>
            <w:vAlign w:val="center"/>
          </w:tcPr>
          <w:p>
            <w:pPr>
              <w:pStyle w:val="13"/>
            </w:pPr>
          </w:p>
        </w:tc>
        <w:tc>
          <w:tcPr>
            <w:tcW w:w="1614" w:type="dxa"/>
            <w:vAlign w:val="center"/>
          </w:tcPr>
          <w:p>
            <w:pPr>
              <w:pStyle w:val="13"/>
            </w:pPr>
          </w:p>
        </w:tc>
        <w:tc>
          <w:tcPr>
            <w:tcW w:w="1614" w:type="dxa"/>
            <w:gridSpan w:val="2"/>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3423" w:type="dxa"/>
            <w:vAlign w:val="center"/>
          </w:tcPr>
          <w:p>
            <w:pPr>
              <w:pStyle w:val="14"/>
            </w:pPr>
            <w:r>
              <w:t xml:space="preserve">    其中：省属高校业务性会议费</w:t>
            </w:r>
          </w:p>
        </w:tc>
        <w:tc>
          <w:tcPr>
            <w:tcW w:w="1614" w:type="dxa"/>
            <w:vAlign w:val="center"/>
          </w:tcPr>
          <w:p>
            <w:pPr>
              <w:pStyle w:val="13"/>
            </w:pPr>
          </w:p>
        </w:tc>
        <w:tc>
          <w:tcPr>
            <w:tcW w:w="1614" w:type="dxa"/>
            <w:vAlign w:val="center"/>
          </w:tcPr>
          <w:p>
            <w:pPr>
              <w:pStyle w:val="13"/>
            </w:pPr>
          </w:p>
        </w:tc>
        <w:tc>
          <w:tcPr>
            <w:tcW w:w="1614" w:type="dxa"/>
            <w:gridSpan w:val="2"/>
            <w:vAlign w:val="center"/>
          </w:tcPr>
          <w:p>
            <w:pPr>
              <w:pStyle w:val="13"/>
            </w:pPr>
          </w:p>
        </w:tc>
        <w:tc>
          <w:tcPr>
            <w:tcW w:w="1711" w:type="dxa"/>
            <w:gridSpan w:val="2"/>
            <w:vAlign w:val="center"/>
          </w:tcPr>
          <w:p>
            <w:pPr>
              <w:pStyle w:val="13"/>
            </w:pPr>
          </w:p>
        </w:tc>
        <w:tc>
          <w:tcPr>
            <w:tcW w:w="1615" w:type="dxa"/>
            <w:vAlign w:val="center"/>
          </w:tcPr>
          <w:p>
            <w:pPr>
              <w:pStyle w:val="13"/>
            </w:pPr>
          </w:p>
        </w:tc>
        <w:tc>
          <w:tcPr>
            <w:tcW w:w="1614" w:type="dxa"/>
            <w:vAlign w:val="center"/>
          </w:tcPr>
          <w:p>
            <w:pPr>
              <w:pStyle w:val="13"/>
            </w:pPr>
          </w:p>
        </w:tc>
        <w:tc>
          <w:tcPr>
            <w:tcW w:w="1614" w:type="dxa"/>
            <w:gridSpan w:val="2"/>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3423" w:type="dxa"/>
            <w:vAlign w:val="center"/>
          </w:tcPr>
          <w:p>
            <w:pPr>
              <w:pStyle w:val="14"/>
            </w:pPr>
            <w:r>
              <w:t xml:space="preserve">          其他会议费</w:t>
            </w:r>
          </w:p>
        </w:tc>
        <w:tc>
          <w:tcPr>
            <w:tcW w:w="1614" w:type="dxa"/>
            <w:vAlign w:val="center"/>
          </w:tcPr>
          <w:p>
            <w:pPr>
              <w:pStyle w:val="13"/>
            </w:pPr>
          </w:p>
        </w:tc>
        <w:tc>
          <w:tcPr>
            <w:tcW w:w="1614" w:type="dxa"/>
            <w:vAlign w:val="center"/>
          </w:tcPr>
          <w:p>
            <w:pPr>
              <w:pStyle w:val="13"/>
            </w:pPr>
          </w:p>
        </w:tc>
        <w:tc>
          <w:tcPr>
            <w:tcW w:w="1614" w:type="dxa"/>
            <w:gridSpan w:val="2"/>
            <w:vAlign w:val="center"/>
          </w:tcPr>
          <w:p>
            <w:pPr>
              <w:pStyle w:val="13"/>
            </w:pPr>
          </w:p>
        </w:tc>
        <w:tc>
          <w:tcPr>
            <w:tcW w:w="1711" w:type="dxa"/>
            <w:gridSpan w:val="2"/>
            <w:vAlign w:val="center"/>
          </w:tcPr>
          <w:p>
            <w:pPr>
              <w:pStyle w:val="13"/>
            </w:pPr>
          </w:p>
        </w:tc>
        <w:tc>
          <w:tcPr>
            <w:tcW w:w="1615" w:type="dxa"/>
            <w:vAlign w:val="center"/>
          </w:tcPr>
          <w:p>
            <w:pPr>
              <w:pStyle w:val="13"/>
            </w:pPr>
          </w:p>
        </w:tc>
        <w:tc>
          <w:tcPr>
            <w:tcW w:w="1614" w:type="dxa"/>
            <w:vAlign w:val="center"/>
          </w:tcPr>
          <w:p>
            <w:pPr>
              <w:pStyle w:val="13"/>
            </w:pPr>
          </w:p>
        </w:tc>
        <w:tc>
          <w:tcPr>
            <w:tcW w:w="1614" w:type="dxa"/>
            <w:gridSpan w:val="2"/>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0" w:hRule="atLeast"/>
          <w:jc w:val="center"/>
        </w:trPr>
        <w:tc>
          <w:tcPr>
            <w:tcW w:w="3423" w:type="dxa"/>
            <w:vAlign w:val="center"/>
          </w:tcPr>
          <w:p>
            <w:pPr>
              <w:pStyle w:val="14"/>
            </w:pPr>
            <w:r>
              <w:t>五、培训费</w:t>
            </w:r>
          </w:p>
        </w:tc>
        <w:tc>
          <w:tcPr>
            <w:tcW w:w="1614" w:type="dxa"/>
            <w:vAlign w:val="center"/>
          </w:tcPr>
          <w:p>
            <w:pPr>
              <w:pStyle w:val="13"/>
            </w:pPr>
          </w:p>
        </w:tc>
        <w:tc>
          <w:tcPr>
            <w:tcW w:w="1614" w:type="dxa"/>
            <w:vAlign w:val="center"/>
          </w:tcPr>
          <w:p>
            <w:pPr>
              <w:pStyle w:val="13"/>
            </w:pPr>
          </w:p>
        </w:tc>
        <w:tc>
          <w:tcPr>
            <w:tcW w:w="1614" w:type="dxa"/>
            <w:gridSpan w:val="2"/>
            <w:vAlign w:val="center"/>
          </w:tcPr>
          <w:p>
            <w:pPr>
              <w:pStyle w:val="13"/>
            </w:pPr>
          </w:p>
        </w:tc>
        <w:tc>
          <w:tcPr>
            <w:tcW w:w="1711" w:type="dxa"/>
            <w:gridSpan w:val="2"/>
            <w:vAlign w:val="center"/>
          </w:tcPr>
          <w:p>
            <w:pPr>
              <w:pStyle w:val="13"/>
            </w:pPr>
          </w:p>
        </w:tc>
        <w:tc>
          <w:tcPr>
            <w:tcW w:w="1615" w:type="dxa"/>
            <w:vAlign w:val="center"/>
          </w:tcPr>
          <w:p>
            <w:pPr>
              <w:pStyle w:val="13"/>
            </w:pPr>
          </w:p>
        </w:tc>
        <w:tc>
          <w:tcPr>
            <w:tcW w:w="1614" w:type="dxa"/>
            <w:vAlign w:val="center"/>
          </w:tcPr>
          <w:p>
            <w:pPr>
              <w:pStyle w:val="13"/>
            </w:pPr>
          </w:p>
        </w:tc>
        <w:tc>
          <w:tcPr>
            <w:tcW w:w="1614" w:type="dxa"/>
            <w:gridSpan w:val="2"/>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行唐县信访局本级2026年单位预算信息公开情况说明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按照《中华人民共和国预算法》、《地方预决算公开操作规程》和《关于进一步推进预算公开工作的实施意见》规定，现将行唐县信访局本级2026年单位预算公开如下：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（一）研究提出全县信访工作思路，起草工作规章草案。</w:t>
      </w:r>
    </w:p>
    <w:p>
      <w:pPr>
        <w:pStyle w:val="19"/>
      </w:pPr>
      <w:r>
        <w:t>（二）办理人民群众来信，接待群众来访，受理网上群众投诉，查办信访案件，负责人民群众建议征集工作。</w:t>
      </w:r>
    </w:p>
    <w:p>
      <w:pPr>
        <w:pStyle w:val="19"/>
      </w:pPr>
      <w:r>
        <w:t>（三）调查研究和综合分析全县信访形势及信访工作状况，总结推广各地各</w:t>
      </w:r>
      <w:r>
        <w:rPr>
          <w:rFonts w:hint="eastAsia"/>
          <w:lang w:eastAsia="zh-CN"/>
        </w:rPr>
        <w:t>单位</w:t>
      </w:r>
      <w:r>
        <w:t>信访工作经验，提出改进和加强信访工作的意见和建议。</w:t>
      </w:r>
    </w:p>
    <w:p>
      <w:pPr>
        <w:pStyle w:val="19"/>
      </w:pPr>
      <w:r>
        <w:t>（四）参与组织、协调、指导全县社会治安综合治理和维护社会稳定工作，协助保障国家和县、市、县重大政治活动顺利进行，参与处理影响社会政治稳定的突发性、群众性事件。</w:t>
      </w:r>
    </w:p>
    <w:p>
      <w:pPr>
        <w:pStyle w:val="19"/>
      </w:pPr>
      <w:r>
        <w:t>（五）督促检查和指导各乡镇党委、政府，县经济开发区党工委、管委会和县直各</w:t>
      </w:r>
      <w:r>
        <w:rPr>
          <w:rFonts w:hint="eastAsia"/>
          <w:lang w:eastAsia="zh-CN"/>
        </w:rPr>
        <w:t>单位</w:t>
      </w:r>
      <w:r>
        <w:t>的信访工作。对乡镇党委、政府，县经济开发区党工委、管委会和县直各</w:t>
      </w:r>
      <w:r>
        <w:rPr>
          <w:rFonts w:hint="eastAsia"/>
          <w:lang w:eastAsia="zh-CN"/>
        </w:rPr>
        <w:t>单位</w:t>
      </w:r>
      <w:r>
        <w:t>的信访工作年度责任目标进行考核，对全县社会治安综合治理和维护社会政治稳定年度责任目标中有关信访工作进行考核。</w:t>
      </w:r>
    </w:p>
    <w:p>
      <w:pPr>
        <w:pStyle w:val="19"/>
      </w:pPr>
      <w:r>
        <w:t>（六）协助国家信访局、县信访局、市信访局处理行唐县群众进京赴县上访工作，综合协调处理跨地区、跨</w:t>
      </w:r>
      <w:r>
        <w:rPr>
          <w:rFonts w:hint="eastAsia"/>
          <w:lang w:eastAsia="zh-CN"/>
        </w:rPr>
        <w:t>单位</w:t>
      </w:r>
      <w:r>
        <w:t>、跨行业的重要信访问题。</w:t>
      </w:r>
    </w:p>
    <w:p>
      <w:pPr>
        <w:pStyle w:val="19"/>
      </w:pPr>
      <w:r>
        <w:t>（七）负责县、市、县领导及县直、市直领导公开接访和包联案件的协调工作。</w:t>
      </w:r>
    </w:p>
    <w:p>
      <w:pPr>
        <w:pStyle w:val="19"/>
      </w:pPr>
      <w:r>
        <w:t>（八）承担行唐县信访工作联席会议的日常工作，督促落实联席会议决定的事项。</w:t>
      </w:r>
    </w:p>
    <w:p>
      <w:pPr>
        <w:pStyle w:val="19"/>
      </w:pPr>
      <w:r>
        <w:t>（九）完成县委、县政府及国家信访局、县信访局、市信访局交办的其他任务。</w:t>
      </w:r>
    </w:p>
    <w:p>
      <w:pPr>
        <w:pStyle w:val="19"/>
      </w:pPr>
      <w:r>
        <w:t> </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行唐县信访局本级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w:t>
      </w:r>
      <w:r>
        <w:rPr>
          <w:rFonts w:hint="eastAsia"/>
          <w:lang w:val="en-US" w:eastAsia="zh-CN"/>
        </w:rPr>
        <w:t>6</w:t>
      </w:r>
      <w:r>
        <w:t>年预算收入2</w:t>
      </w:r>
      <w:r>
        <w:rPr>
          <w:rFonts w:hint="eastAsia"/>
          <w:lang w:val="en-US" w:eastAsia="zh-CN"/>
        </w:rPr>
        <w:t>22.06</w:t>
      </w:r>
      <w:r>
        <w:t>万元，其中：一般公共预算收入2</w:t>
      </w:r>
      <w:r>
        <w:rPr>
          <w:rFonts w:hint="eastAsia"/>
          <w:lang w:val="en-US" w:eastAsia="zh-CN"/>
        </w:rPr>
        <w:t>22.06</w:t>
      </w:r>
      <w:r>
        <w:t>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收支预算总表支出栏、基本支出表、项目支出表按经济分类和支出功能分类科目编制，反映行唐县信访局本级年度单位预算中支出预算的总体情况。202</w:t>
      </w:r>
      <w:r>
        <w:rPr>
          <w:rFonts w:hint="eastAsia"/>
          <w:lang w:val="en-US" w:eastAsia="zh-CN"/>
        </w:rPr>
        <w:t>6</w:t>
      </w:r>
      <w:r>
        <w:t>年支出预算2</w:t>
      </w:r>
      <w:r>
        <w:rPr>
          <w:rFonts w:hint="eastAsia"/>
          <w:lang w:val="en-US" w:eastAsia="zh-CN"/>
        </w:rPr>
        <w:t>22.06</w:t>
      </w:r>
      <w:r>
        <w:t>万元，其中基本支出</w:t>
      </w:r>
      <w:r>
        <w:rPr>
          <w:rFonts w:hint="eastAsia"/>
          <w:lang w:val="en-US" w:eastAsia="zh-CN"/>
        </w:rPr>
        <w:t>198.55</w:t>
      </w:r>
      <w:r>
        <w:t>万元，包括人员经费1</w:t>
      </w:r>
      <w:r>
        <w:rPr>
          <w:rFonts w:hint="eastAsia"/>
          <w:lang w:val="en-US" w:eastAsia="zh-CN"/>
        </w:rPr>
        <w:t>73.62</w:t>
      </w:r>
      <w:r>
        <w:t>万元和日常公用经费</w:t>
      </w:r>
      <w:r>
        <w:rPr>
          <w:rFonts w:hint="eastAsia"/>
          <w:lang w:val="en-US" w:eastAsia="zh-CN"/>
        </w:rPr>
        <w:t>24.93</w:t>
      </w:r>
      <w:r>
        <w:t>万元；项目支出</w:t>
      </w:r>
      <w:r>
        <w:rPr>
          <w:rFonts w:hint="eastAsia"/>
          <w:lang w:val="en-US" w:eastAsia="zh-CN"/>
        </w:rPr>
        <w:t>23.51</w:t>
      </w:r>
      <w:r>
        <w:t>万元，主要为</w:t>
      </w:r>
      <w:r>
        <w:rPr>
          <w:rFonts w:hint="eastAsia"/>
          <w:lang w:eastAsia="zh-CN"/>
        </w:rPr>
        <w:t>劳务派遣人员经费</w:t>
      </w:r>
      <w:r>
        <w:rPr>
          <w:rFonts w:hint="eastAsia"/>
          <w:lang w:val="en-US" w:eastAsia="zh-CN"/>
        </w:rPr>
        <w:t>23.51万元</w:t>
      </w:r>
      <w:r>
        <w:t>。</w:t>
      </w:r>
    </w:p>
    <w:p>
      <w:pPr>
        <w:pStyle w:val="20"/>
      </w:pPr>
      <w:r>
        <w:t>3、比上年增减情况</w:t>
      </w:r>
    </w:p>
    <w:p>
      <w:pPr>
        <w:pStyle w:val="20"/>
      </w:pPr>
      <w:r>
        <w:t>202</w:t>
      </w:r>
      <w:r>
        <w:rPr>
          <w:rFonts w:hint="eastAsia"/>
          <w:lang w:val="en-US" w:eastAsia="zh-CN"/>
        </w:rPr>
        <w:t>6</w:t>
      </w:r>
      <w:r>
        <w:t>年预算收支安排2</w:t>
      </w:r>
      <w:r>
        <w:rPr>
          <w:rFonts w:hint="eastAsia"/>
          <w:lang w:val="en-US" w:eastAsia="zh-CN"/>
        </w:rPr>
        <w:t>22.06</w:t>
      </w:r>
      <w:r>
        <w:t>万元，较202</w:t>
      </w:r>
      <w:r>
        <w:rPr>
          <w:rFonts w:hint="eastAsia"/>
          <w:lang w:val="en-US" w:eastAsia="zh-CN"/>
        </w:rPr>
        <w:t>5</w:t>
      </w:r>
      <w:r>
        <w:t>年预算</w:t>
      </w:r>
      <w:r>
        <w:rPr>
          <w:rFonts w:hint="eastAsia"/>
          <w:lang w:eastAsia="zh-CN"/>
        </w:rPr>
        <w:t>增加</w:t>
      </w:r>
      <w:r>
        <w:rPr>
          <w:rFonts w:hint="eastAsia"/>
          <w:lang w:val="en-US" w:eastAsia="zh-CN"/>
        </w:rPr>
        <w:t>18.51</w:t>
      </w:r>
      <w:r>
        <w:t>万元，其中：基本支出增加</w:t>
      </w:r>
      <w:r>
        <w:rPr>
          <w:rFonts w:hint="eastAsia"/>
          <w:lang w:val="en-US" w:eastAsia="zh-CN"/>
        </w:rPr>
        <w:t>13.20</w:t>
      </w:r>
      <w:r>
        <w:t>万元，主要为人员经费增加</w:t>
      </w:r>
      <w:r>
        <w:rPr>
          <w:rFonts w:hint="eastAsia"/>
          <w:lang w:val="en-US" w:eastAsia="zh-CN"/>
        </w:rPr>
        <w:t>11.65</w:t>
      </w:r>
      <w:r>
        <w:t>万元，日常公用经费</w:t>
      </w:r>
      <w:r>
        <w:rPr>
          <w:rFonts w:hint="eastAsia"/>
          <w:lang w:eastAsia="zh-CN"/>
        </w:rPr>
        <w:t>增加</w:t>
      </w:r>
      <w:r>
        <w:rPr>
          <w:rFonts w:hint="eastAsia"/>
          <w:lang w:val="en-US" w:eastAsia="zh-CN"/>
        </w:rPr>
        <w:t>1.55</w:t>
      </w:r>
      <w:r>
        <w:t>万元。项目支出</w:t>
      </w:r>
      <w:r>
        <w:rPr>
          <w:rFonts w:hint="eastAsia"/>
          <w:lang w:eastAsia="zh-CN"/>
        </w:rPr>
        <w:t>增加</w:t>
      </w:r>
      <w:r>
        <w:rPr>
          <w:rFonts w:hint="eastAsia"/>
          <w:lang w:val="en-US" w:eastAsia="zh-CN"/>
        </w:rPr>
        <w:t>5.31</w:t>
      </w:r>
      <w:r>
        <w:t>万元，主要为</w:t>
      </w:r>
      <w:r>
        <w:rPr>
          <w:rFonts w:hint="eastAsia"/>
          <w:lang w:eastAsia="zh-CN"/>
        </w:rPr>
        <w:t>劳务派遣人员增加</w:t>
      </w:r>
      <w:r>
        <w:rPr>
          <w:rFonts w:hint="eastAsia"/>
          <w:lang w:val="en-US" w:eastAsia="zh-CN"/>
        </w:rPr>
        <w:t>5.31万元</w:t>
      </w:r>
      <w:r>
        <w:t>。</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5"/>
      </w:pPr>
      <w:r>
        <w:t>202</w:t>
      </w:r>
      <w:r>
        <w:rPr>
          <w:rFonts w:hint="eastAsia"/>
          <w:lang w:val="en-US" w:eastAsia="zh-CN"/>
        </w:rPr>
        <w:t>6</w:t>
      </w:r>
      <w:r>
        <w:t>年，我</w:t>
      </w:r>
      <w:r>
        <w:rPr>
          <w:rFonts w:hint="eastAsia"/>
          <w:lang w:eastAsia="zh-CN"/>
        </w:rPr>
        <w:t>单位</w:t>
      </w:r>
      <w:bookmarkStart w:id="1" w:name="_GoBack"/>
      <w:bookmarkEnd w:id="1"/>
      <w:r>
        <w:t>机关运行经费共计安排</w:t>
      </w:r>
      <w:r>
        <w:rPr>
          <w:rFonts w:hint="eastAsia"/>
          <w:lang w:val="en-US" w:eastAsia="zh-CN"/>
        </w:rPr>
        <w:t>18.69</w:t>
      </w:r>
      <w:r>
        <w:t>万元，主要用于日常维修、办公用房水电费、办公用房取暖费、办公用房物业管理费等日常运行支出。</w:t>
      </w:r>
    </w:p>
    <w:p>
      <w:pPr>
        <w:pStyle w:val="2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w:t>
      </w:r>
      <w:r>
        <w:rPr>
          <w:rFonts w:hint="eastAsia"/>
          <w:lang w:val="en-US" w:eastAsia="zh-CN"/>
        </w:rPr>
        <w:t>6</w:t>
      </w:r>
      <w:r>
        <w:t>年，我单位财政拨款“三公”经费预算安排2.</w:t>
      </w:r>
      <w:r>
        <w:rPr>
          <w:rFonts w:hint="eastAsia"/>
          <w:lang w:val="en-US" w:eastAsia="zh-CN"/>
        </w:rPr>
        <w:t>71</w:t>
      </w:r>
      <w:r>
        <w:t>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w:t>
      </w:r>
      <w:r>
        <w:rPr>
          <w:rFonts w:hint="eastAsia"/>
          <w:lang w:val="en-US" w:eastAsia="zh-CN"/>
        </w:rPr>
        <w:t>21</w:t>
      </w:r>
      <w:r>
        <w:t>万元。与202</w:t>
      </w:r>
      <w:r>
        <w:rPr>
          <w:rFonts w:hint="eastAsia"/>
          <w:lang w:val="en-US" w:eastAsia="zh-CN"/>
        </w:rPr>
        <w:t>5</w:t>
      </w:r>
      <w:r>
        <w:t>年相比减少0.1</w:t>
      </w:r>
      <w:r>
        <w:rPr>
          <w:rFonts w:hint="eastAsia"/>
          <w:lang w:val="en-US" w:eastAsia="zh-CN"/>
        </w:rPr>
        <w:t>0</w:t>
      </w:r>
      <w:r>
        <w:t>万元，增减变化的主要原因是公务用车运维费与202</w:t>
      </w:r>
      <w:r>
        <w:rPr>
          <w:rFonts w:hint="eastAsia"/>
          <w:lang w:val="en-US" w:eastAsia="zh-CN"/>
        </w:rPr>
        <w:t>5</w:t>
      </w:r>
      <w:r>
        <w:t>年相比减少0.1万元，主要是我单位减少公务用车出行；公务接待费与202</w:t>
      </w:r>
      <w:r>
        <w:rPr>
          <w:rFonts w:hint="eastAsia"/>
          <w:lang w:val="en-US" w:eastAsia="zh-CN"/>
        </w:rPr>
        <w:t>5</w:t>
      </w:r>
      <w:r>
        <w:t>年相比</w:t>
      </w:r>
      <w:r>
        <w:rPr>
          <w:rFonts w:hint="eastAsia"/>
          <w:lang w:eastAsia="zh-CN"/>
        </w:rPr>
        <w:t>无变化</w:t>
      </w:r>
      <w:r>
        <w:t>。</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jc w:val="left"/>
        <w:outlineLvl w:val="5"/>
        <w:rPr>
          <w:rFonts w:ascii="黑体" w:hAnsi="黑体" w:eastAsia="黑体" w:cs="黑体"/>
          <w:color w:val="000000"/>
          <w:sz w:val="32"/>
        </w:rPr>
      </w:pPr>
    </w:p>
    <w:p>
      <w:pPr>
        <w:numPr>
          <w:ilvl w:val="0"/>
          <w:numId w:val="1"/>
        </w:numPr>
        <w:tabs>
          <w:tab w:val="left" w:pos="13864"/>
        </w:tabs>
        <w:spacing w:before="10" w:after="10" w:line="240" w:lineRule="auto"/>
        <w:ind w:firstLine="640"/>
        <w:jc w:val="left"/>
        <w:outlineLvl w:val="5"/>
        <w:rPr>
          <w:rFonts w:hint="eastAsia" w:ascii="黑体" w:hAnsi="黑体" w:eastAsia="黑体" w:cs="黑体"/>
          <w:color w:val="000000"/>
          <w:sz w:val="32"/>
          <w:lang w:eastAsia="zh-CN"/>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CN"/>
        </w:rPr>
        <w:tab/>
      </w:r>
    </w:p>
    <w:p>
      <w:pPr>
        <w:numPr>
          <w:numId w:val="0"/>
        </w:numPr>
        <w:tabs>
          <w:tab w:val="left" w:pos="13864"/>
        </w:tabs>
        <w:spacing w:before="10" w:after="10" w:line="240" w:lineRule="auto"/>
        <w:jc w:val="left"/>
        <w:outlineLvl w:val="5"/>
      </w:pPr>
    </w:p>
    <w:p>
      <w:pPr>
        <w:numPr>
          <w:numId w:val="0"/>
        </w:numPr>
        <w:tabs>
          <w:tab w:val="left" w:pos="13864"/>
        </w:tabs>
        <w:spacing w:before="10" w:after="10" w:line="240" w:lineRule="auto"/>
        <w:jc w:val="left"/>
        <w:outlineLvl w:val="5"/>
      </w:pPr>
      <w:r>
        <w:rPr>
          <w:rFonts w:ascii="方正仿宋_GBK" w:hAnsi="方正仿宋_GBK" w:eastAsia="方正仿宋_GBK" w:cs="方正仿宋_GBK"/>
          <w:b/>
          <w:color w:val="000000"/>
          <w:sz w:val="28"/>
        </w:rPr>
        <w:t>1、劳务派遣人员经费绩效目标表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13012526P00004310350C</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23.51</w:t>
            </w:r>
          </w:p>
        </w:tc>
        <w:tc>
          <w:tcPr>
            <w:tcW w:w="2835" w:type="dxa"/>
            <w:vAlign w:val="center"/>
          </w:tcPr>
          <w:p>
            <w:pPr>
              <w:pStyle w:val="12"/>
            </w:pPr>
            <w:r>
              <w:t>其中：财政    资金</w:t>
            </w:r>
          </w:p>
        </w:tc>
        <w:tc>
          <w:tcPr>
            <w:tcW w:w="2551" w:type="dxa"/>
            <w:vAlign w:val="center"/>
          </w:tcPr>
          <w:p>
            <w:pPr>
              <w:pStyle w:val="14"/>
            </w:pPr>
            <w:r>
              <w:t>23.51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用于6名劳务人员工资、保险、管理费等支出，充实工作力量。</w:t>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5.89</w:t>
            </w:r>
          </w:p>
        </w:tc>
        <w:tc>
          <w:tcPr>
            <w:tcW w:w="2835" w:type="dxa"/>
            <w:vAlign w:val="center"/>
          </w:tcPr>
          <w:p>
            <w:pPr>
              <w:pStyle w:val="15"/>
            </w:pPr>
            <w:r>
              <w:t>11.56</w:t>
            </w:r>
          </w:p>
        </w:tc>
        <w:tc>
          <w:tcPr>
            <w:tcW w:w="2551" w:type="dxa"/>
            <w:vAlign w:val="center"/>
          </w:tcPr>
          <w:p>
            <w:pPr>
              <w:pStyle w:val="15"/>
            </w:pPr>
            <w:r>
              <w:t>17.64</w:t>
            </w:r>
          </w:p>
        </w:tc>
        <w:tc>
          <w:tcPr>
            <w:tcW w:w="3544" w:type="dxa"/>
            <w:gridSpan w:val="2"/>
            <w:vAlign w:val="center"/>
          </w:tcPr>
          <w:p>
            <w:pPr>
              <w:pStyle w:val="15"/>
            </w:pPr>
            <w:r>
              <w:t>23.51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1.用于6名劳务人员工资、保险、管理费等支出，充实工作力量。</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劳务派遣人员数量</w:t>
            </w:r>
          </w:p>
        </w:tc>
        <w:tc>
          <w:tcPr>
            <w:tcW w:w="5386" w:type="dxa"/>
            <w:vAlign w:val="center"/>
          </w:tcPr>
          <w:p>
            <w:pPr>
              <w:pStyle w:val="14"/>
            </w:pPr>
            <w:r>
              <w:t>劳务派遣人员数量</w:t>
            </w:r>
          </w:p>
        </w:tc>
        <w:tc>
          <w:tcPr>
            <w:tcW w:w="2268" w:type="dxa"/>
            <w:vAlign w:val="center"/>
          </w:tcPr>
          <w:p>
            <w:pPr>
              <w:pStyle w:val="14"/>
            </w:pPr>
            <w:r>
              <w:t>6人</w:t>
            </w:r>
          </w:p>
        </w:tc>
        <w:tc>
          <w:tcPr>
            <w:tcW w:w="127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补助发放到位率</w:t>
            </w:r>
          </w:p>
        </w:tc>
        <w:tc>
          <w:tcPr>
            <w:tcW w:w="5386" w:type="dxa"/>
            <w:vAlign w:val="center"/>
          </w:tcPr>
          <w:p>
            <w:pPr>
              <w:pStyle w:val="14"/>
            </w:pPr>
            <w:r>
              <w:t>补助发放到位率</w:t>
            </w:r>
          </w:p>
        </w:tc>
        <w:tc>
          <w:tcPr>
            <w:tcW w:w="2268" w:type="dxa"/>
            <w:vAlign w:val="center"/>
          </w:tcPr>
          <w:p>
            <w:pPr>
              <w:pStyle w:val="14"/>
            </w:pPr>
            <w:r>
              <w:t>≥95%</w:t>
            </w:r>
          </w:p>
        </w:tc>
        <w:tc>
          <w:tcPr>
            <w:tcW w:w="127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5386" w:type="dxa"/>
            <w:vAlign w:val="center"/>
          </w:tcPr>
          <w:p>
            <w:pPr>
              <w:pStyle w:val="14"/>
            </w:pPr>
            <w:r>
              <w:t>补助发放时间</w:t>
            </w:r>
          </w:p>
        </w:tc>
        <w:tc>
          <w:tcPr>
            <w:tcW w:w="2268" w:type="dxa"/>
            <w:vAlign w:val="center"/>
          </w:tcPr>
          <w:p>
            <w:pPr>
              <w:pStyle w:val="14"/>
            </w:pPr>
            <w:r>
              <w:t>按规定时间及时发放</w:t>
            </w:r>
          </w:p>
        </w:tc>
        <w:tc>
          <w:tcPr>
            <w:tcW w:w="127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年人均发放标准</w:t>
            </w:r>
          </w:p>
        </w:tc>
        <w:tc>
          <w:tcPr>
            <w:tcW w:w="2268" w:type="dxa"/>
            <w:vAlign w:val="center"/>
          </w:tcPr>
          <w:p>
            <w:pPr>
              <w:pStyle w:val="14"/>
            </w:pPr>
            <w:r>
              <w:t>≤23.51万元</w:t>
            </w:r>
          </w:p>
        </w:tc>
        <w:tc>
          <w:tcPr>
            <w:tcW w:w="127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领取补助人员生活水平同比提高</w:t>
            </w:r>
          </w:p>
        </w:tc>
        <w:tc>
          <w:tcPr>
            <w:tcW w:w="5386" w:type="dxa"/>
            <w:vAlign w:val="center"/>
          </w:tcPr>
          <w:p>
            <w:pPr>
              <w:pStyle w:val="14"/>
            </w:pPr>
            <w:r>
              <w:t>领取补助人员生活水平同比提高</w:t>
            </w:r>
          </w:p>
        </w:tc>
        <w:tc>
          <w:tcPr>
            <w:tcW w:w="2268" w:type="dxa"/>
            <w:vAlign w:val="center"/>
          </w:tcPr>
          <w:p>
            <w:pPr>
              <w:pStyle w:val="14"/>
            </w:pPr>
            <w:r>
              <w:t>有效改善</w:t>
            </w:r>
          </w:p>
        </w:tc>
        <w:tc>
          <w:tcPr>
            <w:tcW w:w="127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劳务派遣人员满意度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542001行唐县信访局本级</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行唐县信访局本级上年末固定资产金额为75.66万元（详见下表）。本年度拟购置固定资产总额为0.00万元，已按要求列入政府采购预算，详见政府采购预算表。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542001行唐县信访局本级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1800</w:t>
            </w:r>
          </w:p>
        </w:tc>
        <w:tc>
          <w:tcPr>
            <w:tcW w:w="2835" w:type="dxa"/>
            <w:vAlign w:val="center"/>
          </w:tcPr>
          <w:p>
            <w:pPr>
              <w:pStyle w:val="13"/>
            </w:pPr>
            <w:r>
              <w:t>71.66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100</w:t>
            </w:r>
          </w:p>
        </w:tc>
        <w:tc>
          <w:tcPr>
            <w:tcW w:w="2835" w:type="dxa"/>
            <w:vAlign w:val="center"/>
          </w:tcPr>
          <w:p>
            <w:pPr>
              <w:pStyle w:val="13"/>
            </w:pPr>
            <w:r>
              <w:t>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0DCE4C"/>
    <w:multiLevelType w:val="singleLevel"/>
    <w:tmpl w:val="8E0DCE4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4"/>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87C54AD"/>
    <w:rsid w:val="161834D1"/>
    <w:rsid w:val="29565693"/>
    <w:rsid w:val="2E5B7CD4"/>
    <w:rsid w:val="4676332B"/>
    <w:rsid w:val="4B817418"/>
    <w:rsid w:val="55F1157A"/>
    <w:rsid w:val="62AB41A5"/>
    <w:rsid w:val="63F66E63"/>
    <w:rsid w:val="6B127474"/>
    <w:rsid w:val="6D66261F"/>
    <w:rsid w:val="77A24BF5"/>
    <w:rsid w:val="7B8D724A"/>
    <w:rsid w:val="7D4E4764"/>
    <w:rsid w:val="7D5B0B15"/>
    <w:rsid w:val="7FF5061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pPr>
    <w:rPr>
      <w:sz w:val="18"/>
      <w:szCs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4">
    <w:name w:val="TOC 1"/>
    <w:basedOn w:val="1"/>
    <w:qFormat/>
    <w:uiPriority w:val="0"/>
    <w:pPr>
      <w:spacing w:before="120"/>
      <w:ind w:firstLine="560"/>
    </w:pPr>
    <w:rPr>
      <w:rFonts w:eastAsia="方正仿宋_GBK"/>
      <w:color w:val="000000"/>
      <w:sz w:val="2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2</TotalTime>
  <ScaleCrop>false</ScaleCrop>
  <LinksUpToDate>false</LinksUpToDate>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2026-02-24T14:46:00Z</dcterms:created>
  <dc:creator>Administrator</dc:creator>
  <cp:lastModifiedBy>Administrator</cp:lastModifiedBy>
  <dcterms:modified xsi:type="dcterms:W3CDTF">2026-02-24T07:37:00Z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60C2AA46D3634F62A3F2C0EFA044FDDB</vt:lpwstr>
  </property>
</Properties>
</file>