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2026年单位预算信息公开目录</w:t>
      </w:r>
    </w:p>
    <w:p>
      <w:pPr>
        <w:jc w:val="center"/>
      </w:pPr>
      <w:r>
        <w:rPr>
          <w:rFonts w:ascii="黑体" w:hAnsi="黑体" w:eastAsia="黑体" w:cs="黑体"/>
          <w:b/>
          <w:color w:val="000000"/>
          <w:sz w:val="30"/>
        </w:rPr>
        <w:t xml:space="preserve"> </w:t>
      </w:r>
    </w:p>
    <w:p>
      <w:bookmarkStart w:id="0" w:name="_Toc_4_4_000000000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28"/>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pPr>
        <w:pStyle w:val="28"/>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pPr>
        <w:pStyle w:val="28"/>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fldChar w:fldCharType="begin"/>
      </w:r>
      <w:r>
        <w:instrText xml:space="preserve">PAGEREF _Toc_2_2_0000000003 \h</w:instrText>
      </w:r>
      <w:r>
        <w:fldChar w:fldCharType="separate"/>
      </w:r>
      <w:r>
        <w:t>4</w:t>
      </w:r>
      <w:r>
        <w:fldChar w:fldCharType="end"/>
      </w:r>
      <w:r>
        <w:fldChar w:fldCharType="end"/>
      </w:r>
    </w:p>
    <w:p>
      <w:pPr>
        <w:pStyle w:val="28"/>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8"/>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8"/>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8"/>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8"/>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8"/>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28"/>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8"/>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8"/>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14</w:t>
      </w:r>
      <w:r>
        <w:fldChar w:fldCharType="end"/>
      </w:r>
      <w:r>
        <w:fldChar w:fldCharType="end"/>
      </w:r>
    </w:p>
    <w:p>
      <w:pPr>
        <w:pStyle w:val="28"/>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8"/>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8"/>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21</w:t>
      </w:r>
      <w:r>
        <w:fldChar w:fldCharType="end"/>
      </w:r>
      <w:r>
        <w:fldChar w:fldCharType="end"/>
      </w:r>
    </w:p>
    <w:p>
      <w:pPr>
        <w:pStyle w:val="28"/>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r>
        <w:rPr>
          <w:rFonts w:ascii="方正小标宋_GBK" w:hAnsi="方正小标宋_GBK" w:eastAsia="方正小标宋_GBK" w:cs="方正小标宋_GBK"/>
          <w:color w:val="000000"/>
          <w:sz w:val="44"/>
        </w:rPr>
        <w:t>一、行唐县人民代表大会常务委员会办公室本级收支预算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126" w:type="dxa"/>
            <w:tcBorders>
              <w:top w:val="single" w:color="FFFFFF" w:sz="6" w:space="0"/>
              <w:left w:val="single" w:color="FFFFFF" w:sz="6" w:space="0"/>
              <w:right w:val="single" w:color="FFFFFF" w:sz="6" w:space="0"/>
            </w:tcBorders>
            <w:vAlign w:val="center"/>
          </w:tcPr>
          <w:p>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645.48</w:t>
            </w:r>
          </w:p>
        </w:tc>
        <w:tc>
          <w:tcPr>
            <w:tcW w:w="4535" w:type="dxa"/>
            <w:vAlign w:val="center"/>
          </w:tcPr>
          <w:p>
            <w:pPr>
              <w:pStyle w:val="10"/>
            </w:pPr>
            <w:r>
              <w:t>一、一般公共服务支出</w:t>
            </w:r>
          </w:p>
        </w:tc>
        <w:tc>
          <w:tcPr>
            <w:tcW w:w="2126" w:type="dxa"/>
            <w:vAlign w:val="center"/>
          </w:tcPr>
          <w:p>
            <w:pPr>
              <w:pStyle w:val="9"/>
            </w:pPr>
            <w:r>
              <w:t>563.60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35.15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15.20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31.53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2"/>
            </w:pPr>
            <w:r>
              <w:t>本年收入合计</w:t>
            </w:r>
          </w:p>
        </w:tc>
        <w:tc>
          <w:tcPr>
            <w:tcW w:w="2126" w:type="dxa"/>
            <w:vAlign w:val="center"/>
          </w:tcPr>
          <w:p>
            <w:pPr>
              <w:pStyle w:val="13"/>
            </w:pPr>
            <w:r>
              <w:t>645.48</w:t>
            </w:r>
          </w:p>
        </w:tc>
        <w:tc>
          <w:tcPr>
            <w:tcW w:w="4535" w:type="dxa"/>
            <w:vAlign w:val="center"/>
          </w:tcPr>
          <w:p>
            <w:pPr>
              <w:pStyle w:val="12"/>
            </w:pPr>
            <w:r>
              <w:t>本年支出合计</w:t>
            </w:r>
          </w:p>
        </w:tc>
        <w:tc>
          <w:tcPr>
            <w:tcW w:w="2126" w:type="dxa"/>
            <w:vAlign w:val="center"/>
          </w:tcPr>
          <w:p>
            <w:pPr>
              <w:pStyle w:val="13"/>
            </w:pPr>
            <w:r>
              <w:t>645.48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2"/>
            </w:pPr>
            <w:r>
              <w:t>收入总计</w:t>
            </w:r>
          </w:p>
        </w:tc>
        <w:tc>
          <w:tcPr>
            <w:tcW w:w="2126" w:type="dxa"/>
            <w:vAlign w:val="center"/>
          </w:tcPr>
          <w:p>
            <w:pPr>
              <w:pStyle w:val="13"/>
            </w:pPr>
            <w:r>
              <w:t>645.48</w:t>
            </w:r>
          </w:p>
        </w:tc>
        <w:tc>
          <w:tcPr>
            <w:tcW w:w="4535" w:type="dxa"/>
            <w:vAlign w:val="center"/>
          </w:tcPr>
          <w:p>
            <w:pPr>
              <w:pStyle w:val="12"/>
            </w:pPr>
            <w:r>
              <w:t>支出总计</w:t>
            </w:r>
          </w:p>
        </w:tc>
        <w:tc>
          <w:tcPr>
            <w:tcW w:w="2126" w:type="dxa"/>
            <w:vAlign w:val="center"/>
          </w:tcPr>
          <w:p>
            <w:pPr>
              <w:pStyle w:val="13"/>
            </w:pPr>
            <w:r>
              <w:t>645.48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2"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645.48</w:t>
            </w:r>
          </w:p>
        </w:tc>
        <w:tc>
          <w:tcPr>
            <w:tcW w:w="1134" w:type="dxa"/>
            <w:vAlign w:val="center"/>
          </w:tcPr>
          <w:p>
            <w:pPr>
              <w:pStyle w:val="13"/>
            </w:pPr>
            <w:r>
              <w:t>645.48</w:t>
            </w:r>
          </w:p>
        </w:tc>
        <w:tc>
          <w:tcPr>
            <w:tcW w:w="1134" w:type="dxa"/>
            <w:vAlign w:val="center"/>
          </w:tcPr>
          <w:p>
            <w:pPr>
              <w:pStyle w:val="13"/>
            </w:pPr>
            <w:r>
              <w:t>645.48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20101</w:t>
            </w:r>
          </w:p>
        </w:tc>
        <w:tc>
          <w:tcPr>
            <w:tcW w:w="1559" w:type="dxa"/>
            <w:vAlign w:val="center"/>
          </w:tcPr>
          <w:p>
            <w:pPr>
              <w:pStyle w:val="10"/>
            </w:pPr>
            <w:r>
              <w:t>人大事务</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2010101</w:t>
            </w:r>
          </w:p>
        </w:tc>
        <w:tc>
          <w:tcPr>
            <w:tcW w:w="1559" w:type="dxa"/>
            <w:vAlign w:val="center"/>
          </w:tcPr>
          <w:p>
            <w:pPr>
              <w:pStyle w:val="10"/>
            </w:pPr>
            <w:r>
              <w:t>行政运行</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r>
              <w:t>563.60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r>
              <w:t>35.15</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r>
              <w:t>15.20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r>
              <w:t>31.53</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7"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645.48</w:t>
            </w:r>
          </w:p>
        </w:tc>
        <w:tc>
          <w:tcPr>
            <w:tcW w:w="1361" w:type="dxa"/>
            <w:vAlign w:val="center"/>
          </w:tcPr>
          <w:p>
            <w:pPr>
              <w:pStyle w:val="13"/>
            </w:pPr>
            <w:r>
              <w:t>645.48</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20101</w:t>
            </w:r>
          </w:p>
        </w:tc>
        <w:tc>
          <w:tcPr>
            <w:tcW w:w="4535" w:type="dxa"/>
            <w:vAlign w:val="center"/>
          </w:tcPr>
          <w:p>
            <w:pPr>
              <w:pStyle w:val="10"/>
            </w:pPr>
            <w:r>
              <w:t>人大事务</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2010101</w:t>
            </w:r>
          </w:p>
        </w:tc>
        <w:tc>
          <w:tcPr>
            <w:tcW w:w="4535" w:type="dxa"/>
            <w:vAlign w:val="center"/>
          </w:tcPr>
          <w:p>
            <w:pPr>
              <w:pStyle w:val="10"/>
            </w:pPr>
            <w:r>
              <w:t>行政运行</w:t>
            </w:r>
          </w:p>
        </w:tc>
        <w:tc>
          <w:tcPr>
            <w:tcW w:w="1361" w:type="dxa"/>
            <w:vAlign w:val="center"/>
          </w:tcPr>
          <w:p>
            <w:pPr>
              <w:pStyle w:val="9"/>
            </w:pPr>
            <w:r>
              <w:t>563.60</w:t>
            </w:r>
          </w:p>
        </w:tc>
        <w:tc>
          <w:tcPr>
            <w:tcW w:w="1361" w:type="dxa"/>
            <w:vAlign w:val="center"/>
          </w:tcPr>
          <w:p>
            <w:pPr>
              <w:pStyle w:val="9"/>
            </w:pPr>
            <w:r>
              <w:t>563.60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35.15</w:t>
            </w:r>
          </w:p>
        </w:tc>
        <w:tc>
          <w:tcPr>
            <w:tcW w:w="1361" w:type="dxa"/>
            <w:vAlign w:val="center"/>
          </w:tcPr>
          <w:p>
            <w:pPr>
              <w:pStyle w:val="9"/>
            </w:pPr>
            <w:r>
              <w:t>35.15</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15.20</w:t>
            </w:r>
          </w:p>
        </w:tc>
        <w:tc>
          <w:tcPr>
            <w:tcW w:w="1361" w:type="dxa"/>
            <w:vAlign w:val="center"/>
          </w:tcPr>
          <w:p>
            <w:pPr>
              <w:pStyle w:val="9"/>
            </w:pPr>
            <w:r>
              <w:t>15.20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31.53</w:t>
            </w:r>
          </w:p>
        </w:tc>
        <w:tc>
          <w:tcPr>
            <w:tcW w:w="1361" w:type="dxa"/>
            <w:vAlign w:val="center"/>
          </w:tcPr>
          <w:p>
            <w:pPr>
              <w:pStyle w:val="9"/>
            </w:pPr>
            <w:r>
              <w:t>31.53</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3402" w:type="dxa"/>
            <w:tcBorders>
              <w:top w:val="single" w:color="FFFFFF" w:sz="6" w:space="0"/>
              <w:left w:val="single" w:color="FFFFFF" w:sz="6" w:space="0"/>
              <w:right w:val="single" w:color="FFFFFF" w:sz="6" w:space="0"/>
            </w:tcBorders>
            <w:vAlign w:val="center"/>
          </w:tcPr>
          <w:p>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645.48</w:t>
            </w:r>
          </w:p>
        </w:tc>
        <w:tc>
          <w:tcPr>
            <w:tcW w:w="3402" w:type="dxa"/>
            <w:vAlign w:val="center"/>
          </w:tcPr>
          <w:p>
            <w:pPr>
              <w:pStyle w:val="10"/>
            </w:pPr>
            <w:r>
              <w:t>一、一般公共服务支出</w:t>
            </w:r>
          </w:p>
        </w:tc>
        <w:tc>
          <w:tcPr>
            <w:tcW w:w="1474" w:type="dxa"/>
            <w:vAlign w:val="center"/>
          </w:tcPr>
          <w:p>
            <w:pPr>
              <w:pStyle w:val="9"/>
            </w:pPr>
            <w:r>
              <w:t>563.60</w:t>
            </w:r>
          </w:p>
        </w:tc>
        <w:tc>
          <w:tcPr>
            <w:tcW w:w="1474" w:type="dxa"/>
            <w:vAlign w:val="center"/>
          </w:tcPr>
          <w:p>
            <w:pPr>
              <w:pStyle w:val="9"/>
            </w:pPr>
            <w:r>
              <w:t>563.60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35.15</w:t>
            </w:r>
          </w:p>
        </w:tc>
        <w:tc>
          <w:tcPr>
            <w:tcW w:w="1474" w:type="dxa"/>
            <w:vAlign w:val="center"/>
          </w:tcPr>
          <w:p>
            <w:pPr>
              <w:pStyle w:val="9"/>
            </w:pPr>
            <w:r>
              <w:t>35.15</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15.20</w:t>
            </w:r>
          </w:p>
        </w:tc>
        <w:tc>
          <w:tcPr>
            <w:tcW w:w="1474" w:type="dxa"/>
            <w:vAlign w:val="center"/>
          </w:tcPr>
          <w:p>
            <w:pPr>
              <w:pStyle w:val="9"/>
            </w:pPr>
            <w:r>
              <w:t>15.20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31.53</w:t>
            </w:r>
          </w:p>
        </w:tc>
        <w:tc>
          <w:tcPr>
            <w:tcW w:w="1474" w:type="dxa"/>
            <w:vAlign w:val="center"/>
          </w:tcPr>
          <w:p>
            <w:pPr>
              <w:pStyle w:val="9"/>
            </w:pPr>
            <w:r>
              <w:t>31.53</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645.48</w:t>
            </w:r>
          </w:p>
        </w:tc>
        <w:tc>
          <w:tcPr>
            <w:tcW w:w="3402" w:type="dxa"/>
            <w:vAlign w:val="center"/>
          </w:tcPr>
          <w:p>
            <w:pPr>
              <w:pStyle w:val="12"/>
            </w:pPr>
            <w:r>
              <w:t>本年支出合计</w:t>
            </w:r>
          </w:p>
        </w:tc>
        <w:tc>
          <w:tcPr>
            <w:tcW w:w="1474" w:type="dxa"/>
            <w:vAlign w:val="center"/>
          </w:tcPr>
          <w:p>
            <w:pPr>
              <w:pStyle w:val="13"/>
            </w:pPr>
            <w:r>
              <w:t>645.48</w:t>
            </w:r>
          </w:p>
        </w:tc>
        <w:tc>
          <w:tcPr>
            <w:tcW w:w="1474" w:type="dxa"/>
            <w:vAlign w:val="center"/>
          </w:tcPr>
          <w:p>
            <w:pPr>
              <w:pStyle w:val="13"/>
            </w:pPr>
            <w:r>
              <w:t>645.48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645.48</w:t>
            </w:r>
          </w:p>
        </w:tc>
        <w:tc>
          <w:tcPr>
            <w:tcW w:w="3402" w:type="dxa"/>
            <w:vAlign w:val="center"/>
          </w:tcPr>
          <w:p>
            <w:pPr>
              <w:pStyle w:val="12"/>
            </w:pPr>
            <w:r>
              <w:t>支出总计</w:t>
            </w:r>
          </w:p>
        </w:tc>
        <w:tc>
          <w:tcPr>
            <w:tcW w:w="1474" w:type="dxa"/>
            <w:vAlign w:val="center"/>
          </w:tcPr>
          <w:p>
            <w:pPr>
              <w:pStyle w:val="13"/>
            </w:pPr>
            <w:r>
              <w:t>645.48</w:t>
            </w:r>
          </w:p>
        </w:tc>
        <w:tc>
          <w:tcPr>
            <w:tcW w:w="1474" w:type="dxa"/>
            <w:vAlign w:val="center"/>
          </w:tcPr>
          <w:p>
            <w:pPr>
              <w:pStyle w:val="13"/>
            </w:pPr>
            <w:r>
              <w:t>645.48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645.48</w:t>
            </w:r>
          </w:p>
        </w:tc>
        <w:tc>
          <w:tcPr>
            <w:tcW w:w="2551" w:type="dxa"/>
            <w:vAlign w:val="center"/>
          </w:tcPr>
          <w:p>
            <w:pPr>
              <w:pStyle w:val="13"/>
            </w:pPr>
            <w:r>
              <w:t>645.48</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20101</w:t>
            </w:r>
          </w:p>
        </w:tc>
        <w:tc>
          <w:tcPr>
            <w:tcW w:w="4535" w:type="dxa"/>
            <w:vAlign w:val="center"/>
          </w:tcPr>
          <w:p>
            <w:pPr>
              <w:pStyle w:val="10"/>
            </w:pPr>
            <w:r>
              <w:t>人大事务</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2010101</w:t>
            </w:r>
          </w:p>
        </w:tc>
        <w:tc>
          <w:tcPr>
            <w:tcW w:w="4535" w:type="dxa"/>
            <w:vAlign w:val="center"/>
          </w:tcPr>
          <w:p>
            <w:pPr>
              <w:pStyle w:val="10"/>
            </w:pPr>
            <w:r>
              <w:t>行政运行</w:t>
            </w:r>
          </w:p>
        </w:tc>
        <w:tc>
          <w:tcPr>
            <w:tcW w:w="2551" w:type="dxa"/>
            <w:vAlign w:val="center"/>
          </w:tcPr>
          <w:p>
            <w:pPr>
              <w:pStyle w:val="9"/>
            </w:pPr>
            <w:r>
              <w:t>563.60</w:t>
            </w:r>
          </w:p>
        </w:tc>
        <w:tc>
          <w:tcPr>
            <w:tcW w:w="2551" w:type="dxa"/>
            <w:vAlign w:val="center"/>
          </w:tcPr>
          <w:p>
            <w:pPr>
              <w:pStyle w:val="9"/>
            </w:pPr>
            <w:r>
              <w:t>563.60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w:t>
            </w:r>
            <w:r>
              <w:rPr>
                <w:rFonts w:hint="eastAsia"/>
                <w:lang w:eastAsia="zh-CN"/>
              </w:rPr>
              <w:t>单位</w:t>
            </w:r>
            <w:r>
              <w:t>经济分类科目</w:t>
            </w:r>
          </w:p>
        </w:tc>
        <w:tc>
          <w:tcPr>
            <w:tcW w:w="7653"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645.48</w:t>
            </w:r>
          </w:p>
        </w:tc>
        <w:tc>
          <w:tcPr>
            <w:tcW w:w="2551" w:type="dxa"/>
            <w:vAlign w:val="center"/>
          </w:tcPr>
          <w:p>
            <w:pPr>
              <w:pStyle w:val="13"/>
            </w:pPr>
            <w:r>
              <w:t>557.10</w:t>
            </w:r>
          </w:p>
        </w:tc>
        <w:tc>
          <w:tcPr>
            <w:tcW w:w="2551" w:type="dxa"/>
            <w:vAlign w:val="center"/>
          </w:tcPr>
          <w:p>
            <w:pPr>
              <w:pStyle w:val="13"/>
            </w:pPr>
            <w:r>
              <w:t>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439.66</w:t>
            </w:r>
          </w:p>
        </w:tc>
        <w:tc>
          <w:tcPr>
            <w:tcW w:w="2551" w:type="dxa"/>
            <w:vAlign w:val="center"/>
          </w:tcPr>
          <w:p>
            <w:pPr>
              <w:pStyle w:val="9"/>
            </w:pPr>
            <w:r>
              <w:t>439.66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210.94</w:t>
            </w:r>
          </w:p>
        </w:tc>
        <w:tc>
          <w:tcPr>
            <w:tcW w:w="2551" w:type="dxa"/>
            <w:vAlign w:val="center"/>
          </w:tcPr>
          <w:p>
            <w:pPr>
              <w:pStyle w:val="9"/>
            </w:pPr>
            <w:r>
              <w:t>210.94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51.23</w:t>
            </w:r>
          </w:p>
        </w:tc>
        <w:tc>
          <w:tcPr>
            <w:tcW w:w="2551" w:type="dxa"/>
            <w:vAlign w:val="center"/>
          </w:tcPr>
          <w:p>
            <w:pPr>
              <w:pStyle w:val="9"/>
            </w:pPr>
            <w:r>
              <w:t>51.23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57.86</w:t>
            </w:r>
          </w:p>
        </w:tc>
        <w:tc>
          <w:tcPr>
            <w:tcW w:w="2551" w:type="dxa"/>
            <w:vAlign w:val="center"/>
          </w:tcPr>
          <w:p>
            <w:pPr>
              <w:pStyle w:val="9"/>
            </w:pPr>
            <w:r>
              <w:t>57.86</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30107</w:t>
            </w:r>
          </w:p>
        </w:tc>
        <w:tc>
          <w:tcPr>
            <w:tcW w:w="4535" w:type="dxa"/>
            <w:vAlign w:val="center"/>
          </w:tcPr>
          <w:p>
            <w:pPr>
              <w:pStyle w:val="10"/>
            </w:pPr>
            <w:r>
              <w:t>绩效工资</w:t>
            </w:r>
          </w:p>
        </w:tc>
        <w:tc>
          <w:tcPr>
            <w:tcW w:w="2551" w:type="dxa"/>
            <w:vAlign w:val="center"/>
          </w:tcPr>
          <w:p>
            <w:pPr>
              <w:pStyle w:val="9"/>
            </w:pPr>
            <w:r>
              <w:t>19.48</w:t>
            </w:r>
          </w:p>
        </w:tc>
        <w:tc>
          <w:tcPr>
            <w:tcW w:w="2551" w:type="dxa"/>
            <w:vAlign w:val="center"/>
          </w:tcPr>
          <w:p>
            <w:pPr>
              <w:pStyle w:val="9"/>
            </w:pPr>
            <w:r>
              <w:t>19.48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35.15</w:t>
            </w:r>
          </w:p>
        </w:tc>
        <w:tc>
          <w:tcPr>
            <w:tcW w:w="2551" w:type="dxa"/>
            <w:vAlign w:val="center"/>
          </w:tcPr>
          <w:p>
            <w:pPr>
              <w:pStyle w:val="9"/>
            </w:pPr>
            <w:r>
              <w:t>35.15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15.20</w:t>
            </w:r>
          </w:p>
        </w:tc>
        <w:tc>
          <w:tcPr>
            <w:tcW w:w="2551" w:type="dxa"/>
            <w:vAlign w:val="center"/>
          </w:tcPr>
          <w:p>
            <w:pPr>
              <w:pStyle w:val="9"/>
            </w:pPr>
            <w:r>
              <w:t>15.20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1.35</w:t>
            </w:r>
          </w:p>
        </w:tc>
        <w:tc>
          <w:tcPr>
            <w:tcW w:w="2551" w:type="dxa"/>
            <w:vAlign w:val="center"/>
          </w:tcPr>
          <w:p>
            <w:pPr>
              <w:pStyle w:val="9"/>
            </w:pPr>
            <w:r>
              <w:t>1.35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31.53</w:t>
            </w:r>
          </w:p>
        </w:tc>
        <w:tc>
          <w:tcPr>
            <w:tcW w:w="2551" w:type="dxa"/>
            <w:vAlign w:val="center"/>
          </w:tcPr>
          <w:p>
            <w:pPr>
              <w:pStyle w:val="9"/>
            </w:pPr>
            <w:r>
              <w:t>31.53</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30199</w:t>
            </w:r>
          </w:p>
        </w:tc>
        <w:tc>
          <w:tcPr>
            <w:tcW w:w="4535" w:type="dxa"/>
            <w:vAlign w:val="center"/>
          </w:tcPr>
          <w:p>
            <w:pPr>
              <w:pStyle w:val="10"/>
            </w:pPr>
            <w:r>
              <w:t>其他工资福利支出</w:t>
            </w:r>
          </w:p>
        </w:tc>
        <w:tc>
          <w:tcPr>
            <w:tcW w:w="2551" w:type="dxa"/>
            <w:vAlign w:val="center"/>
          </w:tcPr>
          <w:p>
            <w:pPr>
              <w:pStyle w:val="9"/>
            </w:pPr>
            <w:r>
              <w:t>16.92</w:t>
            </w:r>
          </w:p>
        </w:tc>
        <w:tc>
          <w:tcPr>
            <w:tcW w:w="2551" w:type="dxa"/>
            <w:vAlign w:val="center"/>
          </w:tcPr>
          <w:p>
            <w:pPr>
              <w:pStyle w:val="9"/>
            </w:pPr>
            <w:r>
              <w:t>16.92</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88.38</w:t>
            </w:r>
          </w:p>
        </w:tc>
        <w:tc>
          <w:tcPr>
            <w:tcW w:w="2551" w:type="dxa"/>
            <w:vAlign w:val="center"/>
          </w:tcPr>
          <w:p>
            <w:pPr>
              <w:pStyle w:val="9"/>
            </w:pPr>
          </w:p>
        </w:tc>
        <w:tc>
          <w:tcPr>
            <w:tcW w:w="2551" w:type="dxa"/>
            <w:vAlign w:val="center"/>
          </w:tcPr>
          <w:p>
            <w:pPr>
              <w:pStyle w:val="9"/>
            </w:pPr>
            <w:r>
              <w:t>88.38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1.60</w:t>
            </w:r>
          </w:p>
        </w:tc>
        <w:tc>
          <w:tcPr>
            <w:tcW w:w="2551" w:type="dxa"/>
            <w:vAlign w:val="center"/>
          </w:tcPr>
          <w:p>
            <w:pPr>
              <w:pStyle w:val="9"/>
            </w:pPr>
          </w:p>
        </w:tc>
        <w:tc>
          <w:tcPr>
            <w:tcW w:w="2551" w:type="dxa"/>
            <w:vAlign w:val="center"/>
          </w:tcPr>
          <w:p>
            <w:pPr>
              <w:pStyle w:val="9"/>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30205</w:t>
            </w:r>
          </w:p>
        </w:tc>
        <w:tc>
          <w:tcPr>
            <w:tcW w:w="4535" w:type="dxa"/>
            <w:vAlign w:val="center"/>
          </w:tcPr>
          <w:p>
            <w:pPr>
              <w:pStyle w:val="10"/>
            </w:pPr>
            <w:r>
              <w:t>水费</w:t>
            </w:r>
          </w:p>
        </w:tc>
        <w:tc>
          <w:tcPr>
            <w:tcW w:w="2551" w:type="dxa"/>
            <w:vAlign w:val="center"/>
          </w:tcPr>
          <w:p>
            <w:pPr>
              <w:pStyle w:val="9"/>
            </w:pPr>
            <w:r>
              <w:t>1.60</w:t>
            </w:r>
          </w:p>
        </w:tc>
        <w:tc>
          <w:tcPr>
            <w:tcW w:w="2551" w:type="dxa"/>
            <w:vAlign w:val="center"/>
          </w:tcPr>
          <w:p>
            <w:pPr>
              <w:pStyle w:val="9"/>
            </w:pPr>
          </w:p>
        </w:tc>
        <w:tc>
          <w:tcPr>
            <w:tcW w:w="2551" w:type="dxa"/>
            <w:vAlign w:val="center"/>
          </w:tcPr>
          <w:p>
            <w:pPr>
              <w:pStyle w:val="9"/>
            </w:pPr>
            <w: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30206</w:t>
            </w:r>
          </w:p>
        </w:tc>
        <w:tc>
          <w:tcPr>
            <w:tcW w:w="4535" w:type="dxa"/>
            <w:vAlign w:val="center"/>
          </w:tcPr>
          <w:p>
            <w:pPr>
              <w:pStyle w:val="10"/>
            </w:pPr>
            <w:r>
              <w:t>电费</w:t>
            </w:r>
          </w:p>
        </w:tc>
        <w:tc>
          <w:tcPr>
            <w:tcW w:w="2551" w:type="dxa"/>
            <w:vAlign w:val="center"/>
          </w:tcPr>
          <w:p>
            <w:pPr>
              <w:pStyle w:val="9"/>
            </w:pPr>
            <w:r>
              <w:t>5.50</w:t>
            </w:r>
          </w:p>
        </w:tc>
        <w:tc>
          <w:tcPr>
            <w:tcW w:w="2551" w:type="dxa"/>
            <w:vAlign w:val="center"/>
          </w:tcPr>
          <w:p>
            <w:pPr>
              <w:pStyle w:val="9"/>
            </w:pPr>
          </w:p>
        </w:tc>
        <w:tc>
          <w:tcPr>
            <w:tcW w:w="2551" w:type="dxa"/>
            <w:vAlign w:val="center"/>
          </w:tcPr>
          <w:p>
            <w:pPr>
              <w:pStyle w:val="9"/>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3.06</w:t>
            </w:r>
          </w:p>
        </w:tc>
        <w:tc>
          <w:tcPr>
            <w:tcW w:w="2551" w:type="dxa"/>
            <w:vAlign w:val="center"/>
          </w:tcPr>
          <w:p>
            <w:pPr>
              <w:pStyle w:val="9"/>
            </w:pPr>
          </w:p>
        </w:tc>
        <w:tc>
          <w:tcPr>
            <w:tcW w:w="2551" w:type="dxa"/>
            <w:vAlign w:val="center"/>
          </w:tcPr>
          <w:p>
            <w:pPr>
              <w:pStyle w:val="9"/>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30208</w:t>
            </w:r>
          </w:p>
        </w:tc>
        <w:tc>
          <w:tcPr>
            <w:tcW w:w="4535" w:type="dxa"/>
            <w:vAlign w:val="center"/>
          </w:tcPr>
          <w:p>
            <w:pPr>
              <w:pStyle w:val="10"/>
            </w:pPr>
            <w:r>
              <w:t>取暖费</w:t>
            </w:r>
          </w:p>
        </w:tc>
        <w:tc>
          <w:tcPr>
            <w:tcW w:w="2551" w:type="dxa"/>
            <w:vAlign w:val="center"/>
          </w:tcPr>
          <w:p>
            <w:pPr>
              <w:pStyle w:val="9"/>
            </w:pPr>
            <w:r>
              <w:t>4.94</w:t>
            </w:r>
          </w:p>
        </w:tc>
        <w:tc>
          <w:tcPr>
            <w:tcW w:w="2551" w:type="dxa"/>
            <w:vAlign w:val="center"/>
          </w:tcPr>
          <w:p>
            <w:pPr>
              <w:pStyle w:val="9"/>
            </w:pPr>
          </w:p>
        </w:tc>
        <w:tc>
          <w:tcPr>
            <w:tcW w:w="2551" w:type="dxa"/>
            <w:vAlign w:val="center"/>
          </w:tcPr>
          <w:p>
            <w:pPr>
              <w:pStyle w:val="9"/>
            </w:pPr>
            <w:r>
              <w:t>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30211</w:t>
            </w:r>
          </w:p>
        </w:tc>
        <w:tc>
          <w:tcPr>
            <w:tcW w:w="4535" w:type="dxa"/>
            <w:vAlign w:val="center"/>
          </w:tcPr>
          <w:p>
            <w:pPr>
              <w:pStyle w:val="10"/>
            </w:pPr>
            <w:r>
              <w:t>差旅费</w:t>
            </w:r>
          </w:p>
        </w:tc>
        <w:tc>
          <w:tcPr>
            <w:tcW w:w="2551" w:type="dxa"/>
            <w:vAlign w:val="center"/>
          </w:tcPr>
          <w:p>
            <w:pPr>
              <w:pStyle w:val="9"/>
            </w:pPr>
            <w:r>
              <w:t>2.56</w:t>
            </w:r>
          </w:p>
        </w:tc>
        <w:tc>
          <w:tcPr>
            <w:tcW w:w="2551" w:type="dxa"/>
            <w:vAlign w:val="center"/>
          </w:tcPr>
          <w:p>
            <w:pPr>
              <w:pStyle w:val="9"/>
            </w:pPr>
          </w:p>
        </w:tc>
        <w:tc>
          <w:tcPr>
            <w:tcW w:w="2551" w:type="dxa"/>
            <w:vAlign w:val="center"/>
          </w:tcPr>
          <w:p>
            <w:pPr>
              <w:pStyle w:val="9"/>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1191" w:type="dxa"/>
            <w:vAlign w:val="center"/>
          </w:tcPr>
          <w:p>
            <w:pPr>
              <w:pStyle w:val="10"/>
            </w:pPr>
            <w:r>
              <w:t>30213</w:t>
            </w:r>
          </w:p>
        </w:tc>
        <w:tc>
          <w:tcPr>
            <w:tcW w:w="4535" w:type="dxa"/>
            <w:vAlign w:val="center"/>
          </w:tcPr>
          <w:p>
            <w:pPr>
              <w:pStyle w:val="10"/>
            </w:pPr>
            <w:r>
              <w:t>维修（护）费</w:t>
            </w:r>
          </w:p>
        </w:tc>
        <w:tc>
          <w:tcPr>
            <w:tcW w:w="2551" w:type="dxa"/>
            <w:vAlign w:val="center"/>
          </w:tcPr>
          <w:p>
            <w:pPr>
              <w:pStyle w:val="9"/>
            </w:pPr>
            <w:r>
              <w:t>2.56</w:t>
            </w:r>
          </w:p>
        </w:tc>
        <w:tc>
          <w:tcPr>
            <w:tcW w:w="2551" w:type="dxa"/>
            <w:vAlign w:val="center"/>
          </w:tcPr>
          <w:p>
            <w:pPr>
              <w:pStyle w:val="9"/>
            </w:pPr>
          </w:p>
        </w:tc>
        <w:tc>
          <w:tcPr>
            <w:tcW w:w="2551" w:type="dxa"/>
            <w:vAlign w:val="center"/>
          </w:tcPr>
          <w:p>
            <w:pPr>
              <w:pStyle w:val="9"/>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1191" w:type="dxa"/>
            <w:vAlign w:val="center"/>
          </w:tcPr>
          <w:p>
            <w:pPr>
              <w:pStyle w:val="10"/>
            </w:pPr>
            <w:r>
              <w:t>30215</w:t>
            </w:r>
          </w:p>
        </w:tc>
        <w:tc>
          <w:tcPr>
            <w:tcW w:w="4535" w:type="dxa"/>
            <w:vAlign w:val="center"/>
          </w:tcPr>
          <w:p>
            <w:pPr>
              <w:pStyle w:val="10"/>
            </w:pPr>
            <w:r>
              <w:t>会议费</w:t>
            </w:r>
          </w:p>
        </w:tc>
        <w:tc>
          <w:tcPr>
            <w:tcW w:w="2551" w:type="dxa"/>
            <w:vAlign w:val="center"/>
          </w:tcPr>
          <w:p>
            <w:pPr>
              <w:pStyle w:val="9"/>
            </w:pPr>
            <w:r>
              <w:t>23.75</w:t>
            </w:r>
          </w:p>
        </w:tc>
        <w:tc>
          <w:tcPr>
            <w:tcW w:w="2551" w:type="dxa"/>
            <w:vAlign w:val="center"/>
          </w:tcPr>
          <w:p>
            <w:pPr>
              <w:pStyle w:val="9"/>
            </w:pPr>
          </w:p>
        </w:tc>
        <w:tc>
          <w:tcPr>
            <w:tcW w:w="2551" w:type="dxa"/>
            <w:vAlign w:val="center"/>
          </w:tcPr>
          <w:p>
            <w:pPr>
              <w:pStyle w:val="9"/>
            </w:pPr>
            <w:r>
              <w:t>23.75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1191" w:type="dxa"/>
            <w:vAlign w:val="center"/>
          </w:tcPr>
          <w:p>
            <w:pPr>
              <w:pStyle w:val="10"/>
            </w:pPr>
            <w:r>
              <w:t>30217</w:t>
            </w:r>
          </w:p>
        </w:tc>
        <w:tc>
          <w:tcPr>
            <w:tcW w:w="4535" w:type="dxa"/>
            <w:vAlign w:val="center"/>
          </w:tcPr>
          <w:p>
            <w:pPr>
              <w:pStyle w:val="10"/>
            </w:pPr>
            <w:r>
              <w:t>公务接待费</w:t>
            </w:r>
          </w:p>
        </w:tc>
        <w:tc>
          <w:tcPr>
            <w:tcW w:w="2551" w:type="dxa"/>
            <w:vAlign w:val="center"/>
          </w:tcPr>
          <w:p>
            <w:pPr>
              <w:pStyle w:val="9"/>
            </w:pPr>
            <w:r>
              <w:t>0.39</w:t>
            </w:r>
          </w:p>
        </w:tc>
        <w:tc>
          <w:tcPr>
            <w:tcW w:w="2551" w:type="dxa"/>
            <w:vAlign w:val="center"/>
          </w:tcPr>
          <w:p>
            <w:pPr>
              <w:pStyle w:val="9"/>
            </w:pPr>
          </w:p>
        </w:tc>
        <w:tc>
          <w:tcPr>
            <w:tcW w:w="2551" w:type="dxa"/>
            <w:vAlign w:val="center"/>
          </w:tcPr>
          <w:p>
            <w:pPr>
              <w:pStyle w:val="9"/>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3.20</w:t>
            </w:r>
          </w:p>
        </w:tc>
        <w:tc>
          <w:tcPr>
            <w:tcW w:w="2551" w:type="dxa"/>
            <w:vAlign w:val="center"/>
          </w:tcPr>
          <w:p>
            <w:pPr>
              <w:pStyle w:val="9"/>
            </w:pPr>
          </w:p>
        </w:tc>
        <w:tc>
          <w:tcPr>
            <w:tcW w:w="2551" w:type="dxa"/>
            <w:vAlign w:val="center"/>
          </w:tcPr>
          <w:p>
            <w:pPr>
              <w:pStyle w:val="9"/>
            </w:pPr>
            <w:r>
              <w:t>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10.00</w:t>
            </w:r>
          </w:p>
        </w:tc>
        <w:tc>
          <w:tcPr>
            <w:tcW w:w="2551" w:type="dxa"/>
            <w:vAlign w:val="center"/>
          </w:tcPr>
          <w:p>
            <w:pPr>
              <w:pStyle w:val="9"/>
            </w:pPr>
          </w:p>
        </w:tc>
        <w:tc>
          <w:tcPr>
            <w:tcW w:w="2551" w:type="dxa"/>
            <w:vAlign w:val="center"/>
          </w:tcPr>
          <w:p>
            <w:pPr>
              <w:pStyle w:val="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22.85</w:t>
            </w:r>
          </w:p>
        </w:tc>
        <w:tc>
          <w:tcPr>
            <w:tcW w:w="2551" w:type="dxa"/>
            <w:vAlign w:val="center"/>
          </w:tcPr>
          <w:p>
            <w:pPr>
              <w:pStyle w:val="9"/>
            </w:pPr>
          </w:p>
        </w:tc>
        <w:tc>
          <w:tcPr>
            <w:tcW w:w="2551" w:type="dxa"/>
            <w:vAlign w:val="center"/>
          </w:tcPr>
          <w:p>
            <w:pPr>
              <w:pStyle w:val="9"/>
            </w:pPr>
            <w:r>
              <w:t>22.85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6.37</w:t>
            </w:r>
          </w:p>
        </w:tc>
        <w:tc>
          <w:tcPr>
            <w:tcW w:w="2551" w:type="dxa"/>
            <w:vAlign w:val="center"/>
          </w:tcPr>
          <w:p>
            <w:pPr>
              <w:pStyle w:val="9"/>
            </w:pPr>
          </w:p>
        </w:tc>
        <w:tc>
          <w:tcPr>
            <w:tcW w:w="2551" w:type="dxa"/>
            <w:vAlign w:val="center"/>
          </w:tcPr>
          <w:p>
            <w:pPr>
              <w:pStyle w:val="9"/>
            </w:pPr>
            <w:r>
              <w:t>6.37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117.44</w:t>
            </w:r>
          </w:p>
        </w:tc>
        <w:tc>
          <w:tcPr>
            <w:tcW w:w="2551" w:type="dxa"/>
            <w:vAlign w:val="center"/>
          </w:tcPr>
          <w:p>
            <w:pPr>
              <w:pStyle w:val="9"/>
            </w:pPr>
            <w:r>
              <w:t>117.44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1191" w:type="dxa"/>
            <w:vAlign w:val="center"/>
          </w:tcPr>
          <w:p>
            <w:pPr>
              <w:pStyle w:val="10"/>
            </w:pPr>
            <w:r>
              <w:t>30301</w:t>
            </w:r>
          </w:p>
        </w:tc>
        <w:tc>
          <w:tcPr>
            <w:tcW w:w="4535" w:type="dxa"/>
            <w:vAlign w:val="center"/>
          </w:tcPr>
          <w:p>
            <w:pPr>
              <w:pStyle w:val="10"/>
            </w:pPr>
            <w:r>
              <w:t>离休费</w:t>
            </w:r>
          </w:p>
        </w:tc>
        <w:tc>
          <w:tcPr>
            <w:tcW w:w="2551" w:type="dxa"/>
            <w:vAlign w:val="center"/>
          </w:tcPr>
          <w:p>
            <w:pPr>
              <w:pStyle w:val="9"/>
            </w:pPr>
            <w:r>
              <w:t>19.14</w:t>
            </w:r>
          </w:p>
        </w:tc>
        <w:tc>
          <w:tcPr>
            <w:tcW w:w="2551" w:type="dxa"/>
            <w:vAlign w:val="center"/>
          </w:tcPr>
          <w:p>
            <w:pPr>
              <w:pStyle w:val="9"/>
            </w:pPr>
            <w:r>
              <w:t>19.14</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98.30</w:t>
            </w:r>
          </w:p>
        </w:tc>
        <w:tc>
          <w:tcPr>
            <w:tcW w:w="2551" w:type="dxa"/>
            <w:vAlign w:val="center"/>
          </w:tcPr>
          <w:p>
            <w:pPr>
              <w:pStyle w:val="9"/>
            </w:pPr>
            <w:r>
              <w:t>98.30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551" w:type="dxa"/>
            <w:tcBorders>
              <w:top w:val="single" w:color="FFFFFF" w:sz="6" w:space="0"/>
              <w:left w:val="single" w:color="FFFFFF" w:sz="6" w:space="0"/>
              <w:right w:val="single" w:color="FFFFFF" w:sz="6" w:space="0"/>
            </w:tcBorders>
            <w:vAlign w:val="center"/>
          </w:tcPr>
          <w:p>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2381" w:type="dxa"/>
            <w:tcBorders>
              <w:top w:val="single" w:color="FFFFFF" w:sz="6" w:space="0"/>
              <w:left w:val="single" w:color="FFFFFF" w:sz="6" w:space="0"/>
              <w:right w:val="single" w:color="FFFFFF" w:sz="6" w:space="0"/>
            </w:tcBorders>
            <w:vAlign w:val="center"/>
          </w:tcPr>
          <w:p>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1</w:t>
            </w:r>
          </w:p>
        </w:tc>
        <w:tc>
          <w:tcPr>
            <w:tcW w:w="3798" w:type="dxa"/>
            <w:vAlign w:val="center"/>
          </w:tcPr>
          <w:p>
            <w:pPr>
              <w:pStyle w:val="10"/>
              <w:rPr>
                <w:rFonts w:hint="eastAsia" w:eastAsia="方正书宋_GBK"/>
                <w:lang w:val="en-US" w:eastAsia="zh-CN"/>
              </w:rPr>
            </w:pPr>
            <w:r>
              <w:rPr>
                <w:rFonts w:hint="eastAsia"/>
                <w:lang w:val="en-US" w:eastAsia="zh-CN"/>
              </w:rPr>
              <w:t>合计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2</w:t>
            </w:r>
          </w:p>
        </w:tc>
        <w:tc>
          <w:tcPr>
            <w:tcW w:w="3798" w:type="dxa"/>
            <w:vAlign w:val="center"/>
          </w:tcPr>
          <w:p>
            <w:pPr>
              <w:pStyle w:val="10"/>
            </w:pPr>
            <w:r>
              <w:t>“三公”经费小计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6</w:t>
            </w:r>
          </w:p>
        </w:tc>
        <w:tc>
          <w:tcPr>
            <w:tcW w:w="3798" w:type="dxa"/>
            <w:vAlign w:val="center"/>
          </w:tcPr>
          <w:p>
            <w:pPr>
              <w:pStyle w:val="10"/>
            </w:pPr>
            <w: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7</w:t>
            </w:r>
          </w:p>
        </w:tc>
        <w:tc>
          <w:tcPr>
            <w:tcW w:w="3798" w:type="dxa"/>
            <w:vAlign w:val="center"/>
          </w:tcPr>
          <w:p>
            <w:pPr>
              <w:pStyle w:val="10"/>
            </w:pPr>
            <w:r>
              <w:t>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8</w:t>
            </w:r>
          </w:p>
        </w:tc>
        <w:tc>
          <w:tcPr>
            <w:tcW w:w="3798" w:type="dxa"/>
            <w:vAlign w:val="center"/>
          </w:tcPr>
          <w:p>
            <w:pPr>
              <w:pStyle w:val="10"/>
            </w:pPr>
            <w:r>
              <w:t xml:space="preserve"> 公务用车运行维护费</w:t>
            </w:r>
          </w:p>
        </w:tc>
        <w:tc>
          <w:tcPr>
            <w:tcW w:w="2381" w:type="dxa"/>
            <w:vAlign w:val="center"/>
          </w:tcPr>
          <w:p>
            <w:pPr>
              <w:pStyle w:val="9"/>
              <w:rPr>
                <w:rFonts w:hint="default" w:eastAsia="方正书宋_GBK"/>
                <w:lang w:val="en-US" w:eastAsia="zh-CN"/>
              </w:rPr>
            </w:pPr>
            <w:r>
              <w:rPr>
                <w:rFonts w:hint="eastAsia"/>
                <w:lang w:val="en-US" w:eastAsia="zh-CN"/>
              </w:rPr>
              <w:t>10</w:t>
            </w:r>
          </w:p>
        </w:tc>
        <w:tc>
          <w:tcPr>
            <w:tcW w:w="2381" w:type="dxa"/>
            <w:vAlign w:val="center"/>
          </w:tcPr>
          <w:p>
            <w:pPr>
              <w:pStyle w:val="9"/>
              <w:rPr>
                <w:rFonts w:hint="default" w:eastAsia="方正书宋_GBK"/>
                <w:lang w:val="en-US" w:eastAsia="zh-CN"/>
              </w:rPr>
            </w:pPr>
            <w:r>
              <w:rPr>
                <w:rFonts w:hint="eastAsia"/>
                <w:lang w:val="en-US" w:eastAsia="zh-CN"/>
              </w:rPr>
              <w:t>10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rPr>
                <w:rFonts w:hint="eastAsia" w:eastAsia="方正书宋_GBK"/>
                <w:lang w:val="en-US" w:eastAsia="zh-CN"/>
              </w:rPr>
            </w:pPr>
            <w:r>
              <w:rPr>
                <w:rFonts w:hint="eastAsia"/>
                <w:lang w:val="en-US" w:eastAsia="zh-CN"/>
              </w:rPr>
              <w:t>9</w:t>
            </w:r>
          </w:p>
        </w:tc>
        <w:tc>
          <w:tcPr>
            <w:tcW w:w="3798" w:type="dxa"/>
            <w:vAlign w:val="center"/>
          </w:tcPr>
          <w:p>
            <w:pPr>
              <w:pStyle w:val="10"/>
            </w:pPr>
            <w:r>
              <w:t>三、公务接待费</w:t>
            </w:r>
          </w:p>
        </w:tc>
        <w:tc>
          <w:tcPr>
            <w:tcW w:w="2381" w:type="dxa"/>
            <w:vAlign w:val="center"/>
          </w:tcPr>
          <w:p>
            <w:pPr>
              <w:pStyle w:val="9"/>
              <w:rPr>
                <w:rFonts w:hint="default" w:eastAsia="方正书宋_GBK"/>
                <w:lang w:val="en-US" w:eastAsia="zh-CN"/>
              </w:rPr>
            </w:pPr>
            <w:r>
              <w:rPr>
                <w:rFonts w:hint="eastAsia"/>
                <w:lang w:val="en-US" w:eastAsia="zh-CN"/>
              </w:rPr>
              <w:t>0.44</w:t>
            </w:r>
          </w:p>
        </w:tc>
        <w:tc>
          <w:tcPr>
            <w:tcW w:w="2381" w:type="dxa"/>
            <w:vAlign w:val="center"/>
          </w:tcPr>
          <w:p>
            <w:pPr>
              <w:pStyle w:val="9"/>
              <w:rPr>
                <w:rFonts w:hint="default" w:eastAsia="方正书宋_GBK"/>
                <w:lang w:val="en-US" w:eastAsia="zh-CN"/>
              </w:rPr>
            </w:pPr>
            <w:r>
              <w:rPr>
                <w:rFonts w:hint="eastAsia"/>
                <w:lang w:val="en-US" w:eastAsia="zh-CN"/>
              </w:rPr>
              <w:t>0.44</w:t>
            </w: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行唐县人民代表大会常务委员会办公室本级2026年单位预算信息公开情况说明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按照《中华人民共和国预算法》、《地方预决算公开操作规程》和《关于进一步推进预算公开工作的实施意见》规定，现将行唐县人民代表大会常务委员会办公室本级2026年单位预算公开如下：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rPr>
          <w:rFonts w:hint="eastAsia"/>
          <w:lang w:eastAsia="zh-CN"/>
        </w:rPr>
        <w:t>单位</w:t>
      </w:r>
      <w:r>
        <w:t>职责：</w:t>
      </w:r>
    </w:p>
    <w:p>
      <w:pPr>
        <w:pStyle w:val="15"/>
      </w:pPr>
    </w:p>
    <w:p>
      <w:pPr>
        <w:pStyle w:val="15"/>
      </w:pPr>
      <w:r>
        <w:t>一、办公室 附设</w:t>
      </w:r>
      <w:r>
        <w:rPr>
          <w:rFonts w:hint="eastAsia"/>
          <w:lang w:eastAsia="zh-CN"/>
        </w:rPr>
        <w:t>法制工作委员会</w:t>
      </w:r>
      <w:r>
        <w:t>、</w:t>
      </w:r>
      <w:r>
        <w:rPr>
          <w:rFonts w:hint="eastAsia"/>
          <w:lang w:eastAsia="zh-CN"/>
        </w:rPr>
        <w:t>代表工作委员会、预算工作委员会、</w:t>
      </w:r>
      <w:r>
        <w:t>信访科</w:t>
      </w:r>
    </w:p>
    <w:p>
      <w:pPr>
        <w:pStyle w:val="15"/>
      </w:pPr>
    </w:p>
    <w:p>
      <w:pPr>
        <w:pStyle w:val="15"/>
      </w:pPr>
      <w:r>
        <w:t>主要职责：</w:t>
      </w:r>
    </w:p>
    <w:p>
      <w:pPr>
        <w:pStyle w:val="15"/>
      </w:pPr>
    </w:p>
    <w:p>
      <w:pPr>
        <w:pStyle w:val="15"/>
      </w:pPr>
      <w:r>
        <w:t>负责人民代表大会、人大党组会议和常委会议的组织筹备工作；负责综合性文件、决定、决议的起草，文书档案归整，文电传送、通讯报道、对外联络等事宜；负责信访接待及督办；负责老干部工作及配合协调各委工作；负责办理人事任免手续及领导交办的其他事宜。</w:t>
      </w:r>
    </w:p>
    <w:p>
      <w:pPr>
        <w:pStyle w:val="15"/>
      </w:pPr>
    </w:p>
    <w:p>
      <w:pPr>
        <w:pStyle w:val="15"/>
      </w:pPr>
      <w:r>
        <w:t>二、</w:t>
      </w:r>
      <w:r>
        <w:rPr>
          <w:rFonts w:hint="eastAsia"/>
          <w:lang w:eastAsia="zh-CN"/>
        </w:rPr>
        <w:t>预算工作委员会</w:t>
      </w:r>
    </w:p>
    <w:p>
      <w:pPr>
        <w:pStyle w:val="15"/>
      </w:pPr>
    </w:p>
    <w:p>
      <w:pPr>
        <w:pStyle w:val="15"/>
      </w:pPr>
      <w:r>
        <w:t>主要职责：</w:t>
      </w:r>
    </w:p>
    <w:p>
      <w:pPr>
        <w:pStyle w:val="15"/>
      </w:pPr>
    </w:p>
    <w:p>
      <w:pPr>
        <w:pStyle w:val="15"/>
      </w:pPr>
      <w:r>
        <w:t>对经济方面的议案、议题进行调查研究，提出意见，为常委会议、人代会议的召开做好准备；了解财经</w:t>
      </w:r>
      <w:r>
        <w:rPr>
          <w:rFonts w:hint="eastAsia"/>
          <w:lang w:eastAsia="zh-CN"/>
        </w:rPr>
        <w:t>单位</w:t>
      </w:r>
      <w:r>
        <w:t>执行法律法规情况；进行执法检查；起草有关文件，办理有关质询案、信访案及领导交办的其他事宜。</w:t>
      </w:r>
    </w:p>
    <w:p>
      <w:pPr>
        <w:pStyle w:val="15"/>
      </w:pPr>
    </w:p>
    <w:p>
      <w:pPr>
        <w:pStyle w:val="15"/>
      </w:pPr>
      <w:r>
        <w:t>三、法制工作委员会</w:t>
      </w:r>
    </w:p>
    <w:p>
      <w:pPr>
        <w:pStyle w:val="15"/>
      </w:pPr>
    </w:p>
    <w:p>
      <w:pPr>
        <w:pStyle w:val="15"/>
      </w:pPr>
      <w:r>
        <w:t>主要职责；</w:t>
      </w:r>
    </w:p>
    <w:p>
      <w:pPr>
        <w:pStyle w:val="15"/>
      </w:pPr>
    </w:p>
    <w:p>
      <w:pPr>
        <w:pStyle w:val="15"/>
      </w:pPr>
      <w:r>
        <w:t>对本县域内的宪法、法律、法规和行政规章的实施情况及各项议案、议题、普法情况进行调查了解；受理人民群众对“一府两院”工作的申诉和意见；办理有关质询案、信访案及领导交办的其他事宜。</w:t>
      </w:r>
    </w:p>
    <w:p>
      <w:pPr>
        <w:pStyle w:val="15"/>
      </w:pPr>
    </w:p>
    <w:p>
      <w:pPr>
        <w:pStyle w:val="15"/>
      </w:pPr>
      <w:r>
        <w:t>四、</w:t>
      </w:r>
      <w:r>
        <w:rPr>
          <w:rFonts w:hint="eastAsia"/>
          <w:lang w:eastAsia="zh-CN"/>
        </w:rPr>
        <w:t>代表工作委员会</w:t>
      </w:r>
    </w:p>
    <w:p>
      <w:pPr>
        <w:pStyle w:val="15"/>
      </w:pPr>
    </w:p>
    <w:p>
      <w:pPr>
        <w:pStyle w:val="15"/>
      </w:pPr>
      <w:r>
        <w:t>主要职责：</w:t>
      </w:r>
    </w:p>
    <w:p>
      <w:pPr>
        <w:pStyle w:val="15"/>
      </w:pPr>
    </w:p>
    <w:p>
      <w:pPr>
        <w:pStyle w:val="15"/>
      </w:pPr>
      <w:r>
        <w:t>负责代表建议、批评和意见的收集、汇总、转办催要结果；指导乡镇人大工作；组织各级人大代表活动；负责县人大代表被拘留的审查并向人大常委会报告；负责代表工作的上传下达及领导交办的其他事宜。</w:t>
      </w:r>
    </w:p>
    <w:p>
      <w:pPr>
        <w:pStyle w:val="15"/>
      </w:pPr>
    </w:p>
    <w:p>
      <w:pPr>
        <w:pStyle w:val="15"/>
      </w:pPr>
      <w:r>
        <w:t>五、教科文卫工作委员会</w:t>
      </w:r>
    </w:p>
    <w:p>
      <w:pPr>
        <w:pStyle w:val="15"/>
      </w:pPr>
    </w:p>
    <w:p>
      <w:pPr>
        <w:pStyle w:val="15"/>
      </w:pPr>
      <w:r>
        <w:t>主要职责：</w:t>
      </w:r>
    </w:p>
    <w:p>
      <w:pPr>
        <w:pStyle w:val="15"/>
      </w:pPr>
    </w:p>
    <w:p>
      <w:pPr>
        <w:pStyle w:val="15"/>
      </w:pPr>
      <w:r>
        <w:t>负责调查了解有关教科文卫工作方面的议案、议题的收集、汇总并提出意见，为常委会议和人代会议的召开做准备；调查了解科学、文化、教育、卫生、体育、计划生育等工作的执行情况；组织执法检查；办理有关质询案、信访案件及领导交办的其他事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行唐县人民代表大会常务委员会办公室本级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二、单位预算安排的总体情况</w:t>
      </w:r>
    </w:p>
    <w:p>
      <w:pPr>
        <w:pStyle w:val="22"/>
      </w:pPr>
      <w:r>
        <w:t>按照预算管理有关规定，目前</w:t>
      </w:r>
      <w:r>
        <w:rPr>
          <w:rFonts w:hint="eastAsia"/>
          <w:lang w:eastAsia="zh-CN"/>
        </w:rPr>
        <w:t>单位</w:t>
      </w:r>
      <w:r>
        <w:t>预算的编制实行综合预算管理，即全部收入和支出都反映在预算中。行唐县人民代表大会常务委员会办公室机关及所属事业单位的收支包含在</w:t>
      </w:r>
      <w:r>
        <w:rPr>
          <w:rFonts w:hint="eastAsia"/>
          <w:lang w:eastAsia="zh-CN"/>
        </w:rPr>
        <w:t>单位</w:t>
      </w:r>
      <w:r>
        <w:t>预算中。</w:t>
      </w:r>
    </w:p>
    <w:p>
      <w:pPr>
        <w:pStyle w:val="22"/>
      </w:pPr>
      <w:r>
        <w:t>1、收入说明</w:t>
      </w:r>
    </w:p>
    <w:p>
      <w:pPr>
        <w:pStyle w:val="22"/>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645.48</w:t>
      </w:r>
      <w:r>
        <w:t>万元，其中：一般公共预算收入</w:t>
      </w:r>
      <w:r>
        <w:rPr>
          <w:rFonts w:hint="eastAsia"/>
          <w:lang w:val="en-US" w:eastAsia="zh-CN"/>
        </w:rPr>
        <w:t>645.48</w:t>
      </w:r>
      <w:r>
        <w:t>万元，基金预算收入0.00万元，国有资本经营预算收入0.00万元，财政专户核拨收入0.00万元，单位资金收入0.00万元，上年结转结余0.00万元。</w:t>
      </w:r>
    </w:p>
    <w:p>
      <w:pPr>
        <w:pStyle w:val="22"/>
      </w:pPr>
      <w:r>
        <w:t>2、支出说明</w:t>
      </w:r>
    </w:p>
    <w:p>
      <w:pPr>
        <w:pStyle w:val="22"/>
      </w:pPr>
      <w:r>
        <w:t>收支预算总表支出栏、基本支出表、项目支出表按经济分类和支出功能分类科目编制，反映行唐县人民代表大会常务委员会办公室年度</w:t>
      </w:r>
      <w:r>
        <w:rPr>
          <w:rFonts w:hint="eastAsia"/>
          <w:lang w:eastAsia="zh-CN"/>
        </w:rPr>
        <w:t>单位</w:t>
      </w:r>
      <w:r>
        <w:t>预算中支出预算的总体情况。202</w:t>
      </w:r>
      <w:r>
        <w:rPr>
          <w:rFonts w:hint="eastAsia"/>
          <w:lang w:val="en-US" w:eastAsia="zh-CN"/>
        </w:rPr>
        <w:t>6</w:t>
      </w:r>
      <w:r>
        <w:t>年支出预算</w:t>
      </w:r>
      <w:r>
        <w:rPr>
          <w:rFonts w:hint="eastAsia"/>
          <w:lang w:val="en-US" w:eastAsia="zh-CN"/>
        </w:rPr>
        <w:t>645.48</w:t>
      </w:r>
      <w:r>
        <w:t>万元，其中基本支出</w:t>
      </w:r>
      <w:r>
        <w:rPr>
          <w:rFonts w:hint="eastAsia"/>
          <w:lang w:val="en-US" w:eastAsia="zh-CN"/>
        </w:rPr>
        <w:t>645.48</w:t>
      </w:r>
      <w:r>
        <w:t>万元，包括人员经费</w:t>
      </w:r>
      <w:r>
        <w:rPr>
          <w:rFonts w:hint="eastAsia"/>
          <w:lang w:val="en-US" w:eastAsia="zh-CN"/>
        </w:rPr>
        <w:t>557.10</w:t>
      </w:r>
      <w:r>
        <w:t>万元和日常公用经费</w:t>
      </w:r>
      <w:r>
        <w:rPr>
          <w:rFonts w:hint="eastAsia"/>
          <w:lang w:val="en-US" w:eastAsia="zh-CN"/>
        </w:rPr>
        <w:t>88.38</w:t>
      </w:r>
      <w:r>
        <w:t>万元；项目支出0.00万元，主要为目前没有安排项目。</w:t>
      </w:r>
    </w:p>
    <w:p>
      <w:pPr>
        <w:pStyle w:val="22"/>
      </w:pPr>
      <w:r>
        <w:t>3、比上年增减情况</w:t>
      </w:r>
    </w:p>
    <w:p>
      <w:pPr>
        <w:pStyle w:val="22"/>
      </w:pPr>
      <w:r>
        <w:t>202</w:t>
      </w:r>
      <w:r>
        <w:rPr>
          <w:rFonts w:hint="eastAsia"/>
          <w:lang w:val="en-US" w:eastAsia="zh-CN"/>
        </w:rPr>
        <w:t>6</w:t>
      </w:r>
      <w:r>
        <w:t>年预算收支安排6</w:t>
      </w:r>
      <w:r>
        <w:rPr>
          <w:rFonts w:hint="eastAsia"/>
          <w:lang w:val="en-US" w:eastAsia="zh-CN"/>
        </w:rPr>
        <w:t>45.48</w:t>
      </w:r>
      <w:r>
        <w:t>万元，较202</w:t>
      </w:r>
      <w:r>
        <w:rPr>
          <w:rFonts w:hint="eastAsia"/>
          <w:lang w:val="en-US" w:eastAsia="zh-CN"/>
        </w:rPr>
        <w:t>5</w:t>
      </w:r>
      <w:r>
        <w:t>年预算</w:t>
      </w:r>
      <w:r>
        <w:rPr>
          <w:rFonts w:hint="eastAsia"/>
          <w:lang w:eastAsia="zh-CN"/>
        </w:rPr>
        <w:t>增加</w:t>
      </w:r>
      <w:r>
        <w:rPr>
          <w:rFonts w:hint="eastAsia"/>
          <w:lang w:val="en-US" w:eastAsia="zh-CN"/>
        </w:rPr>
        <w:t>52.93</w:t>
      </w:r>
      <w:r>
        <w:t>万元，其中：基本支出</w:t>
      </w:r>
      <w:r>
        <w:rPr>
          <w:rFonts w:hint="eastAsia"/>
          <w:lang w:eastAsia="zh-CN"/>
        </w:rPr>
        <w:t>增加</w:t>
      </w:r>
      <w:r>
        <w:rPr>
          <w:rFonts w:hint="eastAsia"/>
          <w:lang w:val="en-US" w:eastAsia="zh-CN"/>
        </w:rPr>
        <w:t>52.93</w:t>
      </w:r>
      <w:r>
        <w:t>万元，主要为水、电费、办公费等日常公用支出都节约开支。主要为今年没有安排项目。</w:t>
      </w:r>
    </w:p>
    <w:p>
      <w:pPr>
        <w:spacing w:before="10" w:after="10"/>
        <w:ind w:firstLine="640"/>
        <w:outlineLvl w:val="5"/>
      </w:pPr>
      <w:r>
        <w:rPr>
          <w:rFonts w:ascii="黑体" w:hAnsi="黑体" w:eastAsia="黑体" w:cs="黑体"/>
          <w:color w:val="000000"/>
          <w:sz w:val="32"/>
        </w:rPr>
        <w:t>三、机关运行经费安排情况</w:t>
      </w:r>
    </w:p>
    <w:p>
      <w:pPr>
        <w:pStyle w:val="23"/>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88.38</w:t>
      </w:r>
      <w:r>
        <w:t>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4"/>
      </w:pPr>
      <w:r>
        <w:t>202</w:t>
      </w:r>
      <w:r>
        <w:rPr>
          <w:rFonts w:hint="eastAsia"/>
          <w:lang w:val="en-US" w:eastAsia="zh-CN"/>
        </w:rPr>
        <w:t>6</w:t>
      </w:r>
      <w:r>
        <w:t>年，我</w:t>
      </w:r>
      <w:r>
        <w:rPr>
          <w:rFonts w:hint="eastAsia"/>
          <w:lang w:eastAsia="zh-CN"/>
        </w:rPr>
        <w:t>单位</w:t>
      </w:r>
      <w:r>
        <w:t>财政拨款“三公”经费预算安排1</w:t>
      </w:r>
      <w:r>
        <w:rPr>
          <w:rFonts w:hint="eastAsia"/>
          <w:lang w:val="en-US" w:eastAsia="zh-CN"/>
        </w:rPr>
        <w:t>0.44</w:t>
      </w:r>
      <w:r>
        <w:t>万元，其中因公出国（境）费0.00万元；公务用车购置及运维费10万元（其中：公务用车购置费为0.00万元，公务用车运维费10万元)；公务接待费0.4</w:t>
      </w:r>
      <w:r>
        <w:rPr>
          <w:rFonts w:hint="eastAsia"/>
          <w:lang w:val="en-US" w:eastAsia="zh-CN"/>
        </w:rPr>
        <w:t>4</w:t>
      </w:r>
      <w:r>
        <w:t>万元。与202</w:t>
      </w:r>
      <w:r>
        <w:rPr>
          <w:rFonts w:hint="eastAsia"/>
          <w:lang w:val="en-US" w:eastAsia="zh-CN"/>
        </w:rPr>
        <w:t>5</w:t>
      </w:r>
      <w:r>
        <w:t>年相比</w:t>
      </w:r>
      <w:r>
        <w:rPr>
          <w:rFonts w:hint="eastAsia"/>
          <w:lang w:eastAsia="zh-CN"/>
        </w:rPr>
        <w:t>增加</w:t>
      </w:r>
      <w:r>
        <w:rPr>
          <w:rFonts w:hint="eastAsia"/>
          <w:lang w:val="en-US" w:eastAsia="zh-CN"/>
        </w:rPr>
        <w:t>2.24</w:t>
      </w:r>
      <w:r>
        <w:t>万元。</w:t>
      </w:r>
    </w:p>
    <w:p>
      <w:pPr>
        <w:pStyle w:val="18"/>
      </w:pP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outlineLvl w:val="5"/>
        <w:rPr>
          <w:rFonts w:ascii="黑体" w:hAnsi="黑体" w:eastAsia="黑体" w:cs="黑体"/>
          <w:color w:val="000000"/>
          <w:sz w:val="32"/>
        </w:rPr>
      </w:pPr>
    </w:p>
    <w:p>
      <w:pPr>
        <w:spacing w:line="500" w:lineRule="exact"/>
        <w:ind w:firstLine="560"/>
      </w:pPr>
      <w:r>
        <w:rPr>
          <w:rFonts w:eastAsia="方正仿宋_GBK"/>
          <w:color w:val="000000"/>
          <w:sz w:val="28"/>
        </w:rPr>
        <w:t>（一）总体绩效目标</w:t>
      </w:r>
    </w:p>
    <w:p>
      <w:pPr>
        <w:pStyle w:val="25"/>
      </w:pPr>
    </w:p>
    <w:p>
      <w:pPr>
        <w:pStyle w:val="25"/>
      </w:pPr>
      <w:r>
        <w:t>行唐县人大办</w:t>
      </w:r>
    </w:p>
    <w:p>
      <w:pPr>
        <w:pStyle w:val="25"/>
      </w:pPr>
    </w:p>
    <w:p>
      <w:pPr>
        <w:pStyle w:val="25"/>
      </w:pPr>
      <w:r>
        <w:t>一、总体绩效目标:</w:t>
      </w:r>
    </w:p>
    <w:p>
      <w:pPr>
        <w:pStyle w:val="25"/>
      </w:pPr>
    </w:p>
    <w:p>
      <w:pPr>
        <w:pStyle w:val="25"/>
      </w:pPr>
      <w:r>
        <w:t>县人大常委会将继续以习近平新时代中国特色社会主义思想为指导，在县委的正确领导下，全面贯彻党的十九大和十九届四中、五中全会精神，坚持党的领导、人民当家作主、依法治国有机统一，紧紧围绕县委十二届八次全会决策部署，坚持问题导向，强化责任担当，全面履职尽责，为加快建设激情开放、跨越赶超、美丽幸福新行唐发挥积极作用。</w:t>
      </w:r>
    </w:p>
    <w:p>
      <w:pPr>
        <w:pStyle w:val="25"/>
      </w:pPr>
      <w:r>
        <w:t>1、加强工作监督。立足县委重大决策部署落实和“十四五”规划开局之年的各项工作，围绕全局加强监督。做好“六稳”工作，落实“六保”任务，解决好人民最关心最直接最现实的问题，着力在强化监督实效上实现新突破。把经济发展作为监督工作重点，加强国民经济和社会发展情况监督，持续推进营商环境优化，促进开发区建设提升，重点项目落地落实。加强计划、预算执行情况监督，加快推进预算执行联网监督，实现预算审查监督信息化、网络化。推动乡村振兴战略有效实施，开展三农工作调研，做好“水”、“路”、“业”三篇大文章。推进生态文明建设，开展污染防治情况监督，听取审议环境状况和环境保护目标完成情况报告，促进绿色发展。强化民生事业监督，强力推进人代会票决确定的民生实事项目得到有效落实，重点关注全县教育、医疗、养老、就业、社保、住房、环保、食品安全、交通出行等民生领域，组织人大代表开展视察活动，听取审议专项工作报告，不断保障和改善民生。</w:t>
      </w:r>
    </w:p>
    <w:p>
      <w:pPr>
        <w:pStyle w:val="25"/>
      </w:pPr>
      <w:r>
        <w:t>2、加强法律监督。落实全面依法治国新要求，持续加强法律监督，切实加强“一府一委两院”法律法规实施情况的执法检查，保障各项法律法规在我县得到正确有效实施，促进依法行政、公正司法。优化司法环境，对“两院”及其工作人员开展司法案件评查和法官、检察官履职评议，组织代表旁听庭审，参加检察院公开日活动，进一步维护社会公平正义。</w:t>
      </w:r>
    </w:p>
    <w:p>
      <w:pPr>
        <w:pStyle w:val="25"/>
      </w:pPr>
      <w:r>
        <w:t>3、加强决定权行使。依法行使重大事项决定权。将行使重大事项决定权作为发挥人大职能作用，推动经济社会发展的重要举措，把经济社会发展规划、财政预决算、环境和资源保护、公共事业发展、民生实事项目等纳入重大事项讨论决定的范围。</w:t>
      </w:r>
    </w:p>
    <w:p>
      <w:pPr>
        <w:pStyle w:val="25"/>
      </w:pPr>
      <w:r>
        <w:t>4、加强人事任免。坚持党管干部与人大依法行使任免权的有机统一，做好人事任免事项，落实宪法宣誓制度，加强对人大选举任命干部履职情况的监督，促使国家机关工作人员把对党负责和对人民负责一致起来。</w:t>
      </w:r>
    </w:p>
    <w:p>
      <w:pPr>
        <w:pStyle w:val="25"/>
      </w:pPr>
      <w:r>
        <w:t>5、加强代表工作。认真组织开展县乡人大代表培训，组织代表走出去开阔视野，提高代表综合素质和履职能力。全面推动“代表之家”作用发挥，深入开展代表专业小组活动，做好代表联络员工作。完成网上人大代表之家建设，积极探索线上线下“双模”运行的融合方式，更好促进代表作用发挥。加强代表建议督办，增加办理过程中听取承办</w:t>
      </w:r>
      <w:r>
        <w:rPr>
          <w:rFonts w:hint="eastAsia"/>
          <w:lang w:eastAsia="zh-CN"/>
        </w:rPr>
        <w:t>单位</w:t>
      </w:r>
      <w:r>
        <w:t>汇报的节点监督和评议，组织各乡镇人大对本团代表提出的代表建议办理情况进行视察。发挥代表群体参与作用，提高调研视察、执法检查、工作评议活动的影响和效果。按照省市部署，在县委领导下，切实做好县乡人大代表换届选举的组织工作。</w:t>
      </w:r>
    </w:p>
    <w:p>
      <w:pPr>
        <w:pStyle w:val="25"/>
      </w:pPr>
      <w:r>
        <w:t>6、加强自身建设。主动适应新形势、新任务、新要求，持续加强学习型机关建设，强化政治理论、法律法规和业务知识学习，坚持学以致用，注重融会贯通，真正把学习收获转化为推动人大工作，服务全县发展的思路和举措。继续完善人大常委会和人大机关各项工作制度，严格落实党风廉政建设的主体责任和监督责任，认真贯彻中央八项规定及其实施细则精神，持续改进工作作风，密切联系群众，努力打造一支听命与党、遵循于法、取信于民的人大干部队伍，为推动“十四五”期间全县经济社会各项事业发展贡献人大力量！</w:t>
      </w:r>
    </w:p>
    <w:p>
      <w:pPr>
        <w:spacing w:line="500" w:lineRule="exact"/>
        <w:ind w:firstLine="560"/>
      </w:pPr>
      <w:r>
        <w:rPr>
          <w:rFonts w:eastAsia="方正仿宋_GBK"/>
          <w:color w:val="000000"/>
          <w:sz w:val="28"/>
        </w:rPr>
        <w:t>（二）分项绩效目标</w:t>
      </w:r>
    </w:p>
    <w:p>
      <w:pPr>
        <w:pStyle w:val="26"/>
      </w:pPr>
      <w:r>
        <w:t>分项绩效目标：</w:t>
      </w:r>
    </w:p>
    <w:p>
      <w:pPr>
        <w:pStyle w:val="26"/>
      </w:pPr>
    </w:p>
    <w:p>
      <w:pPr>
        <w:pStyle w:val="26"/>
      </w:pPr>
      <w:r>
        <w:t>一、监督宪法和法律在本行政区域内的正确实施。</w:t>
      </w:r>
    </w:p>
    <w:p>
      <w:pPr>
        <w:pStyle w:val="26"/>
      </w:pPr>
      <w:r>
        <w:t>绩效目标：发挥常委及代表的作用，集中反映民意，促进依法履职。</w:t>
      </w:r>
    </w:p>
    <w:p>
      <w:pPr>
        <w:pStyle w:val="26"/>
      </w:pPr>
      <w:r>
        <w:t>绩效指标：完善民主监督机制，畅通民主监督渠道，建立健全知情、沟通制度，将民主监督寓于委员提案、进行视察、参与工作检查等活动中，提高民主监督质量和成效。完善提案审查、办理和反馈机制，做到提案程序更加规范，制度更加完善，提案质量和办理质量不断提高，人大履职作用更加突出。任务完成率达到95%以上。</w:t>
      </w:r>
    </w:p>
    <w:p>
      <w:pPr>
        <w:pStyle w:val="26"/>
      </w:pPr>
      <w:r>
        <w:t>二、人大会议顺利完成。</w:t>
      </w:r>
    </w:p>
    <w:p>
      <w:pPr>
        <w:pStyle w:val="26"/>
      </w:pPr>
      <w:r>
        <w:t>绩效目标：完善各项会议制度，规范会议程序，提高会议质量，提高人大代表及常委会审议水平。</w:t>
      </w:r>
    </w:p>
    <w:p>
      <w:pPr>
        <w:pStyle w:val="26"/>
      </w:pPr>
      <w:r>
        <w:t>绩效指标：会前各项工作积极筹备，会中各项设施正常使用，会议顺利进行，参会人员满意度达到95%以上。会议筹备及会务工作的完成率达到95%以上。</w:t>
      </w:r>
    </w:p>
    <w:p>
      <w:pPr>
        <w:pStyle w:val="26"/>
      </w:pPr>
      <w:r>
        <w:t>三、监督人和监督事相结合，选举和任免工作圆满完成。</w:t>
      </w:r>
    </w:p>
    <w:p>
      <w:pPr>
        <w:pStyle w:val="26"/>
      </w:pPr>
      <w:r>
        <w:t>绩效目标：确保县人大和乡人大换届选举工作顺利完成，提高组织换届选举工作水平；高质量完成国家机关领导人选举和常委会人事任免服务工作；高效督办有关</w:t>
      </w:r>
      <w:r>
        <w:rPr>
          <w:rFonts w:hint="eastAsia"/>
          <w:lang w:eastAsia="zh-CN"/>
        </w:rPr>
        <w:t>单位</w:t>
      </w:r>
      <w:r>
        <w:t>负责人的目标责任书和述职报告。</w:t>
      </w:r>
    </w:p>
    <w:p>
      <w:pPr>
        <w:pStyle w:val="26"/>
      </w:pPr>
      <w:r>
        <w:t>绩效指标：承担县人大换届选举、县级国家机关领导人的选举和常委会人事任免的服务工作；指导市、县、乡人大换届选举工作；负责对县政府组成人员和县高级人民法院、县人民检察院主要负责人的目标责任书、述职报告的督办工作；对换届选举人员进行培训。换届选举工作完成率达到95%以上。</w:t>
      </w:r>
    </w:p>
    <w:p>
      <w:pPr>
        <w:pStyle w:val="26"/>
      </w:pPr>
      <w:r>
        <w:t>四、人大事务管理工作，提高审议质量，增强实施实效。</w:t>
      </w:r>
    </w:p>
    <w:p>
      <w:pPr>
        <w:pStyle w:val="26"/>
      </w:pPr>
      <w:r>
        <w:t>绩效目标：新闻宣传和机关信息化建设与维护；人代会及常委会会议表决系统、机关基础设施建设与维护；县人大机关日常管理事务；公报、年检的编辑印刷；信访工作。</w:t>
      </w:r>
    </w:p>
    <w:p>
      <w:pPr>
        <w:pStyle w:val="26"/>
      </w:pPr>
      <w:r>
        <w:t>绩效指标：保障新闻宣传与新闻发布工作正常开展，提高人大信息透明度和影响力；保障会议表决系统正常运转；网络与办公平台正常运行；促进社会和谐稳定。综合业务完成率95以上。</w:t>
      </w:r>
    </w:p>
    <w:p>
      <w:pPr>
        <w:pStyle w:val="26"/>
      </w:pPr>
    </w:p>
    <w:p>
      <w:pPr>
        <w:spacing w:line="500" w:lineRule="exact"/>
        <w:ind w:firstLine="560"/>
      </w:pPr>
      <w:r>
        <w:rPr>
          <w:rFonts w:eastAsia="方正仿宋_GBK"/>
          <w:color w:val="000000"/>
          <w:sz w:val="28"/>
        </w:rPr>
        <w:t>（三）工作保障措施</w:t>
      </w:r>
    </w:p>
    <w:p>
      <w:pPr>
        <w:pStyle w:val="27"/>
      </w:pPr>
      <w:r>
        <w:t>工作保障措施:</w:t>
      </w:r>
    </w:p>
    <w:p>
      <w:pPr>
        <w:pStyle w:val="27"/>
      </w:pPr>
    </w:p>
    <w:p>
      <w:pPr>
        <w:pStyle w:val="27"/>
      </w:pPr>
      <w:r>
        <w:t>1、认真履行宪法和法律赋予的职责，通过听取审议“一府两院”及</w:t>
      </w:r>
      <w:r>
        <w:rPr>
          <w:rFonts w:hint="eastAsia"/>
          <w:lang w:eastAsia="zh-CN"/>
        </w:rPr>
        <w:t>单位</w:t>
      </w:r>
      <w:r>
        <w:t>专项工作报告，组织常委会组成人员及人大代表开展执法检查、调研视察、工作评议、满意度测评等工作，及时提出审议意见，适时作出决议决定，并跟踪抓好落实。</w:t>
      </w:r>
    </w:p>
    <w:p>
      <w:pPr>
        <w:pStyle w:val="27"/>
        <w:rPr>
          <w:rFonts w:hint="eastAsia"/>
          <w:lang w:eastAsia="zh-CN"/>
        </w:rPr>
      </w:pPr>
      <w:r>
        <w:t>2、围绕人代会决议贯彻落实，保证法律正确有效实施，抓住事关改革发展稳定大局和社会关切的难点热点问题，加强对国家工作人员履职监督，有效增强国家工作人员的法治意识和民本理念。加强代表及机关干部培训，提高履职能力水平，促进机关工作制度化、规范化，努力推动各项工作的落实</w:t>
      </w:r>
      <w:r>
        <w:rPr>
          <w:rFonts w:hint="eastAsia"/>
          <w:lang w:eastAsia="zh-CN"/>
        </w:rPr>
        <w:t>。</w:t>
      </w:r>
    </w:p>
    <w:p>
      <w:pPr>
        <w:pStyle w:val="27"/>
        <w:rPr>
          <w:rFonts w:hint="eastAsia"/>
          <w:lang w:eastAsia="zh-CN"/>
        </w:rPr>
      </w:pPr>
    </w:p>
    <w:p>
      <w:pPr>
        <w:spacing w:before="10" w:after="10" w:line="360" w:lineRule="auto"/>
        <w:ind w:firstLine="640"/>
        <w:outlineLvl w:val="2"/>
        <w:rPr>
          <w:rFonts w:ascii="黑体" w:hAnsi="黑体" w:eastAsia="黑体" w:cs="黑体"/>
          <w:color w:val="000000"/>
          <w:sz w:val="32"/>
        </w:rPr>
      </w:pPr>
      <w:bookmarkStart w:id="1" w:name="_Toc_3_3_0000000015"/>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eastAsia="黑体" w:cs="黑体" w:asciiTheme="minorHAnsi" w:hAnsiTheme="minorHAnsi"/>
          <w:color w:val="000000"/>
          <w:sz w:val="32"/>
          <w:lang w:val="uk-UA"/>
        </w:rPr>
      </w:pPr>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
    </w:p>
    <w:p>
      <w:pPr>
        <w:spacing w:before="10" w:after="10" w:line="360" w:lineRule="auto"/>
        <w:ind w:firstLine="640"/>
        <w:outlineLvl w:val="2"/>
        <w:rPr>
          <w:rFonts w:ascii="黑体" w:hAnsi="黑体" w:eastAsia="黑体" w:cs="黑体"/>
          <w:color w:val="000000"/>
          <w:sz w:val="32"/>
        </w:rPr>
      </w:pPr>
    </w:p>
    <w:p>
      <w:pPr>
        <w:tabs>
          <w:tab w:val="left" w:pos="2408"/>
        </w:tabs>
        <w:rPr>
          <w:rFonts w:ascii="黑体" w:hAnsi="黑体" w:eastAsia="黑体" w:cs="黑体"/>
          <w:color w:val="000000"/>
          <w:sz w:val="32"/>
        </w:rPr>
      </w:pPr>
      <w:r>
        <w:rPr>
          <w:rFonts w:ascii="黑体" w:hAnsi="黑体" w:eastAsia="黑体" w:cs="黑体"/>
          <w:color w:val="000000"/>
          <w:sz w:val="32"/>
        </w:rPr>
        <w:tab/>
      </w:r>
      <w:r>
        <w:rPr>
          <w:rFonts w:hint="eastAsia" w:ascii="黑体" w:hAnsi="黑体" w:eastAsia="黑体" w:cs="黑体"/>
          <w:color w:val="000000"/>
          <w:sz w:val="32"/>
          <w:lang w:eastAsia="zh-CN"/>
        </w:rPr>
        <w:t>我单位无专项资金。</w:t>
      </w:r>
    </w:p>
    <w:p>
      <w:pPr>
        <w:tabs>
          <w:tab w:val="left" w:pos="2408"/>
        </w:tabs>
        <w:rPr>
          <w:rFonts w:asciiTheme="minorHAnsi" w:hAnsiTheme="minorHAnsi"/>
          <w:lang w:val="uk-UA"/>
        </w:rPr>
      </w:pPr>
    </w:p>
    <w:p>
      <w:pPr>
        <w:spacing w:before="10" w:after="10" w:line="360" w:lineRule="auto"/>
        <w:ind w:firstLine="640"/>
        <w:outlineLvl w:val="2"/>
        <w:rPr>
          <w:rFonts w:ascii="黑体" w:hAnsi="黑体" w:eastAsia="黑体" w:cs="黑体"/>
          <w:color w:val="000000"/>
          <w:sz w:val="32"/>
        </w:rPr>
      </w:pPr>
      <w:bookmarkStart w:id="2"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2"/>
    </w:p>
    <w:p>
      <w:pPr>
        <w:tabs>
          <w:tab w:val="left" w:pos="1808"/>
        </w:tabs>
        <w:rPr>
          <w:rFonts w:ascii="黑体" w:hAnsi="黑体" w:eastAsia="黑体" w:cs="黑体"/>
          <w:color w:val="000000"/>
          <w:sz w:val="32"/>
        </w:rPr>
        <w:sectPr>
          <w:pgSz w:w="16840" w:h="11900" w:orient="landscape"/>
          <w:pgMar w:top="1361" w:right="1020" w:bottom="1361" w:left="1020" w:header="720" w:footer="720" w:gutter="0"/>
          <w:cols w:space="720" w:num="1"/>
        </w:sectPr>
      </w:pPr>
      <w:r>
        <w:rPr>
          <w:rFonts w:ascii="黑体" w:hAnsi="黑体" w:eastAsia="黑体" w:cs="黑体"/>
          <w:color w:val="000000"/>
          <w:sz w:val="32"/>
        </w:rPr>
        <w:tab/>
      </w:r>
      <w:r>
        <w:rPr>
          <w:rFonts w:hint="eastAsia" w:ascii="黑体" w:hAnsi="黑体" w:eastAsia="黑体" w:cs="黑体"/>
          <w:color w:val="000000"/>
          <w:sz w:val="32"/>
          <w:lang w:eastAsia="zh-CN"/>
        </w:rPr>
        <w:t>我单位今年没有项目。</w:t>
      </w:r>
    </w:p>
    <w:p>
      <w:pPr>
        <w:spacing w:before="10" w:after="10"/>
        <w:outlineLvl w:val="5"/>
      </w:pPr>
      <w:r>
        <w:rPr>
          <w:rFonts w:hint="eastAsia" w:ascii="黑体" w:hAnsi="黑体" w:eastAsia="黑体" w:cs="黑体"/>
          <w:color w:val="000000"/>
          <w:sz w:val="32"/>
          <w:lang w:eastAsia="zh-CN"/>
        </w:rPr>
        <w:t>八</w:t>
      </w:r>
      <w:r>
        <w:rPr>
          <w:rFonts w:ascii="黑体" w:hAnsi="黑体" w:eastAsia="黑体" w:cs="黑体"/>
          <w:color w:val="000000"/>
          <w:sz w:val="32"/>
        </w:rPr>
        <w:t>、政府采购预算情况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1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2" w:type="dxa"/>
            <w:gridSpan w:val="8"/>
            <w:vAlign w:val="center"/>
          </w:tcPr>
          <w:p>
            <w:pPr>
              <w:pStyle w:val="8"/>
            </w:pPr>
            <w:r>
              <w:t>政府采购金额（当年</w:t>
            </w:r>
            <w:r>
              <w:rPr>
                <w:rFonts w:hint="eastAsia"/>
                <w:lang w:eastAsia="zh-CN"/>
              </w:rPr>
              <w:t>单位</w:t>
            </w:r>
            <w:r>
              <w:t>预算安排资金）</w:t>
            </w:r>
          </w:p>
        </w:tc>
        <w:tc>
          <w:tcPr>
            <w:tcW w:w="964" w:type="dxa"/>
            <w:vMerge w:val="restart"/>
            <w:vAlign w:val="center"/>
          </w:tcPr>
          <w:p>
            <w:pPr>
              <w:pStyle w:val="8"/>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财政拨款结转</w:t>
            </w:r>
          </w:p>
        </w:tc>
        <w:tc>
          <w:tcPr>
            <w:tcW w:w="964" w:type="dxa"/>
            <w:vAlign w:val="center"/>
          </w:tcPr>
          <w:p>
            <w:pPr>
              <w:pStyle w:val="8"/>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九</w:t>
      </w:r>
      <w:r>
        <w:rPr>
          <w:rFonts w:ascii="黑体" w:hAnsi="黑体" w:eastAsia="黑体" w:cs="黑体"/>
          <w:color w:val="000000"/>
          <w:sz w:val="32"/>
        </w:rPr>
        <w:t>、国有资产信息</w:t>
      </w:r>
    </w:p>
    <w:p>
      <w:pPr>
        <w:spacing w:line="500" w:lineRule="exact"/>
        <w:ind w:firstLine="560"/>
      </w:pPr>
      <w:r>
        <w:rPr>
          <w:rFonts w:eastAsia="方正仿宋_GBK"/>
          <w:color w:val="000000"/>
          <w:sz w:val="28"/>
        </w:rPr>
        <w:t>行唐县人民代表大会常务委员会办公室本级上年末固定资产金额为</w:t>
      </w:r>
      <w:r>
        <w:rPr>
          <w:rFonts w:hint="eastAsia" w:eastAsia="方正仿宋_GBK"/>
          <w:color w:val="000000"/>
          <w:sz w:val="28"/>
          <w:lang w:val="en-US" w:eastAsia="zh-CN"/>
        </w:rPr>
        <w:t>146.12</w:t>
      </w:r>
      <w:bookmarkStart w:id="3" w:name="_GoBack"/>
      <w:bookmarkEnd w:id="3"/>
      <w:r>
        <w:rPr>
          <w:rFonts w:eastAsia="方正仿宋_GBK"/>
          <w:color w:val="000000"/>
          <w:sz w:val="28"/>
        </w:rPr>
        <w:t>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101001行唐县人民代表大会常务委员会办公室本级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5"/>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rPr>
                <w:rFonts w:hint="eastAsia" w:eastAsia="方正书宋_GBK"/>
                <w:lang w:val="en-US" w:eastAsia="zh-CN"/>
              </w:rPr>
            </w:pPr>
            <w:r>
              <w:t>资产总额</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146.12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其中：办公用房（平方米）</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rPr>
                <w:rFonts w:hint="eastAsia" w:eastAsia="方正书宋_GBK"/>
                <w:lang w:val="en-US" w:eastAsia="zh-CN"/>
              </w:rPr>
            </w:pPr>
            <w:r>
              <w:rPr>
                <w:rFonts w:hint="eastAsia"/>
                <w:lang w:val="en-US" w:eastAsia="zh-CN"/>
              </w:rPr>
              <w:t>4</w:t>
            </w:r>
          </w:p>
        </w:tc>
        <w:tc>
          <w:tcPr>
            <w:tcW w:w="2835" w:type="dxa"/>
            <w:vAlign w:val="center"/>
          </w:tcPr>
          <w:p>
            <w:pPr>
              <w:pStyle w:val="9"/>
              <w:rPr>
                <w:rFonts w:hint="default" w:eastAsia="方正书宋_GBK"/>
                <w:lang w:val="en-US" w:eastAsia="zh-CN"/>
              </w:rPr>
            </w:pPr>
            <w:r>
              <w:rPr>
                <w:rFonts w:hint="eastAsia"/>
                <w:lang w:val="en-US" w:eastAsia="zh-CN"/>
              </w:rPr>
              <w:t>75.41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rPr>
                <w:rFonts w:hint="default" w:eastAsia="方正书宋_GBK"/>
                <w:lang w:val="en-US" w:eastAsia="zh-CN"/>
              </w:rPr>
            </w:pPr>
            <w:r>
              <w:rPr>
                <w:rFonts w:hint="eastAsia"/>
                <w:lang w:val="en-US" w:eastAsia="zh-CN"/>
              </w:rP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rPr>
                <w:rFonts w:hint="default" w:eastAsia="方正书宋_GBK"/>
                <w:lang w:val="en-US" w:eastAsia="zh-CN"/>
              </w:rPr>
            </w:pPr>
            <w:r>
              <w:rPr>
                <w:rFonts w:hint="eastAsia"/>
                <w:lang w:val="en-US" w:eastAsia="zh-CN"/>
              </w:rPr>
              <w:t>147</w:t>
            </w:r>
          </w:p>
        </w:tc>
        <w:tc>
          <w:tcPr>
            <w:tcW w:w="2835" w:type="dxa"/>
            <w:vAlign w:val="center"/>
          </w:tcPr>
          <w:p>
            <w:pPr>
              <w:pStyle w:val="9"/>
              <w:rPr>
                <w:rFonts w:hint="default" w:eastAsia="方正书宋_GBK"/>
                <w:lang w:val="en-US" w:eastAsia="zh-CN"/>
              </w:rPr>
            </w:pPr>
            <w:r>
              <w:rPr>
                <w:rFonts w:hint="eastAsia"/>
                <w:lang w:val="en-US" w:eastAsia="zh-CN"/>
              </w:rPr>
              <w:t>70.71</w:t>
            </w:r>
          </w:p>
        </w:tc>
      </w:tr>
    </w:tbl>
    <w:p/>
    <w:p>
      <w:pPr>
        <w:ind w:firstLine="640"/>
      </w:pPr>
      <w:r>
        <w:rPr>
          <w:rFonts w:eastAsia="方正仿宋_GBK"/>
          <w:color w:val="000000"/>
          <w:sz w:val="32"/>
        </w:rPr>
        <w:t xml:space="preserve"> </w:t>
      </w:r>
    </w:p>
    <w:p>
      <w:pPr>
        <w:spacing w:before="10" w:after="10"/>
        <w:ind w:firstLine="640"/>
        <w:outlineLvl w:val="5"/>
      </w:pPr>
      <w:r>
        <w:rPr>
          <w:rFonts w:hint="eastAsia" w:ascii="黑体" w:hAnsi="黑体" w:eastAsia="黑体" w:cs="黑体"/>
          <w:color w:val="000000"/>
          <w:sz w:val="32"/>
          <w:lang w:eastAsia="zh-CN"/>
        </w:rPr>
        <w:t>十</w:t>
      </w:r>
      <w:r>
        <w:rPr>
          <w:rFonts w:ascii="黑体" w:hAnsi="黑体" w:eastAsia="黑体" w:cs="黑体"/>
          <w:color w:val="000000"/>
          <w:sz w:val="32"/>
        </w:rPr>
        <w:t>、名词解释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w:t>
      </w:r>
      <w:r>
        <w:rPr>
          <w:rFonts w:hint="eastAsia" w:eastAsia="方正仿宋_GBK"/>
          <w:color w:val="000000"/>
          <w:sz w:val="28"/>
          <w:lang w:eastAsia="zh-CN"/>
        </w:rPr>
        <w:t>单位</w:t>
      </w:r>
      <w:r>
        <w:rPr>
          <w:rFonts w:eastAsia="方正仿宋_GBK"/>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hint="eastAsia" w:ascii="黑体" w:hAnsi="黑体" w:eastAsia="黑体" w:cs="黑体"/>
          <w:color w:val="000000"/>
          <w:sz w:val="32"/>
          <w:lang w:eastAsia="zh-CN"/>
        </w:rPr>
        <w:t>十一</w:t>
      </w:r>
      <w:r>
        <w:rPr>
          <w:rFonts w:ascii="黑体" w:hAnsi="黑体" w:eastAsia="黑体" w:cs="黑体"/>
          <w:color w:val="000000"/>
          <w:sz w:val="32"/>
        </w:rPr>
        <w:t>、其他需要说明的事项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EE0CD7"/>
    <w:multiLevelType w:val="singleLevel"/>
    <w:tmpl w:val="66EE0CD7"/>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617A23"/>
    <w:rsid w:val="00617A23"/>
    <w:rsid w:val="00670062"/>
    <w:rsid w:val="00FF31CE"/>
    <w:rsid w:val="733F43C1"/>
    <w:rsid w:val="79844ED5"/>
    <w:rsid w:val="7E8C02D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TOC 1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1125</Words>
  <Characters>6415</Characters>
  <Lines>53</Lines>
  <Paragraphs>15</Paragraphs>
  <TotalTime>6</TotalTime>
  <ScaleCrop>false</ScaleCrop>
  <LinksUpToDate>false</LinksUpToDate>
  <CharactersWithSpaces>7525</CharactersWithSpaces>
  <Application>WPS Office_11.8.2.8950_F1E327BC-269C-435d-A152-05C5408002CA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2026-02-25T02:48:00Z</dcterms:created>
  <dc:creator>Administrator</dc:creator>
  <cp:lastModifiedBy>Administrator</cp:lastModifiedBy>
  <dcterms:modified xsi:type="dcterms:W3CDTF">2026-02-25T06:28:07Z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2052-11.8.2.8950</vt:lpwstr>
  </property>
</Properties>
</file>