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bCs/>
          <w:color w:val="000000"/>
          <w:sz w:val="44"/>
          <w:szCs w:val="44"/>
        </w:rPr>
        <w:t>2026</w:t>
      </w:r>
      <w:r>
        <w:rPr>
          <w:rFonts w:ascii="黑体" w:eastAsia="黑体" w:cs="黑体" w:hAnsi="黑体" w:hint="eastAsia"/>
          <w:b/>
          <w:bCs/>
          <w:color w:val="000000"/>
          <w:sz w:val="44"/>
          <w:szCs w:val="44"/>
        </w:rPr>
        <w:t>年单位预算信息公开目录</w:t>
      </w:r>
    </w:p>
    <w:p>
      <w:pPr>
        <w:jc w:val="center"/>
      </w:pPr>
      <w:r>
        <w:rPr>
          <w:rFonts w:ascii="黑体" w:eastAsia="黑体" w:cs="黑体" w:hAnsi="黑体"/>
          <w:b/>
          <w:bCs/>
          <w:color w:val="000000"/>
          <w:sz w:val="30"/>
          <w:szCs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rFonts w:cs="方正仿宋_GBK" w:hint="eastAsia"/>
        </w:rPr>
        <w:t>一、行唐县交通运输局本级收支预算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jc w:val="center"/>
        <w:outlineLvl w:val="3"/>
      </w:pPr>
      <w:bookmarkStart w:id="0" w:name="_Toc_4_4_0000000001"/>
      <w:r>
        <w:rPr>
          <w:rFonts w:ascii="方正小标宋_GBK" w:eastAsia="方正小标宋_GBK" w:cs="方正小标宋_GBK" w:hAnsi="方正小标宋_GBK" w:hint="eastAsia"/>
          <w:color w:val="000000"/>
          <w:sz w:val="44"/>
          <w:szCs w:val="44"/>
        </w:rPr>
        <w:t>一、行唐县交通运输局本级收支预算</w:t>
      </w:r>
      <w:bookmarkEnd w:id="0"/>
    </w:p>
    <w:p>
      <w:pPr>
        <w:jc w:val="center"/>
        <w:outlineLvl w:val="4"/>
      </w:pPr>
      <w:r>
        <w:rPr>
          <w:rFonts w:ascii="方正小标宋_GBK" w:eastAsia="方正小标宋_GBK" w:cs="方正小标宋_GBK" w:hAnsi="方正小标宋_GBK" w:hint="eastAsia"/>
          <w:color w:val="000000"/>
          <w:sz w:val="36"/>
          <w:szCs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rPr>
                <w:rFonts w:cs="Times New Roman"/>
              </w:rPr>
            </w:pPr>
            <w:r>
              <w:t>348001</w:t>
            </w:r>
            <w:r>
              <w:rPr>
                <w:rFonts w:hint="eastAsia"/>
              </w:rPr>
              <w:t>行唐县交通运输局本级</w:t>
            </w:r>
          </w:p>
        </w:tc>
        <w:tc>
          <w:tcPr>
            <w:tcW w:w="2126" w:type="dxa"/>
            <w:tcBorders>
              <w:top w:val="single" w:sz="6" w:space="0" w:color="FFFFFF"/>
              <w:left w:val="single" w:sz="6" w:space="0" w:color="FFFFFF"/>
              <w:right w:val="single" w:sz="6" w:space="0" w:color="FFFFFF"/>
            </w:tcBorders>
            <w:vAlign w:val="center"/>
          </w:tcPr>
          <w:p>
            <w:pPr>
              <w:pStyle w:val="16"/>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pPr>
              <w:pStyle w:val="15"/>
              <w:rPr>
                <w:rFonts w:cs="Times New Roman"/>
              </w:rPr>
            </w:pPr>
            <w:r>
              <w:rPr>
                <w:rFonts w:hint="eastAsia"/>
              </w:rPr>
              <w:t>单位：万元</w:t>
            </w:r>
          </w:p>
        </w:tc>
      </w:tr>
      <w:tr>
        <w:trPr>
          <w:trHeight w:val="369"/>
          <w:tblHeader/>
        </w:trPr>
        <w:tc>
          <w:tcPr>
            <w:tcW w:w="850" w:type="dxa"/>
            <w:vMerge w:val="restart"/>
            <w:vAlign w:val="center"/>
          </w:tcPr>
          <w:p>
            <w:pPr>
              <w:pStyle w:val="18"/>
              <w:rPr>
                <w:rFonts w:cs="Times New Roman"/>
              </w:rPr>
            </w:pPr>
            <w:r>
              <w:rPr>
                <w:rFonts w:hint="eastAsia"/>
              </w:rPr>
              <w:t>序号</w:t>
            </w:r>
          </w:p>
        </w:tc>
        <w:tc>
          <w:tcPr>
            <w:tcW w:w="6661" w:type="dxa"/>
            <w:gridSpan w:val="2"/>
            <w:tcBorders>
              <w:left w:val="single" w:sz="6" w:space="0" w:color="000000"/>
              <w:right w:val="single" w:sz="6" w:space="0" w:color="000000"/>
            </w:tcBorders>
            <w:vAlign w:val="center"/>
          </w:tcPr>
          <w:p>
            <w:pPr>
              <w:pStyle w:val="18"/>
              <w:rPr>
                <w:rFonts w:cs="Times New Roman"/>
              </w:rPr>
            </w:pPr>
            <w:r>
              <w:rPr>
                <w:rFonts w:hint="eastAsia"/>
              </w:rPr>
              <w:t>收入</w:t>
            </w:r>
          </w:p>
        </w:tc>
        <w:tc>
          <w:tcPr>
            <w:tcW w:w="6661" w:type="dxa"/>
            <w:gridSpan w:val="2"/>
            <w:vAlign w:val="center"/>
          </w:tcPr>
          <w:p>
            <w:pPr>
              <w:pStyle w:val="18"/>
              <w:rPr>
                <w:rFonts w:cs="Times New Roman"/>
              </w:rPr>
            </w:pPr>
            <w:r>
              <w:rPr>
                <w:rFonts w:hint="eastAsia"/>
              </w:rP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rPr>
                <w:rFonts w:cs="Times New Roman"/>
              </w:rPr>
            </w:pPr>
            <w:r>
              <w:rPr>
                <w:rFonts w:hint="eastAsia"/>
              </w:rPr>
              <w:t>项</w:t>
            </w:r>
            <w:r>
              <w:t xml:space="preserve">  </w:t>
            </w:r>
            <w:r>
              <w:rPr>
                <w:rFonts w:hint="eastAsia"/>
              </w:rPr>
              <w:t>目</w:t>
            </w:r>
          </w:p>
        </w:tc>
        <w:tc>
          <w:tcPr>
            <w:tcW w:w="2126"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4535" w:type="dxa"/>
            <w:tcBorders>
              <w:left w:val="single" w:sz="6" w:space="0" w:color="000000"/>
              <w:right w:val="single" w:sz="6" w:space="0" w:color="000000"/>
            </w:tcBorders>
            <w:vAlign w:val="center"/>
          </w:tcPr>
          <w:p>
            <w:pPr>
              <w:pStyle w:val="18"/>
              <w:rPr>
                <w:rFonts w:cs="Times New Roman"/>
              </w:rPr>
            </w:pPr>
            <w:r>
              <w:rPr>
                <w:rFonts w:hint="eastAsia"/>
              </w:rPr>
              <w:t>项</w:t>
            </w:r>
            <w:r>
              <w:t xml:space="preserve">  </w:t>
            </w:r>
            <w:r>
              <w:rPr>
                <w:rFonts w:hint="eastAsia"/>
              </w:rPr>
              <w:t>目</w:t>
            </w:r>
          </w:p>
        </w:tc>
        <w:tc>
          <w:tcPr>
            <w:tcW w:w="2126" w:type="dxa"/>
            <w:vAlign w:val="center"/>
          </w:tcPr>
          <w:p>
            <w:pPr>
              <w:pStyle w:val="18"/>
              <w:rPr>
                <w:rFonts w:cs="Times New Roman"/>
              </w:rPr>
            </w:pPr>
            <w:r>
              <w:rPr>
                <w:rFonts w:hint="eastAsia"/>
              </w:rPr>
              <w:t>预算数</w:t>
            </w:r>
          </w:p>
        </w:tc>
      </w:tr>
      <w:tr>
        <w:trPr>
          <w:trHeight w:val="369"/>
          <w:tblHeader/>
        </w:trPr>
        <w:tc>
          <w:tcPr>
            <w:tcW w:w="850" w:type="dxa"/>
            <w:vAlign w:val="center"/>
          </w:tcPr>
          <w:p>
            <w:pPr>
              <w:pStyle w:val="18"/>
              <w:rPr>
                <w:rFonts w:cs="Times New Roman"/>
              </w:rPr>
            </w:pPr>
            <w:r>
              <w:rPr>
                <w:rFonts w:hint="eastAsia"/>
              </w:rP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一、一般公共预算拨款收入</w:t>
            </w:r>
          </w:p>
        </w:tc>
        <w:tc>
          <w:tcPr>
            <w:tcW w:w="2126" w:type="dxa"/>
            <w:tcBorders>
              <w:left w:val="single" w:sz="6" w:space="0" w:color="000000"/>
              <w:right w:val="single" w:sz="6" w:space="0" w:color="000000"/>
            </w:tcBorders>
            <w:vAlign w:val="center"/>
          </w:tcPr>
          <w:p>
            <w:pPr>
              <w:pStyle w:val="19"/>
            </w:pPr>
            <w:r>
              <w:t>5696.29</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一、一般公共服务支出</w:t>
            </w:r>
          </w:p>
        </w:tc>
        <w:tc>
          <w:tcPr>
            <w:tcW w:w="2126" w:type="dxa"/>
            <w:vAlign w:val="center"/>
          </w:tcPr>
          <w:p>
            <w:pPr>
              <w:pStyle w:val="19"/>
              <w:rPr>
                <w:rFonts w:cs="Times New Roman"/>
              </w:rPr>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二、政府性基金预算拨款收入</w:t>
            </w:r>
          </w:p>
        </w:tc>
        <w:tc>
          <w:tcPr>
            <w:tcW w:w="2126" w:type="dxa"/>
            <w:tcBorders>
              <w:left w:val="single" w:sz="6" w:space="0" w:color="000000"/>
              <w:right w:val="single" w:sz="6" w:space="0" w:color="000000"/>
            </w:tcBorders>
            <w:vAlign w:val="center"/>
          </w:tcPr>
          <w:p>
            <w:pPr>
              <w:pStyle w:val="19"/>
            </w:pPr>
            <w:r>
              <w:t>435.00</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二、外交支出</w:t>
            </w:r>
          </w:p>
        </w:tc>
        <w:tc>
          <w:tcPr>
            <w:tcW w:w="2126" w:type="dxa"/>
            <w:vAlign w:val="center"/>
          </w:tcPr>
          <w:p>
            <w:pPr>
              <w:pStyle w:val="19"/>
              <w:rPr>
                <w:rFonts w:cs="Times New Roman"/>
              </w:rPr>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三、国有资本经营预算拨款收入</w:t>
            </w: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三、国防支出</w:t>
            </w:r>
          </w:p>
        </w:tc>
        <w:tc>
          <w:tcPr>
            <w:tcW w:w="2126" w:type="dxa"/>
            <w:vAlign w:val="center"/>
          </w:tcPr>
          <w:p>
            <w:pPr>
              <w:pStyle w:val="19"/>
              <w:rPr>
                <w:rFonts w:cs="Times New Roman"/>
              </w:rPr>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四、财政专户管理资金收入</w:t>
            </w: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四、公共安全支出</w:t>
            </w:r>
          </w:p>
        </w:tc>
        <w:tc>
          <w:tcPr>
            <w:tcW w:w="2126" w:type="dxa"/>
            <w:vAlign w:val="center"/>
          </w:tcPr>
          <w:p>
            <w:pPr>
              <w:pStyle w:val="19"/>
              <w:rPr>
                <w:rFonts w:cs="Times New Roman"/>
              </w:rPr>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五、单位资金</w:t>
            </w: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五、教育支出</w:t>
            </w:r>
          </w:p>
        </w:tc>
        <w:tc>
          <w:tcPr>
            <w:tcW w:w="2126" w:type="dxa"/>
            <w:vAlign w:val="center"/>
          </w:tcPr>
          <w:p>
            <w:pPr>
              <w:pStyle w:val="19"/>
              <w:rPr>
                <w:rFonts w:cs="Times New Roman"/>
              </w:rPr>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六、科学技术支出</w:t>
            </w:r>
          </w:p>
        </w:tc>
        <w:tc>
          <w:tcPr>
            <w:tcW w:w="2126" w:type="dxa"/>
            <w:vAlign w:val="center"/>
          </w:tcPr>
          <w:p>
            <w:pPr>
              <w:pStyle w:val="19"/>
              <w:rPr>
                <w:rFonts w:cs="Times New Roman"/>
              </w:rPr>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七、文化旅游体育与传媒支出</w:t>
            </w:r>
          </w:p>
        </w:tc>
        <w:tc>
          <w:tcPr>
            <w:tcW w:w="2126" w:type="dxa"/>
            <w:vAlign w:val="center"/>
          </w:tcPr>
          <w:p>
            <w:pPr>
              <w:pStyle w:val="19"/>
              <w:rPr>
                <w:rFonts w:cs="Times New Roman"/>
              </w:rPr>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八、社会保障和就业支出</w:t>
            </w:r>
          </w:p>
        </w:tc>
        <w:tc>
          <w:tcPr>
            <w:tcW w:w="2126" w:type="dxa"/>
            <w:vAlign w:val="center"/>
          </w:tcPr>
          <w:p>
            <w:pPr>
              <w:pStyle w:val="19"/>
            </w:pPr>
            <w:r>
              <w:t>187.97</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九、社会保险基金支出</w:t>
            </w:r>
          </w:p>
        </w:tc>
        <w:tc>
          <w:tcPr>
            <w:tcW w:w="2126" w:type="dxa"/>
            <w:vAlign w:val="center"/>
          </w:tcPr>
          <w:p>
            <w:pPr>
              <w:pStyle w:val="19"/>
              <w:rPr>
                <w:rFonts w:cs="Times New Roman"/>
              </w:rPr>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十、卫生健康支出</w:t>
            </w:r>
          </w:p>
        </w:tc>
        <w:tc>
          <w:tcPr>
            <w:tcW w:w="2126" w:type="dxa"/>
            <w:vAlign w:val="center"/>
          </w:tcPr>
          <w:p>
            <w:pPr>
              <w:pStyle w:val="19"/>
            </w:pPr>
            <w:r>
              <w:t>76.19</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十一、节能环保支出</w:t>
            </w:r>
          </w:p>
        </w:tc>
        <w:tc>
          <w:tcPr>
            <w:tcW w:w="2126" w:type="dxa"/>
            <w:vAlign w:val="center"/>
          </w:tcPr>
          <w:p>
            <w:pPr>
              <w:pStyle w:val="19"/>
              <w:rPr>
                <w:rFonts w:cs="Times New Roman"/>
              </w:rPr>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十二、城乡社区支出</w:t>
            </w:r>
          </w:p>
        </w:tc>
        <w:tc>
          <w:tcPr>
            <w:tcW w:w="2126" w:type="dxa"/>
            <w:vAlign w:val="center"/>
          </w:tcPr>
          <w:p>
            <w:pPr>
              <w:pStyle w:val="19"/>
            </w:pPr>
            <w:r>
              <w:t>435.00</w:t>
            </w: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十三、农林水支出</w:t>
            </w:r>
          </w:p>
        </w:tc>
        <w:tc>
          <w:tcPr>
            <w:tcW w:w="2126" w:type="dxa"/>
            <w:vAlign w:val="center"/>
          </w:tcPr>
          <w:p>
            <w:pPr>
              <w:pStyle w:val="19"/>
              <w:rPr>
                <w:rFonts w:cs="Times New Roman"/>
              </w:rPr>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十四、交通运输支出</w:t>
            </w:r>
          </w:p>
        </w:tc>
        <w:tc>
          <w:tcPr>
            <w:tcW w:w="2126" w:type="dxa"/>
            <w:vAlign w:val="center"/>
          </w:tcPr>
          <w:p>
            <w:pPr>
              <w:pStyle w:val="19"/>
            </w:pPr>
            <w:r>
              <w:t>5279.11</w:t>
            </w: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十五、资源勘探工业信息等支出</w:t>
            </w:r>
          </w:p>
        </w:tc>
        <w:tc>
          <w:tcPr>
            <w:tcW w:w="2126" w:type="dxa"/>
            <w:vAlign w:val="center"/>
          </w:tcPr>
          <w:p>
            <w:pPr>
              <w:pStyle w:val="19"/>
              <w:rPr>
                <w:rFonts w:cs="Times New Roman"/>
              </w:rPr>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十六、商业服务业等支出</w:t>
            </w:r>
          </w:p>
        </w:tc>
        <w:tc>
          <w:tcPr>
            <w:tcW w:w="2126" w:type="dxa"/>
            <w:vAlign w:val="center"/>
          </w:tcPr>
          <w:p>
            <w:pPr>
              <w:pStyle w:val="19"/>
              <w:rPr>
                <w:rFonts w:cs="Times New Roman"/>
              </w:rPr>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十七、金融支出</w:t>
            </w:r>
          </w:p>
        </w:tc>
        <w:tc>
          <w:tcPr>
            <w:tcW w:w="2126" w:type="dxa"/>
            <w:vAlign w:val="center"/>
          </w:tcPr>
          <w:p>
            <w:pPr>
              <w:pStyle w:val="19"/>
              <w:rPr>
                <w:rFonts w:cs="Times New Roman"/>
              </w:rPr>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十八、援助其他地区支出</w:t>
            </w:r>
          </w:p>
        </w:tc>
        <w:tc>
          <w:tcPr>
            <w:tcW w:w="2126" w:type="dxa"/>
            <w:vAlign w:val="center"/>
          </w:tcPr>
          <w:p>
            <w:pPr>
              <w:pStyle w:val="19"/>
              <w:rPr>
                <w:rFonts w:cs="Times New Roman"/>
              </w:rPr>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十九、自然资源海洋气象等支出</w:t>
            </w:r>
          </w:p>
        </w:tc>
        <w:tc>
          <w:tcPr>
            <w:tcW w:w="2126" w:type="dxa"/>
            <w:vAlign w:val="center"/>
          </w:tcPr>
          <w:p>
            <w:pPr>
              <w:pStyle w:val="19"/>
              <w:rPr>
                <w:rFonts w:cs="Times New Roman"/>
              </w:rPr>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二十、住房保障支出</w:t>
            </w:r>
          </w:p>
        </w:tc>
        <w:tc>
          <w:tcPr>
            <w:tcW w:w="2126" w:type="dxa"/>
            <w:vAlign w:val="center"/>
          </w:tcPr>
          <w:p>
            <w:pPr>
              <w:pStyle w:val="19"/>
            </w:pPr>
            <w:r>
              <w:t>153.02</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二十一、粮油物资储备支出</w:t>
            </w:r>
          </w:p>
        </w:tc>
        <w:tc>
          <w:tcPr>
            <w:tcW w:w="2126" w:type="dxa"/>
            <w:vAlign w:val="center"/>
          </w:tcPr>
          <w:p>
            <w:pPr>
              <w:pStyle w:val="19"/>
              <w:rPr>
                <w:rFonts w:cs="Times New Roman"/>
              </w:rPr>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二十二、国有资本经营预算支出</w:t>
            </w:r>
          </w:p>
        </w:tc>
        <w:tc>
          <w:tcPr>
            <w:tcW w:w="2126" w:type="dxa"/>
            <w:vAlign w:val="center"/>
          </w:tcPr>
          <w:p>
            <w:pPr>
              <w:pStyle w:val="19"/>
              <w:rPr>
                <w:rFonts w:cs="Times New Roman"/>
              </w:rPr>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二十三、灾害防治及应急管理支出</w:t>
            </w:r>
          </w:p>
        </w:tc>
        <w:tc>
          <w:tcPr>
            <w:tcW w:w="2126" w:type="dxa"/>
            <w:vAlign w:val="center"/>
          </w:tcPr>
          <w:p>
            <w:pPr>
              <w:pStyle w:val="19"/>
              <w:rPr>
                <w:rFonts w:cs="Times New Roman"/>
              </w:rPr>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二十四、预备费</w:t>
            </w:r>
          </w:p>
        </w:tc>
        <w:tc>
          <w:tcPr>
            <w:tcW w:w="2126" w:type="dxa"/>
            <w:vAlign w:val="center"/>
          </w:tcPr>
          <w:p>
            <w:pPr>
              <w:pStyle w:val="19"/>
              <w:rPr>
                <w:rFonts w:cs="Times New Roman"/>
              </w:rPr>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二十五、其他支出</w:t>
            </w:r>
          </w:p>
        </w:tc>
        <w:tc>
          <w:tcPr>
            <w:tcW w:w="2126" w:type="dxa"/>
            <w:vAlign w:val="center"/>
          </w:tcPr>
          <w:p>
            <w:pPr>
              <w:pStyle w:val="19"/>
            </w:pPr>
            <w:r>
              <w:t>213.01</w:t>
            </w: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二十六、转移性支出</w:t>
            </w:r>
          </w:p>
        </w:tc>
        <w:tc>
          <w:tcPr>
            <w:tcW w:w="2126" w:type="dxa"/>
            <w:vAlign w:val="center"/>
          </w:tcPr>
          <w:p>
            <w:pPr>
              <w:pStyle w:val="19"/>
              <w:rPr>
                <w:rFonts w:cs="Times New Roman"/>
              </w:rPr>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二十七、债务还本支出</w:t>
            </w:r>
          </w:p>
        </w:tc>
        <w:tc>
          <w:tcPr>
            <w:tcW w:w="2126" w:type="dxa"/>
            <w:vAlign w:val="center"/>
          </w:tcPr>
          <w:p>
            <w:pPr>
              <w:pStyle w:val="19"/>
              <w:rPr>
                <w:rFonts w:cs="Times New Roman"/>
              </w:rPr>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二十八、债务付息支出</w:t>
            </w:r>
          </w:p>
        </w:tc>
        <w:tc>
          <w:tcPr>
            <w:tcW w:w="2126" w:type="dxa"/>
            <w:vAlign w:val="center"/>
          </w:tcPr>
          <w:p>
            <w:pPr>
              <w:pStyle w:val="19"/>
              <w:rPr>
                <w:rFonts w:cs="Times New Roman"/>
              </w:rPr>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二十九、债务发行费用支出</w:t>
            </w:r>
          </w:p>
        </w:tc>
        <w:tc>
          <w:tcPr>
            <w:tcW w:w="2126" w:type="dxa"/>
            <w:vAlign w:val="center"/>
          </w:tcPr>
          <w:p>
            <w:pPr>
              <w:pStyle w:val="19"/>
              <w:rPr>
                <w:rFonts w:cs="Times New Roman"/>
              </w:rPr>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rPr>
                <w:rFonts w:cs="Times New Roman"/>
              </w:rPr>
            </w:pPr>
          </w:p>
        </w:tc>
        <w:tc>
          <w:tcPr>
            <w:tcW w:w="2126" w:type="dxa"/>
            <w:tcBorders>
              <w:left w:val="single" w:sz="6" w:space="0" w:color="000000"/>
              <w:right w:val="single" w:sz="6" w:space="0" w:color="000000"/>
            </w:tcBorders>
            <w:vAlign w:val="center"/>
          </w:tcPr>
          <w:p>
            <w:pPr>
              <w:pStyle w:val="19"/>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r>
              <w:rPr>
                <w:rFonts w:hint="eastAsia"/>
              </w:rPr>
              <w:t>三十、抗疫特别国债安排的支出</w:t>
            </w:r>
          </w:p>
        </w:tc>
        <w:tc>
          <w:tcPr>
            <w:tcW w:w="2126" w:type="dxa"/>
            <w:vAlign w:val="center"/>
          </w:tcPr>
          <w:p>
            <w:pPr>
              <w:pStyle w:val="19"/>
              <w:rPr>
                <w:rFonts w:cs="Times New Roman"/>
              </w:rPr>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rPr>
                <w:rFonts w:cs="Times New Roman"/>
              </w:rPr>
            </w:pPr>
            <w:r>
              <w:rPr>
                <w:rFonts w:hint="eastAsia"/>
              </w:rPr>
              <w:t>本年收入合计</w:t>
            </w:r>
          </w:p>
        </w:tc>
        <w:tc>
          <w:tcPr>
            <w:tcW w:w="2126" w:type="dxa"/>
            <w:tcBorders>
              <w:left w:val="single" w:sz="6" w:space="0" w:color="000000"/>
              <w:right w:val="single" w:sz="6" w:space="0" w:color="000000"/>
            </w:tcBorders>
            <w:vAlign w:val="center"/>
          </w:tcPr>
          <w:p>
            <w:pPr>
              <w:pStyle w:val="23"/>
            </w:pPr>
            <w:r>
              <w:t>6131.29</w:t>
            </w:r>
          </w:p>
        </w:tc>
        <w:tc>
          <w:tcPr>
            <w:tcW w:w="4535" w:type="dxa"/>
            <w:tcBorders>
              <w:left w:val="single" w:sz="6" w:space="0" w:color="000000"/>
              <w:right w:val="single" w:sz="6" w:space="0" w:color="000000"/>
            </w:tcBorders>
            <w:vAlign w:val="center"/>
          </w:tcPr>
          <w:p>
            <w:pPr>
              <w:pStyle w:val="22"/>
              <w:rPr>
                <w:rFonts w:cs="Times New Roman"/>
              </w:rPr>
            </w:pPr>
            <w:r>
              <w:rPr>
                <w:rFonts w:hint="eastAsia"/>
              </w:rPr>
              <w:t>本年支出合计</w:t>
            </w:r>
          </w:p>
        </w:tc>
        <w:tc>
          <w:tcPr>
            <w:tcW w:w="2126" w:type="dxa"/>
            <w:vAlign w:val="center"/>
          </w:tcPr>
          <w:p>
            <w:pPr>
              <w:pStyle w:val="23"/>
            </w:pPr>
            <w:r>
              <w:t>6344.31</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上年结转结余</w:t>
            </w:r>
          </w:p>
        </w:tc>
        <w:tc>
          <w:tcPr>
            <w:tcW w:w="2126" w:type="dxa"/>
            <w:tcBorders>
              <w:left w:val="single" w:sz="6" w:space="0" w:color="000000"/>
              <w:right w:val="single" w:sz="6" w:space="0" w:color="000000"/>
            </w:tcBorders>
            <w:vAlign w:val="center"/>
          </w:tcPr>
          <w:p>
            <w:pPr>
              <w:pStyle w:val="19"/>
            </w:pPr>
            <w:r>
              <w:t>213.01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年终结转结余</w:t>
            </w:r>
          </w:p>
        </w:tc>
        <w:tc>
          <w:tcPr>
            <w:tcW w:w="2126" w:type="dxa"/>
            <w:vAlign w:val="center"/>
          </w:tcPr>
          <w:p>
            <w:pPr>
              <w:pStyle w:val="19"/>
              <w:rPr>
                <w:rFonts w:cs="Times New Roman"/>
              </w:rPr>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rPr>
                <w:rFonts w:cs="Times New Roman"/>
              </w:rPr>
            </w:pPr>
            <w:r>
              <w:rPr>
                <w:rFonts w:hint="eastAsia"/>
              </w:rPr>
              <w:t>收入总计</w:t>
            </w:r>
          </w:p>
        </w:tc>
        <w:tc>
          <w:tcPr>
            <w:tcW w:w="2126" w:type="dxa"/>
            <w:tcBorders>
              <w:left w:val="single" w:sz="6" w:space="0" w:color="000000"/>
              <w:right w:val="single" w:sz="6" w:space="0" w:color="000000"/>
            </w:tcBorders>
            <w:vAlign w:val="center"/>
          </w:tcPr>
          <w:p>
            <w:pPr>
              <w:pStyle w:val="23"/>
            </w:pPr>
            <w:r>
              <w:t>6344.31</w:t>
            </w:r>
          </w:p>
        </w:tc>
        <w:tc>
          <w:tcPr>
            <w:tcW w:w="4535" w:type="dxa"/>
            <w:tcBorders>
              <w:left w:val="single" w:sz="6" w:space="0" w:color="000000"/>
              <w:right w:val="single" w:sz="6" w:space="0" w:color="000000"/>
            </w:tcBorders>
            <w:vAlign w:val="center"/>
          </w:tcPr>
          <w:p>
            <w:pPr>
              <w:pStyle w:val="22"/>
              <w:rPr>
                <w:rFonts w:cs="Times New Roman"/>
              </w:rPr>
            </w:pPr>
            <w:r>
              <w:rPr>
                <w:rFonts w:hint="eastAsia"/>
              </w:rPr>
              <w:t>支出总计</w:t>
            </w:r>
          </w:p>
        </w:tc>
        <w:tc>
          <w:tcPr>
            <w:tcW w:w="2126" w:type="dxa"/>
            <w:vAlign w:val="center"/>
          </w:tcPr>
          <w:p>
            <w:pPr>
              <w:pStyle w:val="23"/>
            </w:pPr>
            <w:r>
              <w:t>6344.31</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jc w:val="center"/>
        <w:outlineLvl w:val="4"/>
      </w:pPr>
      <w:r>
        <w:rPr>
          <w:rFonts w:ascii="方正小标宋_GBK" w:eastAsia="方正小标宋_GBK" w:cs="方正小标宋_GBK" w:hAnsi="方正小标宋_GBK" w:hint="eastAsia"/>
          <w:color w:val="000000"/>
          <w:sz w:val="36"/>
          <w:szCs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cantSplit/>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rPr>
                <w:rFonts w:cs="Times New Roman"/>
              </w:rPr>
            </w:pPr>
            <w:r>
              <w:t>348001</w:t>
            </w:r>
            <w:r>
              <w:rPr>
                <w:rFonts w:hint="eastAsia"/>
              </w:rPr>
              <w:t>行唐县交通运输局本级</w:t>
            </w:r>
          </w:p>
        </w:tc>
        <w:tc>
          <w:tcPr>
            <w:tcW w:w="3402" w:type="dxa"/>
            <w:gridSpan w:val="3"/>
            <w:tcBorders>
              <w:top w:val="single" w:sz="6" w:space="0" w:color="FFFFFF"/>
              <w:left w:val="single" w:sz="6" w:space="0" w:color="FFFFFF"/>
              <w:right w:val="single" w:sz="6" w:space="0" w:color="FFFFFF"/>
            </w:tcBorders>
            <w:vAlign w:val="center"/>
          </w:tcPr>
          <w:p>
            <w:pPr>
              <w:pStyle w:val="16"/>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pPr>
              <w:pStyle w:val="15"/>
              <w:rPr>
                <w:rFonts w:cs="Times New Roman"/>
              </w:rPr>
            </w:pPr>
            <w:r>
              <w:rPr>
                <w:rFonts w:hint="eastAsia"/>
              </w:rPr>
              <w:t>单位：万元</w:t>
            </w:r>
          </w:p>
        </w:tc>
      </w:tr>
      <w:tr>
        <w:trPr>
          <w:trHeight w:val="369"/>
          <w:tblHeader/>
        </w:trPr>
        <w:tc>
          <w:tcPr>
            <w:tcW w:w="680" w:type="dxa"/>
            <w:vMerge w:val="restart"/>
            <w:vAlign w:val="center"/>
          </w:tcPr>
          <w:p>
            <w:pPr>
              <w:pStyle w:val="18"/>
              <w:rPr>
                <w:rFonts w:cs="Times New Roman"/>
              </w:rPr>
            </w:pPr>
            <w:r>
              <w:rPr>
                <w:rFonts w:hint="eastAsia"/>
              </w:rPr>
              <w:t>序号</w:t>
            </w:r>
          </w:p>
        </w:tc>
        <w:tc>
          <w:tcPr>
            <w:tcW w:w="2551" w:type="dxa"/>
            <w:gridSpan w:val="2"/>
            <w:tcBorders>
              <w:left w:val="single" w:sz="6" w:space="0" w:color="000000"/>
              <w:right w:val="single" w:sz="6" w:space="0" w:color="000000"/>
            </w:tcBorders>
            <w:vAlign w:val="center"/>
          </w:tcPr>
          <w:p>
            <w:pPr>
              <w:pStyle w:val="18"/>
              <w:rPr>
                <w:rFonts w:cs="Times New Roman"/>
              </w:rPr>
            </w:pPr>
            <w:r>
              <w:rPr>
                <w:rFonts w:hint="eastAsia"/>
              </w:rPr>
              <w:t>功能分类科目</w:t>
            </w:r>
          </w:p>
        </w:tc>
        <w:tc>
          <w:tcPr>
            <w:tcW w:w="1134" w:type="dxa"/>
            <w:vMerge w:val="restart"/>
            <w:tcBorders>
              <w:left w:val="single" w:sz="6" w:space="0" w:color="000000"/>
              <w:right w:val="single" w:sz="6" w:space="0" w:color="000000"/>
            </w:tcBorders>
            <w:vAlign w:val="center"/>
          </w:tcPr>
          <w:p>
            <w:pPr>
              <w:pStyle w:val="18"/>
              <w:rPr>
                <w:rFonts w:cs="Times New Roman"/>
              </w:rPr>
            </w:pPr>
            <w:r>
              <w:rPr>
                <w:rFonts w:hint="eastAsia"/>
              </w:rPr>
              <w:t>合计</w:t>
            </w:r>
          </w:p>
        </w:tc>
        <w:tc>
          <w:tcPr>
            <w:tcW w:w="9072" w:type="dxa"/>
            <w:gridSpan w:val="8"/>
            <w:tcBorders>
              <w:left w:val="single" w:sz="6" w:space="0" w:color="000000"/>
              <w:right w:val="single" w:sz="6" w:space="0" w:color="000000"/>
            </w:tcBorders>
            <w:vAlign w:val="center"/>
          </w:tcPr>
          <w:p>
            <w:pPr>
              <w:pStyle w:val="18"/>
              <w:rPr>
                <w:rFonts w:cs="Times New Roman"/>
              </w:rPr>
            </w:pPr>
            <w:r>
              <w:rPr>
                <w:rFonts w:hint="eastAsia"/>
              </w:rPr>
              <w:t>本年收入</w:t>
            </w:r>
          </w:p>
        </w:tc>
        <w:tc>
          <w:tcPr>
            <w:tcW w:w="1134" w:type="dxa"/>
            <w:vMerge w:val="restart"/>
            <w:vAlign w:val="center"/>
          </w:tcPr>
          <w:p>
            <w:pPr>
              <w:pStyle w:val="18"/>
              <w:rPr>
                <w:rFonts w:cs="Times New Roman"/>
              </w:rPr>
            </w:pPr>
            <w:r>
              <w:rPr>
                <w:rFonts w:hint="eastAsia"/>
              </w:rP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rPr>
                <w:rFonts w:cs="Times New Roman"/>
              </w:rPr>
            </w:pPr>
            <w:r>
              <w:rPr>
                <w:rFonts w:hint="eastAsia"/>
              </w:rPr>
              <w:t>科目</w:t>
            </w:r>
            <w:r>
              <w:t xml:space="preserve">    </w:t>
            </w:r>
            <w:r>
              <w:rPr>
                <w:rFonts w:hint="eastAsia"/>
              </w:rPr>
              <w:t>编码</w:t>
            </w:r>
          </w:p>
        </w:tc>
        <w:tc>
          <w:tcPr>
            <w:tcW w:w="1559" w:type="dxa"/>
            <w:tcBorders>
              <w:left w:val="single" w:sz="6" w:space="0" w:color="000000"/>
              <w:right w:val="single" w:sz="6" w:space="0" w:color="000000"/>
            </w:tcBorders>
            <w:vAlign w:val="center"/>
          </w:tcPr>
          <w:p>
            <w:pPr>
              <w:pStyle w:val="18"/>
              <w:rPr>
                <w:rFonts w:cs="Times New Roman"/>
              </w:rPr>
            </w:pPr>
            <w:r>
              <w:rPr>
                <w:rFonts w:hint="eastAsia"/>
              </w:rP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rPr>
                <w:rFonts w:cs="Times New Roman"/>
              </w:rPr>
            </w:pPr>
            <w:r>
              <w:rPr>
                <w:rFonts w:hint="eastAsia"/>
              </w:rPr>
              <w:t>小计</w:t>
            </w:r>
          </w:p>
        </w:tc>
        <w:tc>
          <w:tcPr>
            <w:tcW w:w="1134" w:type="dxa"/>
            <w:tcBorders>
              <w:left w:val="single" w:sz="6" w:space="0" w:color="000000"/>
              <w:right w:val="single" w:sz="6" w:space="0" w:color="000000"/>
            </w:tcBorders>
            <w:vAlign w:val="center"/>
          </w:tcPr>
          <w:p>
            <w:pPr>
              <w:pStyle w:val="18"/>
              <w:rPr>
                <w:rFonts w:cs="Times New Roman"/>
              </w:rPr>
            </w:pPr>
            <w:r>
              <w:rPr>
                <w:rFonts w:hint="eastAsia"/>
              </w:rPr>
              <w:t>财政拨款</w:t>
            </w:r>
            <w:r>
              <w:t xml:space="preserve"> </w:t>
            </w:r>
            <w:r>
              <w:rPr>
                <w:rFonts w:hint="eastAsia"/>
              </w:rPr>
              <w:t>收入</w:t>
            </w:r>
          </w:p>
        </w:tc>
        <w:tc>
          <w:tcPr>
            <w:tcW w:w="1134" w:type="dxa"/>
            <w:tcBorders>
              <w:left w:val="single" w:sz="6" w:space="0" w:color="000000"/>
              <w:right w:val="single" w:sz="6" w:space="0" w:color="000000"/>
            </w:tcBorders>
            <w:vAlign w:val="center"/>
          </w:tcPr>
          <w:p>
            <w:pPr>
              <w:pStyle w:val="18"/>
              <w:rPr>
                <w:rFonts w:cs="Times New Roman"/>
              </w:rPr>
            </w:pPr>
            <w:r>
              <w:rPr>
                <w:rFonts w:hint="eastAsia"/>
              </w:rPr>
              <w:t>财政专户</w:t>
            </w:r>
            <w:r>
              <w:t xml:space="preserve"> </w:t>
            </w:r>
            <w:r>
              <w:rPr>
                <w:rFonts w:hint="eastAsia"/>
              </w:rPr>
              <w:t>收入</w:t>
            </w:r>
          </w:p>
        </w:tc>
        <w:tc>
          <w:tcPr>
            <w:tcW w:w="1134" w:type="dxa"/>
            <w:tcBorders>
              <w:left w:val="single" w:sz="6" w:space="0" w:color="000000"/>
              <w:right w:val="single" w:sz="6" w:space="0" w:color="000000"/>
            </w:tcBorders>
            <w:vAlign w:val="center"/>
          </w:tcPr>
          <w:p>
            <w:pPr>
              <w:pStyle w:val="18"/>
              <w:rPr>
                <w:rFonts w:cs="Times New Roman"/>
              </w:rPr>
            </w:pPr>
            <w:r>
              <w:rPr>
                <w:rFonts w:hint="eastAsia"/>
              </w:rPr>
              <w:t>事业收入</w:t>
            </w:r>
          </w:p>
        </w:tc>
        <w:tc>
          <w:tcPr>
            <w:tcW w:w="1134" w:type="dxa"/>
            <w:tcBorders>
              <w:left w:val="single" w:sz="6" w:space="0" w:color="000000"/>
              <w:right w:val="single" w:sz="6" w:space="0" w:color="000000"/>
            </w:tcBorders>
            <w:vAlign w:val="center"/>
          </w:tcPr>
          <w:p>
            <w:pPr>
              <w:pStyle w:val="18"/>
              <w:rPr>
                <w:rFonts w:cs="Times New Roman"/>
              </w:rPr>
            </w:pPr>
            <w:r>
              <w:rPr>
                <w:rFonts w:hint="eastAsia"/>
              </w:rPr>
              <w:t>经营收入</w:t>
            </w:r>
          </w:p>
        </w:tc>
        <w:tc>
          <w:tcPr>
            <w:tcW w:w="1134" w:type="dxa"/>
            <w:tcBorders>
              <w:left w:val="single" w:sz="6" w:space="0" w:color="000000"/>
              <w:right w:val="single" w:sz="6" w:space="0" w:color="000000"/>
            </w:tcBorders>
            <w:vAlign w:val="center"/>
          </w:tcPr>
          <w:p>
            <w:pPr>
              <w:pStyle w:val="18"/>
              <w:rPr>
                <w:rFonts w:cs="Times New Roman"/>
              </w:rPr>
            </w:pPr>
            <w:r>
              <w:rPr>
                <w:rFonts w:hint="eastAsia"/>
              </w:rPr>
              <w:t>上级补助收入</w:t>
            </w:r>
          </w:p>
        </w:tc>
        <w:tc>
          <w:tcPr>
            <w:tcW w:w="1134" w:type="dxa"/>
            <w:tcBorders>
              <w:left w:val="single" w:sz="6" w:space="0" w:color="000000"/>
              <w:right w:val="single" w:sz="6" w:space="0" w:color="000000"/>
            </w:tcBorders>
            <w:vAlign w:val="center"/>
          </w:tcPr>
          <w:p>
            <w:pPr>
              <w:pStyle w:val="18"/>
              <w:rPr>
                <w:rFonts w:cs="Times New Roman"/>
              </w:rPr>
            </w:pPr>
            <w:r>
              <w:rPr>
                <w:rFonts w:hint="eastAsia"/>
              </w:rPr>
              <w:t>附属单位上缴收入</w:t>
            </w:r>
          </w:p>
        </w:tc>
        <w:tc>
          <w:tcPr>
            <w:tcW w:w="1134" w:type="dxa"/>
            <w:tcBorders>
              <w:left w:val="single" w:sz="6" w:space="0" w:color="000000"/>
              <w:right w:val="single" w:sz="6" w:space="0" w:color="000000"/>
            </w:tcBorders>
            <w:vAlign w:val="center"/>
          </w:tcPr>
          <w:p>
            <w:pPr>
              <w:pStyle w:val="18"/>
              <w:rPr>
                <w:rFonts w:cs="Times New Roman"/>
              </w:rPr>
            </w:pPr>
            <w:r>
              <w:rPr>
                <w:rFonts w:hint="eastAsia"/>
              </w:rPr>
              <w:t>其他收入</w:t>
            </w:r>
          </w:p>
        </w:tc>
        <w:tc>
          <w:tcPr>
            <w:tcW w:w="1134" w:type="dxa"/>
            <w:vMerge/>
          </w:tcPr>
          <w:p/>
        </w:tc>
      </w:tr>
      <w:tr>
        <w:trPr>
          <w:trHeight w:val="369"/>
          <w:tblHeader/>
        </w:trPr>
        <w:tc>
          <w:tcPr>
            <w:tcW w:w="680" w:type="dxa"/>
            <w:vAlign w:val="center"/>
          </w:tcPr>
          <w:p>
            <w:pPr>
              <w:pStyle w:val="18"/>
              <w:rPr>
                <w:rFonts w:cs="Times New Roman"/>
              </w:rPr>
            </w:pPr>
            <w:r>
              <w:rPr>
                <w:rFonts w:hint="eastAsia"/>
              </w:rP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rPr>
                <w:rFonts w:cs="Times New Roman"/>
              </w:rPr>
            </w:pPr>
          </w:p>
        </w:tc>
        <w:tc>
          <w:tcPr>
            <w:tcW w:w="1559" w:type="dxa"/>
            <w:tcBorders>
              <w:left w:val="single" w:sz="6" w:space="0" w:color="000000"/>
              <w:right w:val="single" w:sz="6" w:space="0" w:color="000000"/>
            </w:tcBorders>
            <w:vAlign w:val="center"/>
          </w:tcPr>
          <w:p>
            <w:pPr>
              <w:pStyle w:val="22"/>
              <w:rPr>
                <w:rFonts w:cs="Times New Roman"/>
              </w:rPr>
            </w:pPr>
            <w:r>
              <w:rPr>
                <w:rFonts w:hint="eastAsia"/>
              </w:rPr>
              <w:t>合计</w:t>
            </w:r>
          </w:p>
        </w:tc>
        <w:tc>
          <w:tcPr>
            <w:tcW w:w="1134" w:type="dxa"/>
            <w:tcBorders>
              <w:left w:val="single" w:sz="6" w:space="0" w:color="000000"/>
              <w:right w:val="single" w:sz="6" w:space="0" w:color="000000"/>
            </w:tcBorders>
            <w:vAlign w:val="center"/>
          </w:tcPr>
          <w:p>
            <w:pPr>
              <w:pStyle w:val="23"/>
            </w:pPr>
            <w:r>
              <w:t>6344.31</w:t>
            </w:r>
          </w:p>
        </w:tc>
        <w:tc>
          <w:tcPr>
            <w:tcW w:w="1134" w:type="dxa"/>
            <w:tcBorders>
              <w:left w:val="single" w:sz="6" w:space="0" w:color="000000"/>
              <w:right w:val="single" w:sz="6" w:space="0" w:color="000000"/>
            </w:tcBorders>
            <w:vAlign w:val="center"/>
          </w:tcPr>
          <w:p>
            <w:pPr>
              <w:pStyle w:val="23"/>
            </w:pPr>
            <w:r>
              <w:t>6131.29</w:t>
            </w:r>
          </w:p>
        </w:tc>
        <w:tc>
          <w:tcPr>
            <w:tcW w:w="1134" w:type="dxa"/>
            <w:tcBorders>
              <w:left w:val="single" w:sz="6" w:space="0" w:color="000000"/>
              <w:right w:val="single" w:sz="6" w:space="0" w:color="000000"/>
            </w:tcBorders>
            <w:vAlign w:val="center"/>
          </w:tcPr>
          <w:p>
            <w:pPr>
              <w:pStyle w:val="23"/>
            </w:pPr>
            <w:r>
              <w:t>6131.29</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r>
              <w:t>213.01</w:t>
            </w: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社会保障和就业支出</w:t>
            </w:r>
          </w:p>
        </w:tc>
        <w:tc>
          <w:tcPr>
            <w:tcW w:w="1134" w:type="dxa"/>
            <w:tcBorders>
              <w:left w:val="single" w:sz="6" w:space="0" w:color="000000"/>
              <w:right w:val="single" w:sz="6" w:space="0" w:color="000000"/>
            </w:tcBorders>
            <w:vAlign w:val="center"/>
          </w:tcPr>
          <w:p>
            <w:pPr>
              <w:pStyle w:val="19"/>
            </w:pPr>
            <w:r>
              <w:t>187.97</w:t>
            </w:r>
          </w:p>
        </w:tc>
        <w:tc>
          <w:tcPr>
            <w:tcW w:w="1134" w:type="dxa"/>
            <w:tcBorders>
              <w:left w:val="single" w:sz="6" w:space="0" w:color="000000"/>
              <w:right w:val="single" w:sz="6" w:space="0" w:color="000000"/>
            </w:tcBorders>
            <w:vAlign w:val="center"/>
          </w:tcPr>
          <w:p>
            <w:pPr>
              <w:pStyle w:val="19"/>
            </w:pPr>
            <w:r>
              <w:t>187.97</w:t>
            </w:r>
          </w:p>
        </w:tc>
        <w:tc>
          <w:tcPr>
            <w:tcW w:w="1134" w:type="dxa"/>
            <w:tcBorders>
              <w:left w:val="single" w:sz="6" w:space="0" w:color="000000"/>
              <w:right w:val="single" w:sz="6" w:space="0" w:color="000000"/>
            </w:tcBorders>
            <w:vAlign w:val="center"/>
          </w:tcPr>
          <w:p>
            <w:pPr>
              <w:pStyle w:val="19"/>
            </w:pPr>
            <w:r>
              <w:t>187.97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行政事业单位养老支出</w:t>
            </w:r>
          </w:p>
        </w:tc>
        <w:tc>
          <w:tcPr>
            <w:tcW w:w="1134" w:type="dxa"/>
            <w:tcBorders>
              <w:left w:val="single" w:sz="6" w:space="0" w:color="000000"/>
              <w:right w:val="single" w:sz="6" w:space="0" w:color="000000"/>
            </w:tcBorders>
            <w:vAlign w:val="center"/>
          </w:tcPr>
          <w:p>
            <w:pPr>
              <w:pStyle w:val="19"/>
            </w:pPr>
            <w:r>
              <w:t>187.97</w:t>
            </w:r>
          </w:p>
        </w:tc>
        <w:tc>
          <w:tcPr>
            <w:tcW w:w="1134" w:type="dxa"/>
            <w:tcBorders>
              <w:left w:val="single" w:sz="6" w:space="0" w:color="000000"/>
              <w:right w:val="single" w:sz="6" w:space="0" w:color="000000"/>
            </w:tcBorders>
            <w:vAlign w:val="center"/>
          </w:tcPr>
          <w:p>
            <w:pPr>
              <w:pStyle w:val="19"/>
            </w:pPr>
            <w:r>
              <w:t>187.97</w:t>
            </w:r>
          </w:p>
        </w:tc>
        <w:tc>
          <w:tcPr>
            <w:tcW w:w="1134" w:type="dxa"/>
            <w:tcBorders>
              <w:left w:val="single" w:sz="6" w:space="0" w:color="000000"/>
              <w:right w:val="single" w:sz="6" w:space="0" w:color="000000"/>
            </w:tcBorders>
            <w:vAlign w:val="center"/>
          </w:tcPr>
          <w:p>
            <w:pPr>
              <w:pStyle w:val="19"/>
            </w:pPr>
            <w:r>
              <w:t>187.97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机关事业单位基本养老保险缴费支出</w:t>
            </w:r>
          </w:p>
        </w:tc>
        <w:tc>
          <w:tcPr>
            <w:tcW w:w="1134" w:type="dxa"/>
            <w:tcBorders>
              <w:left w:val="single" w:sz="6" w:space="0" w:color="000000"/>
              <w:right w:val="single" w:sz="6" w:space="0" w:color="000000"/>
            </w:tcBorders>
            <w:vAlign w:val="center"/>
          </w:tcPr>
          <w:p>
            <w:pPr>
              <w:pStyle w:val="19"/>
            </w:pPr>
            <w:r>
              <w:t>187.97</w:t>
            </w:r>
          </w:p>
        </w:tc>
        <w:tc>
          <w:tcPr>
            <w:tcW w:w="1134" w:type="dxa"/>
            <w:tcBorders>
              <w:left w:val="single" w:sz="6" w:space="0" w:color="000000"/>
              <w:right w:val="single" w:sz="6" w:space="0" w:color="000000"/>
            </w:tcBorders>
            <w:vAlign w:val="center"/>
          </w:tcPr>
          <w:p>
            <w:pPr>
              <w:pStyle w:val="19"/>
            </w:pPr>
            <w:r>
              <w:t>187.97</w:t>
            </w:r>
          </w:p>
        </w:tc>
        <w:tc>
          <w:tcPr>
            <w:tcW w:w="1134" w:type="dxa"/>
            <w:tcBorders>
              <w:left w:val="single" w:sz="6" w:space="0" w:color="000000"/>
              <w:right w:val="single" w:sz="6" w:space="0" w:color="000000"/>
            </w:tcBorders>
            <w:vAlign w:val="center"/>
          </w:tcPr>
          <w:p>
            <w:pPr>
              <w:pStyle w:val="19"/>
            </w:pPr>
            <w:r>
              <w:t>187.97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卫生健康支出</w:t>
            </w:r>
          </w:p>
        </w:tc>
        <w:tc>
          <w:tcPr>
            <w:tcW w:w="1134" w:type="dxa"/>
            <w:tcBorders>
              <w:left w:val="single" w:sz="6" w:space="0" w:color="000000"/>
              <w:right w:val="single" w:sz="6" w:space="0" w:color="000000"/>
            </w:tcBorders>
            <w:vAlign w:val="center"/>
          </w:tcPr>
          <w:p>
            <w:pPr>
              <w:pStyle w:val="19"/>
            </w:pPr>
            <w:r>
              <w:t>76.19</w:t>
            </w:r>
          </w:p>
        </w:tc>
        <w:tc>
          <w:tcPr>
            <w:tcW w:w="1134" w:type="dxa"/>
            <w:tcBorders>
              <w:left w:val="single" w:sz="6" w:space="0" w:color="000000"/>
              <w:right w:val="single" w:sz="6" w:space="0" w:color="000000"/>
            </w:tcBorders>
            <w:vAlign w:val="center"/>
          </w:tcPr>
          <w:p>
            <w:pPr>
              <w:pStyle w:val="19"/>
            </w:pPr>
            <w:r>
              <w:t>76.19</w:t>
            </w:r>
          </w:p>
        </w:tc>
        <w:tc>
          <w:tcPr>
            <w:tcW w:w="1134" w:type="dxa"/>
            <w:tcBorders>
              <w:left w:val="single" w:sz="6" w:space="0" w:color="000000"/>
              <w:right w:val="single" w:sz="6" w:space="0" w:color="000000"/>
            </w:tcBorders>
            <w:vAlign w:val="center"/>
          </w:tcPr>
          <w:p>
            <w:pPr>
              <w:pStyle w:val="19"/>
            </w:pPr>
            <w:r>
              <w:t>76.19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行政事业单位医疗</w:t>
            </w:r>
          </w:p>
        </w:tc>
        <w:tc>
          <w:tcPr>
            <w:tcW w:w="1134" w:type="dxa"/>
            <w:tcBorders>
              <w:left w:val="single" w:sz="6" w:space="0" w:color="000000"/>
              <w:right w:val="single" w:sz="6" w:space="0" w:color="000000"/>
            </w:tcBorders>
            <w:vAlign w:val="center"/>
          </w:tcPr>
          <w:p>
            <w:pPr>
              <w:pStyle w:val="19"/>
            </w:pPr>
            <w:r>
              <w:t>76.19</w:t>
            </w:r>
          </w:p>
        </w:tc>
        <w:tc>
          <w:tcPr>
            <w:tcW w:w="1134" w:type="dxa"/>
            <w:tcBorders>
              <w:left w:val="single" w:sz="6" w:space="0" w:color="000000"/>
              <w:right w:val="single" w:sz="6" w:space="0" w:color="000000"/>
            </w:tcBorders>
            <w:vAlign w:val="center"/>
          </w:tcPr>
          <w:p>
            <w:pPr>
              <w:pStyle w:val="19"/>
            </w:pPr>
            <w:r>
              <w:t>76.19</w:t>
            </w:r>
          </w:p>
        </w:tc>
        <w:tc>
          <w:tcPr>
            <w:tcW w:w="1134" w:type="dxa"/>
            <w:tcBorders>
              <w:left w:val="single" w:sz="6" w:space="0" w:color="000000"/>
              <w:right w:val="single" w:sz="6" w:space="0" w:color="000000"/>
            </w:tcBorders>
            <w:vAlign w:val="center"/>
          </w:tcPr>
          <w:p>
            <w:pPr>
              <w:pStyle w:val="19"/>
            </w:pPr>
            <w:r>
              <w:t>76.19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行政单位医疗</w:t>
            </w:r>
          </w:p>
        </w:tc>
        <w:tc>
          <w:tcPr>
            <w:tcW w:w="1134" w:type="dxa"/>
            <w:tcBorders>
              <w:left w:val="single" w:sz="6" w:space="0" w:color="000000"/>
              <w:right w:val="single" w:sz="6" w:space="0" w:color="000000"/>
            </w:tcBorders>
            <w:vAlign w:val="center"/>
          </w:tcPr>
          <w:p>
            <w:pPr>
              <w:pStyle w:val="19"/>
            </w:pPr>
            <w:r>
              <w:t>76.19</w:t>
            </w:r>
          </w:p>
        </w:tc>
        <w:tc>
          <w:tcPr>
            <w:tcW w:w="1134" w:type="dxa"/>
            <w:tcBorders>
              <w:left w:val="single" w:sz="6" w:space="0" w:color="000000"/>
              <w:right w:val="single" w:sz="6" w:space="0" w:color="000000"/>
            </w:tcBorders>
            <w:vAlign w:val="center"/>
          </w:tcPr>
          <w:p>
            <w:pPr>
              <w:pStyle w:val="19"/>
            </w:pPr>
            <w:r>
              <w:t>76.19</w:t>
            </w:r>
          </w:p>
        </w:tc>
        <w:tc>
          <w:tcPr>
            <w:tcW w:w="1134" w:type="dxa"/>
            <w:tcBorders>
              <w:left w:val="single" w:sz="6" w:space="0" w:color="000000"/>
              <w:right w:val="single" w:sz="6" w:space="0" w:color="000000"/>
            </w:tcBorders>
            <w:vAlign w:val="center"/>
          </w:tcPr>
          <w:p>
            <w:pPr>
              <w:pStyle w:val="19"/>
            </w:pPr>
            <w:r>
              <w:t>76.19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212</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城乡社区支出</w:t>
            </w:r>
          </w:p>
        </w:tc>
        <w:tc>
          <w:tcPr>
            <w:tcW w:w="1134" w:type="dxa"/>
            <w:tcBorders>
              <w:left w:val="single" w:sz="6" w:space="0" w:color="000000"/>
              <w:right w:val="single" w:sz="6" w:space="0" w:color="000000"/>
            </w:tcBorders>
            <w:vAlign w:val="center"/>
          </w:tcPr>
          <w:p>
            <w:pPr>
              <w:pStyle w:val="19"/>
            </w:pPr>
            <w:r>
              <w:t>435.00</w:t>
            </w:r>
          </w:p>
        </w:tc>
        <w:tc>
          <w:tcPr>
            <w:tcW w:w="1134" w:type="dxa"/>
            <w:tcBorders>
              <w:left w:val="single" w:sz="6" w:space="0" w:color="000000"/>
              <w:right w:val="single" w:sz="6" w:space="0" w:color="000000"/>
            </w:tcBorders>
            <w:vAlign w:val="center"/>
          </w:tcPr>
          <w:p>
            <w:pPr>
              <w:pStyle w:val="19"/>
            </w:pPr>
            <w:r>
              <w:t>435.00</w:t>
            </w:r>
          </w:p>
        </w:tc>
        <w:tc>
          <w:tcPr>
            <w:tcW w:w="1134" w:type="dxa"/>
            <w:tcBorders>
              <w:left w:val="single" w:sz="6" w:space="0" w:color="000000"/>
              <w:right w:val="single" w:sz="6" w:space="0" w:color="000000"/>
            </w:tcBorders>
            <w:vAlign w:val="center"/>
          </w:tcPr>
          <w:p>
            <w:pPr>
              <w:pStyle w:val="19"/>
            </w:pPr>
            <w:r>
              <w:t>435.00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21208</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国有土地使用权出让收入安排的支出</w:t>
            </w:r>
          </w:p>
        </w:tc>
        <w:tc>
          <w:tcPr>
            <w:tcW w:w="1134" w:type="dxa"/>
            <w:tcBorders>
              <w:left w:val="single" w:sz="6" w:space="0" w:color="000000"/>
              <w:right w:val="single" w:sz="6" w:space="0" w:color="000000"/>
            </w:tcBorders>
            <w:vAlign w:val="center"/>
          </w:tcPr>
          <w:p>
            <w:pPr>
              <w:pStyle w:val="19"/>
            </w:pPr>
            <w:r>
              <w:t>435.00</w:t>
            </w:r>
          </w:p>
        </w:tc>
        <w:tc>
          <w:tcPr>
            <w:tcW w:w="1134" w:type="dxa"/>
            <w:tcBorders>
              <w:left w:val="single" w:sz="6" w:space="0" w:color="000000"/>
              <w:right w:val="single" w:sz="6" w:space="0" w:color="000000"/>
            </w:tcBorders>
            <w:vAlign w:val="center"/>
          </w:tcPr>
          <w:p>
            <w:pPr>
              <w:pStyle w:val="19"/>
            </w:pPr>
            <w:r>
              <w:t>435.00</w:t>
            </w:r>
          </w:p>
        </w:tc>
        <w:tc>
          <w:tcPr>
            <w:tcW w:w="1134" w:type="dxa"/>
            <w:tcBorders>
              <w:left w:val="single" w:sz="6" w:space="0" w:color="000000"/>
              <w:right w:val="single" w:sz="6" w:space="0" w:color="000000"/>
            </w:tcBorders>
            <w:vAlign w:val="center"/>
          </w:tcPr>
          <w:p>
            <w:pPr>
              <w:pStyle w:val="19"/>
            </w:pPr>
            <w:r>
              <w:t>435.00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2120801</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征地和拆迁补偿支出</w:t>
            </w:r>
          </w:p>
        </w:tc>
        <w:tc>
          <w:tcPr>
            <w:tcW w:w="1134" w:type="dxa"/>
            <w:tcBorders>
              <w:left w:val="single" w:sz="6" w:space="0" w:color="000000"/>
              <w:right w:val="single" w:sz="6" w:space="0" w:color="000000"/>
            </w:tcBorders>
            <w:vAlign w:val="center"/>
          </w:tcPr>
          <w:p>
            <w:pPr>
              <w:pStyle w:val="19"/>
            </w:pPr>
            <w:r>
              <w:t>435.00</w:t>
            </w:r>
          </w:p>
        </w:tc>
        <w:tc>
          <w:tcPr>
            <w:tcW w:w="1134" w:type="dxa"/>
            <w:tcBorders>
              <w:left w:val="single" w:sz="6" w:space="0" w:color="000000"/>
              <w:right w:val="single" w:sz="6" w:space="0" w:color="000000"/>
            </w:tcBorders>
            <w:vAlign w:val="center"/>
          </w:tcPr>
          <w:p>
            <w:pPr>
              <w:pStyle w:val="19"/>
            </w:pPr>
            <w:r>
              <w:t>435.00</w:t>
            </w:r>
          </w:p>
        </w:tc>
        <w:tc>
          <w:tcPr>
            <w:tcW w:w="1134" w:type="dxa"/>
            <w:tcBorders>
              <w:left w:val="single" w:sz="6" w:space="0" w:color="000000"/>
              <w:right w:val="single" w:sz="6" w:space="0" w:color="000000"/>
            </w:tcBorders>
            <w:vAlign w:val="center"/>
          </w:tcPr>
          <w:p>
            <w:pPr>
              <w:pStyle w:val="19"/>
            </w:pPr>
            <w:r>
              <w:t>435.00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214</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交通运输支出</w:t>
            </w:r>
          </w:p>
        </w:tc>
        <w:tc>
          <w:tcPr>
            <w:tcW w:w="1134" w:type="dxa"/>
            <w:tcBorders>
              <w:left w:val="single" w:sz="6" w:space="0" w:color="000000"/>
              <w:right w:val="single" w:sz="6" w:space="0" w:color="000000"/>
            </w:tcBorders>
            <w:vAlign w:val="center"/>
          </w:tcPr>
          <w:p>
            <w:pPr>
              <w:pStyle w:val="19"/>
            </w:pPr>
            <w:r>
              <w:t>5279.11</w:t>
            </w:r>
          </w:p>
        </w:tc>
        <w:tc>
          <w:tcPr>
            <w:tcW w:w="1134" w:type="dxa"/>
            <w:tcBorders>
              <w:left w:val="single" w:sz="6" w:space="0" w:color="000000"/>
              <w:right w:val="single" w:sz="6" w:space="0" w:color="000000"/>
            </w:tcBorders>
            <w:vAlign w:val="center"/>
          </w:tcPr>
          <w:p>
            <w:pPr>
              <w:pStyle w:val="19"/>
            </w:pPr>
            <w:r>
              <w:t>5279.11</w:t>
            </w:r>
          </w:p>
        </w:tc>
        <w:tc>
          <w:tcPr>
            <w:tcW w:w="1134" w:type="dxa"/>
            <w:tcBorders>
              <w:left w:val="single" w:sz="6" w:space="0" w:color="000000"/>
              <w:right w:val="single" w:sz="6" w:space="0" w:color="000000"/>
            </w:tcBorders>
            <w:vAlign w:val="center"/>
          </w:tcPr>
          <w:p>
            <w:pPr>
              <w:pStyle w:val="19"/>
            </w:pPr>
            <w:r>
              <w:t>5279.11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21401</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公路水路运输</w:t>
            </w:r>
          </w:p>
        </w:tc>
        <w:tc>
          <w:tcPr>
            <w:tcW w:w="1134" w:type="dxa"/>
            <w:tcBorders>
              <w:left w:val="single" w:sz="6" w:space="0" w:color="000000"/>
              <w:right w:val="single" w:sz="6" w:space="0" w:color="000000"/>
            </w:tcBorders>
            <w:vAlign w:val="center"/>
          </w:tcPr>
          <w:p>
            <w:pPr>
              <w:pStyle w:val="19"/>
            </w:pPr>
            <w:r>
              <w:t>4879.03</w:t>
            </w:r>
          </w:p>
        </w:tc>
        <w:tc>
          <w:tcPr>
            <w:tcW w:w="1134" w:type="dxa"/>
            <w:tcBorders>
              <w:left w:val="single" w:sz="6" w:space="0" w:color="000000"/>
              <w:right w:val="single" w:sz="6" w:space="0" w:color="000000"/>
            </w:tcBorders>
            <w:vAlign w:val="center"/>
          </w:tcPr>
          <w:p>
            <w:pPr>
              <w:pStyle w:val="19"/>
            </w:pPr>
            <w:r>
              <w:t>4879.03</w:t>
            </w:r>
          </w:p>
        </w:tc>
        <w:tc>
          <w:tcPr>
            <w:tcW w:w="1134" w:type="dxa"/>
            <w:tcBorders>
              <w:left w:val="single" w:sz="6" w:space="0" w:color="000000"/>
              <w:right w:val="single" w:sz="6" w:space="0" w:color="000000"/>
            </w:tcBorders>
            <w:vAlign w:val="center"/>
          </w:tcPr>
          <w:p>
            <w:pPr>
              <w:pStyle w:val="19"/>
            </w:pPr>
            <w:r>
              <w:t>4879.03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2140101</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行政运行</w:t>
            </w:r>
          </w:p>
        </w:tc>
        <w:tc>
          <w:tcPr>
            <w:tcW w:w="1134" w:type="dxa"/>
            <w:tcBorders>
              <w:left w:val="single" w:sz="6" w:space="0" w:color="000000"/>
              <w:right w:val="single" w:sz="6" w:space="0" w:color="000000"/>
            </w:tcBorders>
            <w:vAlign w:val="center"/>
          </w:tcPr>
          <w:p>
            <w:pPr>
              <w:pStyle w:val="19"/>
            </w:pPr>
            <w:r>
              <w:t>2219.65</w:t>
            </w:r>
          </w:p>
        </w:tc>
        <w:tc>
          <w:tcPr>
            <w:tcW w:w="1134" w:type="dxa"/>
            <w:tcBorders>
              <w:left w:val="single" w:sz="6" w:space="0" w:color="000000"/>
              <w:right w:val="single" w:sz="6" w:space="0" w:color="000000"/>
            </w:tcBorders>
            <w:vAlign w:val="center"/>
          </w:tcPr>
          <w:p>
            <w:pPr>
              <w:pStyle w:val="19"/>
            </w:pPr>
            <w:r>
              <w:t>2219.65</w:t>
            </w:r>
          </w:p>
        </w:tc>
        <w:tc>
          <w:tcPr>
            <w:tcW w:w="1134" w:type="dxa"/>
            <w:tcBorders>
              <w:left w:val="single" w:sz="6" w:space="0" w:color="000000"/>
              <w:right w:val="single" w:sz="6" w:space="0" w:color="000000"/>
            </w:tcBorders>
            <w:vAlign w:val="center"/>
          </w:tcPr>
          <w:p>
            <w:pPr>
              <w:pStyle w:val="19"/>
            </w:pPr>
            <w:r>
              <w:t>2219.65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2140104</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公路建设</w:t>
            </w:r>
          </w:p>
        </w:tc>
        <w:tc>
          <w:tcPr>
            <w:tcW w:w="1134" w:type="dxa"/>
            <w:tcBorders>
              <w:left w:val="single" w:sz="6" w:space="0" w:color="000000"/>
              <w:right w:val="single" w:sz="6" w:space="0" w:color="000000"/>
            </w:tcBorders>
            <w:vAlign w:val="center"/>
          </w:tcPr>
          <w:p>
            <w:pPr>
              <w:pStyle w:val="19"/>
            </w:pPr>
            <w:r>
              <w:t>1447.10</w:t>
            </w:r>
          </w:p>
        </w:tc>
        <w:tc>
          <w:tcPr>
            <w:tcW w:w="1134" w:type="dxa"/>
            <w:tcBorders>
              <w:left w:val="single" w:sz="6" w:space="0" w:color="000000"/>
              <w:right w:val="single" w:sz="6" w:space="0" w:color="000000"/>
            </w:tcBorders>
            <w:vAlign w:val="center"/>
          </w:tcPr>
          <w:p>
            <w:pPr>
              <w:pStyle w:val="19"/>
            </w:pPr>
            <w:r>
              <w:t>1447.10</w:t>
            </w:r>
          </w:p>
        </w:tc>
        <w:tc>
          <w:tcPr>
            <w:tcW w:w="1134" w:type="dxa"/>
            <w:tcBorders>
              <w:left w:val="single" w:sz="6" w:space="0" w:color="000000"/>
              <w:right w:val="single" w:sz="6" w:space="0" w:color="000000"/>
            </w:tcBorders>
            <w:vAlign w:val="center"/>
          </w:tcPr>
          <w:p>
            <w:pPr>
              <w:pStyle w:val="19"/>
            </w:pPr>
            <w:r>
              <w:t>1447.10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2140106</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公路养护</w:t>
            </w:r>
          </w:p>
        </w:tc>
        <w:tc>
          <w:tcPr>
            <w:tcW w:w="1134" w:type="dxa"/>
            <w:tcBorders>
              <w:left w:val="single" w:sz="6" w:space="0" w:color="000000"/>
              <w:right w:val="single" w:sz="6" w:space="0" w:color="000000"/>
            </w:tcBorders>
            <w:vAlign w:val="center"/>
          </w:tcPr>
          <w:p>
            <w:pPr>
              <w:pStyle w:val="19"/>
            </w:pPr>
            <w:r>
              <w:t>942.28</w:t>
            </w:r>
          </w:p>
        </w:tc>
        <w:tc>
          <w:tcPr>
            <w:tcW w:w="1134" w:type="dxa"/>
            <w:tcBorders>
              <w:left w:val="single" w:sz="6" w:space="0" w:color="000000"/>
              <w:right w:val="single" w:sz="6" w:space="0" w:color="000000"/>
            </w:tcBorders>
            <w:vAlign w:val="center"/>
          </w:tcPr>
          <w:p>
            <w:pPr>
              <w:pStyle w:val="19"/>
            </w:pPr>
            <w:r>
              <w:t>942.28</w:t>
            </w:r>
          </w:p>
        </w:tc>
        <w:tc>
          <w:tcPr>
            <w:tcW w:w="1134" w:type="dxa"/>
            <w:tcBorders>
              <w:left w:val="single" w:sz="6" w:space="0" w:color="000000"/>
              <w:right w:val="single" w:sz="6" w:space="0" w:color="000000"/>
            </w:tcBorders>
            <w:vAlign w:val="center"/>
          </w:tcPr>
          <w:p>
            <w:pPr>
              <w:pStyle w:val="19"/>
            </w:pPr>
            <w:r>
              <w:t>942.28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2140112</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公路运输管理</w:t>
            </w:r>
          </w:p>
        </w:tc>
        <w:tc>
          <w:tcPr>
            <w:tcW w:w="1134" w:type="dxa"/>
            <w:tcBorders>
              <w:left w:val="single" w:sz="6" w:space="0" w:color="000000"/>
              <w:right w:val="single" w:sz="6" w:space="0" w:color="000000"/>
            </w:tcBorders>
            <w:vAlign w:val="center"/>
          </w:tcPr>
          <w:p>
            <w:pPr>
              <w:pStyle w:val="19"/>
            </w:pPr>
            <w:r>
              <w:t>270.00</w:t>
            </w:r>
          </w:p>
        </w:tc>
        <w:tc>
          <w:tcPr>
            <w:tcW w:w="1134" w:type="dxa"/>
            <w:tcBorders>
              <w:left w:val="single" w:sz="6" w:space="0" w:color="000000"/>
              <w:right w:val="single" w:sz="6" w:space="0" w:color="000000"/>
            </w:tcBorders>
            <w:vAlign w:val="center"/>
          </w:tcPr>
          <w:p>
            <w:pPr>
              <w:pStyle w:val="19"/>
            </w:pPr>
            <w:r>
              <w:t>270.00</w:t>
            </w:r>
          </w:p>
        </w:tc>
        <w:tc>
          <w:tcPr>
            <w:tcW w:w="1134" w:type="dxa"/>
            <w:tcBorders>
              <w:left w:val="single" w:sz="6" w:space="0" w:color="000000"/>
              <w:right w:val="single" w:sz="6" w:space="0" w:color="000000"/>
            </w:tcBorders>
            <w:vAlign w:val="center"/>
          </w:tcPr>
          <w:p>
            <w:pPr>
              <w:pStyle w:val="19"/>
            </w:pPr>
            <w:r>
              <w:t>270.00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21499</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其他交通运输支出</w:t>
            </w:r>
          </w:p>
        </w:tc>
        <w:tc>
          <w:tcPr>
            <w:tcW w:w="1134" w:type="dxa"/>
            <w:tcBorders>
              <w:left w:val="single" w:sz="6" w:space="0" w:color="000000"/>
              <w:right w:val="single" w:sz="6" w:space="0" w:color="000000"/>
            </w:tcBorders>
            <w:vAlign w:val="center"/>
          </w:tcPr>
          <w:p>
            <w:pPr>
              <w:pStyle w:val="19"/>
            </w:pPr>
            <w:r>
              <w:t>400.08</w:t>
            </w:r>
          </w:p>
        </w:tc>
        <w:tc>
          <w:tcPr>
            <w:tcW w:w="1134" w:type="dxa"/>
            <w:tcBorders>
              <w:left w:val="single" w:sz="6" w:space="0" w:color="000000"/>
              <w:right w:val="single" w:sz="6" w:space="0" w:color="000000"/>
            </w:tcBorders>
            <w:vAlign w:val="center"/>
          </w:tcPr>
          <w:p>
            <w:pPr>
              <w:pStyle w:val="19"/>
            </w:pPr>
            <w:r>
              <w:t>400.08</w:t>
            </w:r>
          </w:p>
        </w:tc>
        <w:tc>
          <w:tcPr>
            <w:tcW w:w="1134" w:type="dxa"/>
            <w:tcBorders>
              <w:left w:val="single" w:sz="6" w:space="0" w:color="000000"/>
              <w:right w:val="single" w:sz="6" w:space="0" w:color="000000"/>
            </w:tcBorders>
            <w:vAlign w:val="center"/>
          </w:tcPr>
          <w:p>
            <w:pPr>
              <w:pStyle w:val="19"/>
            </w:pPr>
            <w:r>
              <w:t>400.08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2149901</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公共交通运营补助</w:t>
            </w:r>
          </w:p>
        </w:tc>
        <w:tc>
          <w:tcPr>
            <w:tcW w:w="1134" w:type="dxa"/>
            <w:tcBorders>
              <w:left w:val="single" w:sz="6" w:space="0" w:color="000000"/>
              <w:right w:val="single" w:sz="6" w:space="0" w:color="000000"/>
            </w:tcBorders>
            <w:vAlign w:val="center"/>
          </w:tcPr>
          <w:p>
            <w:pPr>
              <w:pStyle w:val="19"/>
            </w:pPr>
            <w:r>
              <w:t>400.08</w:t>
            </w:r>
          </w:p>
        </w:tc>
        <w:tc>
          <w:tcPr>
            <w:tcW w:w="1134" w:type="dxa"/>
            <w:tcBorders>
              <w:left w:val="single" w:sz="6" w:space="0" w:color="000000"/>
              <w:right w:val="single" w:sz="6" w:space="0" w:color="000000"/>
            </w:tcBorders>
            <w:vAlign w:val="center"/>
          </w:tcPr>
          <w:p>
            <w:pPr>
              <w:pStyle w:val="19"/>
            </w:pPr>
            <w:r>
              <w:t>400.08</w:t>
            </w:r>
          </w:p>
        </w:tc>
        <w:tc>
          <w:tcPr>
            <w:tcW w:w="1134" w:type="dxa"/>
            <w:tcBorders>
              <w:left w:val="single" w:sz="6" w:space="0" w:color="000000"/>
              <w:right w:val="single" w:sz="6" w:space="0" w:color="000000"/>
            </w:tcBorders>
            <w:vAlign w:val="center"/>
          </w:tcPr>
          <w:p>
            <w:pPr>
              <w:pStyle w:val="19"/>
            </w:pPr>
            <w:r>
              <w:t>400.08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住房保障支出</w:t>
            </w:r>
          </w:p>
        </w:tc>
        <w:tc>
          <w:tcPr>
            <w:tcW w:w="1134" w:type="dxa"/>
            <w:tcBorders>
              <w:left w:val="single" w:sz="6" w:space="0" w:color="000000"/>
              <w:right w:val="single" w:sz="6" w:space="0" w:color="000000"/>
            </w:tcBorders>
            <w:vAlign w:val="center"/>
          </w:tcPr>
          <w:p>
            <w:pPr>
              <w:pStyle w:val="19"/>
            </w:pPr>
            <w:r>
              <w:t>153.02</w:t>
            </w:r>
          </w:p>
        </w:tc>
        <w:tc>
          <w:tcPr>
            <w:tcW w:w="1134" w:type="dxa"/>
            <w:tcBorders>
              <w:left w:val="single" w:sz="6" w:space="0" w:color="000000"/>
              <w:right w:val="single" w:sz="6" w:space="0" w:color="000000"/>
            </w:tcBorders>
            <w:vAlign w:val="center"/>
          </w:tcPr>
          <w:p>
            <w:pPr>
              <w:pStyle w:val="19"/>
            </w:pPr>
            <w:r>
              <w:t>153.02</w:t>
            </w:r>
          </w:p>
        </w:tc>
        <w:tc>
          <w:tcPr>
            <w:tcW w:w="1134" w:type="dxa"/>
            <w:tcBorders>
              <w:left w:val="single" w:sz="6" w:space="0" w:color="000000"/>
              <w:right w:val="single" w:sz="6" w:space="0" w:color="000000"/>
            </w:tcBorders>
            <w:vAlign w:val="center"/>
          </w:tcPr>
          <w:p>
            <w:pPr>
              <w:pStyle w:val="19"/>
            </w:pPr>
            <w:r>
              <w:t>153.02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住房改革支出</w:t>
            </w:r>
          </w:p>
        </w:tc>
        <w:tc>
          <w:tcPr>
            <w:tcW w:w="1134" w:type="dxa"/>
            <w:tcBorders>
              <w:left w:val="single" w:sz="6" w:space="0" w:color="000000"/>
              <w:right w:val="single" w:sz="6" w:space="0" w:color="000000"/>
            </w:tcBorders>
            <w:vAlign w:val="center"/>
          </w:tcPr>
          <w:p>
            <w:pPr>
              <w:pStyle w:val="19"/>
            </w:pPr>
            <w:r>
              <w:t>153.02</w:t>
            </w:r>
          </w:p>
        </w:tc>
        <w:tc>
          <w:tcPr>
            <w:tcW w:w="1134" w:type="dxa"/>
            <w:tcBorders>
              <w:left w:val="single" w:sz="6" w:space="0" w:color="000000"/>
              <w:right w:val="single" w:sz="6" w:space="0" w:color="000000"/>
            </w:tcBorders>
            <w:vAlign w:val="center"/>
          </w:tcPr>
          <w:p>
            <w:pPr>
              <w:pStyle w:val="19"/>
            </w:pPr>
            <w:r>
              <w:t>153.02</w:t>
            </w:r>
          </w:p>
        </w:tc>
        <w:tc>
          <w:tcPr>
            <w:tcW w:w="1134" w:type="dxa"/>
            <w:tcBorders>
              <w:left w:val="single" w:sz="6" w:space="0" w:color="000000"/>
              <w:right w:val="single" w:sz="6" w:space="0" w:color="000000"/>
            </w:tcBorders>
            <w:vAlign w:val="center"/>
          </w:tcPr>
          <w:p>
            <w:pPr>
              <w:pStyle w:val="19"/>
            </w:pPr>
            <w:r>
              <w:t>153.02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21</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住房公积金</w:t>
            </w:r>
          </w:p>
        </w:tc>
        <w:tc>
          <w:tcPr>
            <w:tcW w:w="1134" w:type="dxa"/>
            <w:tcBorders>
              <w:left w:val="single" w:sz="6" w:space="0" w:color="000000"/>
              <w:right w:val="single" w:sz="6" w:space="0" w:color="000000"/>
            </w:tcBorders>
            <w:vAlign w:val="center"/>
          </w:tcPr>
          <w:p>
            <w:pPr>
              <w:pStyle w:val="19"/>
            </w:pPr>
            <w:r>
              <w:t>153.02</w:t>
            </w:r>
          </w:p>
        </w:tc>
        <w:tc>
          <w:tcPr>
            <w:tcW w:w="1134" w:type="dxa"/>
            <w:tcBorders>
              <w:left w:val="single" w:sz="6" w:space="0" w:color="000000"/>
              <w:right w:val="single" w:sz="6" w:space="0" w:color="000000"/>
            </w:tcBorders>
            <w:vAlign w:val="center"/>
          </w:tcPr>
          <w:p>
            <w:pPr>
              <w:pStyle w:val="19"/>
            </w:pPr>
            <w:r>
              <w:t>153.02</w:t>
            </w:r>
          </w:p>
        </w:tc>
        <w:tc>
          <w:tcPr>
            <w:tcW w:w="1134" w:type="dxa"/>
            <w:tcBorders>
              <w:left w:val="single" w:sz="6" w:space="0" w:color="000000"/>
              <w:right w:val="single" w:sz="6" w:space="0" w:color="000000"/>
            </w:tcBorders>
            <w:vAlign w:val="center"/>
          </w:tcPr>
          <w:p>
            <w:pPr>
              <w:pStyle w:val="19"/>
            </w:pPr>
            <w:r>
              <w:t>153.02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22</w:t>
            </w:r>
          </w:p>
        </w:tc>
        <w:tc>
          <w:tcPr>
            <w:tcW w:w="992" w:type="dxa"/>
            <w:tcBorders>
              <w:left w:val="single" w:sz="6" w:space="0" w:color="000000"/>
              <w:right w:val="single" w:sz="6" w:space="0" w:color="000000"/>
            </w:tcBorders>
            <w:vAlign w:val="center"/>
          </w:tcPr>
          <w:p>
            <w:pPr>
              <w:pStyle w:val="20"/>
            </w:pPr>
            <w:r>
              <w:t>229</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其他支出</w:t>
            </w:r>
          </w:p>
        </w:tc>
        <w:tc>
          <w:tcPr>
            <w:tcW w:w="1134" w:type="dxa"/>
            <w:tcBorders>
              <w:left w:val="single" w:sz="6" w:space="0" w:color="000000"/>
              <w:right w:val="single" w:sz="6" w:space="0" w:color="000000"/>
            </w:tcBorders>
            <w:vAlign w:val="center"/>
          </w:tcPr>
          <w:p>
            <w:pPr>
              <w:pStyle w:val="19"/>
            </w:pPr>
            <w:r>
              <w:t>213.01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213.01</w:t>
            </w:r>
          </w:p>
        </w:tc>
      </w:tr>
      <w:tr>
        <w:trPr>
          <w:trHeight w:val="369"/>
        </w:trPr>
        <w:tc>
          <w:tcPr>
            <w:tcW w:w="680" w:type="dxa"/>
            <w:vAlign w:val="center"/>
          </w:tcPr>
          <w:p>
            <w:pPr>
              <w:pStyle w:val="21"/>
            </w:pPr>
            <w:r>
              <w:t>23</w:t>
            </w:r>
          </w:p>
        </w:tc>
        <w:tc>
          <w:tcPr>
            <w:tcW w:w="992" w:type="dxa"/>
            <w:tcBorders>
              <w:left w:val="single" w:sz="6" w:space="0" w:color="000000"/>
              <w:right w:val="single" w:sz="6" w:space="0" w:color="000000"/>
            </w:tcBorders>
            <w:vAlign w:val="center"/>
          </w:tcPr>
          <w:p>
            <w:pPr>
              <w:pStyle w:val="20"/>
            </w:pPr>
            <w:r>
              <w:t>22904</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其他政府性基金及对应专项债务收入安排的支出</w:t>
            </w:r>
          </w:p>
        </w:tc>
        <w:tc>
          <w:tcPr>
            <w:tcW w:w="1134" w:type="dxa"/>
            <w:tcBorders>
              <w:left w:val="single" w:sz="6" w:space="0" w:color="000000"/>
              <w:right w:val="single" w:sz="6" w:space="0" w:color="000000"/>
            </w:tcBorders>
            <w:vAlign w:val="center"/>
          </w:tcPr>
          <w:p>
            <w:pPr>
              <w:pStyle w:val="19"/>
            </w:pPr>
            <w:r>
              <w:t>213.01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213.01</w:t>
            </w:r>
          </w:p>
        </w:tc>
      </w:tr>
      <w:tr>
        <w:trPr>
          <w:trHeight w:val="369"/>
        </w:trPr>
        <w:tc>
          <w:tcPr>
            <w:tcW w:w="680" w:type="dxa"/>
            <w:vAlign w:val="center"/>
          </w:tcPr>
          <w:p>
            <w:pPr>
              <w:pStyle w:val="21"/>
            </w:pPr>
            <w:r>
              <w:t>24</w:t>
            </w:r>
          </w:p>
        </w:tc>
        <w:tc>
          <w:tcPr>
            <w:tcW w:w="992" w:type="dxa"/>
            <w:tcBorders>
              <w:left w:val="single" w:sz="6" w:space="0" w:color="000000"/>
              <w:right w:val="single" w:sz="6" w:space="0" w:color="000000"/>
            </w:tcBorders>
            <w:vAlign w:val="center"/>
          </w:tcPr>
          <w:p>
            <w:pPr>
              <w:pStyle w:val="20"/>
            </w:pPr>
            <w:r>
              <w:t>2290402</w:t>
            </w:r>
          </w:p>
        </w:tc>
        <w:tc>
          <w:tcPr>
            <w:tcW w:w="1559" w:type="dxa"/>
            <w:tcBorders>
              <w:left w:val="single" w:sz="6" w:space="0" w:color="000000"/>
              <w:right w:val="single" w:sz="6" w:space="0" w:color="000000"/>
            </w:tcBorders>
            <w:vAlign w:val="center"/>
          </w:tcPr>
          <w:p>
            <w:pPr>
              <w:pStyle w:val="20"/>
              <w:rPr>
                <w:rFonts w:cs="Times New Roman"/>
              </w:rPr>
            </w:pPr>
            <w:r>
              <w:rPr>
                <w:rFonts w:hint="eastAsia"/>
              </w:rPr>
              <w:t>其他地方自行试点项目收益专项债券收入安排的支出</w:t>
            </w:r>
          </w:p>
        </w:tc>
        <w:tc>
          <w:tcPr>
            <w:tcW w:w="1134" w:type="dxa"/>
            <w:tcBorders>
              <w:left w:val="single" w:sz="6" w:space="0" w:color="000000"/>
              <w:right w:val="single" w:sz="6" w:space="0" w:color="000000"/>
            </w:tcBorders>
            <w:vAlign w:val="center"/>
          </w:tcPr>
          <w:p>
            <w:pPr>
              <w:pStyle w:val="19"/>
            </w:pPr>
            <w:r>
              <w:t>213.01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213.01</w:t>
            </w: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hint="eastAsia"/>
          <w:color w:val="000000"/>
          <w:sz w:val="21"/>
          <w:szCs w:val="21"/>
        </w:rPr>
        <w:t>注：表中金额不含预计下年使用的单位资金结余。</w:t>
      </w:r>
    </w:p>
    <w:p>
      <w:pPr>
        <w:jc w:val="center"/>
        <w:outlineLvl w:val="4"/>
      </w:pPr>
      <w:r>
        <w:rPr>
          <w:rFonts w:ascii="方正小标宋_GBK" w:eastAsia="方正小标宋_GBK" w:cs="方正小标宋_GBK" w:hAnsi="方正小标宋_GBK" w:hint="eastAsia"/>
          <w:color w:val="000000"/>
          <w:sz w:val="36"/>
          <w:szCs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cantSplit/>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rPr>
                <w:rFonts w:cs="Times New Roman"/>
              </w:rPr>
            </w:pPr>
            <w:r>
              <w:t>348001</w:t>
            </w:r>
            <w:r>
              <w:rPr>
                <w:rFonts w:hint="eastAsia"/>
              </w:rPr>
              <w:t>行唐县交通运输局本级</w:t>
            </w:r>
          </w:p>
        </w:tc>
        <w:tc>
          <w:tcPr>
            <w:tcW w:w="2722" w:type="dxa"/>
            <w:gridSpan w:val="2"/>
            <w:tcBorders>
              <w:top w:val="single" w:sz="6" w:space="0" w:color="FFFFFF"/>
              <w:left w:val="single" w:sz="6" w:space="0" w:color="FFFFFF"/>
              <w:right w:val="single" w:sz="6" w:space="0" w:color="FFFFFF"/>
            </w:tcBorders>
            <w:vAlign w:val="center"/>
          </w:tcPr>
          <w:p>
            <w:pPr>
              <w:pStyle w:val="16"/>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pPr>
              <w:pStyle w:val="15"/>
              <w:rPr>
                <w:rFonts w:cs="Times New Roman"/>
              </w:rPr>
            </w:pPr>
            <w:r>
              <w:rPr>
                <w:rFonts w:hint="eastAsia"/>
              </w:rPr>
              <w:t>单位：万元</w:t>
            </w:r>
          </w:p>
        </w:tc>
      </w:tr>
      <w:tr>
        <w:trPr>
          <w:trHeight w:val="369"/>
          <w:tblHeader/>
        </w:trPr>
        <w:tc>
          <w:tcPr>
            <w:tcW w:w="850" w:type="dxa"/>
            <w:vMerge w:val="restart"/>
            <w:vAlign w:val="center"/>
          </w:tcPr>
          <w:p>
            <w:pPr>
              <w:pStyle w:val="18"/>
              <w:rPr>
                <w:rFonts w:cs="Times New Roman"/>
              </w:rPr>
            </w:pPr>
            <w:r>
              <w:rPr>
                <w:rFonts w:hint="eastAsia"/>
              </w:rPr>
              <w:t>序号</w:t>
            </w:r>
          </w:p>
        </w:tc>
        <w:tc>
          <w:tcPr>
            <w:tcW w:w="5527" w:type="dxa"/>
            <w:gridSpan w:val="2"/>
            <w:tcBorders>
              <w:left w:val="single" w:sz="6" w:space="0" w:color="000000"/>
              <w:right w:val="single" w:sz="6" w:space="0" w:color="000000"/>
            </w:tcBorders>
            <w:vAlign w:val="center"/>
          </w:tcPr>
          <w:p>
            <w:pPr>
              <w:pStyle w:val="18"/>
              <w:rPr>
                <w:rFonts w:cs="Times New Roman"/>
              </w:rPr>
            </w:pPr>
            <w:r>
              <w:rPr>
                <w:rFonts w:hint="eastAsia"/>
              </w:rPr>
              <w:t>功能分类科目</w:t>
            </w:r>
          </w:p>
        </w:tc>
        <w:tc>
          <w:tcPr>
            <w:tcW w:w="1361" w:type="dxa"/>
            <w:vMerge w:val="restart"/>
            <w:tcBorders>
              <w:left w:val="single" w:sz="6" w:space="0" w:color="000000"/>
              <w:right w:val="single" w:sz="6" w:space="0" w:color="000000"/>
            </w:tcBorders>
            <w:vAlign w:val="center"/>
          </w:tcPr>
          <w:p>
            <w:pPr>
              <w:pStyle w:val="18"/>
              <w:rPr>
                <w:rFonts w:cs="Times New Roman"/>
              </w:rPr>
            </w:pPr>
            <w:r>
              <w:rPr>
                <w:rFonts w:hint="eastAsia"/>
              </w:rPr>
              <w:t>合计</w:t>
            </w:r>
          </w:p>
        </w:tc>
        <w:tc>
          <w:tcPr>
            <w:tcW w:w="1361" w:type="dxa"/>
            <w:vMerge w:val="restart"/>
            <w:tcBorders>
              <w:left w:val="single" w:sz="6" w:space="0" w:color="000000"/>
              <w:right w:val="single" w:sz="6" w:space="0" w:color="000000"/>
            </w:tcBorders>
            <w:vAlign w:val="center"/>
          </w:tcPr>
          <w:p>
            <w:pPr>
              <w:pStyle w:val="18"/>
              <w:rPr>
                <w:rFonts w:cs="Times New Roman"/>
              </w:rPr>
            </w:pPr>
            <w:r>
              <w:rPr>
                <w:rFonts w:hint="eastAsia"/>
              </w:rPr>
              <w:t>基本支出</w:t>
            </w:r>
          </w:p>
        </w:tc>
        <w:tc>
          <w:tcPr>
            <w:tcW w:w="1361" w:type="dxa"/>
            <w:vMerge w:val="restart"/>
            <w:tcBorders>
              <w:left w:val="single" w:sz="6" w:space="0" w:color="000000"/>
              <w:right w:val="single" w:sz="6" w:space="0" w:color="000000"/>
            </w:tcBorders>
            <w:vAlign w:val="center"/>
          </w:tcPr>
          <w:p>
            <w:pPr>
              <w:pStyle w:val="18"/>
              <w:rPr>
                <w:rFonts w:cs="Times New Roman"/>
              </w:rPr>
            </w:pPr>
            <w:r>
              <w:rPr>
                <w:rFonts w:hint="eastAsia"/>
              </w:rPr>
              <w:t>项目支出</w:t>
            </w:r>
          </w:p>
        </w:tc>
        <w:tc>
          <w:tcPr>
            <w:tcW w:w="1361" w:type="dxa"/>
            <w:vMerge w:val="restart"/>
            <w:tcBorders>
              <w:left w:val="single" w:sz="6" w:space="0" w:color="000000"/>
              <w:right w:val="single" w:sz="6" w:space="0" w:color="000000"/>
            </w:tcBorders>
            <w:vAlign w:val="center"/>
          </w:tcPr>
          <w:p>
            <w:pPr>
              <w:pStyle w:val="18"/>
              <w:rPr>
                <w:rFonts w:cs="Times New Roman"/>
              </w:rPr>
            </w:pPr>
            <w:r>
              <w:rPr>
                <w:rFonts w:hint="eastAsia"/>
              </w:rPr>
              <w:t>经营支出</w:t>
            </w:r>
          </w:p>
        </w:tc>
        <w:tc>
          <w:tcPr>
            <w:tcW w:w="1361" w:type="dxa"/>
            <w:vMerge w:val="restart"/>
            <w:tcBorders>
              <w:left w:val="single" w:sz="6" w:space="0" w:color="000000"/>
              <w:right w:val="single" w:sz="6" w:space="0" w:color="000000"/>
            </w:tcBorders>
            <w:vAlign w:val="center"/>
          </w:tcPr>
          <w:p>
            <w:pPr>
              <w:pStyle w:val="18"/>
              <w:rPr>
                <w:rFonts w:cs="Times New Roman"/>
              </w:rPr>
            </w:pPr>
            <w:r>
              <w:rPr>
                <w:rFonts w:hint="eastAsia"/>
              </w:rPr>
              <w:t>上解上级</w:t>
            </w:r>
            <w:r>
              <w:t xml:space="preserve">     </w:t>
            </w:r>
            <w:r>
              <w:rPr>
                <w:rFonts w:hint="eastAsia"/>
              </w:rPr>
              <w:t>支出</w:t>
            </w:r>
          </w:p>
        </w:tc>
        <w:tc>
          <w:tcPr>
            <w:tcW w:w="1361" w:type="dxa"/>
            <w:vMerge w:val="restart"/>
            <w:vAlign w:val="center"/>
          </w:tcPr>
          <w:p>
            <w:pPr>
              <w:pStyle w:val="18"/>
              <w:rPr>
                <w:rFonts w:cs="Times New Roman"/>
              </w:rPr>
            </w:pPr>
            <w:r>
              <w:rPr>
                <w:rFonts w:hint="eastAsia"/>
              </w:rP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rPr>
                <w:rFonts w:cs="Times New Roman"/>
              </w:rPr>
            </w:pPr>
            <w:r>
              <w:rPr>
                <w:rFonts w:hint="eastAsia"/>
              </w:rPr>
              <w:t>科目</w:t>
            </w:r>
            <w:r>
              <w:t xml:space="preserve">    </w:t>
            </w:r>
            <w:r>
              <w:rPr>
                <w:rFonts w:hint="eastAsia"/>
              </w:rPr>
              <w:t>编码</w:t>
            </w:r>
          </w:p>
        </w:tc>
        <w:tc>
          <w:tcPr>
            <w:tcW w:w="4535" w:type="dxa"/>
            <w:tcBorders>
              <w:left w:val="single" w:sz="6" w:space="0" w:color="000000"/>
              <w:right w:val="single" w:sz="6" w:space="0" w:color="000000"/>
            </w:tcBorders>
            <w:vAlign w:val="center"/>
          </w:tcPr>
          <w:p>
            <w:pPr>
              <w:pStyle w:val="18"/>
              <w:rPr>
                <w:rFonts w:cs="Times New Roman"/>
              </w:rPr>
            </w:pPr>
            <w:r>
              <w:rPr>
                <w:rFonts w:hint="eastAsia"/>
              </w:rP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rPr>
                <w:rFonts w:cs="Times New Roman"/>
              </w:rPr>
            </w:pPr>
            <w:r>
              <w:rPr>
                <w:rFonts w:hint="eastAsia"/>
              </w:rP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rPr>
                <w:rFonts w:cs="Times New Roman"/>
              </w:rPr>
            </w:pPr>
          </w:p>
        </w:tc>
        <w:tc>
          <w:tcPr>
            <w:tcW w:w="4535" w:type="dxa"/>
            <w:tcBorders>
              <w:left w:val="single" w:sz="6" w:space="0" w:color="000000"/>
              <w:right w:val="single" w:sz="6" w:space="0" w:color="000000"/>
            </w:tcBorders>
            <w:vAlign w:val="center"/>
          </w:tcPr>
          <w:p>
            <w:pPr>
              <w:pStyle w:val="22"/>
              <w:rPr>
                <w:rFonts w:cs="Times New Roman"/>
              </w:rPr>
            </w:pPr>
            <w:r>
              <w:rPr>
                <w:rFonts w:hint="eastAsia"/>
              </w:rPr>
              <w:t>合计</w:t>
            </w:r>
          </w:p>
        </w:tc>
        <w:tc>
          <w:tcPr>
            <w:tcW w:w="1361" w:type="dxa"/>
            <w:tcBorders>
              <w:left w:val="single" w:sz="6" w:space="0" w:color="000000"/>
              <w:right w:val="single" w:sz="6" w:space="0" w:color="000000"/>
            </w:tcBorders>
            <w:vAlign w:val="center"/>
          </w:tcPr>
          <w:p>
            <w:pPr>
              <w:pStyle w:val="23"/>
            </w:pPr>
            <w:r>
              <w:t>6344.31</w:t>
            </w:r>
          </w:p>
        </w:tc>
        <w:tc>
          <w:tcPr>
            <w:tcW w:w="1361" w:type="dxa"/>
            <w:tcBorders>
              <w:left w:val="single" w:sz="6" w:space="0" w:color="000000"/>
              <w:right w:val="single" w:sz="6" w:space="0" w:color="000000"/>
            </w:tcBorders>
            <w:vAlign w:val="center"/>
          </w:tcPr>
          <w:p>
            <w:pPr>
              <w:pStyle w:val="23"/>
            </w:pPr>
            <w:r>
              <w:t>2449.11</w:t>
            </w:r>
          </w:p>
        </w:tc>
        <w:tc>
          <w:tcPr>
            <w:tcW w:w="1361" w:type="dxa"/>
            <w:tcBorders>
              <w:left w:val="single" w:sz="6" w:space="0" w:color="000000"/>
              <w:right w:val="single" w:sz="6" w:space="0" w:color="000000"/>
            </w:tcBorders>
            <w:vAlign w:val="center"/>
          </w:tcPr>
          <w:p>
            <w:pPr>
              <w:pStyle w:val="23"/>
            </w:pPr>
            <w:r>
              <w:t>3895.20</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社会保障和就业支出</w:t>
            </w:r>
          </w:p>
        </w:tc>
        <w:tc>
          <w:tcPr>
            <w:tcW w:w="1361" w:type="dxa"/>
            <w:tcBorders>
              <w:left w:val="single" w:sz="6" w:space="0" w:color="000000"/>
              <w:right w:val="single" w:sz="6" w:space="0" w:color="000000"/>
            </w:tcBorders>
            <w:vAlign w:val="center"/>
          </w:tcPr>
          <w:p>
            <w:pPr>
              <w:pStyle w:val="19"/>
            </w:pPr>
            <w:r>
              <w:t>187.97</w:t>
            </w:r>
          </w:p>
        </w:tc>
        <w:tc>
          <w:tcPr>
            <w:tcW w:w="1361" w:type="dxa"/>
            <w:tcBorders>
              <w:left w:val="single" w:sz="6" w:space="0" w:color="000000"/>
              <w:right w:val="single" w:sz="6" w:space="0" w:color="000000"/>
            </w:tcBorders>
            <w:vAlign w:val="center"/>
          </w:tcPr>
          <w:p>
            <w:pPr>
              <w:pStyle w:val="19"/>
            </w:pPr>
            <w:r>
              <w:t>187.97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行政事业单位养老支出</w:t>
            </w:r>
          </w:p>
        </w:tc>
        <w:tc>
          <w:tcPr>
            <w:tcW w:w="1361" w:type="dxa"/>
            <w:tcBorders>
              <w:left w:val="single" w:sz="6" w:space="0" w:color="000000"/>
              <w:right w:val="single" w:sz="6" w:space="0" w:color="000000"/>
            </w:tcBorders>
            <w:vAlign w:val="center"/>
          </w:tcPr>
          <w:p>
            <w:pPr>
              <w:pStyle w:val="19"/>
            </w:pPr>
            <w:r>
              <w:t>187.97</w:t>
            </w:r>
          </w:p>
        </w:tc>
        <w:tc>
          <w:tcPr>
            <w:tcW w:w="1361" w:type="dxa"/>
            <w:tcBorders>
              <w:left w:val="single" w:sz="6" w:space="0" w:color="000000"/>
              <w:right w:val="single" w:sz="6" w:space="0" w:color="000000"/>
            </w:tcBorders>
            <w:vAlign w:val="center"/>
          </w:tcPr>
          <w:p>
            <w:pPr>
              <w:pStyle w:val="19"/>
            </w:pPr>
            <w:r>
              <w:t>187.97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机关事业单位基本养老保险缴费支出</w:t>
            </w:r>
          </w:p>
        </w:tc>
        <w:tc>
          <w:tcPr>
            <w:tcW w:w="1361" w:type="dxa"/>
            <w:tcBorders>
              <w:left w:val="single" w:sz="6" w:space="0" w:color="000000"/>
              <w:right w:val="single" w:sz="6" w:space="0" w:color="000000"/>
            </w:tcBorders>
            <w:vAlign w:val="center"/>
          </w:tcPr>
          <w:p>
            <w:pPr>
              <w:pStyle w:val="19"/>
            </w:pPr>
            <w:r>
              <w:t>187.97</w:t>
            </w:r>
          </w:p>
        </w:tc>
        <w:tc>
          <w:tcPr>
            <w:tcW w:w="1361" w:type="dxa"/>
            <w:tcBorders>
              <w:left w:val="single" w:sz="6" w:space="0" w:color="000000"/>
              <w:right w:val="single" w:sz="6" w:space="0" w:color="000000"/>
            </w:tcBorders>
            <w:vAlign w:val="center"/>
          </w:tcPr>
          <w:p>
            <w:pPr>
              <w:pStyle w:val="19"/>
            </w:pPr>
            <w:r>
              <w:t>187.97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卫生健康支出</w:t>
            </w:r>
          </w:p>
        </w:tc>
        <w:tc>
          <w:tcPr>
            <w:tcW w:w="1361" w:type="dxa"/>
            <w:tcBorders>
              <w:left w:val="single" w:sz="6" w:space="0" w:color="000000"/>
              <w:right w:val="single" w:sz="6" w:space="0" w:color="000000"/>
            </w:tcBorders>
            <w:vAlign w:val="center"/>
          </w:tcPr>
          <w:p>
            <w:pPr>
              <w:pStyle w:val="19"/>
            </w:pPr>
            <w:r>
              <w:t>76.19</w:t>
            </w:r>
          </w:p>
        </w:tc>
        <w:tc>
          <w:tcPr>
            <w:tcW w:w="1361" w:type="dxa"/>
            <w:tcBorders>
              <w:left w:val="single" w:sz="6" w:space="0" w:color="000000"/>
              <w:right w:val="single" w:sz="6" w:space="0" w:color="000000"/>
            </w:tcBorders>
            <w:vAlign w:val="center"/>
          </w:tcPr>
          <w:p>
            <w:pPr>
              <w:pStyle w:val="19"/>
            </w:pPr>
            <w:r>
              <w:t>76.19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行政事业单位医疗</w:t>
            </w:r>
          </w:p>
        </w:tc>
        <w:tc>
          <w:tcPr>
            <w:tcW w:w="1361" w:type="dxa"/>
            <w:tcBorders>
              <w:left w:val="single" w:sz="6" w:space="0" w:color="000000"/>
              <w:right w:val="single" w:sz="6" w:space="0" w:color="000000"/>
            </w:tcBorders>
            <w:vAlign w:val="center"/>
          </w:tcPr>
          <w:p>
            <w:pPr>
              <w:pStyle w:val="19"/>
            </w:pPr>
            <w:r>
              <w:t>76.19</w:t>
            </w:r>
          </w:p>
        </w:tc>
        <w:tc>
          <w:tcPr>
            <w:tcW w:w="1361" w:type="dxa"/>
            <w:tcBorders>
              <w:left w:val="single" w:sz="6" w:space="0" w:color="000000"/>
              <w:right w:val="single" w:sz="6" w:space="0" w:color="000000"/>
            </w:tcBorders>
            <w:vAlign w:val="center"/>
          </w:tcPr>
          <w:p>
            <w:pPr>
              <w:pStyle w:val="19"/>
            </w:pPr>
            <w:r>
              <w:t>76.19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行政单位医疗</w:t>
            </w:r>
          </w:p>
        </w:tc>
        <w:tc>
          <w:tcPr>
            <w:tcW w:w="1361" w:type="dxa"/>
            <w:tcBorders>
              <w:left w:val="single" w:sz="6" w:space="0" w:color="000000"/>
              <w:right w:val="single" w:sz="6" w:space="0" w:color="000000"/>
            </w:tcBorders>
            <w:vAlign w:val="center"/>
          </w:tcPr>
          <w:p>
            <w:pPr>
              <w:pStyle w:val="19"/>
            </w:pPr>
            <w:r>
              <w:t>76.19</w:t>
            </w:r>
          </w:p>
        </w:tc>
        <w:tc>
          <w:tcPr>
            <w:tcW w:w="1361" w:type="dxa"/>
            <w:tcBorders>
              <w:left w:val="single" w:sz="6" w:space="0" w:color="000000"/>
              <w:right w:val="single" w:sz="6" w:space="0" w:color="000000"/>
            </w:tcBorders>
            <w:vAlign w:val="center"/>
          </w:tcPr>
          <w:p>
            <w:pPr>
              <w:pStyle w:val="19"/>
            </w:pPr>
            <w:r>
              <w:t>76.19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城乡社区支出</w:t>
            </w:r>
          </w:p>
        </w:tc>
        <w:tc>
          <w:tcPr>
            <w:tcW w:w="1361" w:type="dxa"/>
            <w:tcBorders>
              <w:left w:val="single" w:sz="6" w:space="0" w:color="000000"/>
              <w:right w:val="single" w:sz="6" w:space="0" w:color="000000"/>
            </w:tcBorders>
            <w:vAlign w:val="center"/>
          </w:tcPr>
          <w:p>
            <w:pPr>
              <w:pStyle w:val="19"/>
            </w:pPr>
            <w:r>
              <w:t>435.00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435.00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21208</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国有土地使用权出让收入安排的支出</w:t>
            </w:r>
          </w:p>
        </w:tc>
        <w:tc>
          <w:tcPr>
            <w:tcW w:w="1361" w:type="dxa"/>
            <w:tcBorders>
              <w:left w:val="single" w:sz="6" w:space="0" w:color="000000"/>
              <w:right w:val="single" w:sz="6" w:space="0" w:color="000000"/>
            </w:tcBorders>
            <w:vAlign w:val="center"/>
          </w:tcPr>
          <w:p>
            <w:pPr>
              <w:pStyle w:val="19"/>
            </w:pPr>
            <w:r>
              <w:t>435.00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435.00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2120801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征地和拆迁补偿支出</w:t>
            </w:r>
          </w:p>
        </w:tc>
        <w:tc>
          <w:tcPr>
            <w:tcW w:w="1361" w:type="dxa"/>
            <w:tcBorders>
              <w:left w:val="single" w:sz="6" w:space="0" w:color="000000"/>
              <w:right w:val="single" w:sz="6" w:space="0" w:color="000000"/>
            </w:tcBorders>
            <w:vAlign w:val="center"/>
          </w:tcPr>
          <w:p>
            <w:pPr>
              <w:pStyle w:val="19"/>
            </w:pPr>
            <w:r>
              <w:t>435.00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435.00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214</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交通运输支出</w:t>
            </w:r>
          </w:p>
        </w:tc>
        <w:tc>
          <w:tcPr>
            <w:tcW w:w="1361" w:type="dxa"/>
            <w:tcBorders>
              <w:left w:val="single" w:sz="6" w:space="0" w:color="000000"/>
              <w:right w:val="single" w:sz="6" w:space="0" w:color="000000"/>
            </w:tcBorders>
            <w:vAlign w:val="center"/>
          </w:tcPr>
          <w:p>
            <w:pPr>
              <w:pStyle w:val="19"/>
            </w:pPr>
            <w:r>
              <w:t>5279.11</w:t>
            </w:r>
          </w:p>
        </w:tc>
        <w:tc>
          <w:tcPr>
            <w:tcW w:w="1361" w:type="dxa"/>
            <w:tcBorders>
              <w:left w:val="single" w:sz="6" w:space="0" w:color="000000"/>
              <w:right w:val="single" w:sz="6" w:space="0" w:color="000000"/>
            </w:tcBorders>
            <w:vAlign w:val="center"/>
          </w:tcPr>
          <w:p>
            <w:pPr>
              <w:pStyle w:val="19"/>
            </w:pPr>
            <w:r>
              <w:t>2031.93</w:t>
            </w:r>
          </w:p>
        </w:tc>
        <w:tc>
          <w:tcPr>
            <w:tcW w:w="1361" w:type="dxa"/>
            <w:tcBorders>
              <w:left w:val="single" w:sz="6" w:space="0" w:color="000000"/>
              <w:right w:val="single" w:sz="6" w:space="0" w:color="000000"/>
            </w:tcBorders>
            <w:vAlign w:val="center"/>
          </w:tcPr>
          <w:p>
            <w:pPr>
              <w:pStyle w:val="19"/>
            </w:pPr>
            <w:r>
              <w:t>3247.18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21401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公路水路运输</w:t>
            </w:r>
          </w:p>
        </w:tc>
        <w:tc>
          <w:tcPr>
            <w:tcW w:w="1361" w:type="dxa"/>
            <w:tcBorders>
              <w:left w:val="single" w:sz="6" w:space="0" w:color="000000"/>
              <w:right w:val="single" w:sz="6" w:space="0" w:color="000000"/>
            </w:tcBorders>
            <w:vAlign w:val="center"/>
          </w:tcPr>
          <w:p>
            <w:pPr>
              <w:pStyle w:val="19"/>
            </w:pPr>
            <w:r>
              <w:t>4879.03</w:t>
            </w:r>
          </w:p>
        </w:tc>
        <w:tc>
          <w:tcPr>
            <w:tcW w:w="1361" w:type="dxa"/>
            <w:tcBorders>
              <w:left w:val="single" w:sz="6" w:space="0" w:color="000000"/>
              <w:right w:val="single" w:sz="6" w:space="0" w:color="000000"/>
            </w:tcBorders>
            <w:vAlign w:val="center"/>
          </w:tcPr>
          <w:p>
            <w:pPr>
              <w:pStyle w:val="19"/>
            </w:pPr>
            <w:r>
              <w:t>2031.93</w:t>
            </w:r>
          </w:p>
        </w:tc>
        <w:tc>
          <w:tcPr>
            <w:tcW w:w="1361" w:type="dxa"/>
            <w:tcBorders>
              <w:left w:val="single" w:sz="6" w:space="0" w:color="000000"/>
              <w:right w:val="single" w:sz="6" w:space="0" w:color="000000"/>
            </w:tcBorders>
            <w:vAlign w:val="center"/>
          </w:tcPr>
          <w:p>
            <w:pPr>
              <w:pStyle w:val="19"/>
            </w:pPr>
            <w:r>
              <w:t>2847.10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2140101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行政运行</w:t>
            </w:r>
          </w:p>
        </w:tc>
        <w:tc>
          <w:tcPr>
            <w:tcW w:w="1361" w:type="dxa"/>
            <w:tcBorders>
              <w:left w:val="single" w:sz="6" w:space="0" w:color="000000"/>
              <w:right w:val="single" w:sz="6" w:space="0" w:color="000000"/>
            </w:tcBorders>
            <w:vAlign w:val="center"/>
          </w:tcPr>
          <w:p>
            <w:pPr>
              <w:pStyle w:val="19"/>
            </w:pPr>
            <w:r>
              <w:t>2219.65</w:t>
            </w:r>
          </w:p>
        </w:tc>
        <w:tc>
          <w:tcPr>
            <w:tcW w:w="1361" w:type="dxa"/>
            <w:tcBorders>
              <w:left w:val="single" w:sz="6" w:space="0" w:color="000000"/>
              <w:right w:val="single" w:sz="6" w:space="0" w:color="000000"/>
            </w:tcBorders>
            <w:vAlign w:val="center"/>
          </w:tcPr>
          <w:p>
            <w:pPr>
              <w:pStyle w:val="19"/>
            </w:pPr>
            <w:r>
              <w:t>2031.93</w:t>
            </w:r>
          </w:p>
        </w:tc>
        <w:tc>
          <w:tcPr>
            <w:tcW w:w="1361" w:type="dxa"/>
            <w:tcBorders>
              <w:left w:val="single" w:sz="6" w:space="0" w:color="000000"/>
              <w:right w:val="single" w:sz="6" w:space="0" w:color="000000"/>
            </w:tcBorders>
            <w:vAlign w:val="center"/>
          </w:tcPr>
          <w:p>
            <w:pPr>
              <w:pStyle w:val="19"/>
            </w:pPr>
            <w:r>
              <w:t>187.72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2140104</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公路建设</w:t>
            </w:r>
          </w:p>
        </w:tc>
        <w:tc>
          <w:tcPr>
            <w:tcW w:w="1361" w:type="dxa"/>
            <w:tcBorders>
              <w:left w:val="single" w:sz="6" w:space="0" w:color="000000"/>
              <w:right w:val="single" w:sz="6" w:space="0" w:color="000000"/>
            </w:tcBorders>
            <w:vAlign w:val="center"/>
          </w:tcPr>
          <w:p>
            <w:pPr>
              <w:pStyle w:val="19"/>
            </w:pPr>
            <w:r>
              <w:t>1447.10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1447.10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2140106</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公路养护</w:t>
            </w:r>
          </w:p>
        </w:tc>
        <w:tc>
          <w:tcPr>
            <w:tcW w:w="1361" w:type="dxa"/>
            <w:tcBorders>
              <w:left w:val="single" w:sz="6" w:space="0" w:color="000000"/>
              <w:right w:val="single" w:sz="6" w:space="0" w:color="000000"/>
            </w:tcBorders>
            <w:vAlign w:val="center"/>
          </w:tcPr>
          <w:p>
            <w:pPr>
              <w:pStyle w:val="19"/>
            </w:pPr>
            <w:r>
              <w:t>942.28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942.28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2140112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公路运输管理</w:t>
            </w:r>
          </w:p>
        </w:tc>
        <w:tc>
          <w:tcPr>
            <w:tcW w:w="1361" w:type="dxa"/>
            <w:tcBorders>
              <w:left w:val="single" w:sz="6" w:space="0" w:color="000000"/>
              <w:right w:val="single" w:sz="6" w:space="0" w:color="000000"/>
            </w:tcBorders>
            <w:vAlign w:val="center"/>
          </w:tcPr>
          <w:p>
            <w:pPr>
              <w:pStyle w:val="19"/>
            </w:pPr>
            <w:r>
              <w:t>270.00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270.00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21499</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其他交通运输支出</w:t>
            </w:r>
          </w:p>
        </w:tc>
        <w:tc>
          <w:tcPr>
            <w:tcW w:w="1361" w:type="dxa"/>
            <w:tcBorders>
              <w:left w:val="single" w:sz="6" w:space="0" w:color="000000"/>
              <w:right w:val="single" w:sz="6" w:space="0" w:color="000000"/>
            </w:tcBorders>
            <w:vAlign w:val="center"/>
          </w:tcPr>
          <w:p>
            <w:pPr>
              <w:pStyle w:val="19"/>
            </w:pPr>
            <w:r>
              <w:t>400.08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400.08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2149901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公共交通运营补助</w:t>
            </w:r>
          </w:p>
        </w:tc>
        <w:tc>
          <w:tcPr>
            <w:tcW w:w="1361" w:type="dxa"/>
            <w:tcBorders>
              <w:left w:val="single" w:sz="6" w:space="0" w:color="000000"/>
              <w:right w:val="single" w:sz="6" w:space="0" w:color="000000"/>
            </w:tcBorders>
            <w:vAlign w:val="center"/>
          </w:tcPr>
          <w:p>
            <w:pPr>
              <w:pStyle w:val="19"/>
            </w:pPr>
            <w:r>
              <w:t>400.08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400.08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住房保障支出</w:t>
            </w:r>
          </w:p>
        </w:tc>
        <w:tc>
          <w:tcPr>
            <w:tcW w:w="1361" w:type="dxa"/>
            <w:tcBorders>
              <w:left w:val="single" w:sz="6" w:space="0" w:color="000000"/>
              <w:right w:val="single" w:sz="6" w:space="0" w:color="000000"/>
            </w:tcBorders>
            <w:vAlign w:val="center"/>
          </w:tcPr>
          <w:p>
            <w:pPr>
              <w:pStyle w:val="19"/>
            </w:pPr>
            <w:r>
              <w:t>153.02</w:t>
            </w:r>
          </w:p>
        </w:tc>
        <w:tc>
          <w:tcPr>
            <w:tcW w:w="1361" w:type="dxa"/>
            <w:tcBorders>
              <w:left w:val="single" w:sz="6" w:space="0" w:color="000000"/>
              <w:right w:val="single" w:sz="6" w:space="0" w:color="000000"/>
            </w:tcBorders>
            <w:vAlign w:val="center"/>
          </w:tcPr>
          <w:p>
            <w:pPr>
              <w:pStyle w:val="19"/>
            </w:pPr>
            <w:r>
              <w:t>153.02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住房改革支出</w:t>
            </w:r>
          </w:p>
        </w:tc>
        <w:tc>
          <w:tcPr>
            <w:tcW w:w="1361" w:type="dxa"/>
            <w:tcBorders>
              <w:left w:val="single" w:sz="6" w:space="0" w:color="000000"/>
              <w:right w:val="single" w:sz="6" w:space="0" w:color="000000"/>
            </w:tcBorders>
            <w:vAlign w:val="center"/>
          </w:tcPr>
          <w:p>
            <w:pPr>
              <w:pStyle w:val="19"/>
            </w:pPr>
            <w:r>
              <w:t>153.02</w:t>
            </w:r>
          </w:p>
        </w:tc>
        <w:tc>
          <w:tcPr>
            <w:tcW w:w="1361" w:type="dxa"/>
            <w:tcBorders>
              <w:left w:val="single" w:sz="6" w:space="0" w:color="000000"/>
              <w:right w:val="single" w:sz="6" w:space="0" w:color="000000"/>
            </w:tcBorders>
            <w:vAlign w:val="center"/>
          </w:tcPr>
          <w:p>
            <w:pPr>
              <w:pStyle w:val="19"/>
            </w:pPr>
            <w:r>
              <w:t>153.02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21</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住房公积金</w:t>
            </w:r>
          </w:p>
        </w:tc>
        <w:tc>
          <w:tcPr>
            <w:tcW w:w="1361" w:type="dxa"/>
            <w:tcBorders>
              <w:left w:val="single" w:sz="6" w:space="0" w:color="000000"/>
              <w:right w:val="single" w:sz="6" w:space="0" w:color="000000"/>
            </w:tcBorders>
            <w:vAlign w:val="center"/>
          </w:tcPr>
          <w:p>
            <w:pPr>
              <w:pStyle w:val="19"/>
            </w:pPr>
            <w:r>
              <w:t>153.02</w:t>
            </w:r>
          </w:p>
        </w:tc>
        <w:tc>
          <w:tcPr>
            <w:tcW w:w="1361" w:type="dxa"/>
            <w:tcBorders>
              <w:left w:val="single" w:sz="6" w:space="0" w:color="000000"/>
              <w:right w:val="single" w:sz="6" w:space="0" w:color="000000"/>
            </w:tcBorders>
            <w:vAlign w:val="center"/>
          </w:tcPr>
          <w:p>
            <w:pPr>
              <w:pStyle w:val="19"/>
            </w:pPr>
            <w:r>
              <w:t>153.02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22</w:t>
            </w:r>
          </w:p>
        </w:tc>
        <w:tc>
          <w:tcPr>
            <w:tcW w:w="992" w:type="dxa"/>
            <w:tcBorders>
              <w:left w:val="single" w:sz="6" w:space="0" w:color="000000"/>
              <w:right w:val="single" w:sz="6" w:space="0" w:color="000000"/>
            </w:tcBorders>
            <w:vAlign w:val="center"/>
          </w:tcPr>
          <w:p>
            <w:pPr>
              <w:pStyle w:val="20"/>
            </w:pPr>
            <w:r>
              <w:t>229</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其他支出</w:t>
            </w:r>
          </w:p>
        </w:tc>
        <w:tc>
          <w:tcPr>
            <w:tcW w:w="1361" w:type="dxa"/>
            <w:tcBorders>
              <w:left w:val="single" w:sz="6" w:space="0" w:color="000000"/>
              <w:right w:val="single" w:sz="6" w:space="0" w:color="000000"/>
            </w:tcBorders>
            <w:vAlign w:val="center"/>
          </w:tcPr>
          <w:p>
            <w:pPr>
              <w:pStyle w:val="19"/>
            </w:pPr>
            <w:r>
              <w:t>213.01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213.01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23</w:t>
            </w:r>
          </w:p>
        </w:tc>
        <w:tc>
          <w:tcPr>
            <w:tcW w:w="992" w:type="dxa"/>
            <w:tcBorders>
              <w:left w:val="single" w:sz="6" w:space="0" w:color="000000"/>
              <w:right w:val="single" w:sz="6" w:space="0" w:color="000000"/>
            </w:tcBorders>
            <w:vAlign w:val="center"/>
          </w:tcPr>
          <w:p>
            <w:pPr>
              <w:pStyle w:val="20"/>
            </w:pPr>
            <w:r>
              <w:t>22904</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其他政府性基金及对应专项债务收入安排的支出</w:t>
            </w:r>
          </w:p>
        </w:tc>
        <w:tc>
          <w:tcPr>
            <w:tcW w:w="1361" w:type="dxa"/>
            <w:tcBorders>
              <w:left w:val="single" w:sz="6" w:space="0" w:color="000000"/>
              <w:right w:val="single" w:sz="6" w:space="0" w:color="000000"/>
            </w:tcBorders>
            <w:vAlign w:val="center"/>
          </w:tcPr>
          <w:p>
            <w:pPr>
              <w:pStyle w:val="19"/>
            </w:pPr>
            <w:r>
              <w:t>213.01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213.01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24</w:t>
            </w:r>
          </w:p>
        </w:tc>
        <w:tc>
          <w:tcPr>
            <w:tcW w:w="992" w:type="dxa"/>
            <w:tcBorders>
              <w:left w:val="single" w:sz="6" w:space="0" w:color="000000"/>
              <w:right w:val="single" w:sz="6" w:space="0" w:color="000000"/>
            </w:tcBorders>
            <w:vAlign w:val="center"/>
          </w:tcPr>
          <w:p>
            <w:pPr>
              <w:pStyle w:val="20"/>
            </w:pPr>
            <w:r>
              <w:t>2290402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其他地方自行试点项目收益专项债券收入安排的支出</w:t>
            </w:r>
          </w:p>
        </w:tc>
        <w:tc>
          <w:tcPr>
            <w:tcW w:w="1361" w:type="dxa"/>
            <w:tcBorders>
              <w:left w:val="single" w:sz="6" w:space="0" w:color="000000"/>
              <w:right w:val="single" w:sz="6" w:space="0" w:color="000000"/>
            </w:tcBorders>
            <w:vAlign w:val="center"/>
          </w:tcPr>
          <w:p>
            <w:pPr>
              <w:pStyle w:val="19"/>
            </w:pPr>
            <w:r>
              <w:t>213.01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213.01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hint="eastAsia"/>
          <w:color w:val="000000"/>
          <w:sz w:val="21"/>
          <w:szCs w:val="21"/>
        </w:rPr>
        <w:t>注：表中金额不含预计下年使用的单位资金结余。</w:t>
      </w:r>
    </w:p>
    <w:p>
      <w:pPr>
        <w:jc w:val="center"/>
        <w:outlineLvl w:val="4"/>
      </w:pPr>
      <w:r>
        <w:rPr>
          <w:rFonts w:ascii="方正小标宋_GBK" w:eastAsia="方正小标宋_GBK" w:cs="方正小标宋_GBK" w:hAnsi="方正小标宋_GBK" w:hint="eastAsia"/>
          <w:color w:val="000000"/>
          <w:sz w:val="36"/>
          <w:szCs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rPr>
                <w:rFonts w:cs="Times New Roman"/>
              </w:rPr>
            </w:pPr>
            <w:r>
              <w:t>348001</w:t>
            </w:r>
            <w:r>
              <w:rPr>
                <w:rFonts w:hint="eastAsia"/>
              </w:rPr>
              <w:t>行唐县交通运输局本级</w:t>
            </w:r>
          </w:p>
        </w:tc>
        <w:tc>
          <w:tcPr>
            <w:tcW w:w="3402" w:type="dxa"/>
            <w:tcBorders>
              <w:top w:val="single" w:sz="6" w:space="0" w:color="FFFFFF"/>
              <w:left w:val="single" w:sz="6" w:space="0" w:color="FFFFFF"/>
              <w:right w:val="single" w:sz="6" w:space="0" w:color="FFFFFF"/>
            </w:tcBorders>
            <w:vAlign w:val="center"/>
          </w:tcPr>
          <w:p>
            <w:pPr>
              <w:pStyle w:val="16"/>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pPr>
              <w:pStyle w:val="15"/>
              <w:rPr>
                <w:rFonts w:cs="Times New Roman"/>
              </w:rPr>
            </w:pPr>
            <w:r>
              <w:rPr>
                <w:rFonts w:hint="eastAsia"/>
              </w:rPr>
              <w:t>单位：万元</w:t>
            </w:r>
          </w:p>
        </w:tc>
      </w:tr>
      <w:tr>
        <w:trPr>
          <w:trHeight w:val="369"/>
          <w:tblHeader/>
        </w:trPr>
        <w:tc>
          <w:tcPr>
            <w:tcW w:w="850" w:type="dxa"/>
            <w:vMerge w:val="restart"/>
            <w:vAlign w:val="center"/>
          </w:tcPr>
          <w:p>
            <w:pPr>
              <w:pStyle w:val="18"/>
              <w:rPr>
                <w:rFonts w:cs="Times New Roman"/>
              </w:rPr>
            </w:pPr>
            <w:r>
              <w:rPr>
                <w:rFonts w:hint="eastAsia"/>
              </w:rPr>
              <w:t>序号</w:t>
            </w:r>
          </w:p>
        </w:tc>
        <w:tc>
          <w:tcPr>
            <w:tcW w:w="4876" w:type="dxa"/>
            <w:gridSpan w:val="2"/>
            <w:tcBorders>
              <w:left w:val="single" w:sz="6" w:space="0" w:color="000000"/>
              <w:right w:val="single" w:sz="6" w:space="0" w:color="000000"/>
            </w:tcBorders>
            <w:vAlign w:val="center"/>
          </w:tcPr>
          <w:p>
            <w:pPr>
              <w:pStyle w:val="18"/>
              <w:rPr>
                <w:rFonts w:cs="Times New Roman"/>
              </w:rPr>
            </w:pPr>
            <w:r>
              <w:rPr>
                <w:rFonts w:hint="eastAsia"/>
              </w:rPr>
              <w:t>收入</w:t>
            </w:r>
          </w:p>
        </w:tc>
        <w:tc>
          <w:tcPr>
            <w:tcW w:w="9298" w:type="dxa"/>
            <w:gridSpan w:val="5"/>
            <w:vAlign w:val="center"/>
          </w:tcPr>
          <w:p>
            <w:pPr>
              <w:pStyle w:val="18"/>
              <w:rPr>
                <w:rFonts w:cs="Times New Roman"/>
              </w:rPr>
            </w:pPr>
            <w:r>
              <w:rPr>
                <w:rFonts w:hint="eastAsia"/>
              </w:rP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rPr>
                <w:rFonts w:cs="Times New Roman"/>
              </w:rPr>
            </w:pPr>
            <w:r>
              <w:rPr>
                <w:rFonts w:hint="eastAsia"/>
              </w:rPr>
              <w:t>项</w:t>
            </w:r>
            <w:r>
              <w:t xml:space="preserve">  </w:t>
            </w:r>
            <w:r>
              <w:rPr>
                <w:rFonts w:hint="eastAsia"/>
              </w:rPr>
              <w:t>目</w:t>
            </w:r>
          </w:p>
        </w:tc>
        <w:tc>
          <w:tcPr>
            <w:tcW w:w="1474" w:type="dxa"/>
            <w:tcBorders>
              <w:left w:val="single" w:sz="6" w:space="0" w:color="000000"/>
              <w:right w:val="single" w:sz="6" w:space="0" w:color="000000"/>
            </w:tcBorders>
            <w:vAlign w:val="center"/>
          </w:tcPr>
          <w:p>
            <w:pPr>
              <w:pStyle w:val="18"/>
              <w:rPr>
                <w:rFonts w:cs="Times New Roman"/>
              </w:rPr>
            </w:pPr>
            <w:r>
              <w:rPr>
                <w:rFonts w:hint="eastAsia"/>
              </w:rPr>
              <w:t>金额</w:t>
            </w:r>
          </w:p>
        </w:tc>
        <w:tc>
          <w:tcPr>
            <w:tcW w:w="3402" w:type="dxa"/>
            <w:tcBorders>
              <w:left w:val="single" w:sz="6" w:space="0" w:color="000000"/>
              <w:right w:val="single" w:sz="6" w:space="0" w:color="000000"/>
            </w:tcBorders>
            <w:vAlign w:val="center"/>
          </w:tcPr>
          <w:p>
            <w:pPr>
              <w:pStyle w:val="18"/>
              <w:rPr>
                <w:rFonts w:cs="Times New Roman"/>
              </w:rPr>
            </w:pPr>
            <w:r>
              <w:rPr>
                <w:rFonts w:hint="eastAsia"/>
              </w:rPr>
              <w:t>项</w:t>
            </w:r>
            <w:r>
              <w:t xml:space="preserve">  </w:t>
            </w:r>
            <w:r>
              <w:rPr>
                <w:rFonts w:hint="eastAsia"/>
              </w:rPr>
              <w:t>目</w:t>
            </w:r>
          </w:p>
        </w:tc>
        <w:tc>
          <w:tcPr>
            <w:tcW w:w="1474" w:type="dxa"/>
            <w:tcBorders>
              <w:left w:val="single" w:sz="6" w:space="0" w:color="000000"/>
              <w:right w:val="single" w:sz="6" w:space="0" w:color="000000"/>
            </w:tcBorders>
            <w:vAlign w:val="center"/>
          </w:tcPr>
          <w:p>
            <w:pPr>
              <w:pStyle w:val="18"/>
              <w:rPr>
                <w:rFonts w:cs="Times New Roman"/>
              </w:rPr>
            </w:pPr>
            <w:r>
              <w:rPr>
                <w:rFonts w:hint="eastAsia"/>
              </w:rPr>
              <w:t>合计</w:t>
            </w:r>
          </w:p>
        </w:tc>
        <w:tc>
          <w:tcPr>
            <w:tcW w:w="1474" w:type="dxa"/>
            <w:tcBorders>
              <w:left w:val="single" w:sz="6" w:space="0" w:color="000000"/>
              <w:right w:val="single" w:sz="6" w:space="0" w:color="000000"/>
            </w:tcBorders>
            <w:vAlign w:val="center"/>
          </w:tcPr>
          <w:p>
            <w:pPr>
              <w:pStyle w:val="18"/>
              <w:rPr>
                <w:rFonts w:cs="Times New Roman"/>
              </w:rPr>
            </w:pPr>
            <w:r>
              <w:rPr>
                <w:rFonts w:hint="eastAsia"/>
              </w:rPr>
              <w:t>一般公共预算财政拨款</w:t>
            </w:r>
          </w:p>
        </w:tc>
        <w:tc>
          <w:tcPr>
            <w:tcW w:w="1474" w:type="dxa"/>
            <w:tcBorders>
              <w:left w:val="single" w:sz="6" w:space="0" w:color="000000"/>
              <w:right w:val="single" w:sz="6" w:space="0" w:color="000000"/>
            </w:tcBorders>
            <w:vAlign w:val="center"/>
          </w:tcPr>
          <w:p>
            <w:pPr>
              <w:pStyle w:val="18"/>
              <w:rPr>
                <w:rFonts w:cs="Times New Roman"/>
              </w:rPr>
            </w:pPr>
            <w:r>
              <w:rPr>
                <w:rFonts w:hint="eastAsia"/>
              </w:rPr>
              <w:t>政府性基金预算财政</w:t>
            </w:r>
            <w:r>
              <w:t xml:space="preserve">    </w:t>
            </w:r>
            <w:r>
              <w:rPr>
                <w:rFonts w:hint="eastAsia"/>
              </w:rPr>
              <w:t>拨款</w:t>
            </w:r>
          </w:p>
        </w:tc>
        <w:tc>
          <w:tcPr>
            <w:tcW w:w="1474" w:type="dxa"/>
            <w:vAlign w:val="center"/>
          </w:tcPr>
          <w:p>
            <w:pPr>
              <w:pStyle w:val="18"/>
              <w:rPr>
                <w:rFonts w:cs="Times New Roman"/>
              </w:rPr>
            </w:pPr>
            <w:r>
              <w:rPr>
                <w:rFonts w:hint="eastAsia"/>
              </w:rPr>
              <w:t>国有资本经营预算财政拨款</w:t>
            </w:r>
          </w:p>
        </w:tc>
      </w:tr>
      <w:tr>
        <w:trPr>
          <w:trHeight w:val="369"/>
          <w:tblHeader/>
        </w:trPr>
        <w:tc>
          <w:tcPr>
            <w:tcW w:w="850" w:type="dxa"/>
            <w:vAlign w:val="center"/>
          </w:tcPr>
          <w:p>
            <w:pPr>
              <w:pStyle w:val="18"/>
              <w:rPr>
                <w:rFonts w:cs="Times New Roman"/>
              </w:rPr>
            </w:pPr>
            <w:r>
              <w:rPr>
                <w:rFonts w:hint="eastAsia"/>
              </w:rP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rPr>
                <w:rFonts w:cs="Times New Roman"/>
              </w:rPr>
            </w:pPr>
            <w:r>
              <w:rPr>
                <w:rFonts w:hint="eastAsia"/>
              </w:rPr>
              <w:t>一、一般公共预算拨款</w:t>
            </w:r>
          </w:p>
        </w:tc>
        <w:tc>
          <w:tcPr>
            <w:tcW w:w="1474" w:type="dxa"/>
            <w:tcBorders>
              <w:left w:val="single" w:sz="6" w:space="0" w:color="000000"/>
              <w:right w:val="single" w:sz="6" w:space="0" w:color="000000"/>
            </w:tcBorders>
            <w:vAlign w:val="center"/>
          </w:tcPr>
          <w:p>
            <w:pPr>
              <w:pStyle w:val="19"/>
            </w:pPr>
            <w:r>
              <w:t>5696.29</w:t>
            </w:r>
          </w:p>
        </w:tc>
        <w:tc>
          <w:tcPr>
            <w:tcW w:w="3402" w:type="dxa"/>
            <w:tcBorders>
              <w:left w:val="single" w:sz="6" w:space="0" w:color="000000"/>
              <w:right w:val="single" w:sz="6" w:space="0" w:color="000000"/>
            </w:tcBorders>
            <w:vAlign w:val="center"/>
          </w:tcPr>
          <w:p>
            <w:pPr>
              <w:pStyle w:val="20"/>
              <w:rPr>
                <w:rFonts w:cs="Times New Roman"/>
              </w:rPr>
            </w:pPr>
            <w:r>
              <w:rPr>
                <w:rFonts w:hint="eastAsia"/>
              </w:rPr>
              <w:t>一、一般公共服务支出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rPr>
                <w:rFonts w:cs="Times New Roman"/>
              </w:rPr>
            </w:pPr>
            <w:r>
              <w:rPr>
                <w:rFonts w:hint="eastAsia"/>
              </w:rPr>
              <w:t>二、政府性基金预算拨款</w:t>
            </w:r>
          </w:p>
        </w:tc>
        <w:tc>
          <w:tcPr>
            <w:tcW w:w="1474" w:type="dxa"/>
            <w:tcBorders>
              <w:left w:val="single" w:sz="6" w:space="0" w:color="000000"/>
              <w:right w:val="single" w:sz="6" w:space="0" w:color="000000"/>
            </w:tcBorders>
            <w:vAlign w:val="center"/>
          </w:tcPr>
          <w:p>
            <w:pPr>
              <w:pStyle w:val="19"/>
            </w:pPr>
            <w:r>
              <w:t>435.00</w:t>
            </w:r>
          </w:p>
        </w:tc>
        <w:tc>
          <w:tcPr>
            <w:tcW w:w="3402" w:type="dxa"/>
            <w:tcBorders>
              <w:left w:val="single" w:sz="6" w:space="0" w:color="000000"/>
              <w:right w:val="single" w:sz="6" w:space="0" w:color="000000"/>
            </w:tcBorders>
            <w:vAlign w:val="center"/>
          </w:tcPr>
          <w:p>
            <w:pPr>
              <w:pStyle w:val="20"/>
              <w:rPr>
                <w:rFonts w:cs="Times New Roman"/>
              </w:rPr>
            </w:pPr>
            <w:r>
              <w:rPr>
                <w:rFonts w:hint="eastAsia"/>
              </w:rPr>
              <w:t>二、外交支出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rPr>
                <w:rFonts w:cs="Times New Roman"/>
              </w:rPr>
            </w:pPr>
            <w:r>
              <w:rPr>
                <w:rFonts w:hint="eastAsia"/>
              </w:rPr>
              <w:t>三、国有资本经营预算拨款</w:t>
            </w: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三、国防支出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四、公共安全支出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五、教育支出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六、科学技术支出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七、文化旅游体育与传媒支出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八、社会保障和就业支出</w:t>
            </w:r>
          </w:p>
        </w:tc>
        <w:tc>
          <w:tcPr>
            <w:tcW w:w="1474" w:type="dxa"/>
            <w:tcBorders>
              <w:left w:val="single" w:sz="6" w:space="0" w:color="000000"/>
              <w:right w:val="single" w:sz="6" w:space="0" w:color="000000"/>
            </w:tcBorders>
            <w:vAlign w:val="center"/>
          </w:tcPr>
          <w:p>
            <w:pPr>
              <w:pStyle w:val="19"/>
            </w:pPr>
            <w:r>
              <w:t>187.97</w:t>
            </w:r>
          </w:p>
        </w:tc>
        <w:tc>
          <w:tcPr>
            <w:tcW w:w="1474" w:type="dxa"/>
            <w:tcBorders>
              <w:left w:val="single" w:sz="6" w:space="0" w:color="000000"/>
              <w:right w:val="single" w:sz="6" w:space="0" w:color="000000"/>
            </w:tcBorders>
            <w:vAlign w:val="center"/>
          </w:tcPr>
          <w:p>
            <w:pPr>
              <w:pStyle w:val="19"/>
            </w:pPr>
            <w:r>
              <w:t>187.97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九、社会保险基金支出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十、卫生健康支出</w:t>
            </w:r>
          </w:p>
        </w:tc>
        <w:tc>
          <w:tcPr>
            <w:tcW w:w="1474" w:type="dxa"/>
            <w:tcBorders>
              <w:left w:val="single" w:sz="6" w:space="0" w:color="000000"/>
              <w:right w:val="single" w:sz="6" w:space="0" w:color="000000"/>
            </w:tcBorders>
            <w:vAlign w:val="center"/>
          </w:tcPr>
          <w:p>
            <w:pPr>
              <w:pStyle w:val="19"/>
            </w:pPr>
            <w:r>
              <w:t>76.19</w:t>
            </w:r>
          </w:p>
        </w:tc>
        <w:tc>
          <w:tcPr>
            <w:tcW w:w="1474" w:type="dxa"/>
            <w:tcBorders>
              <w:left w:val="single" w:sz="6" w:space="0" w:color="000000"/>
              <w:right w:val="single" w:sz="6" w:space="0" w:color="000000"/>
            </w:tcBorders>
            <w:vAlign w:val="center"/>
          </w:tcPr>
          <w:p>
            <w:pPr>
              <w:pStyle w:val="19"/>
            </w:pPr>
            <w:r>
              <w:t>76.19</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十一、节能环保支出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十二、城乡社区支出</w:t>
            </w:r>
          </w:p>
        </w:tc>
        <w:tc>
          <w:tcPr>
            <w:tcW w:w="1474" w:type="dxa"/>
            <w:tcBorders>
              <w:left w:val="single" w:sz="6" w:space="0" w:color="000000"/>
              <w:right w:val="single" w:sz="6" w:space="0" w:color="000000"/>
            </w:tcBorders>
            <w:vAlign w:val="center"/>
          </w:tcPr>
          <w:p>
            <w:pPr>
              <w:pStyle w:val="19"/>
            </w:pPr>
            <w:r>
              <w:t>435.00</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r>
              <w:t>435.00</w:t>
            </w: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十三、农林水支出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十四、交通运输支出</w:t>
            </w:r>
          </w:p>
        </w:tc>
        <w:tc>
          <w:tcPr>
            <w:tcW w:w="1474" w:type="dxa"/>
            <w:tcBorders>
              <w:left w:val="single" w:sz="6" w:space="0" w:color="000000"/>
              <w:right w:val="single" w:sz="6" w:space="0" w:color="000000"/>
            </w:tcBorders>
            <w:vAlign w:val="center"/>
          </w:tcPr>
          <w:p>
            <w:pPr>
              <w:pStyle w:val="19"/>
            </w:pPr>
            <w:r>
              <w:t>5279.11</w:t>
            </w:r>
          </w:p>
        </w:tc>
        <w:tc>
          <w:tcPr>
            <w:tcW w:w="1474" w:type="dxa"/>
            <w:tcBorders>
              <w:left w:val="single" w:sz="6" w:space="0" w:color="000000"/>
              <w:right w:val="single" w:sz="6" w:space="0" w:color="000000"/>
            </w:tcBorders>
            <w:vAlign w:val="center"/>
          </w:tcPr>
          <w:p>
            <w:pPr>
              <w:pStyle w:val="19"/>
            </w:pPr>
            <w:r>
              <w:t>5279.11</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十五、资源勘探工业信息等支出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十六、商业服务业等支出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十七、金融支出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十八、援助其他地区支出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十九、自然资源海洋气象等支出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二十、住房保障支出</w:t>
            </w:r>
          </w:p>
        </w:tc>
        <w:tc>
          <w:tcPr>
            <w:tcW w:w="1474" w:type="dxa"/>
            <w:tcBorders>
              <w:left w:val="single" w:sz="6" w:space="0" w:color="000000"/>
              <w:right w:val="single" w:sz="6" w:space="0" w:color="000000"/>
            </w:tcBorders>
            <w:vAlign w:val="center"/>
          </w:tcPr>
          <w:p>
            <w:pPr>
              <w:pStyle w:val="19"/>
            </w:pPr>
            <w:r>
              <w:t>153.02</w:t>
            </w:r>
          </w:p>
        </w:tc>
        <w:tc>
          <w:tcPr>
            <w:tcW w:w="1474" w:type="dxa"/>
            <w:tcBorders>
              <w:left w:val="single" w:sz="6" w:space="0" w:color="000000"/>
              <w:right w:val="single" w:sz="6" w:space="0" w:color="000000"/>
            </w:tcBorders>
            <w:vAlign w:val="center"/>
          </w:tcPr>
          <w:p>
            <w:pPr>
              <w:pStyle w:val="19"/>
            </w:pPr>
            <w:r>
              <w:t>153.02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二十一、粮油物资储备支出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二十二、国有资本经营预算支出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二十三、灾害防治及应急管理支出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二十四、预备费</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二十五、其他支出</w:t>
            </w:r>
          </w:p>
        </w:tc>
        <w:tc>
          <w:tcPr>
            <w:tcW w:w="1474" w:type="dxa"/>
            <w:tcBorders>
              <w:left w:val="single" w:sz="6" w:space="0" w:color="000000"/>
              <w:right w:val="single" w:sz="6" w:space="0" w:color="000000"/>
            </w:tcBorders>
            <w:vAlign w:val="center"/>
          </w:tcPr>
          <w:p>
            <w:pPr>
              <w:pStyle w:val="19"/>
            </w:pPr>
            <w:r>
              <w:t>213.01</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r>
              <w:t>213.01</w:t>
            </w: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二十六、转移性支出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二十七、债务还本支出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二十八、债务付息支出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二十九、债务发行费用支出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三十、抗疫特别国债安排的支出</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r>
              <w:rPr>
                <w:rFonts w:hint="eastAsia"/>
              </w:rPr>
              <w:t>三十一、人行科目</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rPr>
                <w:rFonts w:cs="Times New Roman"/>
              </w:rPr>
            </w:pPr>
            <w:r>
              <w:rPr>
                <w:rFonts w:hint="eastAsia"/>
              </w:rPr>
              <w:t>本年收入合计</w:t>
            </w:r>
          </w:p>
        </w:tc>
        <w:tc>
          <w:tcPr>
            <w:tcW w:w="1474" w:type="dxa"/>
            <w:tcBorders>
              <w:left w:val="single" w:sz="6" w:space="0" w:color="000000"/>
              <w:right w:val="single" w:sz="6" w:space="0" w:color="000000"/>
            </w:tcBorders>
            <w:vAlign w:val="center"/>
          </w:tcPr>
          <w:p>
            <w:pPr>
              <w:pStyle w:val="23"/>
            </w:pPr>
            <w:r>
              <w:t>6131.29</w:t>
            </w:r>
          </w:p>
        </w:tc>
        <w:tc>
          <w:tcPr>
            <w:tcW w:w="3402" w:type="dxa"/>
            <w:tcBorders>
              <w:left w:val="single" w:sz="6" w:space="0" w:color="000000"/>
              <w:right w:val="single" w:sz="6" w:space="0" w:color="000000"/>
            </w:tcBorders>
            <w:vAlign w:val="center"/>
          </w:tcPr>
          <w:p>
            <w:pPr>
              <w:pStyle w:val="22"/>
              <w:rPr>
                <w:rFonts w:cs="Times New Roman"/>
              </w:rPr>
            </w:pPr>
            <w:r>
              <w:rPr>
                <w:rFonts w:hint="eastAsia"/>
              </w:rPr>
              <w:t>本年支出合计</w:t>
            </w:r>
          </w:p>
        </w:tc>
        <w:tc>
          <w:tcPr>
            <w:tcW w:w="1474" w:type="dxa"/>
            <w:tcBorders>
              <w:left w:val="single" w:sz="6" w:space="0" w:color="000000"/>
              <w:right w:val="single" w:sz="6" w:space="0" w:color="000000"/>
            </w:tcBorders>
            <w:vAlign w:val="center"/>
          </w:tcPr>
          <w:p>
            <w:pPr>
              <w:pStyle w:val="23"/>
            </w:pPr>
            <w:r>
              <w:t>6344.31</w:t>
            </w:r>
          </w:p>
        </w:tc>
        <w:tc>
          <w:tcPr>
            <w:tcW w:w="1474" w:type="dxa"/>
            <w:tcBorders>
              <w:left w:val="single" w:sz="6" w:space="0" w:color="000000"/>
              <w:right w:val="single" w:sz="6" w:space="0" w:color="000000"/>
            </w:tcBorders>
            <w:vAlign w:val="center"/>
          </w:tcPr>
          <w:p>
            <w:pPr>
              <w:pStyle w:val="23"/>
            </w:pPr>
            <w:r>
              <w:t>5696.29</w:t>
            </w:r>
          </w:p>
        </w:tc>
        <w:tc>
          <w:tcPr>
            <w:tcW w:w="1474" w:type="dxa"/>
            <w:tcBorders>
              <w:left w:val="single" w:sz="6" w:space="0" w:color="000000"/>
              <w:right w:val="single" w:sz="6" w:space="0" w:color="000000"/>
            </w:tcBorders>
            <w:vAlign w:val="center"/>
          </w:tcPr>
          <w:p>
            <w:pPr>
              <w:pStyle w:val="23"/>
            </w:pPr>
            <w:r>
              <w:t>648.01</w:t>
            </w: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rPr>
                <w:rFonts w:cs="Times New Roman"/>
              </w:rPr>
            </w:pPr>
            <w:r>
              <w:rPr>
                <w:rFonts w:hint="eastAsia"/>
              </w:rPr>
              <w:t>年初财政拨款结转和结余</w:t>
            </w:r>
          </w:p>
        </w:tc>
        <w:tc>
          <w:tcPr>
            <w:tcW w:w="1474" w:type="dxa"/>
            <w:tcBorders>
              <w:left w:val="single" w:sz="6" w:space="0" w:color="000000"/>
              <w:right w:val="single" w:sz="6" w:space="0" w:color="000000"/>
            </w:tcBorders>
            <w:vAlign w:val="center"/>
          </w:tcPr>
          <w:p>
            <w:pPr>
              <w:pStyle w:val="19"/>
            </w:pPr>
            <w:r>
              <w:t>213.01</w:t>
            </w:r>
          </w:p>
        </w:tc>
        <w:tc>
          <w:tcPr>
            <w:tcW w:w="3402" w:type="dxa"/>
            <w:tcBorders>
              <w:left w:val="single" w:sz="6" w:space="0" w:color="000000"/>
              <w:right w:val="single" w:sz="6" w:space="0" w:color="000000"/>
            </w:tcBorders>
            <w:vAlign w:val="center"/>
          </w:tcPr>
          <w:p>
            <w:pPr>
              <w:pStyle w:val="20"/>
              <w:rPr>
                <w:rFonts w:cs="Times New Roman"/>
              </w:rPr>
            </w:pPr>
            <w:r>
              <w:rPr>
                <w:rFonts w:hint="eastAsia"/>
              </w:rPr>
              <w:t>年末财政拨款结转和结余</w:t>
            </w: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rPr>
                <w:rFonts w:cs="Times New Roman"/>
              </w:rPr>
            </w:pPr>
            <w:r>
              <w:rPr>
                <w:rFonts w:hint="eastAsia"/>
              </w:rPr>
              <w:t>一、一般公共预算拨款</w:t>
            </w: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rPr>
                <w:rFonts w:cs="Times New Roman"/>
              </w:rPr>
            </w:pPr>
            <w:r>
              <w:rPr>
                <w:rFonts w:hint="eastAsia"/>
              </w:rPr>
              <w:t>二、政府性基金预算拨款</w:t>
            </w:r>
          </w:p>
        </w:tc>
        <w:tc>
          <w:tcPr>
            <w:tcW w:w="1474" w:type="dxa"/>
            <w:tcBorders>
              <w:left w:val="single" w:sz="6" w:space="0" w:color="000000"/>
              <w:right w:val="single" w:sz="6" w:space="0" w:color="000000"/>
            </w:tcBorders>
            <w:vAlign w:val="center"/>
          </w:tcPr>
          <w:p>
            <w:pPr>
              <w:pStyle w:val="19"/>
            </w:pPr>
            <w:r>
              <w:t>213.01</w:t>
            </w: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rPr>
                <w:rFonts w:cs="Times New Roman"/>
              </w:rPr>
            </w:pPr>
            <w:r>
              <w:rPr>
                <w:rFonts w:hint="eastAsia"/>
              </w:rPr>
              <w:t>三、国有资本经营预算拨款</w:t>
            </w:r>
          </w:p>
        </w:tc>
        <w:tc>
          <w:tcPr>
            <w:tcW w:w="1474" w:type="dxa"/>
            <w:tcBorders>
              <w:left w:val="single" w:sz="6" w:space="0" w:color="000000"/>
              <w:right w:val="single" w:sz="6" w:space="0" w:color="000000"/>
            </w:tcBorders>
            <w:vAlign w:val="center"/>
          </w:tcPr>
          <w:p>
            <w:pPr>
              <w:pStyle w:val="19"/>
              <w:rPr>
                <w:rFonts w:cs="Times New Roman"/>
              </w:rPr>
            </w:pPr>
          </w:p>
        </w:tc>
        <w:tc>
          <w:tcPr>
            <w:tcW w:w="3402" w:type="dxa"/>
            <w:tcBorders>
              <w:left w:val="single" w:sz="6" w:space="0" w:color="000000"/>
              <w:right w:val="single" w:sz="6" w:space="0" w:color="000000"/>
            </w:tcBorders>
            <w:vAlign w:val="center"/>
          </w:tcPr>
          <w:p>
            <w:pPr>
              <w:pStyle w:val="20"/>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tcBorders>
              <w:left w:val="single" w:sz="6" w:space="0" w:color="000000"/>
              <w:right w:val="single" w:sz="6" w:space="0" w:color="000000"/>
            </w:tcBorders>
            <w:vAlign w:val="center"/>
          </w:tcPr>
          <w:p>
            <w:pPr>
              <w:pStyle w:val="19"/>
              <w:rPr>
                <w:rFonts w:cs="Times New Roman"/>
              </w:rPr>
            </w:pPr>
          </w:p>
        </w:tc>
        <w:tc>
          <w:tcPr>
            <w:tcW w:w="1474" w:type="dxa"/>
            <w:vAlign w:val="center"/>
          </w:tcPr>
          <w:p>
            <w:pPr>
              <w:pStyle w:val="19"/>
              <w:rPr>
                <w:rFonts w:cs="Times New Roman"/>
              </w:rPr>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rPr>
                <w:rFonts w:cs="Times New Roman"/>
              </w:rPr>
            </w:pPr>
            <w:r>
              <w:rPr>
                <w:rFonts w:hint="eastAsia"/>
              </w:rPr>
              <w:t>收入总计</w:t>
            </w:r>
          </w:p>
        </w:tc>
        <w:tc>
          <w:tcPr>
            <w:tcW w:w="1474" w:type="dxa"/>
            <w:tcBorders>
              <w:left w:val="single" w:sz="6" w:space="0" w:color="000000"/>
              <w:right w:val="single" w:sz="6" w:space="0" w:color="000000"/>
            </w:tcBorders>
            <w:vAlign w:val="center"/>
          </w:tcPr>
          <w:p>
            <w:pPr>
              <w:pStyle w:val="23"/>
            </w:pPr>
            <w:r>
              <w:t>6344.31</w:t>
            </w:r>
          </w:p>
        </w:tc>
        <w:tc>
          <w:tcPr>
            <w:tcW w:w="3402" w:type="dxa"/>
            <w:tcBorders>
              <w:left w:val="single" w:sz="6" w:space="0" w:color="000000"/>
              <w:right w:val="single" w:sz="6" w:space="0" w:color="000000"/>
            </w:tcBorders>
            <w:vAlign w:val="center"/>
          </w:tcPr>
          <w:p>
            <w:pPr>
              <w:pStyle w:val="22"/>
              <w:rPr>
                <w:rFonts w:cs="Times New Roman"/>
              </w:rPr>
            </w:pPr>
            <w:r>
              <w:rPr>
                <w:rFonts w:hint="eastAsia"/>
              </w:rPr>
              <w:t>支出总计</w:t>
            </w:r>
          </w:p>
        </w:tc>
        <w:tc>
          <w:tcPr>
            <w:tcW w:w="1474" w:type="dxa"/>
            <w:tcBorders>
              <w:left w:val="single" w:sz="6" w:space="0" w:color="000000"/>
              <w:right w:val="single" w:sz="6" w:space="0" w:color="000000"/>
            </w:tcBorders>
            <w:vAlign w:val="center"/>
          </w:tcPr>
          <w:p>
            <w:pPr>
              <w:pStyle w:val="23"/>
            </w:pPr>
            <w:r>
              <w:t>6344.31</w:t>
            </w:r>
          </w:p>
        </w:tc>
        <w:tc>
          <w:tcPr>
            <w:tcW w:w="1474" w:type="dxa"/>
            <w:tcBorders>
              <w:left w:val="single" w:sz="6" w:space="0" w:color="000000"/>
              <w:right w:val="single" w:sz="6" w:space="0" w:color="000000"/>
            </w:tcBorders>
            <w:vAlign w:val="center"/>
          </w:tcPr>
          <w:p>
            <w:pPr>
              <w:pStyle w:val="23"/>
            </w:pPr>
            <w:r>
              <w:t>5696.29</w:t>
            </w:r>
          </w:p>
        </w:tc>
        <w:tc>
          <w:tcPr>
            <w:tcW w:w="1474" w:type="dxa"/>
            <w:tcBorders>
              <w:left w:val="single" w:sz="6" w:space="0" w:color="000000"/>
              <w:right w:val="single" w:sz="6" w:space="0" w:color="000000"/>
            </w:tcBorders>
            <w:vAlign w:val="center"/>
          </w:tcPr>
          <w:p>
            <w:pPr>
              <w:pStyle w:val="23"/>
            </w:pPr>
            <w:r>
              <w:t>648.01</w:t>
            </w: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hint="eastAsia"/>
          <w:color w:val="000000"/>
          <w:sz w:val="36"/>
          <w:szCs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cantSplit/>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rPr>
                <w:rFonts w:cs="Times New Roman"/>
              </w:rPr>
            </w:pPr>
            <w:r>
              <w:t>348001</w:t>
            </w:r>
            <w:r>
              <w:rPr>
                <w:rFonts w:hint="eastAsia"/>
              </w:rPr>
              <w:t>行唐县交通运输局本级</w:t>
            </w:r>
          </w:p>
        </w:tc>
        <w:tc>
          <w:tcPr>
            <w:tcW w:w="2551" w:type="dxa"/>
            <w:tcBorders>
              <w:top w:val="single" w:sz="6" w:space="0" w:color="FFFFFF"/>
              <w:left w:val="single" w:sz="6" w:space="0" w:color="FFFFFF"/>
              <w:right w:val="single" w:sz="6" w:space="0" w:color="FFFFFF"/>
            </w:tcBorders>
            <w:vAlign w:val="center"/>
          </w:tcPr>
          <w:p>
            <w:pPr>
              <w:pStyle w:val="16"/>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pPr>
              <w:pStyle w:val="15"/>
              <w:rPr>
                <w:rFonts w:cs="Times New Roman"/>
              </w:rPr>
            </w:pPr>
            <w:r>
              <w:rPr>
                <w:rFonts w:hint="eastAsia"/>
              </w:rPr>
              <w:t>单位：万元</w:t>
            </w:r>
          </w:p>
        </w:tc>
      </w:tr>
      <w:tr>
        <w:trPr>
          <w:trHeight w:val="369"/>
          <w:tblHeader/>
        </w:trPr>
        <w:tc>
          <w:tcPr>
            <w:tcW w:w="850" w:type="dxa"/>
            <w:vMerge w:val="restart"/>
            <w:vAlign w:val="center"/>
          </w:tcPr>
          <w:p>
            <w:pPr>
              <w:pStyle w:val="18"/>
              <w:rPr>
                <w:rFonts w:cs="Times New Roman"/>
              </w:rPr>
            </w:pPr>
            <w:r>
              <w:rPr>
                <w:rFonts w:hint="eastAsia"/>
              </w:rPr>
              <w:t>序号</w:t>
            </w:r>
          </w:p>
        </w:tc>
        <w:tc>
          <w:tcPr>
            <w:tcW w:w="5726" w:type="dxa"/>
            <w:gridSpan w:val="2"/>
            <w:tcBorders>
              <w:left w:val="single" w:sz="6" w:space="0" w:color="000000"/>
              <w:right w:val="single" w:sz="6" w:space="0" w:color="000000"/>
            </w:tcBorders>
            <w:vAlign w:val="center"/>
          </w:tcPr>
          <w:p>
            <w:pPr>
              <w:pStyle w:val="18"/>
              <w:rPr>
                <w:rFonts w:cs="Times New Roman"/>
              </w:rPr>
            </w:pPr>
            <w:r>
              <w:rPr>
                <w:rFonts w:hint="eastAsia"/>
              </w:rPr>
              <w:t>功能分类科目</w:t>
            </w:r>
          </w:p>
        </w:tc>
        <w:tc>
          <w:tcPr>
            <w:tcW w:w="2551" w:type="dxa"/>
            <w:vMerge w:val="restart"/>
            <w:tcBorders>
              <w:left w:val="single" w:sz="6" w:space="0" w:color="000000"/>
              <w:right w:val="single" w:sz="6" w:space="0" w:color="000000"/>
            </w:tcBorders>
            <w:vAlign w:val="center"/>
          </w:tcPr>
          <w:p>
            <w:pPr>
              <w:pStyle w:val="18"/>
              <w:rPr>
                <w:rFonts w:cs="Times New Roman"/>
              </w:rPr>
            </w:pPr>
            <w:r>
              <w:rPr>
                <w:rFonts w:hint="eastAsia"/>
              </w:rPr>
              <w:t>合计</w:t>
            </w:r>
          </w:p>
        </w:tc>
        <w:tc>
          <w:tcPr>
            <w:tcW w:w="2551" w:type="dxa"/>
            <w:vMerge w:val="restart"/>
            <w:tcBorders>
              <w:left w:val="single" w:sz="6" w:space="0" w:color="000000"/>
              <w:right w:val="single" w:sz="6" w:space="0" w:color="000000"/>
            </w:tcBorders>
            <w:vAlign w:val="center"/>
          </w:tcPr>
          <w:p>
            <w:pPr>
              <w:pStyle w:val="18"/>
              <w:rPr>
                <w:rFonts w:cs="Times New Roman"/>
              </w:rPr>
            </w:pPr>
            <w:r>
              <w:rPr>
                <w:rFonts w:hint="eastAsia"/>
              </w:rPr>
              <w:t>基本支出</w:t>
            </w:r>
          </w:p>
        </w:tc>
        <w:tc>
          <w:tcPr>
            <w:tcW w:w="2551" w:type="dxa"/>
            <w:vMerge w:val="restart"/>
            <w:vAlign w:val="center"/>
          </w:tcPr>
          <w:p>
            <w:pPr>
              <w:pStyle w:val="18"/>
              <w:rPr>
                <w:rFonts w:cs="Times New Roman"/>
              </w:rPr>
            </w:pPr>
            <w:r>
              <w:rPr>
                <w:rFonts w:hint="eastAsia"/>
              </w:rP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rPr>
                <w:rFonts w:cs="Times New Roman"/>
              </w:rPr>
            </w:pPr>
            <w:r>
              <w:rPr>
                <w:rFonts w:hint="eastAsia"/>
              </w:rPr>
              <w:t>科目编码</w:t>
            </w:r>
          </w:p>
        </w:tc>
        <w:tc>
          <w:tcPr>
            <w:tcW w:w="4535" w:type="dxa"/>
            <w:tcBorders>
              <w:left w:val="single" w:sz="6" w:space="0" w:color="000000"/>
              <w:right w:val="single" w:sz="6" w:space="0" w:color="000000"/>
            </w:tcBorders>
            <w:vAlign w:val="center"/>
          </w:tcPr>
          <w:p>
            <w:pPr>
              <w:pStyle w:val="18"/>
              <w:rPr>
                <w:rFonts w:cs="Times New Roman"/>
              </w:rPr>
            </w:pPr>
            <w:r>
              <w:rPr>
                <w:rFonts w:hint="eastAsia"/>
              </w:rP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rPr>
                <w:rFonts w:cs="Times New Roman"/>
              </w:rPr>
            </w:pPr>
            <w:r>
              <w:rPr>
                <w:rFonts w:hint="eastAsia"/>
              </w:rP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rPr>
                <w:rFonts w:cs="Times New Roman"/>
              </w:rPr>
            </w:pPr>
          </w:p>
        </w:tc>
        <w:tc>
          <w:tcPr>
            <w:tcW w:w="4535" w:type="dxa"/>
            <w:tcBorders>
              <w:left w:val="single" w:sz="6" w:space="0" w:color="000000"/>
              <w:right w:val="single" w:sz="6" w:space="0" w:color="000000"/>
            </w:tcBorders>
            <w:vAlign w:val="center"/>
          </w:tcPr>
          <w:p>
            <w:pPr>
              <w:pStyle w:val="22"/>
              <w:rPr>
                <w:rFonts w:cs="Times New Roman"/>
              </w:rPr>
            </w:pPr>
            <w:r>
              <w:rPr>
                <w:rFonts w:hint="eastAsia"/>
              </w:rPr>
              <w:t>合计</w:t>
            </w:r>
          </w:p>
        </w:tc>
        <w:tc>
          <w:tcPr>
            <w:tcW w:w="2551" w:type="dxa"/>
            <w:tcBorders>
              <w:left w:val="single" w:sz="6" w:space="0" w:color="000000"/>
              <w:right w:val="single" w:sz="6" w:space="0" w:color="000000"/>
            </w:tcBorders>
            <w:vAlign w:val="center"/>
          </w:tcPr>
          <w:p>
            <w:pPr>
              <w:pStyle w:val="23"/>
            </w:pPr>
            <w:r>
              <w:t>5696.29</w:t>
            </w:r>
          </w:p>
        </w:tc>
        <w:tc>
          <w:tcPr>
            <w:tcW w:w="2551" w:type="dxa"/>
            <w:tcBorders>
              <w:left w:val="single" w:sz="6" w:space="0" w:color="000000"/>
              <w:right w:val="single" w:sz="6" w:space="0" w:color="000000"/>
            </w:tcBorders>
            <w:vAlign w:val="center"/>
          </w:tcPr>
          <w:p>
            <w:pPr>
              <w:pStyle w:val="23"/>
            </w:pPr>
            <w:r>
              <w:t>2449.11</w:t>
            </w:r>
          </w:p>
        </w:tc>
        <w:tc>
          <w:tcPr>
            <w:tcW w:w="2551" w:type="dxa"/>
            <w:vAlign w:val="center"/>
          </w:tcPr>
          <w:p>
            <w:pPr>
              <w:pStyle w:val="23"/>
            </w:pPr>
            <w:r>
              <w:t>3247.18</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社会保障和就业支出</w:t>
            </w:r>
          </w:p>
        </w:tc>
        <w:tc>
          <w:tcPr>
            <w:tcW w:w="2551" w:type="dxa"/>
            <w:tcBorders>
              <w:left w:val="single" w:sz="6" w:space="0" w:color="000000"/>
              <w:right w:val="single" w:sz="6" w:space="0" w:color="000000"/>
            </w:tcBorders>
            <w:vAlign w:val="center"/>
          </w:tcPr>
          <w:p>
            <w:pPr>
              <w:pStyle w:val="19"/>
            </w:pPr>
            <w:r>
              <w:t>187.97</w:t>
            </w:r>
          </w:p>
        </w:tc>
        <w:tc>
          <w:tcPr>
            <w:tcW w:w="2551" w:type="dxa"/>
            <w:tcBorders>
              <w:left w:val="single" w:sz="6" w:space="0" w:color="000000"/>
              <w:right w:val="single" w:sz="6" w:space="0" w:color="000000"/>
            </w:tcBorders>
            <w:vAlign w:val="center"/>
          </w:tcPr>
          <w:p>
            <w:pPr>
              <w:pStyle w:val="19"/>
            </w:pPr>
            <w:r>
              <w:t>187.97</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行政事业单位养老支出</w:t>
            </w:r>
          </w:p>
        </w:tc>
        <w:tc>
          <w:tcPr>
            <w:tcW w:w="2551" w:type="dxa"/>
            <w:tcBorders>
              <w:left w:val="single" w:sz="6" w:space="0" w:color="000000"/>
              <w:right w:val="single" w:sz="6" w:space="0" w:color="000000"/>
            </w:tcBorders>
            <w:vAlign w:val="center"/>
          </w:tcPr>
          <w:p>
            <w:pPr>
              <w:pStyle w:val="19"/>
            </w:pPr>
            <w:r>
              <w:t>187.97</w:t>
            </w:r>
          </w:p>
        </w:tc>
        <w:tc>
          <w:tcPr>
            <w:tcW w:w="2551" w:type="dxa"/>
            <w:tcBorders>
              <w:left w:val="single" w:sz="6" w:space="0" w:color="000000"/>
              <w:right w:val="single" w:sz="6" w:space="0" w:color="000000"/>
            </w:tcBorders>
            <w:vAlign w:val="center"/>
          </w:tcPr>
          <w:p>
            <w:pPr>
              <w:pStyle w:val="19"/>
            </w:pPr>
            <w:r>
              <w:t>187.97</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机关事业单位基本养老保险缴费支出</w:t>
            </w:r>
          </w:p>
        </w:tc>
        <w:tc>
          <w:tcPr>
            <w:tcW w:w="2551" w:type="dxa"/>
            <w:tcBorders>
              <w:left w:val="single" w:sz="6" w:space="0" w:color="000000"/>
              <w:right w:val="single" w:sz="6" w:space="0" w:color="000000"/>
            </w:tcBorders>
            <w:vAlign w:val="center"/>
          </w:tcPr>
          <w:p>
            <w:pPr>
              <w:pStyle w:val="19"/>
            </w:pPr>
            <w:r>
              <w:t>187.97</w:t>
            </w:r>
          </w:p>
        </w:tc>
        <w:tc>
          <w:tcPr>
            <w:tcW w:w="2551" w:type="dxa"/>
            <w:tcBorders>
              <w:left w:val="single" w:sz="6" w:space="0" w:color="000000"/>
              <w:right w:val="single" w:sz="6" w:space="0" w:color="000000"/>
            </w:tcBorders>
            <w:vAlign w:val="center"/>
          </w:tcPr>
          <w:p>
            <w:pPr>
              <w:pStyle w:val="19"/>
            </w:pPr>
            <w:r>
              <w:t>187.97</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卫生健康支出</w:t>
            </w:r>
          </w:p>
        </w:tc>
        <w:tc>
          <w:tcPr>
            <w:tcW w:w="2551" w:type="dxa"/>
            <w:tcBorders>
              <w:left w:val="single" w:sz="6" w:space="0" w:color="000000"/>
              <w:right w:val="single" w:sz="6" w:space="0" w:color="000000"/>
            </w:tcBorders>
            <w:vAlign w:val="center"/>
          </w:tcPr>
          <w:p>
            <w:pPr>
              <w:pStyle w:val="19"/>
            </w:pPr>
            <w:r>
              <w:t>76.19</w:t>
            </w:r>
          </w:p>
        </w:tc>
        <w:tc>
          <w:tcPr>
            <w:tcW w:w="2551" w:type="dxa"/>
            <w:tcBorders>
              <w:left w:val="single" w:sz="6" w:space="0" w:color="000000"/>
              <w:right w:val="single" w:sz="6" w:space="0" w:color="000000"/>
            </w:tcBorders>
            <w:vAlign w:val="center"/>
          </w:tcPr>
          <w:p>
            <w:pPr>
              <w:pStyle w:val="19"/>
            </w:pPr>
            <w:r>
              <w:t>76.19</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行政事业单位医疗</w:t>
            </w:r>
          </w:p>
        </w:tc>
        <w:tc>
          <w:tcPr>
            <w:tcW w:w="2551" w:type="dxa"/>
            <w:tcBorders>
              <w:left w:val="single" w:sz="6" w:space="0" w:color="000000"/>
              <w:right w:val="single" w:sz="6" w:space="0" w:color="000000"/>
            </w:tcBorders>
            <w:vAlign w:val="center"/>
          </w:tcPr>
          <w:p>
            <w:pPr>
              <w:pStyle w:val="19"/>
            </w:pPr>
            <w:r>
              <w:t>76.19</w:t>
            </w:r>
          </w:p>
        </w:tc>
        <w:tc>
          <w:tcPr>
            <w:tcW w:w="2551" w:type="dxa"/>
            <w:tcBorders>
              <w:left w:val="single" w:sz="6" w:space="0" w:color="000000"/>
              <w:right w:val="single" w:sz="6" w:space="0" w:color="000000"/>
            </w:tcBorders>
            <w:vAlign w:val="center"/>
          </w:tcPr>
          <w:p>
            <w:pPr>
              <w:pStyle w:val="19"/>
            </w:pPr>
            <w:r>
              <w:t>76.19</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行政单位医疗</w:t>
            </w:r>
          </w:p>
        </w:tc>
        <w:tc>
          <w:tcPr>
            <w:tcW w:w="2551" w:type="dxa"/>
            <w:tcBorders>
              <w:left w:val="single" w:sz="6" w:space="0" w:color="000000"/>
              <w:right w:val="single" w:sz="6" w:space="0" w:color="000000"/>
            </w:tcBorders>
            <w:vAlign w:val="center"/>
          </w:tcPr>
          <w:p>
            <w:pPr>
              <w:pStyle w:val="19"/>
            </w:pPr>
            <w:r>
              <w:t>76.19</w:t>
            </w:r>
          </w:p>
        </w:tc>
        <w:tc>
          <w:tcPr>
            <w:tcW w:w="2551" w:type="dxa"/>
            <w:tcBorders>
              <w:left w:val="single" w:sz="6" w:space="0" w:color="000000"/>
              <w:right w:val="single" w:sz="6" w:space="0" w:color="000000"/>
            </w:tcBorders>
            <w:vAlign w:val="center"/>
          </w:tcPr>
          <w:p>
            <w:pPr>
              <w:pStyle w:val="19"/>
            </w:pPr>
            <w:r>
              <w:t>76.19</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214</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交通运输支出</w:t>
            </w:r>
          </w:p>
        </w:tc>
        <w:tc>
          <w:tcPr>
            <w:tcW w:w="2551" w:type="dxa"/>
            <w:tcBorders>
              <w:left w:val="single" w:sz="6" w:space="0" w:color="000000"/>
              <w:right w:val="single" w:sz="6" w:space="0" w:color="000000"/>
            </w:tcBorders>
            <w:vAlign w:val="center"/>
          </w:tcPr>
          <w:p>
            <w:pPr>
              <w:pStyle w:val="19"/>
            </w:pPr>
            <w:r>
              <w:t>5279.11</w:t>
            </w:r>
          </w:p>
        </w:tc>
        <w:tc>
          <w:tcPr>
            <w:tcW w:w="2551" w:type="dxa"/>
            <w:tcBorders>
              <w:left w:val="single" w:sz="6" w:space="0" w:color="000000"/>
              <w:right w:val="single" w:sz="6" w:space="0" w:color="000000"/>
            </w:tcBorders>
            <w:vAlign w:val="center"/>
          </w:tcPr>
          <w:p>
            <w:pPr>
              <w:pStyle w:val="19"/>
            </w:pPr>
            <w:r>
              <w:t>2031.93</w:t>
            </w:r>
          </w:p>
        </w:tc>
        <w:tc>
          <w:tcPr>
            <w:tcW w:w="2551" w:type="dxa"/>
            <w:vAlign w:val="center"/>
          </w:tcPr>
          <w:p>
            <w:pPr>
              <w:pStyle w:val="19"/>
            </w:pPr>
            <w:r>
              <w:t>3247.18</w:t>
            </w: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21401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公路水路运输</w:t>
            </w:r>
          </w:p>
        </w:tc>
        <w:tc>
          <w:tcPr>
            <w:tcW w:w="2551" w:type="dxa"/>
            <w:tcBorders>
              <w:left w:val="single" w:sz="6" w:space="0" w:color="000000"/>
              <w:right w:val="single" w:sz="6" w:space="0" w:color="000000"/>
            </w:tcBorders>
            <w:vAlign w:val="center"/>
          </w:tcPr>
          <w:p>
            <w:pPr>
              <w:pStyle w:val="19"/>
            </w:pPr>
            <w:r>
              <w:t>4879.03</w:t>
            </w:r>
          </w:p>
        </w:tc>
        <w:tc>
          <w:tcPr>
            <w:tcW w:w="2551" w:type="dxa"/>
            <w:tcBorders>
              <w:left w:val="single" w:sz="6" w:space="0" w:color="000000"/>
              <w:right w:val="single" w:sz="6" w:space="0" w:color="000000"/>
            </w:tcBorders>
            <w:vAlign w:val="center"/>
          </w:tcPr>
          <w:p>
            <w:pPr>
              <w:pStyle w:val="19"/>
            </w:pPr>
            <w:r>
              <w:t>2031.93</w:t>
            </w:r>
          </w:p>
        </w:tc>
        <w:tc>
          <w:tcPr>
            <w:tcW w:w="2551" w:type="dxa"/>
            <w:vAlign w:val="center"/>
          </w:tcPr>
          <w:p>
            <w:pPr>
              <w:pStyle w:val="19"/>
            </w:pPr>
            <w:r>
              <w:t>2847.10</w:t>
            </w: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2140101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行政运行</w:t>
            </w:r>
          </w:p>
        </w:tc>
        <w:tc>
          <w:tcPr>
            <w:tcW w:w="2551" w:type="dxa"/>
            <w:tcBorders>
              <w:left w:val="single" w:sz="6" w:space="0" w:color="000000"/>
              <w:right w:val="single" w:sz="6" w:space="0" w:color="000000"/>
            </w:tcBorders>
            <w:vAlign w:val="center"/>
          </w:tcPr>
          <w:p>
            <w:pPr>
              <w:pStyle w:val="19"/>
            </w:pPr>
            <w:r>
              <w:t>2219.65</w:t>
            </w:r>
          </w:p>
        </w:tc>
        <w:tc>
          <w:tcPr>
            <w:tcW w:w="2551" w:type="dxa"/>
            <w:tcBorders>
              <w:left w:val="single" w:sz="6" w:space="0" w:color="000000"/>
              <w:right w:val="single" w:sz="6" w:space="0" w:color="000000"/>
            </w:tcBorders>
            <w:vAlign w:val="center"/>
          </w:tcPr>
          <w:p>
            <w:pPr>
              <w:pStyle w:val="19"/>
            </w:pPr>
            <w:r>
              <w:t>2031.93</w:t>
            </w:r>
          </w:p>
        </w:tc>
        <w:tc>
          <w:tcPr>
            <w:tcW w:w="2551" w:type="dxa"/>
            <w:vAlign w:val="center"/>
          </w:tcPr>
          <w:p>
            <w:pPr>
              <w:pStyle w:val="19"/>
            </w:pPr>
            <w:r>
              <w:t>187.72</w:t>
            </w: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2140104</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公路建设</w:t>
            </w:r>
          </w:p>
        </w:tc>
        <w:tc>
          <w:tcPr>
            <w:tcW w:w="2551" w:type="dxa"/>
            <w:tcBorders>
              <w:left w:val="single" w:sz="6" w:space="0" w:color="000000"/>
              <w:right w:val="single" w:sz="6" w:space="0" w:color="000000"/>
            </w:tcBorders>
            <w:vAlign w:val="center"/>
          </w:tcPr>
          <w:p>
            <w:pPr>
              <w:pStyle w:val="19"/>
            </w:pPr>
            <w:r>
              <w:t>1447.10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1447.10</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2140106</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公路养护</w:t>
            </w:r>
          </w:p>
        </w:tc>
        <w:tc>
          <w:tcPr>
            <w:tcW w:w="2551" w:type="dxa"/>
            <w:tcBorders>
              <w:left w:val="single" w:sz="6" w:space="0" w:color="000000"/>
              <w:right w:val="single" w:sz="6" w:space="0" w:color="000000"/>
            </w:tcBorders>
            <w:vAlign w:val="center"/>
          </w:tcPr>
          <w:p>
            <w:pPr>
              <w:pStyle w:val="19"/>
            </w:pPr>
            <w:r>
              <w:t>942.28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942.28</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2140112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公路运输管理</w:t>
            </w:r>
          </w:p>
        </w:tc>
        <w:tc>
          <w:tcPr>
            <w:tcW w:w="2551" w:type="dxa"/>
            <w:tcBorders>
              <w:left w:val="single" w:sz="6" w:space="0" w:color="000000"/>
              <w:right w:val="single" w:sz="6" w:space="0" w:color="000000"/>
            </w:tcBorders>
            <w:vAlign w:val="center"/>
          </w:tcPr>
          <w:p>
            <w:pPr>
              <w:pStyle w:val="19"/>
            </w:pPr>
            <w:r>
              <w:t>270.00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270.00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21499</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其他交通运输支出</w:t>
            </w:r>
          </w:p>
        </w:tc>
        <w:tc>
          <w:tcPr>
            <w:tcW w:w="2551" w:type="dxa"/>
            <w:tcBorders>
              <w:left w:val="single" w:sz="6" w:space="0" w:color="000000"/>
              <w:right w:val="single" w:sz="6" w:space="0" w:color="000000"/>
            </w:tcBorders>
            <w:vAlign w:val="center"/>
          </w:tcPr>
          <w:p>
            <w:pPr>
              <w:pStyle w:val="19"/>
            </w:pPr>
            <w:r>
              <w:t>400.08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400.08</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2149901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公共交通运营补助</w:t>
            </w:r>
          </w:p>
        </w:tc>
        <w:tc>
          <w:tcPr>
            <w:tcW w:w="2551" w:type="dxa"/>
            <w:tcBorders>
              <w:left w:val="single" w:sz="6" w:space="0" w:color="000000"/>
              <w:right w:val="single" w:sz="6" w:space="0" w:color="000000"/>
            </w:tcBorders>
            <w:vAlign w:val="center"/>
          </w:tcPr>
          <w:p>
            <w:pPr>
              <w:pStyle w:val="19"/>
            </w:pPr>
            <w:r>
              <w:t>400.08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400.08</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住房保障支出</w:t>
            </w:r>
          </w:p>
        </w:tc>
        <w:tc>
          <w:tcPr>
            <w:tcW w:w="2551" w:type="dxa"/>
            <w:tcBorders>
              <w:left w:val="single" w:sz="6" w:space="0" w:color="000000"/>
              <w:right w:val="single" w:sz="6" w:space="0" w:color="000000"/>
            </w:tcBorders>
            <w:vAlign w:val="center"/>
          </w:tcPr>
          <w:p>
            <w:pPr>
              <w:pStyle w:val="19"/>
            </w:pPr>
            <w:r>
              <w:t>153.02</w:t>
            </w:r>
          </w:p>
        </w:tc>
        <w:tc>
          <w:tcPr>
            <w:tcW w:w="2551" w:type="dxa"/>
            <w:tcBorders>
              <w:left w:val="single" w:sz="6" w:space="0" w:color="000000"/>
              <w:right w:val="single" w:sz="6" w:space="0" w:color="000000"/>
            </w:tcBorders>
            <w:vAlign w:val="center"/>
          </w:tcPr>
          <w:p>
            <w:pPr>
              <w:pStyle w:val="19"/>
            </w:pPr>
            <w:r>
              <w:t>153.02</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住房改革支出</w:t>
            </w:r>
          </w:p>
        </w:tc>
        <w:tc>
          <w:tcPr>
            <w:tcW w:w="2551" w:type="dxa"/>
            <w:tcBorders>
              <w:left w:val="single" w:sz="6" w:space="0" w:color="000000"/>
              <w:right w:val="single" w:sz="6" w:space="0" w:color="000000"/>
            </w:tcBorders>
            <w:vAlign w:val="center"/>
          </w:tcPr>
          <w:p>
            <w:pPr>
              <w:pStyle w:val="19"/>
            </w:pPr>
            <w:r>
              <w:t>153.02</w:t>
            </w:r>
          </w:p>
        </w:tc>
        <w:tc>
          <w:tcPr>
            <w:tcW w:w="2551" w:type="dxa"/>
            <w:tcBorders>
              <w:left w:val="single" w:sz="6" w:space="0" w:color="000000"/>
              <w:right w:val="single" w:sz="6" w:space="0" w:color="000000"/>
            </w:tcBorders>
            <w:vAlign w:val="center"/>
          </w:tcPr>
          <w:p>
            <w:pPr>
              <w:pStyle w:val="19"/>
            </w:pPr>
            <w:r>
              <w:t>153.02</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住房公积金</w:t>
            </w:r>
          </w:p>
        </w:tc>
        <w:tc>
          <w:tcPr>
            <w:tcW w:w="2551" w:type="dxa"/>
            <w:tcBorders>
              <w:left w:val="single" w:sz="6" w:space="0" w:color="000000"/>
              <w:right w:val="single" w:sz="6" w:space="0" w:color="000000"/>
            </w:tcBorders>
            <w:vAlign w:val="center"/>
          </w:tcPr>
          <w:p>
            <w:pPr>
              <w:pStyle w:val="19"/>
            </w:pPr>
            <w:r>
              <w:t>153.02</w:t>
            </w:r>
          </w:p>
        </w:tc>
        <w:tc>
          <w:tcPr>
            <w:tcW w:w="2551" w:type="dxa"/>
            <w:tcBorders>
              <w:left w:val="single" w:sz="6" w:space="0" w:color="000000"/>
              <w:right w:val="single" w:sz="6" w:space="0" w:color="000000"/>
            </w:tcBorders>
            <w:vAlign w:val="center"/>
          </w:tcPr>
          <w:p>
            <w:pPr>
              <w:pStyle w:val="19"/>
            </w:pPr>
            <w:r>
              <w:t>153.02</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hint="eastAsia"/>
          <w:color w:val="000000"/>
          <w:sz w:val="36"/>
          <w:szCs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cantSplit/>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rPr>
                <w:rFonts w:cs="Times New Roman"/>
              </w:rPr>
            </w:pPr>
            <w:r>
              <w:t>348001</w:t>
            </w:r>
            <w:r>
              <w:rPr>
                <w:rFonts w:hint="eastAsia"/>
              </w:rPr>
              <w:t>行唐县交通运输局本级</w:t>
            </w:r>
          </w:p>
        </w:tc>
        <w:tc>
          <w:tcPr>
            <w:tcW w:w="2551" w:type="dxa"/>
            <w:tcBorders>
              <w:top w:val="single" w:sz="6" w:space="0" w:color="FFFFFF"/>
              <w:left w:val="single" w:sz="6" w:space="0" w:color="FFFFFF"/>
              <w:right w:val="single" w:sz="6" w:space="0" w:color="FFFFFF"/>
            </w:tcBorders>
            <w:vAlign w:val="center"/>
          </w:tcPr>
          <w:p>
            <w:pPr>
              <w:pStyle w:val="16"/>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pPr>
              <w:pStyle w:val="15"/>
              <w:rPr>
                <w:rFonts w:cs="Times New Roman"/>
              </w:rPr>
            </w:pPr>
            <w:r>
              <w:rPr>
                <w:rFonts w:hint="eastAsia"/>
              </w:rPr>
              <w:t>单位：万元</w:t>
            </w:r>
          </w:p>
        </w:tc>
      </w:tr>
      <w:tr>
        <w:trPr>
          <w:trHeight w:val="369"/>
          <w:tblHeader/>
        </w:trPr>
        <w:tc>
          <w:tcPr>
            <w:tcW w:w="850" w:type="dxa"/>
            <w:vMerge w:val="restart"/>
            <w:vAlign w:val="center"/>
          </w:tcPr>
          <w:p>
            <w:pPr>
              <w:pStyle w:val="18"/>
              <w:rPr>
                <w:rFonts w:cs="Times New Roman"/>
              </w:rPr>
            </w:pPr>
            <w:r>
              <w:rPr>
                <w:rFonts w:hint="eastAsia"/>
              </w:rPr>
              <w:t>序号</w:t>
            </w:r>
          </w:p>
        </w:tc>
        <w:tc>
          <w:tcPr>
            <w:tcW w:w="5726" w:type="dxa"/>
            <w:gridSpan w:val="2"/>
            <w:tcBorders>
              <w:left w:val="single" w:sz="6" w:space="0" w:color="000000"/>
              <w:right w:val="single" w:sz="6" w:space="0" w:color="000000"/>
            </w:tcBorders>
            <w:vAlign w:val="center"/>
          </w:tcPr>
          <w:p>
            <w:pPr>
              <w:pStyle w:val="18"/>
              <w:rPr>
                <w:rFonts w:cs="Times New Roman"/>
              </w:rPr>
            </w:pPr>
            <w:r>
              <w:rPr>
                <w:rFonts w:hint="eastAsia"/>
              </w:rPr>
              <w:t>支出部门经济分类科目</w:t>
            </w:r>
          </w:p>
        </w:tc>
        <w:tc>
          <w:tcPr>
            <w:tcW w:w="7653" w:type="dxa"/>
            <w:gridSpan w:val="3"/>
            <w:vAlign w:val="center"/>
          </w:tcPr>
          <w:p>
            <w:pPr>
              <w:pStyle w:val="18"/>
              <w:rPr>
                <w:rFonts w:cs="Times New Roman"/>
              </w:rPr>
            </w:pPr>
            <w:r>
              <w:rPr>
                <w:rFonts w:hint="eastAsia"/>
              </w:rP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rPr>
                <w:rFonts w:cs="Times New Roman"/>
              </w:rPr>
            </w:pPr>
            <w:r>
              <w:rPr>
                <w:rFonts w:hint="eastAsia"/>
              </w:rPr>
              <w:t>科目编码</w:t>
            </w:r>
          </w:p>
        </w:tc>
        <w:tc>
          <w:tcPr>
            <w:tcW w:w="4535" w:type="dxa"/>
            <w:tcBorders>
              <w:left w:val="single" w:sz="6" w:space="0" w:color="000000"/>
              <w:right w:val="single" w:sz="6" w:space="0" w:color="000000"/>
            </w:tcBorders>
            <w:vAlign w:val="center"/>
          </w:tcPr>
          <w:p>
            <w:pPr>
              <w:pStyle w:val="18"/>
              <w:rPr>
                <w:rFonts w:cs="Times New Roman"/>
              </w:rPr>
            </w:pPr>
            <w:r>
              <w:rPr>
                <w:rFonts w:hint="eastAsia"/>
              </w:rPr>
              <w:t>科目名称</w:t>
            </w:r>
          </w:p>
        </w:tc>
        <w:tc>
          <w:tcPr>
            <w:tcW w:w="2551" w:type="dxa"/>
            <w:tcBorders>
              <w:left w:val="single" w:sz="6" w:space="0" w:color="000000"/>
              <w:right w:val="single" w:sz="6" w:space="0" w:color="000000"/>
            </w:tcBorders>
            <w:vAlign w:val="center"/>
          </w:tcPr>
          <w:p>
            <w:pPr>
              <w:pStyle w:val="18"/>
              <w:rPr>
                <w:rFonts w:cs="Times New Roman"/>
              </w:rPr>
            </w:pPr>
            <w:r>
              <w:rPr>
                <w:rFonts w:hint="eastAsia"/>
              </w:rPr>
              <w:t>合计</w:t>
            </w:r>
          </w:p>
        </w:tc>
        <w:tc>
          <w:tcPr>
            <w:tcW w:w="2551" w:type="dxa"/>
            <w:tcBorders>
              <w:left w:val="single" w:sz="6" w:space="0" w:color="000000"/>
              <w:right w:val="single" w:sz="6" w:space="0" w:color="000000"/>
            </w:tcBorders>
            <w:vAlign w:val="center"/>
          </w:tcPr>
          <w:p>
            <w:pPr>
              <w:pStyle w:val="18"/>
              <w:rPr>
                <w:rFonts w:cs="Times New Roman"/>
              </w:rPr>
            </w:pPr>
            <w:r>
              <w:rPr>
                <w:rFonts w:hint="eastAsia"/>
              </w:rPr>
              <w:t>人员经费</w:t>
            </w:r>
          </w:p>
        </w:tc>
        <w:tc>
          <w:tcPr>
            <w:tcW w:w="2551" w:type="dxa"/>
            <w:vAlign w:val="center"/>
          </w:tcPr>
          <w:p>
            <w:pPr>
              <w:pStyle w:val="18"/>
              <w:rPr>
                <w:rFonts w:cs="Times New Roman"/>
              </w:rPr>
            </w:pPr>
            <w:r>
              <w:rPr>
                <w:rFonts w:hint="eastAsia"/>
              </w:rPr>
              <w:t>公用经费</w:t>
            </w:r>
          </w:p>
        </w:tc>
      </w:tr>
      <w:tr>
        <w:trPr>
          <w:trHeight w:val="369"/>
          <w:tblHeader/>
        </w:trPr>
        <w:tc>
          <w:tcPr>
            <w:tcW w:w="850" w:type="dxa"/>
            <w:vAlign w:val="center"/>
          </w:tcPr>
          <w:p>
            <w:pPr>
              <w:pStyle w:val="18"/>
              <w:rPr>
                <w:rFonts w:cs="Times New Roman"/>
              </w:rPr>
            </w:pPr>
            <w:r>
              <w:rPr>
                <w:rFonts w:hint="eastAsia"/>
              </w:rP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rPr>
                <w:rFonts w:cs="Times New Roman"/>
              </w:rPr>
            </w:pPr>
          </w:p>
        </w:tc>
        <w:tc>
          <w:tcPr>
            <w:tcW w:w="4535" w:type="dxa"/>
            <w:tcBorders>
              <w:left w:val="single" w:sz="6" w:space="0" w:color="000000"/>
              <w:right w:val="single" w:sz="6" w:space="0" w:color="000000"/>
            </w:tcBorders>
            <w:vAlign w:val="center"/>
          </w:tcPr>
          <w:p>
            <w:pPr>
              <w:pStyle w:val="22"/>
              <w:rPr>
                <w:rFonts w:cs="Times New Roman"/>
              </w:rPr>
            </w:pPr>
            <w:r>
              <w:rPr>
                <w:rFonts w:hint="eastAsia"/>
              </w:rPr>
              <w:t>合计</w:t>
            </w:r>
          </w:p>
        </w:tc>
        <w:tc>
          <w:tcPr>
            <w:tcW w:w="2551" w:type="dxa"/>
            <w:tcBorders>
              <w:left w:val="single" w:sz="6" w:space="0" w:color="000000"/>
              <w:right w:val="single" w:sz="6" w:space="0" w:color="000000"/>
            </w:tcBorders>
            <w:vAlign w:val="center"/>
          </w:tcPr>
          <w:p>
            <w:pPr>
              <w:pStyle w:val="23"/>
            </w:pPr>
            <w:r>
              <w:t>2449.11</w:t>
            </w:r>
          </w:p>
        </w:tc>
        <w:tc>
          <w:tcPr>
            <w:tcW w:w="2551" w:type="dxa"/>
            <w:tcBorders>
              <w:left w:val="single" w:sz="6" w:space="0" w:color="000000"/>
              <w:right w:val="single" w:sz="6" w:space="0" w:color="000000"/>
            </w:tcBorders>
            <w:vAlign w:val="center"/>
          </w:tcPr>
          <w:p>
            <w:pPr>
              <w:pStyle w:val="23"/>
            </w:pPr>
            <w:r>
              <w:t>2336.84</w:t>
            </w:r>
          </w:p>
        </w:tc>
        <w:tc>
          <w:tcPr>
            <w:tcW w:w="2551" w:type="dxa"/>
            <w:vAlign w:val="center"/>
          </w:tcPr>
          <w:p>
            <w:pPr>
              <w:pStyle w:val="23"/>
            </w:pPr>
            <w:r>
              <w:t>112.27</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工资福利支出</w:t>
            </w:r>
          </w:p>
        </w:tc>
        <w:tc>
          <w:tcPr>
            <w:tcW w:w="2551" w:type="dxa"/>
            <w:tcBorders>
              <w:left w:val="single" w:sz="6" w:space="0" w:color="000000"/>
              <w:right w:val="single" w:sz="6" w:space="0" w:color="000000"/>
            </w:tcBorders>
            <w:vAlign w:val="center"/>
          </w:tcPr>
          <w:p>
            <w:pPr>
              <w:pStyle w:val="19"/>
            </w:pPr>
            <w:r>
              <w:t>1922.56</w:t>
            </w:r>
          </w:p>
        </w:tc>
        <w:tc>
          <w:tcPr>
            <w:tcW w:w="2551" w:type="dxa"/>
            <w:tcBorders>
              <w:left w:val="single" w:sz="6" w:space="0" w:color="000000"/>
              <w:right w:val="single" w:sz="6" w:space="0" w:color="000000"/>
            </w:tcBorders>
            <w:vAlign w:val="center"/>
          </w:tcPr>
          <w:p>
            <w:pPr>
              <w:pStyle w:val="19"/>
            </w:pPr>
            <w:r>
              <w:t>1922.56</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基本工资</w:t>
            </w:r>
          </w:p>
        </w:tc>
        <w:tc>
          <w:tcPr>
            <w:tcW w:w="2551" w:type="dxa"/>
            <w:tcBorders>
              <w:left w:val="single" w:sz="6" w:space="0" w:color="000000"/>
              <w:right w:val="single" w:sz="6" w:space="0" w:color="000000"/>
            </w:tcBorders>
            <w:vAlign w:val="center"/>
          </w:tcPr>
          <w:p>
            <w:pPr>
              <w:pStyle w:val="19"/>
            </w:pPr>
            <w:r>
              <w:t>879.46</w:t>
            </w:r>
          </w:p>
        </w:tc>
        <w:tc>
          <w:tcPr>
            <w:tcW w:w="2551" w:type="dxa"/>
            <w:tcBorders>
              <w:left w:val="single" w:sz="6" w:space="0" w:color="000000"/>
              <w:right w:val="single" w:sz="6" w:space="0" w:color="000000"/>
            </w:tcBorders>
            <w:vAlign w:val="center"/>
          </w:tcPr>
          <w:p>
            <w:pPr>
              <w:pStyle w:val="19"/>
            </w:pPr>
            <w:r>
              <w:t>879.46</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津贴补贴</w:t>
            </w:r>
          </w:p>
        </w:tc>
        <w:tc>
          <w:tcPr>
            <w:tcW w:w="2551" w:type="dxa"/>
            <w:tcBorders>
              <w:left w:val="single" w:sz="6" w:space="0" w:color="000000"/>
              <w:right w:val="single" w:sz="6" w:space="0" w:color="000000"/>
            </w:tcBorders>
            <w:vAlign w:val="center"/>
          </w:tcPr>
          <w:p>
            <w:pPr>
              <w:pStyle w:val="19"/>
            </w:pPr>
            <w:r>
              <w:t>81.91</w:t>
            </w:r>
          </w:p>
        </w:tc>
        <w:tc>
          <w:tcPr>
            <w:tcW w:w="2551" w:type="dxa"/>
            <w:tcBorders>
              <w:left w:val="single" w:sz="6" w:space="0" w:color="000000"/>
              <w:right w:val="single" w:sz="6" w:space="0" w:color="000000"/>
            </w:tcBorders>
            <w:vAlign w:val="center"/>
          </w:tcPr>
          <w:p>
            <w:pPr>
              <w:pStyle w:val="19"/>
            </w:pPr>
            <w:r>
              <w:t>81.91</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奖金</w:t>
            </w:r>
          </w:p>
        </w:tc>
        <w:tc>
          <w:tcPr>
            <w:tcW w:w="2551" w:type="dxa"/>
            <w:tcBorders>
              <w:left w:val="single" w:sz="6" w:space="0" w:color="000000"/>
              <w:right w:val="single" w:sz="6" w:space="0" w:color="000000"/>
            </w:tcBorders>
            <w:vAlign w:val="center"/>
          </w:tcPr>
          <w:p>
            <w:pPr>
              <w:pStyle w:val="19"/>
            </w:pPr>
            <w:r>
              <w:t>24.33</w:t>
            </w:r>
          </w:p>
        </w:tc>
        <w:tc>
          <w:tcPr>
            <w:tcW w:w="2551" w:type="dxa"/>
            <w:tcBorders>
              <w:left w:val="single" w:sz="6" w:space="0" w:color="000000"/>
              <w:right w:val="single" w:sz="6" w:space="0" w:color="000000"/>
            </w:tcBorders>
            <w:vAlign w:val="center"/>
          </w:tcPr>
          <w:p>
            <w:pPr>
              <w:pStyle w:val="19"/>
            </w:pPr>
            <w:r>
              <w:t>24.33</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绩效工资</w:t>
            </w:r>
          </w:p>
        </w:tc>
        <w:tc>
          <w:tcPr>
            <w:tcW w:w="2551" w:type="dxa"/>
            <w:tcBorders>
              <w:left w:val="single" w:sz="6" w:space="0" w:color="000000"/>
              <w:right w:val="single" w:sz="6" w:space="0" w:color="000000"/>
            </w:tcBorders>
            <w:vAlign w:val="center"/>
          </w:tcPr>
          <w:p>
            <w:pPr>
              <w:pStyle w:val="19"/>
            </w:pPr>
            <w:r>
              <w:t>503.57</w:t>
            </w:r>
          </w:p>
        </w:tc>
        <w:tc>
          <w:tcPr>
            <w:tcW w:w="2551" w:type="dxa"/>
            <w:tcBorders>
              <w:left w:val="single" w:sz="6" w:space="0" w:color="000000"/>
              <w:right w:val="single" w:sz="6" w:space="0" w:color="000000"/>
            </w:tcBorders>
            <w:vAlign w:val="center"/>
          </w:tcPr>
          <w:p>
            <w:pPr>
              <w:pStyle w:val="19"/>
            </w:pPr>
            <w:r>
              <w:t>503.57</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机关事业单位基本养老保险缴费</w:t>
            </w:r>
          </w:p>
        </w:tc>
        <w:tc>
          <w:tcPr>
            <w:tcW w:w="2551" w:type="dxa"/>
            <w:tcBorders>
              <w:left w:val="single" w:sz="6" w:space="0" w:color="000000"/>
              <w:right w:val="single" w:sz="6" w:space="0" w:color="000000"/>
            </w:tcBorders>
            <w:vAlign w:val="center"/>
          </w:tcPr>
          <w:p>
            <w:pPr>
              <w:pStyle w:val="19"/>
            </w:pPr>
            <w:r>
              <w:t>187.97</w:t>
            </w:r>
          </w:p>
        </w:tc>
        <w:tc>
          <w:tcPr>
            <w:tcW w:w="2551" w:type="dxa"/>
            <w:tcBorders>
              <w:left w:val="single" w:sz="6" w:space="0" w:color="000000"/>
              <w:right w:val="single" w:sz="6" w:space="0" w:color="000000"/>
            </w:tcBorders>
            <w:vAlign w:val="center"/>
          </w:tcPr>
          <w:p>
            <w:pPr>
              <w:pStyle w:val="19"/>
            </w:pPr>
            <w:r>
              <w:t>187.97</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职工基本医疗保险缴费</w:t>
            </w:r>
          </w:p>
        </w:tc>
        <w:tc>
          <w:tcPr>
            <w:tcW w:w="2551" w:type="dxa"/>
            <w:tcBorders>
              <w:left w:val="single" w:sz="6" w:space="0" w:color="000000"/>
              <w:right w:val="single" w:sz="6" w:space="0" w:color="000000"/>
            </w:tcBorders>
            <w:vAlign w:val="center"/>
          </w:tcPr>
          <w:p>
            <w:pPr>
              <w:pStyle w:val="19"/>
            </w:pPr>
            <w:r>
              <w:t>76.19</w:t>
            </w:r>
          </w:p>
        </w:tc>
        <w:tc>
          <w:tcPr>
            <w:tcW w:w="2551" w:type="dxa"/>
            <w:tcBorders>
              <w:left w:val="single" w:sz="6" w:space="0" w:color="000000"/>
              <w:right w:val="single" w:sz="6" w:space="0" w:color="000000"/>
            </w:tcBorders>
            <w:vAlign w:val="center"/>
          </w:tcPr>
          <w:p>
            <w:pPr>
              <w:pStyle w:val="19"/>
            </w:pPr>
            <w:r>
              <w:t>76.19</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其他社会保障缴费</w:t>
            </w:r>
          </w:p>
        </w:tc>
        <w:tc>
          <w:tcPr>
            <w:tcW w:w="2551" w:type="dxa"/>
            <w:tcBorders>
              <w:left w:val="single" w:sz="6" w:space="0" w:color="000000"/>
              <w:right w:val="single" w:sz="6" w:space="0" w:color="000000"/>
            </w:tcBorders>
            <w:vAlign w:val="center"/>
          </w:tcPr>
          <w:p>
            <w:pPr>
              <w:pStyle w:val="19"/>
            </w:pPr>
            <w:r>
              <w:t>16.11</w:t>
            </w:r>
          </w:p>
        </w:tc>
        <w:tc>
          <w:tcPr>
            <w:tcW w:w="2551" w:type="dxa"/>
            <w:tcBorders>
              <w:left w:val="single" w:sz="6" w:space="0" w:color="000000"/>
              <w:right w:val="single" w:sz="6" w:space="0" w:color="000000"/>
            </w:tcBorders>
            <w:vAlign w:val="center"/>
          </w:tcPr>
          <w:p>
            <w:pPr>
              <w:pStyle w:val="19"/>
            </w:pPr>
            <w:r>
              <w:t>16.11</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住房公积金</w:t>
            </w:r>
          </w:p>
        </w:tc>
        <w:tc>
          <w:tcPr>
            <w:tcW w:w="2551" w:type="dxa"/>
            <w:tcBorders>
              <w:left w:val="single" w:sz="6" w:space="0" w:color="000000"/>
              <w:right w:val="single" w:sz="6" w:space="0" w:color="000000"/>
            </w:tcBorders>
            <w:vAlign w:val="center"/>
          </w:tcPr>
          <w:p>
            <w:pPr>
              <w:pStyle w:val="19"/>
            </w:pPr>
            <w:r>
              <w:t>153.02</w:t>
            </w:r>
          </w:p>
        </w:tc>
        <w:tc>
          <w:tcPr>
            <w:tcW w:w="2551" w:type="dxa"/>
            <w:tcBorders>
              <w:left w:val="single" w:sz="6" w:space="0" w:color="000000"/>
              <w:right w:val="single" w:sz="6" w:space="0" w:color="000000"/>
            </w:tcBorders>
            <w:vAlign w:val="center"/>
          </w:tcPr>
          <w:p>
            <w:pPr>
              <w:pStyle w:val="19"/>
            </w:pPr>
            <w:r>
              <w:t>153.02</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商品和服务支出</w:t>
            </w:r>
          </w:p>
        </w:tc>
        <w:tc>
          <w:tcPr>
            <w:tcW w:w="2551" w:type="dxa"/>
            <w:tcBorders>
              <w:left w:val="single" w:sz="6" w:space="0" w:color="000000"/>
              <w:right w:val="single" w:sz="6" w:space="0" w:color="000000"/>
            </w:tcBorders>
            <w:vAlign w:val="center"/>
          </w:tcPr>
          <w:p>
            <w:pPr>
              <w:pStyle w:val="19"/>
            </w:pPr>
            <w:r>
              <w:t>112.27</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112.27</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办公费</w:t>
            </w:r>
          </w:p>
        </w:tc>
        <w:tc>
          <w:tcPr>
            <w:tcW w:w="2551" w:type="dxa"/>
            <w:tcBorders>
              <w:left w:val="single" w:sz="6" w:space="0" w:color="000000"/>
              <w:right w:val="single" w:sz="6" w:space="0" w:color="000000"/>
            </w:tcBorders>
            <w:vAlign w:val="center"/>
          </w:tcPr>
          <w:p>
            <w:pPr>
              <w:pStyle w:val="19"/>
            </w:pPr>
            <w:r>
              <w:t>5.65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5.65</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30205</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水费</w:t>
            </w:r>
          </w:p>
        </w:tc>
        <w:tc>
          <w:tcPr>
            <w:tcW w:w="2551" w:type="dxa"/>
            <w:tcBorders>
              <w:left w:val="single" w:sz="6" w:space="0" w:color="000000"/>
              <w:right w:val="single" w:sz="6" w:space="0" w:color="000000"/>
            </w:tcBorders>
            <w:vAlign w:val="center"/>
          </w:tcPr>
          <w:p>
            <w:pPr>
              <w:pStyle w:val="19"/>
            </w:pPr>
            <w:r>
              <w:t>5.65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5.65</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30206</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电费</w:t>
            </w:r>
          </w:p>
        </w:tc>
        <w:tc>
          <w:tcPr>
            <w:tcW w:w="2551" w:type="dxa"/>
            <w:tcBorders>
              <w:left w:val="single" w:sz="6" w:space="0" w:color="000000"/>
              <w:right w:val="single" w:sz="6" w:space="0" w:color="000000"/>
            </w:tcBorders>
            <w:vAlign w:val="center"/>
          </w:tcPr>
          <w:p>
            <w:pPr>
              <w:pStyle w:val="19"/>
            </w:pPr>
            <w:r>
              <w:t>11.30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11.30</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邮电费</w:t>
            </w:r>
          </w:p>
        </w:tc>
        <w:tc>
          <w:tcPr>
            <w:tcW w:w="2551" w:type="dxa"/>
            <w:tcBorders>
              <w:left w:val="single" w:sz="6" w:space="0" w:color="000000"/>
              <w:right w:val="single" w:sz="6" w:space="0" w:color="000000"/>
            </w:tcBorders>
            <w:vAlign w:val="center"/>
          </w:tcPr>
          <w:p>
            <w:pPr>
              <w:pStyle w:val="19"/>
            </w:pPr>
            <w:r>
              <w:t>3.98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3.98</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30208</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取暖费</w:t>
            </w:r>
          </w:p>
        </w:tc>
        <w:tc>
          <w:tcPr>
            <w:tcW w:w="2551" w:type="dxa"/>
            <w:tcBorders>
              <w:left w:val="single" w:sz="6" w:space="0" w:color="000000"/>
              <w:right w:val="single" w:sz="6" w:space="0" w:color="000000"/>
            </w:tcBorders>
            <w:vAlign w:val="center"/>
          </w:tcPr>
          <w:p>
            <w:pPr>
              <w:pStyle w:val="19"/>
            </w:pPr>
            <w:r>
              <w:t>19.74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19.74</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差旅费</w:t>
            </w:r>
          </w:p>
        </w:tc>
        <w:tc>
          <w:tcPr>
            <w:tcW w:w="2551" w:type="dxa"/>
            <w:tcBorders>
              <w:left w:val="single" w:sz="6" w:space="0" w:color="000000"/>
              <w:right w:val="single" w:sz="6" w:space="0" w:color="000000"/>
            </w:tcBorders>
            <w:vAlign w:val="center"/>
          </w:tcPr>
          <w:p>
            <w:pPr>
              <w:pStyle w:val="19"/>
            </w:pPr>
            <w:r>
              <w:t>9.04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9.04</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30213</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维修（护）费</w:t>
            </w:r>
          </w:p>
        </w:tc>
        <w:tc>
          <w:tcPr>
            <w:tcW w:w="2551" w:type="dxa"/>
            <w:tcBorders>
              <w:left w:val="single" w:sz="6" w:space="0" w:color="000000"/>
              <w:right w:val="single" w:sz="6" w:space="0" w:color="000000"/>
            </w:tcBorders>
            <w:vAlign w:val="center"/>
          </w:tcPr>
          <w:p>
            <w:pPr>
              <w:pStyle w:val="19"/>
            </w:pPr>
            <w:r>
              <w:t>9.04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9.04</w:t>
            </w: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30217</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公务接待费</w:t>
            </w:r>
          </w:p>
        </w:tc>
        <w:tc>
          <w:tcPr>
            <w:tcW w:w="2551" w:type="dxa"/>
            <w:tcBorders>
              <w:left w:val="single" w:sz="6" w:space="0" w:color="000000"/>
              <w:right w:val="single" w:sz="6" w:space="0" w:color="000000"/>
            </w:tcBorders>
            <w:vAlign w:val="center"/>
          </w:tcPr>
          <w:p>
            <w:pPr>
              <w:pStyle w:val="19"/>
            </w:pPr>
            <w:r>
              <w:t>1.21</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1.21</w:t>
            </w: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30228</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工会经费</w:t>
            </w:r>
          </w:p>
        </w:tc>
        <w:tc>
          <w:tcPr>
            <w:tcW w:w="2551" w:type="dxa"/>
            <w:tcBorders>
              <w:left w:val="single" w:sz="6" w:space="0" w:color="000000"/>
              <w:right w:val="single" w:sz="6" w:space="0" w:color="000000"/>
            </w:tcBorders>
            <w:vAlign w:val="center"/>
          </w:tcPr>
          <w:p>
            <w:pPr>
              <w:pStyle w:val="19"/>
            </w:pPr>
            <w:r>
              <w:t>9.60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9.60</w:t>
            </w:r>
          </w:p>
        </w:tc>
      </w:tr>
      <w:tr>
        <w:trPr>
          <w:trHeight w:val="369"/>
        </w:trPr>
        <w:tc>
          <w:tcPr>
            <w:tcW w:w="850" w:type="dxa"/>
            <w:vAlign w:val="center"/>
          </w:tcPr>
          <w:p>
            <w:pPr>
              <w:pStyle w:val="21"/>
            </w:pPr>
            <w:r>
              <w:t>21</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公务用车运行维护费</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15.00</w:t>
            </w:r>
          </w:p>
        </w:tc>
      </w:tr>
      <w:tr>
        <w:trPr>
          <w:trHeight w:val="369"/>
        </w:trPr>
        <w:tc>
          <w:tcPr>
            <w:tcW w:w="850" w:type="dxa"/>
            <w:vAlign w:val="center"/>
          </w:tcPr>
          <w:p>
            <w:pPr>
              <w:pStyle w:val="21"/>
            </w:pPr>
            <w:r>
              <w:t>22</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其他交通费用</w:t>
            </w:r>
          </w:p>
        </w:tc>
        <w:tc>
          <w:tcPr>
            <w:tcW w:w="2551" w:type="dxa"/>
            <w:tcBorders>
              <w:left w:val="single" w:sz="6" w:space="0" w:color="000000"/>
              <w:right w:val="single" w:sz="6" w:space="0" w:color="000000"/>
            </w:tcBorders>
            <w:vAlign w:val="center"/>
          </w:tcPr>
          <w:p>
            <w:pPr>
              <w:pStyle w:val="19"/>
            </w:pPr>
            <w:r>
              <w:t>8.04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8.04</w:t>
            </w:r>
          </w:p>
        </w:tc>
      </w:tr>
      <w:tr>
        <w:trPr>
          <w:trHeight w:val="369"/>
        </w:trPr>
        <w:tc>
          <w:tcPr>
            <w:tcW w:w="850" w:type="dxa"/>
            <w:vAlign w:val="center"/>
          </w:tcPr>
          <w:p>
            <w:pPr>
              <w:pStyle w:val="21"/>
            </w:pPr>
            <w:r>
              <w:t>23</w:t>
            </w:r>
          </w:p>
        </w:tc>
        <w:tc>
          <w:tcPr>
            <w:tcW w:w="1191" w:type="dxa"/>
            <w:tcBorders>
              <w:left w:val="single" w:sz="6" w:space="0" w:color="000000"/>
              <w:right w:val="single" w:sz="6" w:space="0" w:color="000000"/>
            </w:tcBorders>
            <w:vAlign w:val="center"/>
          </w:tcPr>
          <w:p>
            <w:pPr>
              <w:pStyle w:val="20"/>
            </w:pPr>
            <w:r>
              <w:t>30299</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其他商品和服务支出</w:t>
            </w:r>
          </w:p>
        </w:tc>
        <w:tc>
          <w:tcPr>
            <w:tcW w:w="2551" w:type="dxa"/>
            <w:tcBorders>
              <w:left w:val="single" w:sz="6" w:space="0" w:color="000000"/>
              <w:right w:val="single" w:sz="6" w:space="0" w:color="000000"/>
            </w:tcBorders>
            <w:vAlign w:val="center"/>
          </w:tcPr>
          <w:p>
            <w:pPr>
              <w:pStyle w:val="19"/>
            </w:pPr>
            <w:r>
              <w:t>14.02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14.02</w:t>
            </w:r>
          </w:p>
        </w:tc>
      </w:tr>
      <w:tr>
        <w:trPr>
          <w:trHeight w:val="369"/>
        </w:trPr>
        <w:tc>
          <w:tcPr>
            <w:tcW w:w="850" w:type="dxa"/>
            <w:vAlign w:val="center"/>
          </w:tcPr>
          <w:p>
            <w:pPr>
              <w:pStyle w:val="21"/>
            </w:pPr>
            <w:r>
              <w:t>24</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对个人和家庭的补助</w:t>
            </w:r>
          </w:p>
        </w:tc>
        <w:tc>
          <w:tcPr>
            <w:tcW w:w="2551" w:type="dxa"/>
            <w:tcBorders>
              <w:left w:val="single" w:sz="6" w:space="0" w:color="000000"/>
              <w:right w:val="single" w:sz="6" w:space="0" w:color="000000"/>
            </w:tcBorders>
            <w:vAlign w:val="center"/>
          </w:tcPr>
          <w:p>
            <w:pPr>
              <w:pStyle w:val="19"/>
            </w:pPr>
            <w:r>
              <w:t>414.28</w:t>
            </w:r>
          </w:p>
        </w:tc>
        <w:tc>
          <w:tcPr>
            <w:tcW w:w="2551" w:type="dxa"/>
            <w:tcBorders>
              <w:left w:val="single" w:sz="6" w:space="0" w:color="000000"/>
              <w:right w:val="single" w:sz="6" w:space="0" w:color="000000"/>
            </w:tcBorders>
            <w:vAlign w:val="center"/>
          </w:tcPr>
          <w:p>
            <w:pPr>
              <w:pStyle w:val="19"/>
            </w:pPr>
            <w:r>
              <w:t>414.28</w:t>
            </w:r>
          </w:p>
        </w:tc>
        <w:tc>
          <w:tcPr>
            <w:tcW w:w="2551" w:type="dxa"/>
            <w:vAlign w:val="center"/>
          </w:tcPr>
          <w:p>
            <w:pPr>
              <w:pStyle w:val="19"/>
            </w:pPr>
          </w:p>
        </w:tc>
      </w:tr>
      <w:tr>
        <w:trPr>
          <w:trHeight w:val="369"/>
        </w:trPr>
        <w:tc>
          <w:tcPr>
            <w:tcW w:w="850" w:type="dxa"/>
            <w:vAlign w:val="center"/>
          </w:tcPr>
          <w:p>
            <w:pPr>
              <w:pStyle w:val="21"/>
            </w:pPr>
            <w:r>
              <w:t>25</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退休费</w:t>
            </w:r>
          </w:p>
        </w:tc>
        <w:tc>
          <w:tcPr>
            <w:tcW w:w="2551" w:type="dxa"/>
            <w:tcBorders>
              <w:left w:val="single" w:sz="6" w:space="0" w:color="000000"/>
              <w:right w:val="single" w:sz="6" w:space="0" w:color="000000"/>
            </w:tcBorders>
            <w:vAlign w:val="center"/>
          </w:tcPr>
          <w:p>
            <w:pPr>
              <w:pStyle w:val="19"/>
            </w:pPr>
            <w:r>
              <w:t>379.48</w:t>
            </w:r>
          </w:p>
        </w:tc>
        <w:tc>
          <w:tcPr>
            <w:tcW w:w="2551" w:type="dxa"/>
            <w:tcBorders>
              <w:left w:val="single" w:sz="6" w:space="0" w:color="000000"/>
              <w:right w:val="single" w:sz="6" w:space="0" w:color="000000"/>
            </w:tcBorders>
            <w:vAlign w:val="center"/>
          </w:tcPr>
          <w:p>
            <w:pPr>
              <w:pStyle w:val="19"/>
            </w:pPr>
            <w:r>
              <w:t>379.48</w:t>
            </w:r>
          </w:p>
        </w:tc>
        <w:tc>
          <w:tcPr>
            <w:tcW w:w="2551" w:type="dxa"/>
            <w:vAlign w:val="center"/>
          </w:tcPr>
          <w:p>
            <w:pPr>
              <w:pStyle w:val="19"/>
            </w:pPr>
          </w:p>
        </w:tc>
      </w:tr>
      <w:tr>
        <w:trPr>
          <w:trHeight w:val="369"/>
        </w:trPr>
        <w:tc>
          <w:tcPr>
            <w:tcW w:w="850" w:type="dxa"/>
            <w:vAlign w:val="center"/>
          </w:tcPr>
          <w:p>
            <w:pPr>
              <w:pStyle w:val="21"/>
            </w:pPr>
            <w:r>
              <w:t>26</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生活补助</w:t>
            </w:r>
          </w:p>
        </w:tc>
        <w:tc>
          <w:tcPr>
            <w:tcW w:w="2551" w:type="dxa"/>
            <w:tcBorders>
              <w:left w:val="single" w:sz="6" w:space="0" w:color="000000"/>
              <w:right w:val="single" w:sz="6" w:space="0" w:color="000000"/>
            </w:tcBorders>
            <w:vAlign w:val="center"/>
          </w:tcPr>
          <w:p>
            <w:pPr>
              <w:pStyle w:val="19"/>
            </w:pPr>
            <w:r>
              <w:t>34.80</w:t>
            </w:r>
          </w:p>
        </w:tc>
        <w:tc>
          <w:tcPr>
            <w:tcW w:w="2551" w:type="dxa"/>
            <w:tcBorders>
              <w:left w:val="single" w:sz="6" w:space="0" w:color="000000"/>
              <w:right w:val="single" w:sz="6" w:space="0" w:color="000000"/>
            </w:tcBorders>
            <w:vAlign w:val="center"/>
          </w:tcPr>
          <w:p>
            <w:pPr>
              <w:pStyle w:val="19"/>
            </w:pPr>
            <w:r>
              <w:t>34.80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hint="eastAsia"/>
          <w:color w:val="000000"/>
          <w:sz w:val="36"/>
          <w:szCs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cantSplit/>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rPr>
                <w:rFonts w:cs="Times New Roman"/>
              </w:rPr>
            </w:pPr>
            <w:r>
              <w:t>348001</w:t>
            </w:r>
            <w:r>
              <w:rPr>
                <w:rFonts w:hint="eastAsia"/>
              </w:rPr>
              <w:t>行唐县交通运输局本级</w:t>
            </w:r>
          </w:p>
        </w:tc>
        <w:tc>
          <w:tcPr>
            <w:tcW w:w="2551" w:type="dxa"/>
            <w:tcBorders>
              <w:top w:val="single" w:sz="6" w:space="0" w:color="FFFFFF"/>
              <w:left w:val="single" w:sz="6" w:space="0" w:color="FFFFFF"/>
              <w:right w:val="single" w:sz="6" w:space="0" w:color="FFFFFF"/>
            </w:tcBorders>
            <w:vAlign w:val="center"/>
          </w:tcPr>
          <w:p>
            <w:pPr>
              <w:pStyle w:val="16"/>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pPr>
              <w:pStyle w:val="15"/>
              <w:rPr>
                <w:rFonts w:cs="Times New Roman"/>
              </w:rPr>
            </w:pPr>
            <w:r>
              <w:rPr>
                <w:rFonts w:hint="eastAsia"/>
              </w:rPr>
              <w:t>单位：万元</w:t>
            </w:r>
          </w:p>
        </w:tc>
      </w:tr>
      <w:tr>
        <w:trPr>
          <w:trHeight w:val="369"/>
          <w:tblHeader/>
        </w:trPr>
        <w:tc>
          <w:tcPr>
            <w:tcW w:w="850" w:type="dxa"/>
            <w:vMerge w:val="restart"/>
            <w:vAlign w:val="center"/>
          </w:tcPr>
          <w:p>
            <w:pPr>
              <w:pStyle w:val="18"/>
              <w:rPr>
                <w:rFonts w:cs="Times New Roman"/>
              </w:rPr>
            </w:pPr>
            <w:r>
              <w:rPr>
                <w:rFonts w:hint="eastAsia"/>
              </w:rPr>
              <w:t>序号</w:t>
            </w:r>
          </w:p>
        </w:tc>
        <w:tc>
          <w:tcPr>
            <w:tcW w:w="5726" w:type="dxa"/>
            <w:gridSpan w:val="2"/>
            <w:tcBorders>
              <w:left w:val="single" w:sz="6" w:space="0" w:color="000000"/>
              <w:right w:val="single" w:sz="6" w:space="0" w:color="000000"/>
            </w:tcBorders>
            <w:vAlign w:val="center"/>
          </w:tcPr>
          <w:p>
            <w:pPr>
              <w:pStyle w:val="18"/>
              <w:rPr>
                <w:rFonts w:cs="Times New Roman"/>
              </w:rPr>
            </w:pPr>
            <w:r>
              <w:rPr>
                <w:rFonts w:hint="eastAsia"/>
              </w:rPr>
              <w:t>功能分类科目</w:t>
            </w:r>
          </w:p>
        </w:tc>
        <w:tc>
          <w:tcPr>
            <w:tcW w:w="2551" w:type="dxa"/>
            <w:vMerge w:val="restart"/>
            <w:tcBorders>
              <w:left w:val="single" w:sz="6" w:space="0" w:color="000000"/>
              <w:right w:val="single" w:sz="6" w:space="0" w:color="000000"/>
            </w:tcBorders>
            <w:vAlign w:val="center"/>
          </w:tcPr>
          <w:p>
            <w:pPr>
              <w:pStyle w:val="18"/>
              <w:rPr>
                <w:rFonts w:cs="Times New Roman"/>
              </w:rPr>
            </w:pPr>
            <w:r>
              <w:rPr>
                <w:rFonts w:hint="eastAsia"/>
              </w:rPr>
              <w:t>合计</w:t>
            </w:r>
          </w:p>
        </w:tc>
        <w:tc>
          <w:tcPr>
            <w:tcW w:w="2551" w:type="dxa"/>
            <w:vMerge w:val="restart"/>
            <w:tcBorders>
              <w:left w:val="single" w:sz="6" w:space="0" w:color="000000"/>
              <w:right w:val="single" w:sz="6" w:space="0" w:color="000000"/>
            </w:tcBorders>
            <w:vAlign w:val="center"/>
          </w:tcPr>
          <w:p>
            <w:pPr>
              <w:pStyle w:val="18"/>
              <w:rPr>
                <w:rFonts w:cs="Times New Roman"/>
              </w:rPr>
            </w:pPr>
            <w:r>
              <w:rPr>
                <w:rFonts w:hint="eastAsia"/>
              </w:rPr>
              <w:t>基本支出</w:t>
            </w:r>
          </w:p>
        </w:tc>
        <w:tc>
          <w:tcPr>
            <w:tcW w:w="2551" w:type="dxa"/>
            <w:vMerge w:val="restart"/>
            <w:vAlign w:val="center"/>
          </w:tcPr>
          <w:p>
            <w:pPr>
              <w:pStyle w:val="18"/>
              <w:rPr>
                <w:rFonts w:cs="Times New Roman"/>
              </w:rPr>
            </w:pPr>
            <w:r>
              <w:rPr>
                <w:rFonts w:hint="eastAsia"/>
              </w:rP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rPr>
                <w:rFonts w:cs="Times New Roman"/>
              </w:rPr>
            </w:pPr>
            <w:r>
              <w:rPr>
                <w:rFonts w:hint="eastAsia"/>
              </w:rPr>
              <w:t>科目编码</w:t>
            </w:r>
          </w:p>
        </w:tc>
        <w:tc>
          <w:tcPr>
            <w:tcW w:w="4535" w:type="dxa"/>
            <w:tcBorders>
              <w:left w:val="single" w:sz="6" w:space="0" w:color="000000"/>
              <w:right w:val="single" w:sz="6" w:space="0" w:color="000000"/>
            </w:tcBorders>
            <w:vAlign w:val="center"/>
          </w:tcPr>
          <w:p>
            <w:pPr>
              <w:pStyle w:val="18"/>
              <w:rPr>
                <w:rFonts w:cs="Times New Roman"/>
              </w:rPr>
            </w:pPr>
            <w:r>
              <w:rPr>
                <w:rFonts w:hint="eastAsia"/>
              </w:rP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rPr>
                <w:rFonts w:cs="Times New Roman"/>
              </w:rPr>
            </w:pPr>
            <w:r>
              <w:rPr>
                <w:rFonts w:hint="eastAsia"/>
              </w:rP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rPr>
                <w:rFonts w:cs="Times New Roman"/>
              </w:rPr>
            </w:pPr>
          </w:p>
        </w:tc>
        <w:tc>
          <w:tcPr>
            <w:tcW w:w="4535" w:type="dxa"/>
            <w:tcBorders>
              <w:left w:val="single" w:sz="6" w:space="0" w:color="000000"/>
              <w:right w:val="single" w:sz="6" w:space="0" w:color="000000"/>
            </w:tcBorders>
            <w:vAlign w:val="center"/>
          </w:tcPr>
          <w:p>
            <w:pPr>
              <w:pStyle w:val="22"/>
              <w:rPr>
                <w:rFonts w:cs="Times New Roman"/>
              </w:rPr>
            </w:pPr>
            <w:r>
              <w:rPr>
                <w:rFonts w:hint="eastAsia"/>
              </w:rPr>
              <w:t>合计</w:t>
            </w:r>
          </w:p>
        </w:tc>
        <w:tc>
          <w:tcPr>
            <w:tcW w:w="2551" w:type="dxa"/>
            <w:tcBorders>
              <w:left w:val="single" w:sz="6" w:space="0" w:color="000000"/>
              <w:right w:val="single" w:sz="6" w:space="0" w:color="000000"/>
            </w:tcBorders>
            <w:vAlign w:val="center"/>
          </w:tcPr>
          <w:p>
            <w:pPr>
              <w:pStyle w:val="23"/>
            </w:pPr>
            <w:r>
              <w:t>648.01</w:t>
            </w:r>
          </w:p>
        </w:tc>
        <w:tc>
          <w:tcPr>
            <w:tcW w:w="2551" w:type="dxa"/>
            <w:tcBorders>
              <w:left w:val="single" w:sz="6" w:space="0" w:color="000000"/>
              <w:right w:val="single" w:sz="6" w:space="0" w:color="000000"/>
            </w:tcBorders>
            <w:vAlign w:val="center"/>
          </w:tcPr>
          <w:p>
            <w:pPr>
              <w:pStyle w:val="23"/>
            </w:pPr>
          </w:p>
        </w:tc>
        <w:tc>
          <w:tcPr>
            <w:tcW w:w="2551" w:type="dxa"/>
            <w:vAlign w:val="center"/>
          </w:tcPr>
          <w:p>
            <w:pPr>
              <w:pStyle w:val="23"/>
            </w:pPr>
            <w:r>
              <w:t>648.01</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城乡社区支出</w:t>
            </w:r>
          </w:p>
        </w:tc>
        <w:tc>
          <w:tcPr>
            <w:tcW w:w="2551" w:type="dxa"/>
            <w:tcBorders>
              <w:left w:val="single" w:sz="6" w:space="0" w:color="000000"/>
              <w:right w:val="single" w:sz="6" w:space="0" w:color="000000"/>
            </w:tcBorders>
            <w:vAlign w:val="center"/>
          </w:tcPr>
          <w:p>
            <w:pPr>
              <w:pStyle w:val="19"/>
            </w:pPr>
            <w:r>
              <w:t>435.00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435.00</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21208</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国有土地使用权出让收入安排的支出</w:t>
            </w:r>
          </w:p>
        </w:tc>
        <w:tc>
          <w:tcPr>
            <w:tcW w:w="2551" w:type="dxa"/>
            <w:tcBorders>
              <w:left w:val="single" w:sz="6" w:space="0" w:color="000000"/>
              <w:right w:val="single" w:sz="6" w:space="0" w:color="000000"/>
            </w:tcBorders>
            <w:vAlign w:val="center"/>
          </w:tcPr>
          <w:p>
            <w:pPr>
              <w:pStyle w:val="19"/>
            </w:pPr>
            <w:r>
              <w:t>435.00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435.00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2120801</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征地和拆迁补偿支出</w:t>
            </w:r>
          </w:p>
        </w:tc>
        <w:tc>
          <w:tcPr>
            <w:tcW w:w="2551" w:type="dxa"/>
            <w:tcBorders>
              <w:left w:val="single" w:sz="6" w:space="0" w:color="000000"/>
              <w:right w:val="single" w:sz="6" w:space="0" w:color="000000"/>
            </w:tcBorders>
            <w:vAlign w:val="center"/>
          </w:tcPr>
          <w:p>
            <w:pPr>
              <w:pStyle w:val="19"/>
            </w:pPr>
            <w:r>
              <w:t>435.00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435.00</w:t>
            </w: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229</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其他支出</w:t>
            </w:r>
          </w:p>
        </w:tc>
        <w:tc>
          <w:tcPr>
            <w:tcW w:w="2551" w:type="dxa"/>
            <w:tcBorders>
              <w:left w:val="single" w:sz="6" w:space="0" w:color="000000"/>
              <w:right w:val="single" w:sz="6" w:space="0" w:color="000000"/>
            </w:tcBorders>
            <w:vAlign w:val="center"/>
          </w:tcPr>
          <w:p>
            <w:pPr>
              <w:pStyle w:val="19"/>
            </w:pPr>
            <w:r>
              <w:t>213.01</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213.01</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22904</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其他政府性基金及对应专项债务收入安排的支出</w:t>
            </w:r>
          </w:p>
        </w:tc>
        <w:tc>
          <w:tcPr>
            <w:tcW w:w="2551" w:type="dxa"/>
            <w:tcBorders>
              <w:left w:val="single" w:sz="6" w:space="0" w:color="000000"/>
              <w:right w:val="single" w:sz="6" w:space="0" w:color="000000"/>
            </w:tcBorders>
            <w:vAlign w:val="center"/>
          </w:tcPr>
          <w:p>
            <w:pPr>
              <w:pStyle w:val="19"/>
            </w:pPr>
            <w:r>
              <w:t>213.01</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213.01</w:t>
            </w: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2290402</w:t>
            </w:r>
          </w:p>
        </w:tc>
        <w:tc>
          <w:tcPr>
            <w:tcW w:w="4535" w:type="dxa"/>
            <w:tcBorders>
              <w:left w:val="single" w:sz="6" w:space="0" w:color="000000"/>
              <w:right w:val="single" w:sz="6" w:space="0" w:color="000000"/>
            </w:tcBorders>
            <w:vAlign w:val="center"/>
          </w:tcPr>
          <w:p>
            <w:pPr>
              <w:pStyle w:val="20"/>
              <w:rPr>
                <w:rFonts w:cs="Times New Roman"/>
              </w:rPr>
            </w:pPr>
            <w:r>
              <w:rPr>
                <w:rFonts w:hint="eastAsia"/>
              </w:rPr>
              <w:t>其他地方自行试点项目收益专项债券收入安排的支出</w:t>
            </w:r>
          </w:p>
        </w:tc>
        <w:tc>
          <w:tcPr>
            <w:tcW w:w="2551" w:type="dxa"/>
            <w:tcBorders>
              <w:left w:val="single" w:sz="6" w:space="0" w:color="000000"/>
              <w:right w:val="single" w:sz="6" w:space="0" w:color="000000"/>
            </w:tcBorders>
            <w:vAlign w:val="center"/>
          </w:tcPr>
          <w:p>
            <w:pPr>
              <w:pStyle w:val="19"/>
            </w:pPr>
            <w:r>
              <w:t>213.01</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213.01</w:t>
            </w: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hint="eastAsia"/>
          <w:color w:val="000000"/>
          <w:sz w:val="36"/>
          <w:szCs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cantSplit/>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rPr>
                <w:rFonts w:cs="Times New Roman"/>
              </w:rPr>
            </w:pPr>
            <w:r>
              <w:t>348001</w:t>
            </w:r>
            <w:r>
              <w:rPr>
                <w:rFonts w:hint="eastAsia"/>
              </w:rPr>
              <w:t>行唐县交通运输局本级</w:t>
            </w:r>
          </w:p>
        </w:tc>
        <w:tc>
          <w:tcPr>
            <w:tcW w:w="2551" w:type="dxa"/>
            <w:tcBorders>
              <w:top w:val="single" w:sz="6" w:space="0" w:color="FFFFFF"/>
              <w:left w:val="single" w:sz="6" w:space="0" w:color="FFFFFF"/>
              <w:right w:val="single" w:sz="6" w:space="0" w:color="FFFFFF"/>
            </w:tcBorders>
            <w:vAlign w:val="center"/>
          </w:tcPr>
          <w:p>
            <w:pPr>
              <w:pStyle w:val="16"/>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pPr>
              <w:pStyle w:val="15"/>
              <w:rPr>
                <w:rFonts w:cs="Times New Roman"/>
              </w:rPr>
            </w:pPr>
            <w:r>
              <w:rPr>
                <w:rFonts w:hint="eastAsia"/>
              </w:rPr>
              <w:t>单位：万元</w:t>
            </w:r>
          </w:p>
        </w:tc>
      </w:tr>
      <w:tr>
        <w:trPr>
          <w:trHeight w:val="369"/>
          <w:tblHeader/>
        </w:trPr>
        <w:tc>
          <w:tcPr>
            <w:tcW w:w="850" w:type="dxa"/>
            <w:vMerge w:val="restart"/>
            <w:vAlign w:val="center"/>
          </w:tcPr>
          <w:p>
            <w:pPr>
              <w:pStyle w:val="18"/>
              <w:rPr>
                <w:rFonts w:cs="Times New Roman"/>
              </w:rPr>
            </w:pPr>
            <w:r>
              <w:rPr>
                <w:rFonts w:hint="eastAsia"/>
              </w:rPr>
              <w:t>序号</w:t>
            </w:r>
          </w:p>
        </w:tc>
        <w:tc>
          <w:tcPr>
            <w:tcW w:w="5726" w:type="dxa"/>
            <w:gridSpan w:val="2"/>
            <w:tcBorders>
              <w:left w:val="single" w:sz="6" w:space="0" w:color="000000"/>
              <w:right w:val="single" w:sz="6" w:space="0" w:color="000000"/>
            </w:tcBorders>
            <w:vAlign w:val="center"/>
          </w:tcPr>
          <w:p>
            <w:pPr>
              <w:pStyle w:val="18"/>
              <w:rPr>
                <w:rFonts w:cs="Times New Roman"/>
              </w:rPr>
            </w:pPr>
            <w:r>
              <w:rPr>
                <w:rFonts w:hint="eastAsia"/>
              </w:rPr>
              <w:t>功能分类科目</w:t>
            </w:r>
          </w:p>
        </w:tc>
        <w:tc>
          <w:tcPr>
            <w:tcW w:w="2551" w:type="dxa"/>
            <w:vMerge w:val="restart"/>
            <w:tcBorders>
              <w:left w:val="single" w:sz="6" w:space="0" w:color="000000"/>
              <w:right w:val="single" w:sz="6" w:space="0" w:color="000000"/>
            </w:tcBorders>
            <w:vAlign w:val="center"/>
          </w:tcPr>
          <w:p>
            <w:pPr>
              <w:pStyle w:val="18"/>
              <w:rPr>
                <w:rFonts w:cs="Times New Roman"/>
              </w:rPr>
            </w:pPr>
            <w:r>
              <w:rPr>
                <w:rFonts w:hint="eastAsia"/>
              </w:rPr>
              <w:t>合计</w:t>
            </w:r>
          </w:p>
        </w:tc>
        <w:tc>
          <w:tcPr>
            <w:tcW w:w="2551" w:type="dxa"/>
            <w:vMerge w:val="restart"/>
            <w:tcBorders>
              <w:left w:val="single" w:sz="6" w:space="0" w:color="000000"/>
              <w:right w:val="single" w:sz="6" w:space="0" w:color="000000"/>
            </w:tcBorders>
            <w:vAlign w:val="center"/>
          </w:tcPr>
          <w:p>
            <w:pPr>
              <w:pStyle w:val="18"/>
              <w:rPr>
                <w:rFonts w:cs="Times New Roman"/>
              </w:rPr>
            </w:pPr>
            <w:r>
              <w:rPr>
                <w:rFonts w:hint="eastAsia"/>
              </w:rPr>
              <w:t>基本支出</w:t>
            </w:r>
          </w:p>
        </w:tc>
        <w:tc>
          <w:tcPr>
            <w:tcW w:w="2551" w:type="dxa"/>
            <w:vMerge w:val="restart"/>
            <w:vAlign w:val="center"/>
          </w:tcPr>
          <w:p>
            <w:pPr>
              <w:pStyle w:val="18"/>
              <w:rPr>
                <w:rFonts w:cs="Times New Roman"/>
              </w:rPr>
            </w:pPr>
            <w:r>
              <w:rPr>
                <w:rFonts w:hint="eastAsia"/>
              </w:rP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rPr>
                <w:rFonts w:cs="Times New Roman"/>
              </w:rPr>
            </w:pPr>
            <w:r>
              <w:rPr>
                <w:rFonts w:hint="eastAsia"/>
              </w:rPr>
              <w:t>科目编码</w:t>
            </w:r>
          </w:p>
        </w:tc>
        <w:tc>
          <w:tcPr>
            <w:tcW w:w="4535" w:type="dxa"/>
            <w:tcBorders>
              <w:left w:val="single" w:sz="6" w:space="0" w:color="000000"/>
              <w:right w:val="single" w:sz="6" w:space="0" w:color="000000"/>
            </w:tcBorders>
            <w:vAlign w:val="center"/>
          </w:tcPr>
          <w:p>
            <w:pPr>
              <w:pStyle w:val="18"/>
              <w:rPr>
                <w:rFonts w:cs="Times New Roman"/>
              </w:rPr>
            </w:pPr>
            <w:r>
              <w:rPr>
                <w:rFonts w:hint="eastAsia"/>
              </w:rP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rPr>
                <w:rFonts w:cs="Times New Roman"/>
              </w:rPr>
            </w:pPr>
            <w:r>
              <w:rPr>
                <w:rFonts w:hint="eastAsia"/>
              </w:rP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rPr>
                <w:rFonts w:cs="Times New Roman"/>
              </w:rPr>
            </w:pPr>
          </w:p>
        </w:tc>
        <w:tc>
          <w:tcPr>
            <w:tcW w:w="1191" w:type="dxa"/>
            <w:tcBorders>
              <w:left w:val="single" w:sz="6" w:space="0" w:color="000000"/>
              <w:right w:val="single" w:sz="6" w:space="0" w:color="000000"/>
            </w:tcBorders>
            <w:vAlign w:val="center"/>
          </w:tcPr>
          <w:p>
            <w:pPr>
              <w:pStyle w:val="20"/>
              <w:rPr>
                <w:rFonts w:cs="Times New Roman"/>
              </w:rPr>
            </w:pPr>
          </w:p>
        </w:tc>
        <w:tc>
          <w:tcPr>
            <w:tcW w:w="4535" w:type="dxa"/>
            <w:tcBorders>
              <w:left w:val="single" w:sz="6" w:space="0" w:color="000000"/>
              <w:right w:val="single" w:sz="6" w:space="0" w:color="000000"/>
            </w:tcBorders>
            <w:vAlign w:val="center"/>
          </w:tcPr>
          <w:p>
            <w:pPr>
              <w:pStyle w:val="20"/>
              <w:rPr>
                <w:rFonts w:cs="Times New Roman"/>
              </w:rPr>
            </w:pPr>
          </w:p>
        </w:tc>
        <w:tc>
          <w:tcPr>
            <w:tcW w:w="2551" w:type="dxa"/>
            <w:tcBorders>
              <w:left w:val="single" w:sz="6" w:space="0" w:color="000000"/>
              <w:right w:val="single" w:sz="6" w:space="0" w:color="000000"/>
            </w:tcBorders>
            <w:vAlign w:val="center"/>
          </w:tcPr>
          <w:p>
            <w:pPr>
              <w:pStyle w:val="19"/>
              <w:rPr>
                <w:rFonts w:cs="Times New Roman"/>
              </w:rPr>
            </w:pPr>
          </w:p>
        </w:tc>
        <w:tc>
          <w:tcPr>
            <w:tcW w:w="2551" w:type="dxa"/>
            <w:tcBorders>
              <w:left w:val="single" w:sz="6" w:space="0" w:color="000000"/>
              <w:right w:val="single" w:sz="6" w:space="0" w:color="000000"/>
            </w:tcBorders>
            <w:vAlign w:val="center"/>
          </w:tcPr>
          <w:p>
            <w:pPr>
              <w:pStyle w:val="19"/>
              <w:rPr>
                <w:rFonts w:cs="Times New Roman"/>
              </w:rPr>
            </w:pPr>
          </w:p>
        </w:tc>
        <w:tc>
          <w:tcPr>
            <w:tcW w:w="2551" w:type="dxa"/>
            <w:vAlign w:val="center"/>
          </w:tcPr>
          <w:p>
            <w:pPr>
              <w:pStyle w:val="19"/>
              <w:rPr>
                <w:rFonts w:cs="Times New Roman"/>
              </w:rPr>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hint="eastAsia"/>
          <w:color w:val="000000"/>
          <w:sz w:val="21"/>
          <w:szCs w:val="21"/>
        </w:rPr>
        <w:t>注：无国有资本经营预算财政拨款预算，空表列示。</w:t>
      </w:r>
    </w:p>
    <w:p>
      <w:pPr>
        <w:jc w:val="center"/>
        <w:outlineLvl w:val="4"/>
      </w:pPr>
      <w:r>
        <w:rPr>
          <w:rFonts w:ascii="方正小标宋_GBK" w:eastAsia="方正小标宋_GBK" w:cs="方正小标宋_GBK" w:hAnsi="方正小标宋_GBK" w:hint="eastAsia"/>
          <w:color w:val="000000"/>
          <w:sz w:val="36"/>
          <w:szCs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rPr>
                <w:rFonts w:cs="Times New Roman"/>
              </w:rPr>
            </w:pPr>
            <w:r>
              <w:t>348</w:t>
            </w:r>
            <w:r>
              <w:rPr>
                <w:rFonts w:hint="eastAsia"/>
              </w:rPr>
              <w:t>行唐县交通运输局</w:t>
            </w:r>
          </w:p>
        </w:tc>
        <w:tc>
          <w:tcPr>
            <w:tcW w:w="2381" w:type="dxa"/>
            <w:tcBorders>
              <w:top w:val="single" w:sz="6" w:space="0" w:color="FFFFFF"/>
              <w:left w:val="single" w:sz="6" w:space="0" w:color="FFFFFF"/>
              <w:right w:val="single" w:sz="6" w:space="0" w:color="FFFFFF"/>
            </w:tcBorders>
            <w:vAlign w:val="center"/>
          </w:tcPr>
          <w:p>
            <w:pPr>
              <w:pStyle w:val="16"/>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pPr>
              <w:pStyle w:val="15"/>
              <w:rPr>
                <w:rFonts w:cs="Times New Roman"/>
              </w:rPr>
            </w:pPr>
            <w:r>
              <w:rPr>
                <w:rFonts w:hint="eastAsia"/>
              </w:rPr>
              <w:t>单位：万元</w:t>
            </w:r>
          </w:p>
        </w:tc>
      </w:tr>
      <w:tr>
        <w:trPr>
          <w:trHeight w:val="369"/>
          <w:tblHeader/>
        </w:trPr>
        <w:tc>
          <w:tcPr>
            <w:tcW w:w="850" w:type="dxa"/>
            <w:vMerge w:val="restart"/>
            <w:vAlign w:val="center"/>
          </w:tcPr>
          <w:p>
            <w:pPr>
              <w:pStyle w:val="18"/>
              <w:rPr>
                <w:rFonts w:cs="Times New Roman"/>
              </w:rPr>
            </w:pPr>
            <w:r>
              <w:rPr>
                <w:rFonts w:hint="eastAsia"/>
              </w:rPr>
              <w:t>序号</w:t>
            </w:r>
          </w:p>
        </w:tc>
        <w:tc>
          <w:tcPr>
            <w:tcW w:w="3798" w:type="dxa"/>
            <w:vMerge w:val="restart"/>
            <w:tcBorders>
              <w:left w:val="single" w:sz="6" w:space="0" w:color="auto"/>
              <w:right w:val="single" w:sz="6" w:space="0" w:color="auto"/>
            </w:tcBorders>
            <w:vAlign w:val="center"/>
          </w:tcPr>
          <w:p>
            <w:pPr>
              <w:pStyle w:val="18"/>
              <w:rPr>
                <w:rFonts w:cs="Times New Roman"/>
              </w:rPr>
            </w:pPr>
            <w:r>
              <w:rPr>
                <w:rFonts w:hint="eastAsia"/>
              </w:rPr>
              <w:t>项</w:t>
            </w:r>
            <w:r>
              <w:t xml:space="preserve">  </w:t>
            </w:r>
            <w:r>
              <w:rPr>
                <w:rFonts w:hint="eastAsia"/>
              </w:rPr>
              <w:t>目</w:t>
            </w:r>
          </w:p>
        </w:tc>
        <w:tc>
          <w:tcPr>
            <w:tcW w:w="9524" w:type="dxa"/>
            <w:gridSpan w:val="4"/>
            <w:vAlign w:val="center"/>
          </w:tcPr>
          <w:p>
            <w:pPr>
              <w:pStyle w:val="18"/>
              <w:rPr>
                <w:rFonts w:cs="Times New Roman"/>
              </w:rPr>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rPr>
                <w:rFonts w:cs="Times New Roman"/>
              </w:rPr>
            </w:pPr>
            <w:r>
              <w:rPr>
                <w:rFonts w:hint="eastAsia"/>
              </w:rPr>
              <w:t>合计</w:t>
            </w:r>
          </w:p>
        </w:tc>
        <w:tc>
          <w:tcPr>
            <w:tcW w:w="2381" w:type="dxa"/>
            <w:tcBorders>
              <w:left w:val="single" w:sz="6" w:space="0" w:color="auto"/>
              <w:right w:val="single" w:sz="6" w:space="0" w:color="auto"/>
            </w:tcBorders>
            <w:vAlign w:val="center"/>
          </w:tcPr>
          <w:p>
            <w:pPr>
              <w:pStyle w:val="18"/>
              <w:rPr>
                <w:rFonts w:cs="Times New Roman"/>
              </w:rPr>
            </w:pPr>
            <w:r>
              <w:rPr>
                <w:rFonts w:hint="eastAsia"/>
              </w:rPr>
              <w:t>一般公共预算</w:t>
            </w:r>
            <w:r>
              <w:t xml:space="preserve">              </w:t>
            </w:r>
            <w:r>
              <w:rPr>
                <w:rFonts w:hint="eastAsia"/>
              </w:rPr>
              <w:t>财政拨款</w:t>
            </w:r>
          </w:p>
        </w:tc>
        <w:tc>
          <w:tcPr>
            <w:tcW w:w="2381" w:type="dxa"/>
            <w:tcBorders>
              <w:left w:val="single" w:sz="6" w:space="0" w:color="auto"/>
              <w:right w:val="single" w:sz="6" w:space="0" w:color="auto"/>
            </w:tcBorders>
            <w:vAlign w:val="center"/>
          </w:tcPr>
          <w:p>
            <w:pPr>
              <w:pStyle w:val="18"/>
              <w:rPr>
                <w:rFonts w:cs="Times New Roman"/>
              </w:rPr>
            </w:pPr>
            <w:r>
              <w:rPr>
                <w:rFonts w:hint="eastAsia"/>
              </w:rPr>
              <w:t>政府性基金</w:t>
            </w:r>
            <w:r>
              <w:t xml:space="preserve">                  </w:t>
            </w:r>
            <w:r>
              <w:rPr>
                <w:rFonts w:hint="eastAsia"/>
              </w:rPr>
              <w:t>预算拨款</w:t>
            </w:r>
          </w:p>
        </w:tc>
        <w:tc>
          <w:tcPr>
            <w:tcW w:w="2381" w:type="dxa"/>
            <w:vAlign w:val="center"/>
          </w:tcPr>
          <w:p>
            <w:pPr>
              <w:pStyle w:val="18"/>
              <w:rPr>
                <w:rFonts w:cs="Times New Roman"/>
              </w:rPr>
            </w:pPr>
            <w:r>
              <w:rPr>
                <w:rFonts w:hint="eastAsia"/>
              </w:rPr>
              <w:t>国有资本经营</w:t>
            </w:r>
            <w:r>
              <w:t xml:space="preserve">              </w:t>
            </w:r>
            <w:r>
              <w:rPr>
                <w:rFonts w:hint="eastAsia"/>
              </w:rPr>
              <w:t>预算财政拨款</w:t>
            </w:r>
          </w:p>
        </w:tc>
      </w:tr>
      <w:tr>
        <w:trPr>
          <w:trHeight w:val="567"/>
          <w:tblHeader/>
        </w:trPr>
        <w:tc>
          <w:tcPr>
            <w:tcW w:w="850" w:type="dxa"/>
            <w:vAlign w:val="center"/>
          </w:tcPr>
          <w:p>
            <w:pPr>
              <w:pStyle w:val="18"/>
              <w:rPr>
                <w:rFonts w:cs="Times New Roman"/>
              </w:rPr>
            </w:pPr>
            <w:r>
              <w:rPr>
                <w:rFonts w:hint="eastAsia"/>
              </w:rP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rPr>
                <w:rFonts w:cs="Times New Roman"/>
              </w:rPr>
            </w:pPr>
            <w:r>
              <w:rPr>
                <w:rFonts w:hint="eastAsia"/>
              </w:rPr>
              <w:t>合计</w:t>
            </w:r>
          </w:p>
        </w:tc>
        <w:tc>
          <w:tcPr>
            <w:tcW w:w="2381" w:type="dxa"/>
            <w:tcBorders>
              <w:left w:val="single" w:sz="6" w:space="0" w:color="auto"/>
              <w:right w:val="single" w:sz="6" w:space="0" w:color="auto"/>
            </w:tcBorders>
            <w:vAlign w:val="center"/>
          </w:tcPr>
          <w:p>
            <w:pPr>
              <w:pStyle w:val="23"/>
            </w:pPr>
            <w:r>
              <w:t>16.21</w:t>
            </w:r>
          </w:p>
        </w:tc>
        <w:tc>
          <w:tcPr>
            <w:tcW w:w="2381" w:type="dxa"/>
            <w:tcBorders>
              <w:left w:val="single" w:sz="6" w:space="0" w:color="auto"/>
              <w:right w:val="single" w:sz="6" w:space="0" w:color="auto"/>
            </w:tcBorders>
            <w:vAlign w:val="center"/>
          </w:tcPr>
          <w:p>
            <w:pPr>
              <w:pStyle w:val="23"/>
            </w:pPr>
            <w:r>
              <w:t>16.21</w:t>
            </w:r>
          </w:p>
        </w:tc>
        <w:tc>
          <w:tcPr>
            <w:tcW w:w="2381" w:type="dxa"/>
            <w:tcBorders>
              <w:left w:val="single" w:sz="6" w:space="0" w:color="auto"/>
              <w:right w:val="single" w:sz="6" w:space="0" w:color="auto"/>
            </w:tcBorders>
            <w:vAlign w:val="center"/>
          </w:tcPr>
          <w:p>
            <w:pPr>
              <w:pStyle w:val="23"/>
              <w:rPr>
                <w:rFonts w:cs="Times New Roman"/>
              </w:rPr>
            </w:pPr>
          </w:p>
        </w:tc>
        <w:tc>
          <w:tcPr>
            <w:tcW w:w="2381" w:type="dxa"/>
            <w:vAlign w:val="center"/>
          </w:tcPr>
          <w:p>
            <w:pPr>
              <w:pStyle w:val="23"/>
              <w:rPr>
                <w:rFonts w:cs="Times New Roman"/>
              </w:rPr>
            </w:pPr>
          </w:p>
        </w:tc>
      </w:tr>
      <w:tr>
        <w:trPr>
          <w:trHeight w:val="567"/>
        </w:trPr>
        <w:tc>
          <w:tcPr>
            <w:tcW w:w="850" w:type="dxa"/>
            <w:vAlign w:val="center"/>
          </w:tcPr>
          <w:p>
            <w:pPr>
              <w:pStyle w:val="21"/>
            </w:pPr>
            <w:r>
              <w:t>2</w:t>
            </w:r>
          </w:p>
        </w:tc>
        <w:tc>
          <w:tcPr>
            <w:tcW w:w="3798" w:type="dxa"/>
            <w:tcBorders>
              <w:left w:val="single" w:sz="6" w:space="0" w:color="auto"/>
              <w:right w:val="single" w:sz="6" w:space="0" w:color="auto"/>
            </w:tcBorders>
            <w:vAlign w:val="center"/>
          </w:tcPr>
          <w:p>
            <w:pPr>
              <w:pStyle w:val="20"/>
              <w:rPr>
                <w:rFonts w:cs="Times New Roman"/>
              </w:rPr>
            </w:pPr>
            <w:r>
              <w:rPr>
                <w:rFonts w:hint="eastAsia"/>
              </w:rPr>
              <w:t>“三公”经费小计</w:t>
            </w:r>
          </w:p>
        </w:tc>
        <w:tc>
          <w:tcPr>
            <w:tcW w:w="2381" w:type="dxa"/>
            <w:tcBorders>
              <w:left w:val="single" w:sz="6" w:space="0" w:color="auto"/>
              <w:right w:val="single" w:sz="6" w:space="0" w:color="auto"/>
            </w:tcBorders>
            <w:vAlign w:val="center"/>
          </w:tcPr>
          <w:p>
            <w:pPr>
              <w:pStyle w:val="19"/>
              <w:rPr>
                <w:rFonts w:cs="Times New Roman"/>
              </w:rPr>
            </w:pPr>
            <w:r>
              <w:t>16.21</w:t>
            </w:r>
          </w:p>
        </w:tc>
        <w:tc>
          <w:tcPr>
            <w:tcW w:w="2381" w:type="dxa"/>
            <w:tcBorders>
              <w:left w:val="single" w:sz="6" w:space="0" w:color="auto"/>
              <w:right w:val="single" w:sz="6" w:space="0" w:color="auto"/>
            </w:tcBorders>
            <w:vAlign w:val="center"/>
          </w:tcPr>
          <w:p>
            <w:pPr>
              <w:pStyle w:val="19"/>
            </w:pPr>
            <w:r>
              <w:t>16.21</w:t>
            </w:r>
          </w:p>
        </w:tc>
        <w:tc>
          <w:tcPr>
            <w:tcW w:w="2381" w:type="dxa"/>
            <w:tcBorders>
              <w:left w:val="single" w:sz="6" w:space="0" w:color="auto"/>
              <w:right w:val="single" w:sz="6" w:space="0" w:color="auto"/>
            </w:tcBorders>
            <w:vAlign w:val="center"/>
          </w:tcPr>
          <w:p>
            <w:pPr>
              <w:pStyle w:val="19"/>
              <w:rPr>
                <w:rFonts w:cs="Times New Roman"/>
              </w:rPr>
            </w:pPr>
          </w:p>
        </w:tc>
        <w:tc>
          <w:tcPr>
            <w:tcW w:w="2381" w:type="dxa"/>
            <w:vAlign w:val="center"/>
          </w:tcPr>
          <w:p>
            <w:pPr>
              <w:pStyle w:val="19"/>
              <w:rPr>
                <w:rFonts w:cs="Times New Roman"/>
              </w:rPr>
            </w:pPr>
          </w:p>
        </w:tc>
      </w:tr>
      <w:tr>
        <w:trPr>
          <w:trHeight w:val="567"/>
        </w:trPr>
        <w:tc>
          <w:tcPr>
            <w:tcW w:w="850" w:type="dxa"/>
            <w:vAlign w:val="center"/>
          </w:tcPr>
          <w:p>
            <w:pPr>
              <w:pStyle w:val="21"/>
            </w:pPr>
            <w:r>
              <w:t>3</w:t>
            </w:r>
          </w:p>
        </w:tc>
        <w:tc>
          <w:tcPr>
            <w:tcW w:w="3798" w:type="dxa"/>
            <w:tcBorders>
              <w:left w:val="single" w:sz="6" w:space="0" w:color="auto"/>
              <w:right w:val="single" w:sz="6" w:space="0" w:color="auto"/>
            </w:tcBorders>
            <w:vAlign w:val="center"/>
          </w:tcPr>
          <w:p>
            <w:pPr>
              <w:pStyle w:val="20"/>
              <w:rPr>
                <w:rFonts w:cs="Times New Roman"/>
              </w:rPr>
            </w:pPr>
            <w:r>
              <w:rPr>
                <w:rFonts w:hint="eastAsia"/>
              </w:rPr>
              <w:t>一、因公出国（境）费</w:t>
            </w: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vAlign w:val="center"/>
          </w:tcPr>
          <w:p>
            <w:pPr>
              <w:pStyle w:val="19"/>
              <w:rPr>
                <w:rFonts w:cs="Times New Roman"/>
              </w:rPr>
            </w:pPr>
          </w:p>
        </w:tc>
      </w:tr>
      <w:tr>
        <w:trPr>
          <w:trHeight w:val="567"/>
        </w:trPr>
        <w:tc>
          <w:tcPr>
            <w:tcW w:w="850" w:type="dxa"/>
            <w:vAlign w:val="center"/>
          </w:tcPr>
          <w:p>
            <w:pPr>
              <w:pStyle w:val="21"/>
            </w:pPr>
            <w:r>
              <w:t>4</w:t>
            </w:r>
          </w:p>
        </w:tc>
        <w:tc>
          <w:tcPr>
            <w:tcW w:w="3798" w:type="dxa"/>
            <w:tcBorders>
              <w:left w:val="single" w:sz="6" w:space="0" w:color="auto"/>
              <w:right w:val="single" w:sz="6" w:space="0" w:color="auto"/>
            </w:tcBorders>
            <w:vAlign w:val="center"/>
          </w:tcPr>
          <w:p>
            <w:pPr>
              <w:pStyle w:val="20"/>
              <w:rPr>
                <w:rFonts w:cs="Times New Roman"/>
              </w:rPr>
            </w:pPr>
            <w:r>
              <w:t xml:space="preserve">    </w:t>
            </w:r>
            <w:r>
              <w:rPr>
                <w:rFonts w:hint="eastAsia"/>
              </w:rPr>
              <w:t>其中：教学科研人员因公出国（境）费</w:t>
            </w: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vAlign w:val="center"/>
          </w:tcPr>
          <w:p>
            <w:pPr>
              <w:pStyle w:val="19"/>
              <w:rPr>
                <w:rFonts w:cs="Times New Roman"/>
              </w:rPr>
            </w:pPr>
          </w:p>
        </w:tc>
      </w:tr>
      <w:tr>
        <w:trPr>
          <w:trHeight w:val="567"/>
        </w:trPr>
        <w:tc>
          <w:tcPr>
            <w:tcW w:w="850" w:type="dxa"/>
            <w:vAlign w:val="center"/>
          </w:tcPr>
          <w:p>
            <w:pPr>
              <w:pStyle w:val="21"/>
            </w:pPr>
            <w:r>
              <w:t>5</w:t>
            </w:r>
          </w:p>
        </w:tc>
        <w:tc>
          <w:tcPr>
            <w:tcW w:w="3798" w:type="dxa"/>
            <w:tcBorders>
              <w:left w:val="single" w:sz="6" w:space="0" w:color="auto"/>
              <w:right w:val="single" w:sz="6" w:space="0" w:color="auto"/>
            </w:tcBorders>
            <w:vAlign w:val="center"/>
          </w:tcPr>
          <w:p>
            <w:pPr>
              <w:pStyle w:val="20"/>
              <w:rPr>
                <w:rFonts w:cs="Times New Roman"/>
              </w:rPr>
            </w:pPr>
            <w:r>
              <w:t xml:space="preserve">          </w:t>
            </w:r>
            <w:r>
              <w:rPr>
                <w:rFonts w:hint="eastAsia"/>
              </w:rPr>
              <w:t>其他因公出国（境）费</w:t>
            </w: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vAlign w:val="center"/>
          </w:tcPr>
          <w:p>
            <w:pPr>
              <w:pStyle w:val="19"/>
              <w:rPr>
                <w:rFonts w:cs="Times New Roman"/>
              </w:rPr>
            </w:pPr>
          </w:p>
        </w:tc>
      </w:tr>
      <w:tr>
        <w:trPr>
          <w:trHeight w:val="567"/>
        </w:trPr>
        <w:tc>
          <w:tcPr>
            <w:tcW w:w="850" w:type="dxa"/>
            <w:vAlign w:val="center"/>
          </w:tcPr>
          <w:p>
            <w:pPr>
              <w:pStyle w:val="21"/>
            </w:pPr>
            <w:r>
              <w:t>6</w:t>
            </w:r>
          </w:p>
        </w:tc>
        <w:tc>
          <w:tcPr>
            <w:tcW w:w="3798" w:type="dxa"/>
            <w:tcBorders>
              <w:left w:val="single" w:sz="6" w:space="0" w:color="auto"/>
              <w:right w:val="single" w:sz="6" w:space="0" w:color="auto"/>
            </w:tcBorders>
            <w:vAlign w:val="center"/>
          </w:tcPr>
          <w:p>
            <w:pPr>
              <w:pStyle w:val="20"/>
              <w:rPr>
                <w:rFonts w:cs="Times New Roman"/>
              </w:rPr>
            </w:pPr>
            <w:r>
              <w:rPr>
                <w:rFonts w:hint="eastAsia"/>
              </w:rPr>
              <w:t>二、公务用车购置及运维费</w:t>
            </w:r>
          </w:p>
        </w:tc>
        <w:tc>
          <w:tcPr>
            <w:tcW w:w="2381" w:type="dxa"/>
            <w:tcBorders>
              <w:left w:val="single" w:sz="6" w:space="0" w:color="auto"/>
              <w:right w:val="single" w:sz="6" w:space="0" w:color="auto"/>
            </w:tcBorders>
            <w:vAlign w:val="center"/>
          </w:tcPr>
          <w:p>
            <w:pPr>
              <w:pStyle w:val="19"/>
              <w:rPr>
                <w:rFonts w:cs="Times New Roman"/>
              </w:rPr>
            </w:pPr>
            <w:r>
              <w:t>15.00</w:t>
            </w:r>
          </w:p>
        </w:tc>
        <w:tc>
          <w:tcPr>
            <w:tcW w:w="2381" w:type="dxa"/>
            <w:tcBorders>
              <w:left w:val="single" w:sz="6" w:space="0" w:color="auto"/>
              <w:right w:val="single" w:sz="6" w:space="0" w:color="auto"/>
            </w:tcBorders>
            <w:vAlign w:val="center"/>
          </w:tcPr>
          <w:p>
            <w:pPr>
              <w:pStyle w:val="19"/>
            </w:pPr>
            <w:r>
              <w:t>15.00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auto"/>
              <w:right w:val="single" w:sz="6" w:space="0" w:color="auto"/>
            </w:tcBorders>
            <w:vAlign w:val="center"/>
          </w:tcPr>
          <w:p>
            <w:pPr>
              <w:pStyle w:val="20"/>
              <w:rPr>
                <w:rFonts w:cs="Times New Roman"/>
              </w:rPr>
            </w:pPr>
            <w:r>
              <w:t xml:space="preserve">    </w:t>
            </w:r>
            <w:r>
              <w:rPr>
                <w:rFonts w:hint="eastAsia"/>
              </w:rPr>
              <w:t>其中：公务用车购置费</w:t>
            </w: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vAlign w:val="center"/>
          </w:tcPr>
          <w:p>
            <w:pPr>
              <w:pStyle w:val="19"/>
              <w:rPr>
                <w:rFonts w:cs="Times New Roman"/>
              </w:rPr>
            </w:pPr>
          </w:p>
        </w:tc>
      </w:tr>
      <w:tr>
        <w:trPr>
          <w:trHeight w:val="567"/>
        </w:trPr>
        <w:tc>
          <w:tcPr>
            <w:tcW w:w="850" w:type="dxa"/>
            <w:vAlign w:val="center"/>
          </w:tcPr>
          <w:p>
            <w:pPr>
              <w:pStyle w:val="21"/>
            </w:pPr>
            <w:r>
              <w:t>8</w:t>
            </w:r>
          </w:p>
        </w:tc>
        <w:tc>
          <w:tcPr>
            <w:tcW w:w="3798" w:type="dxa"/>
            <w:tcBorders>
              <w:left w:val="single" w:sz="6" w:space="0" w:color="auto"/>
              <w:right w:val="single" w:sz="6" w:space="0" w:color="auto"/>
            </w:tcBorders>
            <w:vAlign w:val="center"/>
          </w:tcPr>
          <w:p>
            <w:pPr>
              <w:pStyle w:val="20"/>
              <w:rPr>
                <w:rFonts w:cs="Times New Roman"/>
              </w:rPr>
            </w:pPr>
            <w:r>
              <w:t xml:space="preserve">          </w:t>
            </w:r>
            <w:r>
              <w:rPr>
                <w:rFonts w:hint="eastAsia"/>
              </w:rPr>
              <w:t>公务用车运行维护费</w:t>
            </w:r>
          </w:p>
        </w:tc>
        <w:tc>
          <w:tcPr>
            <w:tcW w:w="2381" w:type="dxa"/>
            <w:tcBorders>
              <w:left w:val="single" w:sz="6" w:space="0" w:color="auto"/>
              <w:right w:val="single" w:sz="6" w:space="0" w:color="auto"/>
            </w:tcBorders>
            <w:vAlign w:val="center"/>
          </w:tcPr>
          <w:p>
            <w:pPr>
              <w:pStyle w:val="19"/>
            </w:pPr>
            <w:r>
              <w:t>15.00</w:t>
            </w:r>
          </w:p>
        </w:tc>
        <w:tc>
          <w:tcPr>
            <w:tcW w:w="2381" w:type="dxa"/>
            <w:tcBorders>
              <w:left w:val="single" w:sz="6" w:space="0" w:color="auto"/>
              <w:right w:val="single" w:sz="6" w:space="0" w:color="auto"/>
            </w:tcBorders>
            <w:vAlign w:val="center"/>
          </w:tcPr>
          <w:p>
            <w:pPr>
              <w:pStyle w:val="19"/>
            </w:pPr>
            <w:r>
              <w:t>15.00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auto"/>
              <w:right w:val="single" w:sz="6" w:space="0" w:color="auto"/>
            </w:tcBorders>
            <w:vAlign w:val="center"/>
          </w:tcPr>
          <w:p>
            <w:pPr>
              <w:pStyle w:val="20"/>
              <w:rPr>
                <w:rFonts w:cs="Times New Roman"/>
              </w:rPr>
            </w:pPr>
            <w:r>
              <w:rPr>
                <w:rFonts w:hint="eastAsia"/>
              </w:rPr>
              <w:t>三、公务接待费</w:t>
            </w:r>
          </w:p>
        </w:tc>
        <w:tc>
          <w:tcPr>
            <w:tcW w:w="2381" w:type="dxa"/>
            <w:tcBorders>
              <w:left w:val="single" w:sz="6" w:space="0" w:color="auto"/>
              <w:right w:val="single" w:sz="6" w:space="0" w:color="auto"/>
            </w:tcBorders>
            <w:vAlign w:val="center"/>
          </w:tcPr>
          <w:p>
            <w:pPr>
              <w:pStyle w:val="19"/>
            </w:pPr>
            <w:r>
              <w:t>1.21</w:t>
            </w:r>
          </w:p>
        </w:tc>
        <w:tc>
          <w:tcPr>
            <w:tcW w:w="2381" w:type="dxa"/>
            <w:tcBorders>
              <w:left w:val="single" w:sz="6" w:space="0" w:color="auto"/>
              <w:right w:val="single" w:sz="6" w:space="0" w:color="auto"/>
            </w:tcBorders>
            <w:vAlign w:val="center"/>
          </w:tcPr>
          <w:p>
            <w:pPr>
              <w:pStyle w:val="19"/>
            </w:pPr>
            <w:r>
              <w:t>1.21</w:t>
            </w:r>
          </w:p>
        </w:tc>
        <w:tc>
          <w:tcPr>
            <w:tcW w:w="2381" w:type="dxa"/>
            <w:tcBorders>
              <w:left w:val="single" w:sz="6" w:space="0" w:color="auto"/>
              <w:right w:val="single" w:sz="6" w:space="0" w:color="auto"/>
            </w:tcBorders>
            <w:vAlign w:val="center"/>
          </w:tcPr>
          <w:p>
            <w:pPr>
              <w:pStyle w:val="19"/>
              <w:rPr>
                <w:rFonts w:cs="Times New Roman"/>
              </w:rPr>
            </w:pPr>
          </w:p>
        </w:tc>
        <w:tc>
          <w:tcPr>
            <w:tcW w:w="2381" w:type="dxa"/>
            <w:vAlign w:val="center"/>
          </w:tcPr>
          <w:p>
            <w:pPr>
              <w:pStyle w:val="19"/>
              <w:rPr>
                <w:rFonts w:cs="Times New Roman"/>
              </w:rPr>
            </w:pPr>
          </w:p>
        </w:tc>
      </w:tr>
      <w:tr>
        <w:trPr>
          <w:trHeight w:val="567"/>
        </w:trPr>
        <w:tc>
          <w:tcPr>
            <w:tcW w:w="850" w:type="dxa"/>
            <w:vAlign w:val="center"/>
          </w:tcPr>
          <w:p>
            <w:pPr>
              <w:pStyle w:val="21"/>
            </w:pPr>
            <w:r>
              <w:t>10</w:t>
            </w:r>
          </w:p>
        </w:tc>
        <w:tc>
          <w:tcPr>
            <w:tcW w:w="3798" w:type="dxa"/>
            <w:tcBorders>
              <w:left w:val="single" w:sz="6" w:space="0" w:color="auto"/>
              <w:right w:val="single" w:sz="6" w:space="0" w:color="auto"/>
            </w:tcBorders>
            <w:vAlign w:val="center"/>
          </w:tcPr>
          <w:p>
            <w:pPr>
              <w:pStyle w:val="20"/>
              <w:rPr>
                <w:rFonts w:cs="Times New Roman"/>
              </w:rPr>
            </w:pPr>
            <w:r>
              <w:rPr>
                <w:rFonts w:hint="eastAsia"/>
              </w:rPr>
              <w:t>四、会议费</w:t>
            </w: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vAlign w:val="center"/>
          </w:tcPr>
          <w:p>
            <w:pPr>
              <w:pStyle w:val="19"/>
              <w:rPr>
                <w:rFonts w:cs="Times New Roman"/>
              </w:rPr>
            </w:pPr>
          </w:p>
        </w:tc>
      </w:tr>
      <w:tr>
        <w:trPr>
          <w:trHeight w:val="567"/>
        </w:trPr>
        <w:tc>
          <w:tcPr>
            <w:tcW w:w="850" w:type="dxa"/>
            <w:vAlign w:val="center"/>
          </w:tcPr>
          <w:p>
            <w:pPr>
              <w:pStyle w:val="21"/>
            </w:pPr>
            <w:r>
              <w:t>11</w:t>
            </w:r>
          </w:p>
        </w:tc>
        <w:tc>
          <w:tcPr>
            <w:tcW w:w="3798" w:type="dxa"/>
            <w:tcBorders>
              <w:left w:val="single" w:sz="6" w:space="0" w:color="auto"/>
              <w:right w:val="single" w:sz="6" w:space="0" w:color="auto"/>
            </w:tcBorders>
            <w:vAlign w:val="center"/>
          </w:tcPr>
          <w:p>
            <w:pPr>
              <w:pStyle w:val="20"/>
              <w:rPr>
                <w:rFonts w:cs="Times New Roman"/>
              </w:rPr>
            </w:pPr>
            <w:r>
              <w:t xml:space="preserve">    </w:t>
            </w:r>
            <w:r>
              <w:rPr>
                <w:rFonts w:hint="eastAsia"/>
              </w:rPr>
              <w:t>其中：省属高校业务性会议费</w:t>
            </w: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vAlign w:val="center"/>
          </w:tcPr>
          <w:p>
            <w:pPr>
              <w:pStyle w:val="19"/>
              <w:rPr>
                <w:rFonts w:cs="Times New Roman"/>
              </w:rPr>
            </w:pPr>
          </w:p>
        </w:tc>
      </w:tr>
      <w:tr>
        <w:trPr>
          <w:trHeight w:val="567"/>
        </w:trPr>
        <w:tc>
          <w:tcPr>
            <w:tcW w:w="850" w:type="dxa"/>
            <w:vAlign w:val="center"/>
          </w:tcPr>
          <w:p>
            <w:pPr>
              <w:pStyle w:val="21"/>
            </w:pPr>
            <w:r>
              <w:t>12</w:t>
            </w:r>
          </w:p>
        </w:tc>
        <w:tc>
          <w:tcPr>
            <w:tcW w:w="3798" w:type="dxa"/>
            <w:tcBorders>
              <w:left w:val="single" w:sz="6" w:space="0" w:color="auto"/>
              <w:right w:val="single" w:sz="6" w:space="0" w:color="auto"/>
            </w:tcBorders>
            <w:vAlign w:val="center"/>
          </w:tcPr>
          <w:p>
            <w:pPr>
              <w:pStyle w:val="20"/>
              <w:rPr>
                <w:rFonts w:cs="Times New Roman"/>
              </w:rPr>
            </w:pPr>
            <w:r>
              <w:t xml:space="preserve">          </w:t>
            </w:r>
            <w:r>
              <w:rPr>
                <w:rFonts w:hint="eastAsia"/>
              </w:rPr>
              <w:t>其他会议费</w:t>
            </w: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vAlign w:val="center"/>
          </w:tcPr>
          <w:p>
            <w:pPr>
              <w:pStyle w:val="19"/>
              <w:rPr>
                <w:rFonts w:cs="Times New Roman"/>
              </w:rPr>
            </w:pPr>
          </w:p>
        </w:tc>
      </w:tr>
      <w:tr>
        <w:trPr>
          <w:trHeight w:val="567"/>
        </w:trPr>
        <w:tc>
          <w:tcPr>
            <w:tcW w:w="850" w:type="dxa"/>
            <w:vAlign w:val="center"/>
          </w:tcPr>
          <w:p>
            <w:pPr>
              <w:pStyle w:val="21"/>
            </w:pPr>
            <w:r>
              <w:t>13</w:t>
            </w:r>
          </w:p>
        </w:tc>
        <w:tc>
          <w:tcPr>
            <w:tcW w:w="3798" w:type="dxa"/>
            <w:tcBorders>
              <w:left w:val="single" w:sz="6" w:space="0" w:color="auto"/>
              <w:right w:val="single" w:sz="6" w:space="0" w:color="auto"/>
            </w:tcBorders>
            <w:vAlign w:val="center"/>
          </w:tcPr>
          <w:p>
            <w:pPr>
              <w:pStyle w:val="20"/>
              <w:rPr>
                <w:rFonts w:cs="Times New Roman"/>
              </w:rPr>
            </w:pPr>
            <w:r>
              <w:rPr>
                <w:rFonts w:hint="eastAsia"/>
              </w:rPr>
              <w:t>五、培训费</w:t>
            </w: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tcBorders>
              <w:left w:val="single" w:sz="6" w:space="0" w:color="auto"/>
              <w:right w:val="single" w:sz="6" w:space="0" w:color="auto"/>
            </w:tcBorders>
            <w:vAlign w:val="center"/>
          </w:tcPr>
          <w:p>
            <w:pPr>
              <w:pStyle w:val="19"/>
              <w:rPr>
                <w:rFonts w:cs="Times New Roman"/>
              </w:rPr>
            </w:pPr>
          </w:p>
        </w:tc>
        <w:tc>
          <w:tcPr>
            <w:tcW w:w="2381" w:type="dxa"/>
            <w:vAlign w:val="center"/>
          </w:tcPr>
          <w:p>
            <w:pPr>
              <w:pStyle w:val="19"/>
              <w:rPr>
                <w:rFonts w:cs="Times New Roman"/>
              </w:rPr>
            </w:pPr>
          </w:p>
        </w:tc>
      </w:tr>
    </w:tbl>
    <w:p>
      <w:pPr>
        <w:jc w:val="center"/>
        <w:outlineLvl w:val="4"/>
        <w:rPr>
          <w:rFonts w:ascii="方正书宋_GBK" w:eastAsia="方正书宋_GBK" w:hAnsi="方正书宋_GBK"/>
          <w:color w:val="FFFFFF"/>
          <w:sz w:val="21"/>
          <w:szCs w:val="21"/>
          <w:lang w:eastAsia="zh-CN"/>
        </w:rPr>
      </w:pPr>
      <w:r>
        <w:rPr>
          <w:rFonts w:ascii="方正书宋_GBK" w:eastAsia="方正书宋_GBK" w:cs="方正书宋_GBK" w:hAnsi="方正书宋_GBK" w:hint="eastAsia"/>
          <w:color w:val="FFFFFF"/>
          <w:sz w:val="21"/>
          <w:szCs w:val="21"/>
        </w:rPr>
        <w:t>第一部分</w:t>
      </w:r>
      <w:r>
        <w:rPr>
          <w:rFonts w:ascii="方正书宋_GBK" w:eastAsia="方正书宋_GBK" w:cs="方正书宋_GBK" w:hAnsi="方正书宋_GBK"/>
          <w:color w:val="FFFFFF"/>
          <w:sz w:val="21"/>
          <w:szCs w:val="21"/>
        </w:rPr>
        <w:t xml:space="preserve">  </w:t>
      </w:r>
      <w:r>
        <w:rPr>
          <w:rFonts w:ascii="方正书宋_GBK" w:eastAsia="方正书宋_GBK" w:cs="方正书宋_GBK" w:hAnsi="方正书宋_GBK" w:hint="eastAsia"/>
          <w:color w:val="FFFFFF"/>
          <w:sz w:val="21"/>
          <w:szCs w:val="21"/>
        </w:rPr>
        <w:t>行唐县交通运输局</w:t>
      </w:r>
      <w:r>
        <w:rPr>
          <w:rFonts w:ascii="方正书宋_GBK" w:eastAsia="方正书宋_GBK" w:cs="方正书宋_GBK" w:hAnsi="方正书宋_GBK"/>
          <w:color w:val="FFFFFF"/>
          <w:sz w:val="21"/>
          <w:szCs w:val="21"/>
        </w:rPr>
        <w:t>2025</w:t>
      </w:r>
      <w:r>
        <w:rPr>
          <w:rFonts w:ascii="方正书宋_GBK" w:eastAsia="方正书宋_GBK" w:cs="方正书宋_GBK" w:hAnsi="方正书宋_GBK" w:hint="eastAsia"/>
          <w:color w:val="FFFFFF"/>
          <w:sz w:val="21"/>
          <w:szCs w:val="21"/>
        </w:rPr>
        <w:t>年部门预算信息公开情况说明</w:t>
      </w:r>
    </w:p>
    <w:p>
      <w:pPr>
        <w:jc w:val="center"/>
        <w:outlineLvl w:val="4"/>
        <w:rPr>
          <w:rFonts w:ascii="方正小标宋_GBK" w:eastAsia="方正小标宋_GBK" w:hAnsi="方正小标宋_GBK"/>
          <w:color w:val="000000"/>
          <w:sz w:val="44"/>
          <w:szCs w:val="44"/>
          <w:lang w:eastAsia="zh-CN"/>
        </w:rPr>
      </w:pPr>
    </w:p>
    <w:p>
      <w:pPr>
        <w:jc w:val="center"/>
        <w:outlineLvl w:val="4"/>
        <w:rPr>
          <w:rFonts w:ascii="方正小标宋_GBK" w:eastAsia="方正小标宋_GBK" w:hAnsi="方正小标宋_GBK"/>
          <w:color w:val="000000"/>
          <w:sz w:val="44"/>
          <w:szCs w:val="44"/>
          <w:lang w:eastAsia="zh-CN"/>
        </w:rPr>
      </w:pPr>
    </w:p>
    <w:p>
      <w:pPr>
        <w:jc w:val="center"/>
        <w:outlineLvl w:val="4"/>
        <w:rPr>
          <w:rFonts w:ascii="方正小标宋_GBK" w:eastAsia="方正小标宋_GBK" w:hAnsi="方正小标宋_GBK"/>
          <w:color w:val="000000"/>
          <w:sz w:val="44"/>
          <w:szCs w:val="44"/>
          <w:lang w:eastAsia="zh-CN"/>
        </w:rPr>
      </w:pPr>
    </w:p>
    <w:p>
      <w:pPr>
        <w:jc w:val="center"/>
        <w:outlineLvl w:val="4"/>
        <w:rPr>
          <w:rFonts w:ascii="方正小标宋_GBK" w:eastAsia="方正小标宋_GBK" w:hAnsi="方正小标宋_GBK"/>
          <w:color w:val="000000"/>
          <w:sz w:val="44"/>
          <w:szCs w:val="44"/>
          <w:lang w:eastAsia="zh-CN"/>
        </w:rPr>
      </w:pPr>
    </w:p>
    <w:p>
      <w:pPr>
        <w:jc w:val="center"/>
        <w:outlineLvl w:val="4"/>
        <w:rPr>
          <w:rFonts w:ascii="方正小标宋_GBK" w:eastAsia="方正小标宋_GBK" w:hAnsi="方正小标宋_GBK"/>
          <w:color w:val="000000"/>
          <w:sz w:val="44"/>
          <w:szCs w:val="44"/>
          <w:lang w:eastAsia="zh-CN"/>
        </w:rPr>
      </w:pPr>
    </w:p>
    <w:p>
      <w:pPr>
        <w:jc w:val="center"/>
        <w:outlineLvl w:val="4"/>
        <w:rPr>
          <w:rFonts w:ascii="方正小标宋_GBK" w:eastAsia="方正小标宋_GBK" w:hAnsi="方正小标宋_GBK"/>
          <w:color w:val="000000"/>
          <w:sz w:val="44"/>
          <w:szCs w:val="44"/>
          <w:lang w:eastAsia="zh-CN"/>
        </w:rPr>
      </w:pPr>
    </w:p>
    <w:p>
      <w:pPr>
        <w:jc w:val="center"/>
        <w:outlineLvl w:val="4"/>
        <w:rPr>
          <w:rFonts w:ascii="方正小标宋_GBK" w:eastAsia="方正小标宋_GBK" w:hAnsi="方正小标宋_GBK"/>
          <w:color w:val="000000"/>
          <w:sz w:val="44"/>
          <w:szCs w:val="44"/>
          <w:lang w:eastAsia="zh-CN"/>
        </w:rPr>
      </w:pPr>
    </w:p>
    <w:p>
      <w:pPr>
        <w:jc w:val="center"/>
        <w:outlineLvl w:val="4"/>
        <w:rPr>
          <w:rFonts w:ascii="方正小标宋_GBK" w:eastAsia="方正小标宋_GBK" w:hAnsi="方正小标宋_GBK"/>
          <w:color w:val="000000"/>
          <w:sz w:val="44"/>
          <w:szCs w:val="44"/>
          <w:lang w:eastAsia="zh-CN"/>
        </w:rPr>
      </w:pPr>
    </w:p>
    <w:p>
      <w:pPr>
        <w:jc w:val="center"/>
        <w:outlineLvl w:val="4"/>
        <w:rPr>
          <w:rFonts w:ascii="方正小标宋_GBK" w:eastAsia="方正小标宋_GBK" w:hAnsi="方正小标宋_GBK"/>
          <w:color w:val="000000"/>
          <w:sz w:val="44"/>
          <w:szCs w:val="44"/>
          <w:lang w:eastAsia="zh-CN"/>
        </w:rPr>
      </w:pPr>
    </w:p>
    <w:p>
      <w:pPr>
        <w:jc w:val="center"/>
        <w:outlineLvl w:val="4"/>
        <w:rPr>
          <w:rFonts w:ascii="方正小标宋_GBK" w:eastAsia="方正小标宋_GBK" w:hAnsi="方正小标宋_GBK"/>
          <w:color w:val="000000"/>
          <w:sz w:val="44"/>
          <w:szCs w:val="44"/>
          <w:lang w:eastAsia="zh-CN"/>
        </w:rPr>
      </w:pPr>
    </w:p>
    <w:p>
      <w:pPr>
        <w:jc w:val="center"/>
        <w:outlineLvl w:val="4"/>
      </w:pPr>
      <w:r>
        <w:rPr>
          <w:rFonts w:ascii="方正小标宋_GBK" w:eastAsia="方正小标宋_GBK" w:cs="方正小标宋_GBK" w:hAnsi="方正小标宋_GBK" w:hint="eastAsia"/>
          <w:color w:val="000000"/>
          <w:sz w:val="44"/>
          <w:szCs w:val="44"/>
        </w:rPr>
        <w:t>行唐县交通运输局本级</w:t>
      </w:r>
      <w:r>
        <w:rPr>
          <w:rFonts w:ascii="方正小标宋_GBK" w:eastAsia="方正小标宋_GBK" w:cs="方正小标宋_GBK" w:hAnsi="方正小标宋_GBK"/>
          <w:color w:val="000000"/>
          <w:sz w:val="44"/>
          <w:szCs w:val="44"/>
        </w:rPr>
        <w:t>2026</w:t>
      </w:r>
      <w:r>
        <w:rPr>
          <w:rFonts w:ascii="方正小标宋_GBK" w:eastAsia="方正小标宋_GBK" w:cs="方正小标宋_GBK" w:hAnsi="方正小标宋_GBK" w:hint="eastAsia"/>
          <w:color w:val="000000"/>
          <w:sz w:val="44"/>
          <w:szCs w:val="44"/>
        </w:rPr>
        <w:t>年单位预算信息公开情况说明</w:t>
      </w:r>
    </w:p>
    <w:p>
      <w:pPr>
        <w:spacing w:line="500" w:lineRule="exact"/>
        <w:ind w:firstLine="560"/>
      </w:pPr>
      <w:r>
        <w:rPr>
          <w:rFonts w:eastAsia="方正仿宋_GBK" w:cs="方正仿宋_GBK" w:hint="eastAsia"/>
          <w:color w:val="000000"/>
          <w:sz w:val="28"/>
          <w:szCs w:val="28"/>
        </w:rPr>
        <w:t>按照《中华人民共和国预算法》、《地方预决算公开操作规程》和《关于进一步推进预算公开工作的实施意见》规定，现将行唐县交通运输局本级</w:t>
      </w:r>
      <w:r>
        <w:rPr>
          <w:rFonts w:eastAsia="方正仿宋_GBK"/>
          <w:color w:val="000000"/>
          <w:sz w:val="28"/>
          <w:szCs w:val="28"/>
        </w:rPr>
        <w:t>2026</w:t>
      </w:r>
      <w:r>
        <w:rPr>
          <w:rFonts w:eastAsia="方正仿宋_GBK" w:cs="方正仿宋_GBK" w:hint="eastAsia"/>
          <w:color w:val="000000"/>
          <w:sz w:val="28"/>
          <w:szCs w:val="28"/>
        </w:rPr>
        <w:t>年单位预算公开如下：</w:t>
      </w:r>
    </w:p>
    <w:p>
      <w:pPr>
        <w:spacing w:before="10" w:after="10"/>
        <w:ind w:firstLine="640"/>
        <w:outlineLvl w:val="5"/>
      </w:pPr>
      <w:r>
        <w:rPr>
          <w:rFonts w:ascii="黑体" w:eastAsia="黑体" w:cs="黑体" w:hAnsi="黑体" w:hint="eastAsia"/>
          <w:color w:val="000000"/>
          <w:sz w:val="32"/>
          <w:szCs w:val="32"/>
        </w:rPr>
        <w:t>一、单位职责及机构设置情况</w:t>
      </w:r>
    </w:p>
    <w:p>
      <w:pPr>
        <w:ind w:firstLine="640"/>
        <w:rPr>
          <w:rFonts w:ascii="方正楷体_GBK" w:eastAsia="方正楷体_GBK" w:hAnsi="方正楷体_GBK"/>
          <w:b/>
          <w:bCs/>
          <w:color w:val="000000"/>
          <w:sz w:val="32"/>
          <w:szCs w:val="32"/>
          <w:lang w:eastAsia="zh-CN"/>
        </w:rPr>
      </w:pPr>
      <w:r>
        <w:rPr>
          <w:rFonts w:ascii="方正楷体_GBK" w:eastAsia="方正楷体_GBK" w:cs="方正楷体_GBK" w:hAnsi="方正楷体_GBK" w:hint="eastAsia"/>
          <w:b/>
          <w:bCs/>
          <w:color w:val="000000"/>
          <w:sz w:val="32"/>
          <w:szCs w:val="32"/>
        </w:rPr>
        <w:t>单位职责：</w:t>
      </w:r>
    </w:p>
    <w:p>
      <w:pPr>
        <w:pStyle w:val="32"/>
        <w:rPr>
          <w:lang w:eastAsia="zh-CN"/>
        </w:rPr>
      </w:pPr>
      <w:r>
        <w:rPr>
          <w:rFonts w:cs="方正仿宋_GBK" w:hint="eastAsia"/>
        </w:rPr>
        <w:t>（一）认真贯彻执行上级有关交通运输行业的发展战略、方针政策和法律法规。（二）根据上级有关规定和我县经济社会发展实际需要，编制全县交通运输行业发展规划和中长期计划，并组织实施；负责全县交通运输行业统计和信息引导工作。（三）负责全县（不含城区）公路桥梁交通设施建设和养护，依法拆除违章建筑，维护路产路权，保护公路设施。（四）组织实施全县重点交通基础设施建设工程项目及相关工作。（五）负责培育和管理全县道路运输市场、机动车维修市场，负责车辆综合性能检测、汽车驾驶学校和驾驶员培训工作的行业管理，指导管理好辖区内客货运输及城市客运。（六）负责组织交通运输科技成果推广，推动行业科技进步。（七）负责全县交通运输行业的精神文明建设和职工队伍思想建设，加强行风建设和党风廉政建设。（八）负责交通战备工作及国防动员委员会日常工作。（九）承办县委、县政府交办的其他事项。</w:t>
      </w:r>
    </w:p>
    <w:p>
      <w:pPr>
        <w:ind w:firstLine="640"/>
      </w:pPr>
      <w:r>
        <w:rPr>
          <w:rFonts w:ascii="方正楷体_GBK" w:eastAsia="方正楷体_GBK" w:cs="方正楷体_GBK" w:hAnsi="方正楷体_GBK" w:hint="eastAsia"/>
          <w:b/>
          <w:bCs/>
          <w:color w:val="000000"/>
          <w:sz w:val="32"/>
          <w:szCs w:val="32"/>
        </w:rPr>
        <w:t>机构设置：</w:t>
      </w:r>
    </w:p>
    <w:p>
      <w:pPr>
        <w:jc w:val="center"/>
      </w:pPr>
      <w:r>
        <w:rPr>
          <w:rFonts w:ascii="方正小标宋_GBK" w:eastAsia="方正小标宋_GBK" w:cs="方正小标宋_GBK" w:hAnsi="方正小标宋_GBK" w:hint="eastAsia"/>
          <w:color w:val="000000"/>
          <w:sz w:val="32"/>
          <w:szCs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cantSplit/>
          <w:trHeight w:val="567"/>
          <w:tblHeader/>
        </w:trPr>
        <w:tc>
          <w:tcPr>
            <w:tcW w:w="5669" w:type="dxa"/>
            <w:vAlign w:val="center"/>
          </w:tcPr>
          <w:p>
            <w:pPr>
              <w:pStyle w:val="18"/>
              <w:rPr>
                <w:rFonts w:cs="Times New Roman"/>
              </w:rPr>
            </w:pPr>
            <w:r>
              <w:rPr>
                <w:rFonts w:hint="eastAsia"/>
              </w:rPr>
              <w:t>单位名称</w:t>
            </w:r>
          </w:p>
        </w:tc>
        <w:tc>
          <w:tcPr>
            <w:tcW w:w="1843" w:type="dxa"/>
            <w:vAlign w:val="center"/>
          </w:tcPr>
          <w:p>
            <w:pPr>
              <w:pStyle w:val="18"/>
              <w:rPr>
                <w:rFonts w:cs="Times New Roman"/>
              </w:rPr>
            </w:pPr>
            <w:r>
              <w:rPr>
                <w:rFonts w:hint="eastAsia"/>
              </w:rPr>
              <w:t>单位性质</w:t>
            </w:r>
          </w:p>
        </w:tc>
        <w:tc>
          <w:tcPr>
            <w:tcW w:w="2126" w:type="dxa"/>
            <w:vAlign w:val="center"/>
          </w:tcPr>
          <w:p>
            <w:pPr>
              <w:pStyle w:val="18"/>
              <w:rPr>
                <w:rFonts w:cs="Times New Roman"/>
              </w:rPr>
            </w:pPr>
            <w:r>
              <w:rPr>
                <w:rFonts w:hint="eastAsia"/>
              </w:rPr>
              <w:t>单位规格</w:t>
            </w:r>
          </w:p>
        </w:tc>
        <w:tc>
          <w:tcPr>
            <w:tcW w:w="3827" w:type="dxa"/>
            <w:vAlign w:val="center"/>
          </w:tcPr>
          <w:p>
            <w:pPr>
              <w:pStyle w:val="18"/>
              <w:rPr>
                <w:rFonts w:cs="Times New Roman"/>
              </w:rPr>
            </w:pPr>
            <w:r>
              <w:rPr>
                <w:rFonts w:hint="eastAsia"/>
              </w:rPr>
              <w:t>经费保障形式</w:t>
            </w:r>
          </w:p>
        </w:tc>
      </w:tr>
      <w:tr>
        <w:trPr>
          <w:trHeight w:val="369"/>
        </w:trPr>
        <w:tc>
          <w:tcPr>
            <w:tcW w:w="5669" w:type="dxa"/>
            <w:vAlign w:val="center"/>
          </w:tcPr>
          <w:p>
            <w:pPr>
              <w:pStyle w:val="20"/>
              <w:rPr>
                <w:rFonts w:cs="Times New Roman"/>
              </w:rPr>
            </w:pPr>
            <w:r>
              <w:rPr>
                <w:rFonts w:hint="eastAsia"/>
              </w:rPr>
              <w:t>行唐县交通运输局本级</w:t>
            </w:r>
          </w:p>
        </w:tc>
        <w:tc>
          <w:tcPr>
            <w:tcW w:w="1843" w:type="dxa"/>
            <w:tcBorders>
              <w:left w:val="single" w:sz="6" w:space="0" w:color="000000"/>
              <w:right w:val="single" w:sz="6" w:space="0" w:color="000000"/>
            </w:tcBorders>
            <w:vAlign w:val="center"/>
          </w:tcPr>
          <w:p>
            <w:pPr>
              <w:pStyle w:val="21"/>
              <w:rPr>
                <w:rFonts w:cs="Times New Roman"/>
              </w:rPr>
            </w:pPr>
            <w:r>
              <w:rPr>
                <w:rFonts w:hint="eastAsia"/>
              </w:rPr>
              <w:t>行政</w:t>
            </w:r>
          </w:p>
        </w:tc>
        <w:tc>
          <w:tcPr>
            <w:tcW w:w="2126" w:type="dxa"/>
            <w:tcBorders>
              <w:left w:val="single" w:sz="6" w:space="0" w:color="000000"/>
              <w:right w:val="single" w:sz="6" w:space="0" w:color="000000"/>
            </w:tcBorders>
            <w:vAlign w:val="center"/>
          </w:tcPr>
          <w:p>
            <w:pPr>
              <w:pStyle w:val="21"/>
              <w:rPr>
                <w:rFonts w:cs="Times New Roman"/>
              </w:rPr>
            </w:pPr>
            <w:r>
              <w:rPr>
                <w:rFonts w:hint="eastAsia"/>
              </w:rPr>
              <w:t>正科级</w:t>
            </w:r>
          </w:p>
        </w:tc>
        <w:tc>
          <w:tcPr>
            <w:tcW w:w="3827" w:type="dxa"/>
            <w:vAlign w:val="center"/>
          </w:tcPr>
          <w:p>
            <w:pPr>
              <w:pStyle w:val="21"/>
              <w:rPr>
                <w:rFonts w:cs="Times New Roman"/>
              </w:rPr>
            </w:pPr>
            <w:r>
              <w:rPr>
                <w:rFonts w:hint="eastAsia"/>
              </w:rPr>
              <w:t>财政拨款</w:t>
            </w:r>
          </w:p>
        </w:tc>
      </w:tr>
    </w:tbl>
    <w:p>
      <w:pPr>
        <w:spacing w:before="10" w:after="10"/>
        <w:ind w:firstLine="640"/>
        <w:outlineLvl w:val="5"/>
        <w:rPr>
          <w:rFonts w:ascii="黑体" w:eastAsia="黑体" w:hAnsi="黑体"/>
          <w:color w:val="000000"/>
          <w:sz w:val="32"/>
          <w:szCs w:val="32"/>
          <w:lang w:eastAsia="zh-CN"/>
        </w:rPr>
      </w:pPr>
    </w:p>
    <w:p>
      <w:pPr>
        <w:spacing w:before="10" w:after="10"/>
        <w:ind w:firstLine="640"/>
        <w:outlineLvl w:val="5"/>
        <w:rPr>
          <w:rFonts w:ascii="黑体" w:eastAsia="黑体" w:hAnsi="黑体"/>
          <w:color w:val="000000"/>
          <w:sz w:val="32"/>
          <w:szCs w:val="32"/>
          <w:lang w:eastAsia="zh-CN"/>
        </w:rPr>
      </w:pPr>
    </w:p>
    <w:p>
      <w:pPr>
        <w:spacing w:before="10" w:after="10"/>
        <w:ind w:firstLine="640"/>
        <w:outlineLvl w:val="5"/>
        <w:rPr>
          <w:rFonts w:ascii="黑体" w:eastAsia="黑体" w:hAnsi="黑体"/>
          <w:color w:val="000000"/>
          <w:sz w:val="32"/>
          <w:szCs w:val="32"/>
          <w:lang w:eastAsia="zh-CN"/>
        </w:rPr>
      </w:pPr>
      <w:r>
        <w:rPr>
          <w:rFonts w:ascii="黑体" w:eastAsia="黑体" w:cs="黑体" w:hAnsi="黑体" w:hint="eastAsia"/>
          <w:color w:val="000000"/>
          <w:sz w:val="32"/>
          <w:szCs w:val="32"/>
        </w:rPr>
        <w:t>二、单位预算安排的总体情况</w:t>
      </w:r>
    </w:p>
    <w:p>
      <w:pPr>
        <w:pStyle w:val="32"/>
      </w:pPr>
      <w:r>
        <w:rPr>
          <w:rFonts w:cs="方正仿宋_GBK" w:hint="eastAsia"/>
        </w:rPr>
        <w:t>按照预算管理有关规定，目前</w:t>
      </w:r>
      <w:r>
        <w:rPr>
          <w:rFonts w:cs="方正仿宋_GBK" w:hint="eastAsia"/>
          <w:lang w:eastAsia="zh-CN"/>
        </w:rPr>
        <w:t>单位</w:t>
      </w:r>
      <w:r>
        <w:rPr>
          <w:rFonts w:cs="方正仿宋_GBK" w:hint="eastAsia"/>
        </w:rPr>
        <w:t>预算的编制实行综合预算管理，即全部收入和支出都反映在预算中。行唐县交通运输局机关及所属事业单位的收支包含在部门预算中。</w:t>
      </w:r>
    </w:p>
    <w:p>
      <w:pPr>
        <w:pStyle w:val="32"/>
      </w:pPr>
      <w:r>
        <w:t>1</w:t>
      </w:r>
      <w:r>
        <w:rPr>
          <w:rFonts w:cs="方正仿宋_GBK" w:hint="eastAsia"/>
        </w:rPr>
        <w:t>、收入说明</w:t>
      </w:r>
    </w:p>
    <w:p>
      <w:pPr>
        <w:pStyle w:val="32"/>
      </w:pPr>
      <w:r>
        <w:rPr>
          <w:rFonts w:cs="方正仿宋_GBK" w:hint="eastAsia"/>
        </w:rPr>
        <w:t>反映本</w:t>
      </w:r>
      <w:r>
        <w:rPr>
          <w:rFonts w:cs="方正仿宋_GBK" w:hint="eastAsia"/>
          <w:lang w:eastAsia="zh-CN"/>
        </w:rPr>
        <w:t>单位</w:t>
      </w:r>
      <w:r>
        <w:rPr>
          <w:rFonts w:cs="方正仿宋_GBK" w:hint="eastAsia"/>
        </w:rPr>
        <w:t>当年全部收入。</w:t>
      </w:r>
      <w:r>
        <w:t>202</w:t>
      </w:r>
      <w:r>
        <w:rPr>
          <w:lang w:eastAsia="zh-CN"/>
        </w:rPr>
        <w:t>6</w:t>
      </w:r>
      <w:r>
        <w:rPr>
          <w:rFonts w:cs="方正仿宋_GBK" w:hint="eastAsia"/>
        </w:rPr>
        <w:t>年预算收入</w:t>
      </w:r>
      <w:r>
        <w:rPr>
          <w:lang w:eastAsia="zh-CN"/>
        </w:rPr>
        <w:t>6344.31</w:t>
      </w:r>
      <w:r>
        <w:rPr>
          <w:rFonts w:cs="方正仿宋_GBK" w:hint="eastAsia"/>
        </w:rPr>
        <w:t>万元，其中：一般公共预算收入</w:t>
      </w:r>
      <w:r>
        <w:rPr>
          <w:lang w:eastAsia="zh-CN"/>
        </w:rPr>
        <w:t>5696.29</w:t>
      </w:r>
      <w:r>
        <w:rPr>
          <w:rFonts w:cs="方正仿宋_GBK" w:hint="eastAsia"/>
        </w:rPr>
        <w:t>万元，基金预算收入</w:t>
      </w:r>
      <w:r>
        <w:rPr>
          <w:lang w:eastAsia="zh-CN"/>
        </w:rPr>
        <w:t>648.01</w:t>
      </w:r>
      <w:r>
        <w:rPr>
          <w:rFonts w:cs="方正仿宋_GBK" w:hint="eastAsia"/>
        </w:rPr>
        <w:t>万元，国有资本经营预算收入</w:t>
      </w:r>
      <w:r>
        <w:t>0.00</w:t>
      </w:r>
      <w:r>
        <w:rPr>
          <w:rFonts w:cs="方正仿宋_GBK" w:hint="eastAsia"/>
        </w:rPr>
        <w:t>万元，财政专户核拨收入</w:t>
      </w:r>
      <w:r>
        <w:t>0.00</w:t>
      </w:r>
      <w:r>
        <w:rPr>
          <w:rFonts w:cs="方正仿宋_GBK" w:hint="eastAsia"/>
        </w:rPr>
        <w:t>万元，单位资金收入</w:t>
      </w:r>
      <w:r>
        <w:t>0.00</w:t>
      </w:r>
      <w:r>
        <w:rPr>
          <w:rFonts w:cs="方正仿宋_GBK" w:hint="eastAsia"/>
        </w:rPr>
        <w:t>万元，上年结转结余</w:t>
      </w:r>
      <w:r>
        <w:rPr>
          <w:lang w:eastAsia="zh-CN"/>
        </w:rPr>
        <w:t>213.01</w:t>
      </w:r>
      <w:r>
        <w:rPr>
          <w:rFonts w:cs="方正仿宋_GBK" w:hint="eastAsia"/>
        </w:rPr>
        <w:t>万元。</w:t>
      </w:r>
    </w:p>
    <w:p>
      <w:pPr>
        <w:pStyle w:val="32"/>
      </w:pPr>
      <w:r>
        <w:t>2</w:t>
      </w:r>
      <w:r>
        <w:rPr>
          <w:rFonts w:cs="方正仿宋_GBK" w:hint="eastAsia"/>
        </w:rPr>
        <w:t>、支出说明</w:t>
      </w:r>
    </w:p>
    <w:p>
      <w:pPr>
        <w:pStyle w:val="32"/>
      </w:pPr>
      <w:r>
        <w:rPr>
          <w:rFonts w:cs="方正仿宋_GBK" w:hint="eastAsia"/>
        </w:rPr>
        <w:t>收支预算总表支出栏、基本支出表、项目支出表按经济分类和支出功能分类科目编制，反映行唐县交通运输局年度部门预算中支出预算的总体情况。</w:t>
      </w:r>
      <w:r>
        <w:t>202</w:t>
      </w:r>
      <w:r>
        <w:rPr>
          <w:lang w:eastAsia="zh-CN"/>
        </w:rPr>
        <w:t>6</w:t>
      </w:r>
      <w:r>
        <w:rPr>
          <w:rFonts w:cs="方正仿宋_GBK" w:hint="eastAsia"/>
        </w:rPr>
        <w:t>年支出预算</w:t>
      </w:r>
      <w:r>
        <w:rPr>
          <w:lang w:eastAsia="zh-CN"/>
        </w:rPr>
        <w:t>6344.31</w:t>
      </w:r>
      <w:r>
        <w:rPr>
          <w:rFonts w:cs="方正仿宋_GBK" w:hint="eastAsia"/>
        </w:rPr>
        <w:t>万元，其中基本支出</w:t>
      </w:r>
      <w:r>
        <w:rPr>
          <w:lang w:eastAsia="zh-CN"/>
        </w:rPr>
        <w:t>2449.11</w:t>
      </w:r>
      <w:r>
        <w:rPr>
          <w:rFonts w:cs="方正仿宋_GBK" w:hint="eastAsia"/>
        </w:rPr>
        <w:t>万元，包括人员经费</w:t>
      </w:r>
      <w:r>
        <w:rPr>
          <w:lang w:eastAsia="zh-CN"/>
        </w:rPr>
        <w:t>2336.84</w:t>
      </w:r>
      <w:r>
        <w:rPr>
          <w:rFonts w:cs="方正仿宋_GBK" w:hint="eastAsia"/>
        </w:rPr>
        <w:t>万元和日常公用经费</w:t>
      </w:r>
      <w:r>
        <w:rPr>
          <w:lang w:eastAsia="zh-CN"/>
        </w:rPr>
        <w:t>112.27</w:t>
      </w:r>
      <w:r>
        <w:rPr>
          <w:rFonts w:cs="方正仿宋_GBK" w:hint="eastAsia"/>
        </w:rPr>
        <w:t>万元；项目支出</w:t>
      </w:r>
      <w:r>
        <w:rPr>
          <w:lang w:eastAsia="zh-CN"/>
        </w:rPr>
        <w:t>3895.20</w:t>
      </w:r>
      <w:r>
        <w:rPr>
          <w:rFonts w:cs="方正仿宋_GBK" w:hint="eastAsia"/>
        </w:rPr>
        <w:t>万元，主要为农村公路建设项目</w:t>
      </w:r>
      <w:r>
        <w:rPr>
          <w:rFonts w:cs="方正仿宋_GBK" w:hint="eastAsia"/>
          <w:lang w:eastAsia="zh-CN"/>
        </w:rPr>
        <w:t>增加。</w:t>
      </w:r>
    </w:p>
    <w:p>
      <w:pPr>
        <w:pStyle w:val="32"/>
      </w:pPr>
      <w:r>
        <w:t>3</w:t>
      </w:r>
      <w:r>
        <w:rPr>
          <w:rFonts w:cs="方正仿宋_GBK" w:hint="eastAsia"/>
        </w:rPr>
        <w:t>、比上年增减情况</w:t>
      </w:r>
    </w:p>
    <w:p>
      <w:pPr>
        <w:pStyle w:val="32"/>
        <w:rPr>
          <w:lang w:eastAsia="zh-CN"/>
        </w:rPr>
      </w:pPr>
      <w:r>
        <w:t>202</w:t>
      </w:r>
      <w:r>
        <w:rPr>
          <w:lang w:eastAsia="zh-CN"/>
        </w:rPr>
        <w:t>6</w:t>
      </w:r>
      <w:r>
        <w:rPr>
          <w:rFonts w:cs="方正仿宋_GBK" w:hint="eastAsia"/>
        </w:rPr>
        <w:t>年预算收支安排</w:t>
      </w:r>
      <w:r>
        <w:rPr>
          <w:lang w:eastAsia="zh-CN"/>
        </w:rPr>
        <w:t>6344.31</w:t>
      </w:r>
      <w:r>
        <w:rPr>
          <w:rFonts w:cs="方正仿宋_GBK" w:hint="eastAsia"/>
        </w:rPr>
        <w:t>万元，较</w:t>
      </w:r>
      <w:r>
        <w:t>202</w:t>
      </w:r>
      <w:r>
        <w:rPr>
          <w:lang w:eastAsia="zh-CN"/>
        </w:rPr>
        <w:t>5</w:t>
      </w:r>
      <w:r>
        <w:rPr>
          <w:rFonts w:cs="方正仿宋_GBK" w:hint="eastAsia"/>
        </w:rPr>
        <w:t>年预算</w:t>
      </w:r>
      <w:r>
        <w:rPr>
          <w:rFonts w:cs="方正仿宋_GBK" w:hint="eastAsia"/>
          <w:lang w:val="uk-UA" w:eastAsia="zh-CN"/>
        </w:rPr>
        <w:t>增加</w:t>
      </w:r>
      <w:r>
        <w:rPr>
          <w:lang w:eastAsia="zh-CN"/>
        </w:rPr>
        <w:t>1012.71</w:t>
      </w:r>
      <w:r>
        <w:rPr>
          <w:rFonts w:cs="方正仿宋_GBK" w:hint="eastAsia"/>
        </w:rPr>
        <w:t>万元，其中：基本支出增加</w:t>
      </w:r>
      <w:r>
        <w:rPr>
          <w:lang w:eastAsia="zh-CN"/>
        </w:rPr>
        <w:t>121.01</w:t>
      </w:r>
      <w:r>
        <w:rPr>
          <w:rFonts w:cs="方正仿宋_GBK" w:hint="eastAsia"/>
        </w:rPr>
        <w:t>万元，主要为人员经费增加</w:t>
      </w:r>
      <w:r>
        <w:rPr>
          <w:lang w:eastAsia="zh-CN"/>
        </w:rPr>
        <w:t>146.74</w:t>
      </w:r>
      <w:r>
        <w:rPr>
          <w:rFonts w:cs="方正仿宋_GBK" w:hint="eastAsia"/>
        </w:rPr>
        <w:t>万元，日常公用经费减少</w:t>
      </w:r>
      <w:r>
        <w:rPr>
          <w:lang w:eastAsia="zh-CN"/>
        </w:rPr>
        <w:t>25.73</w:t>
      </w:r>
      <w:r>
        <w:rPr>
          <w:rFonts w:cs="方正仿宋_GBK" w:hint="eastAsia"/>
        </w:rPr>
        <w:t>万元</w:t>
      </w:r>
      <w:r>
        <w:rPr>
          <w:rFonts w:cs="方正仿宋_GBK" w:hint="eastAsia"/>
          <w:lang w:eastAsia="zh-CN"/>
        </w:rPr>
        <w:t>，</w:t>
      </w:r>
      <w:r>
        <w:rPr>
          <w:rFonts w:cs="方正仿宋_GBK" w:hint="eastAsia"/>
        </w:rPr>
        <w:t>项目支出</w:t>
      </w:r>
      <w:r>
        <w:rPr>
          <w:rFonts w:cs="方正仿宋_GBK" w:hint="eastAsia"/>
          <w:lang w:eastAsia="zh-CN"/>
        </w:rPr>
        <w:t>增加</w:t>
      </w:r>
      <w:r>
        <w:rPr>
          <w:lang w:eastAsia="zh-CN"/>
        </w:rPr>
        <w:t>891.7</w:t>
      </w:r>
      <w:r>
        <w:rPr>
          <w:rFonts w:cs="方正仿宋_GBK" w:hint="eastAsia"/>
        </w:rPr>
        <w:t>万元，主要为主要为农村公路建设项目</w:t>
      </w:r>
      <w:r>
        <w:rPr>
          <w:rFonts w:cs="方正仿宋_GBK" w:hint="eastAsia"/>
          <w:lang w:eastAsia="zh-CN"/>
        </w:rPr>
        <w:t>增加。</w:t>
      </w:r>
    </w:p>
    <w:p>
      <w:pPr>
        <w:spacing w:before="10" w:after="10"/>
        <w:ind w:firstLine="640"/>
        <w:outlineLvl w:val="5"/>
        <w:rPr>
          <w:rFonts w:ascii="黑体" w:eastAsia="黑体" w:cs="黑体" w:hAnsi="黑体"/>
          <w:color w:val="000000"/>
          <w:sz w:val="32"/>
          <w:szCs w:val="32"/>
        </w:rPr>
      </w:pPr>
      <w:r>
        <w:rPr>
          <w:rFonts w:ascii="黑体" w:eastAsia="黑体" w:cs="黑体" w:hAnsi="黑体" w:hint="eastAsia"/>
          <w:color w:val="000000"/>
          <w:sz w:val="32"/>
          <w:szCs w:val="32"/>
        </w:rPr>
        <w:t>三、机关运行经费安排情况</w:t>
      </w:r>
    </w:p>
    <w:p>
      <w:pPr>
        <w:pStyle w:val="32"/>
        <w:rPr>
          <w:rFonts w:cs="方正仿宋_GBK"/>
        </w:rPr>
      </w:pPr>
      <w:r>
        <w:rPr>
          <w:rFonts w:cs="方正仿宋_GBK" w:hint="eastAsia"/>
        </w:rPr>
        <w:t>202</w:t>
      </w:r>
      <w:r>
        <w:rPr>
          <w:rFonts w:cs="方正仿宋_GBK"/>
        </w:rPr>
        <w:t>6</w:t>
      </w:r>
      <w:r>
        <w:rPr>
          <w:rFonts w:cs="方正仿宋_GBK" w:hint="eastAsia"/>
        </w:rPr>
        <w:t>年，我</w:t>
      </w:r>
      <w:r>
        <w:rPr>
          <w:rFonts w:cs="方正仿宋_GBK"/>
        </w:rPr>
        <w:t>单位</w:t>
      </w:r>
      <w:r>
        <w:rPr>
          <w:rFonts w:cs="方正仿宋_GBK" w:hint="eastAsia"/>
        </w:rPr>
        <w:t>机关运行经费共计安排</w:t>
      </w:r>
      <w:r>
        <w:rPr>
          <w:rFonts w:cs="方正仿宋_GBK"/>
        </w:rPr>
        <w:t>112.27</w:t>
      </w:r>
      <w:r>
        <w:rPr>
          <w:rFonts w:cs="方正仿宋_GBK" w:hint="eastAsia"/>
        </w:rPr>
        <w:t>万元，主要用于日常维修、办公用房水电费、办公用房取暖费、办公用房物业管理费等日常运行支出。</w:t>
      </w:r>
    </w:p>
    <w:p>
      <w:pPr>
        <w:pStyle w:val="32"/>
        <w:rPr>
          <w:rFonts w:cs="方正仿宋_GBK" w:hAnsi="黑体" w:hint="eastAsia"/>
          <w:lang w:eastAsia="zh-CN"/>
        </w:rPr>
      </w:pPr>
    </w:p>
    <w:p>
      <w:pPr>
        <w:spacing w:before="10" w:after="10"/>
        <w:ind w:firstLine="640"/>
        <w:outlineLvl w:val="5"/>
        <w:rPr>
          <w:rFonts w:ascii="黑体" w:eastAsia="黑体" w:cs="黑体" w:hAnsi="黑体"/>
          <w:color w:val="000000"/>
          <w:sz w:val="32"/>
          <w:szCs w:val="32"/>
        </w:rPr>
      </w:pPr>
      <w:r>
        <w:rPr>
          <w:rFonts w:ascii="黑体" w:eastAsia="黑体" w:cs="黑体" w:hAnsi="黑体" w:hint="eastAsia"/>
          <w:color w:val="000000"/>
          <w:sz w:val="32"/>
          <w:szCs w:val="32"/>
        </w:rPr>
        <w:t>四、财政拨款“三公”经费预算情况及增减变化原因</w:t>
      </w:r>
    </w:p>
    <w:p>
      <w:pPr>
        <w:spacing w:before="10" w:after="10"/>
        <w:ind w:firstLine="640"/>
        <w:outlineLvl w:val="5"/>
        <w:rPr>
          <w:rFonts w:ascii="黑体" w:eastAsia="黑体" w:hAnsi="黑体"/>
          <w:color w:val="000000"/>
          <w:sz w:val="32"/>
          <w:szCs w:val="32"/>
          <w:lang w:eastAsia="zh-CN"/>
        </w:rPr>
      </w:pPr>
    </w:p>
    <w:p>
      <w:pPr>
        <w:spacing w:before="10" w:after="10" w:line="360" w:lineRule="auto"/>
        <w:ind w:firstLine="640"/>
        <w:outlineLvl w:val="2"/>
        <w:rPr>
          <w:rFonts w:eastAsia="方正仿宋_GBK"/>
          <w:sz w:val="28"/>
          <w:szCs w:val="28"/>
        </w:rPr>
      </w:pPr>
      <w:r>
        <w:rPr>
          <w:rFonts w:eastAsia="方正仿宋_GBK"/>
          <w:sz w:val="28"/>
          <w:szCs w:val="28"/>
        </w:rPr>
        <w:t>202</w:t>
      </w:r>
      <w:r>
        <w:rPr>
          <w:rFonts w:eastAsia="方正仿宋_GBK"/>
          <w:sz w:val="28"/>
          <w:szCs w:val="28"/>
          <w:lang w:eastAsia="zh-CN"/>
        </w:rPr>
        <w:t>6</w:t>
      </w:r>
      <w:r>
        <w:rPr>
          <w:rFonts w:eastAsia="方正仿宋_GBK" w:cs="方正仿宋_GBK" w:hint="eastAsia"/>
          <w:sz w:val="28"/>
          <w:szCs w:val="28"/>
        </w:rPr>
        <w:t>年，我</w:t>
      </w:r>
      <w:r>
        <w:rPr>
          <w:rFonts w:eastAsia="方正仿宋_GBK" w:cs="方正仿宋_GBK" w:hint="eastAsia"/>
          <w:sz w:val="28"/>
          <w:szCs w:val="28"/>
          <w:lang w:eastAsia="zh-CN"/>
        </w:rPr>
        <w:t>单位</w:t>
      </w:r>
      <w:r>
        <w:rPr>
          <w:rFonts w:eastAsia="方正仿宋_GBK" w:cs="方正仿宋_GBK" w:hint="eastAsia"/>
          <w:sz w:val="28"/>
          <w:szCs w:val="28"/>
        </w:rPr>
        <w:t>财政拨款</w:t>
      </w:r>
      <w:r>
        <w:rPr>
          <w:rFonts w:eastAsia="方正仿宋_GBK"/>
          <w:sz w:val="28"/>
          <w:szCs w:val="28"/>
        </w:rPr>
        <w:t>“</w:t>
      </w:r>
      <w:r>
        <w:rPr>
          <w:rFonts w:eastAsia="方正仿宋_GBK" w:cs="方正仿宋_GBK" w:hint="eastAsia"/>
          <w:sz w:val="28"/>
          <w:szCs w:val="28"/>
        </w:rPr>
        <w:t>三公</w:t>
      </w:r>
      <w:r>
        <w:rPr>
          <w:rFonts w:eastAsia="方正仿宋_GBK"/>
          <w:sz w:val="28"/>
          <w:szCs w:val="28"/>
        </w:rPr>
        <w:t>”</w:t>
      </w:r>
      <w:r>
        <w:rPr>
          <w:rFonts w:eastAsia="方正仿宋_GBK" w:cs="方正仿宋_GBK" w:hint="eastAsia"/>
          <w:sz w:val="28"/>
          <w:szCs w:val="28"/>
        </w:rPr>
        <w:t>经费预算安排</w:t>
      </w:r>
      <w:r>
        <w:rPr>
          <w:rFonts w:eastAsia="方正仿宋_GBK"/>
          <w:sz w:val="28"/>
          <w:szCs w:val="28"/>
        </w:rPr>
        <w:t>16.</w:t>
      </w:r>
      <w:r>
        <w:rPr>
          <w:rFonts w:eastAsia="方正仿宋_GBK"/>
          <w:sz w:val="28"/>
          <w:szCs w:val="28"/>
          <w:lang w:eastAsia="zh-CN"/>
        </w:rPr>
        <w:t>21</w:t>
      </w:r>
      <w:r>
        <w:rPr>
          <w:rFonts w:eastAsia="方正仿宋_GBK" w:cs="方正仿宋_GBK" w:hint="eastAsia"/>
          <w:sz w:val="28"/>
          <w:szCs w:val="28"/>
        </w:rPr>
        <w:t>万元，其中因公出国（境）费</w:t>
      </w:r>
      <w:r>
        <w:rPr>
          <w:rFonts w:eastAsia="方正仿宋_GBK"/>
          <w:sz w:val="28"/>
          <w:szCs w:val="28"/>
        </w:rPr>
        <w:t>0.00</w:t>
      </w:r>
      <w:r>
        <w:rPr>
          <w:rFonts w:eastAsia="方正仿宋_GBK" w:cs="方正仿宋_GBK" w:hint="eastAsia"/>
          <w:sz w:val="28"/>
          <w:szCs w:val="28"/>
        </w:rPr>
        <w:t>万元；公务用车购置及运维费</w:t>
      </w:r>
      <w:r>
        <w:rPr>
          <w:rFonts w:eastAsia="方正仿宋_GBK"/>
          <w:sz w:val="28"/>
          <w:szCs w:val="28"/>
        </w:rPr>
        <w:t>15.</w:t>
      </w:r>
      <w:r>
        <w:rPr>
          <w:rFonts w:eastAsia="方正仿宋_GBK"/>
          <w:sz w:val="28"/>
          <w:szCs w:val="28"/>
          <w:lang w:eastAsia="zh-CN"/>
        </w:rPr>
        <w:t>00</w:t>
      </w:r>
      <w:r>
        <w:rPr>
          <w:rFonts w:eastAsia="方正仿宋_GBK" w:cs="方正仿宋_GBK" w:hint="eastAsia"/>
          <w:sz w:val="28"/>
          <w:szCs w:val="28"/>
        </w:rPr>
        <w:t>万元（其中：公务用车购置费为</w:t>
      </w:r>
      <w:r>
        <w:rPr>
          <w:rFonts w:eastAsia="方正仿宋_GBK"/>
          <w:sz w:val="28"/>
          <w:szCs w:val="28"/>
        </w:rPr>
        <w:t>0.00</w:t>
      </w:r>
      <w:r>
        <w:rPr>
          <w:rFonts w:eastAsia="方正仿宋_GBK" w:cs="方正仿宋_GBK" w:hint="eastAsia"/>
          <w:sz w:val="28"/>
          <w:szCs w:val="28"/>
        </w:rPr>
        <w:t>万元，公务用车运维费</w:t>
      </w:r>
      <w:r>
        <w:rPr>
          <w:rFonts w:eastAsia="方正仿宋_GBK"/>
          <w:sz w:val="28"/>
          <w:szCs w:val="28"/>
        </w:rPr>
        <w:t>15.</w:t>
      </w:r>
      <w:r>
        <w:rPr>
          <w:rFonts w:eastAsia="方正仿宋_GBK"/>
          <w:sz w:val="28"/>
          <w:szCs w:val="28"/>
          <w:lang w:eastAsia="zh-CN"/>
        </w:rPr>
        <w:t>00</w:t>
      </w:r>
      <w:r>
        <w:rPr>
          <w:rFonts w:eastAsia="方正仿宋_GBK" w:cs="方正仿宋_GBK" w:hint="eastAsia"/>
          <w:sz w:val="28"/>
          <w:szCs w:val="28"/>
        </w:rPr>
        <w:t>万元</w:t>
      </w:r>
      <w:r>
        <w:rPr>
          <w:rFonts w:eastAsia="方正仿宋_GBK"/>
          <w:sz w:val="28"/>
          <w:szCs w:val="28"/>
        </w:rPr>
        <w:t>)</w:t>
      </w:r>
      <w:r>
        <w:rPr>
          <w:rFonts w:eastAsia="方正仿宋_GBK" w:cs="方正仿宋_GBK" w:hint="eastAsia"/>
          <w:sz w:val="28"/>
          <w:szCs w:val="28"/>
        </w:rPr>
        <w:t>；公务接待费</w:t>
      </w:r>
      <w:r>
        <w:rPr>
          <w:rFonts w:eastAsia="方正仿宋_GBK"/>
          <w:sz w:val="28"/>
          <w:szCs w:val="28"/>
        </w:rPr>
        <w:t>1.2</w:t>
      </w:r>
      <w:r>
        <w:rPr>
          <w:rFonts w:eastAsia="方正仿宋_GBK"/>
          <w:sz w:val="28"/>
          <w:szCs w:val="28"/>
          <w:lang w:eastAsia="zh-CN"/>
        </w:rPr>
        <w:t>1</w:t>
      </w:r>
      <w:r>
        <w:rPr>
          <w:rFonts w:eastAsia="方正仿宋_GBK" w:cs="方正仿宋_GBK" w:hint="eastAsia"/>
          <w:sz w:val="28"/>
          <w:szCs w:val="28"/>
        </w:rPr>
        <w:t>万元。与</w:t>
      </w:r>
      <w:r>
        <w:rPr>
          <w:rFonts w:eastAsia="方正仿宋_GBK"/>
          <w:sz w:val="28"/>
          <w:szCs w:val="28"/>
        </w:rPr>
        <w:t>202</w:t>
      </w:r>
      <w:r>
        <w:rPr>
          <w:rFonts w:eastAsia="方正仿宋_GBK"/>
          <w:sz w:val="28"/>
          <w:szCs w:val="28"/>
          <w:lang w:eastAsia="zh-CN"/>
        </w:rPr>
        <w:t>5</w:t>
      </w:r>
      <w:r>
        <w:rPr>
          <w:rFonts w:eastAsia="方正仿宋_GBK" w:cs="方正仿宋_GBK" w:hint="eastAsia"/>
          <w:sz w:val="28"/>
          <w:szCs w:val="28"/>
        </w:rPr>
        <w:t>年相比减少</w:t>
      </w:r>
      <w:r>
        <w:rPr>
          <w:rFonts w:eastAsia="方正仿宋_GBK"/>
          <w:sz w:val="28"/>
          <w:szCs w:val="28"/>
        </w:rPr>
        <w:t>0.6</w:t>
      </w:r>
      <w:r>
        <w:rPr>
          <w:rFonts w:eastAsia="方正仿宋_GBK"/>
          <w:sz w:val="28"/>
          <w:szCs w:val="28"/>
          <w:lang w:eastAsia="zh-CN"/>
        </w:rPr>
        <w:t>1</w:t>
      </w:r>
      <w:r>
        <w:rPr>
          <w:rFonts w:eastAsia="方正仿宋_GBK" w:cs="方正仿宋_GBK" w:hint="eastAsia"/>
          <w:sz w:val="28"/>
          <w:szCs w:val="28"/>
        </w:rPr>
        <w:t>万元，增减变化的主要原因是三公经费标准降低</w:t>
      </w:r>
    </w:p>
    <w:p>
      <w:pPr>
        <w:spacing w:before="10" w:after="10"/>
        <w:ind w:firstLine="640"/>
        <w:outlineLvl w:val="5"/>
        <w:sectPr>
          <w:pgSz w:w="16840" w:h="11900" w:orient="landscape"/>
          <w:pgMar w:top="1361" w:right="1020" w:bottom="1361" w:left="1020" w:header="720" w:footer="720" w:gutter="0"/>
          <w:docGrid w:linePitch="326" w:charSpace="0"/>
        </w:sectPr>
      </w:pPr>
      <w:r>
        <w:rPr>
          <w:rFonts w:ascii="黑体" w:eastAsia="黑体" w:cs="黑体" w:hAnsi="黑体" w:hint="eastAsia"/>
          <w:color w:val="000000"/>
          <w:sz w:val="32"/>
          <w:szCs w:val="32"/>
        </w:rPr>
        <w:t>五、单位项目预算安排情况及绩效目标</w:t>
      </w:r>
    </w:p>
    <w:p>
      <w:pPr>
        <w:ind w:firstLine="560"/>
      </w:pPr>
      <w:r>
        <w:rPr>
          <w:rFonts w:ascii="方正仿宋_GBK" w:eastAsia="方正仿宋_GBK" w:cs="方正仿宋_GBK" w:hAnsi="方正仿宋_GBK"/>
          <w:b/>
          <w:bCs/>
          <w:color w:val="000000"/>
          <w:sz w:val="28"/>
          <w:szCs w:val="28"/>
        </w:rPr>
        <w:t>1</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冀财建【</w:t>
      </w:r>
      <w:r>
        <w:rPr>
          <w:rFonts w:ascii="方正仿宋_GBK" w:eastAsia="方正仿宋_GBK" w:cs="方正仿宋_GBK" w:hAnsi="方正仿宋_GBK"/>
          <w:b/>
          <w:bCs/>
          <w:color w:val="000000"/>
          <w:sz w:val="28"/>
          <w:szCs w:val="28"/>
        </w:rPr>
        <w:t>2024</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252</w:t>
      </w:r>
      <w:r>
        <w:rPr>
          <w:rFonts w:ascii="方正仿宋_GBK" w:eastAsia="方正仿宋_GBK" w:cs="方正仿宋_GBK" w:hAnsi="方正仿宋_GBK" w:hint="eastAsia"/>
          <w:b/>
          <w:bCs/>
          <w:color w:val="000000"/>
          <w:sz w:val="28"/>
          <w:szCs w:val="28"/>
        </w:rPr>
        <w:t>号提前下达</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年交通运输领域专项资金预算（第一批）农村公路绩效目标表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13012526P00000610021L</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t>2025</w:t>
            </w:r>
            <w:r>
              <w:rPr>
                <w:rFonts w:hint="eastAsia"/>
              </w:rPr>
              <w:t>冀财建【</w:t>
            </w:r>
            <w:r>
              <w:t>2024</w:t>
            </w:r>
            <w:r>
              <w:rPr>
                <w:rFonts w:hint="eastAsia"/>
              </w:rPr>
              <w:t>】</w:t>
            </w:r>
            <w:r>
              <w:t>252</w:t>
            </w:r>
            <w:r>
              <w:rPr>
                <w:rFonts w:hint="eastAsia"/>
              </w:rPr>
              <w:t>号提前下达</w:t>
            </w:r>
            <w:r>
              <w:t>2025</w:t>
            </w:r>
            <w:r>
              <w:rPr>
                <w:rFonts w:hint="eastAsia"/>
              </w:rPr>
              <w:t>年交通运输领域专项资金预算（第一批）农村公路</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878.00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878.00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有效改善农村交通出行，完善路网结构，缩短通行时间。</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300.00</w:t>
            </w:r>
          </w:p>
        </w:tc>
        <w:tc>
          <w:tcPr>
            <w:tcW w:w="2835" w:type="dxa"/>
            <w:tcBorders>
              <w:left w:val="single" w:sz="6" w:space="0" w:color="000000"/>
              <w:right w:val="single" w:sz="6" w:space="0" w:color="000000"/>
            </w:tcBorders>
            <w:vAlign w:val="center"/>
          </w:tcPr>
          <w:p>
            <w:pPr>
              <w:pStyle w:val="21"/>
            </w:pPr>
            <w:r>
              <w:t>500.00</w:t>
            </w:r>
          </w:p>
        </w:tc>
        <w:tc>
          <w:tcPr>
            <w:tcW w:w="2551" w:type="dxa"/>
            <w:tcBorders>
              <w:left w:val="single" w:sz="6" w:space="0" w:color="000000"/>
              <w:right w:val="single" w:sz="6" w:space="0" w:color="000000"/>
            </w:tcBorders>
            <w:vAlign w:val="center"/>
          </w:tcPr>
          <w:p>
            <w:pPr>
              <w:pStyle w:val="21"/>
            </w:pPr>
            <w:r>
              <w:t>750.00</w:t>
            </w:r>
          </w:p>
        </w:tc>
        <w:tc>
          <w:tcPr>
            <w:tcW w:w="3544" w:type="dxa"/>
            <w:gridSpan w:val="2"/>
            <w:vAlign w:val="center"/>
          </w:tcPr>
          <w:p>
            <w:pPr>
              <w:pStyle w:val="21"/>
            </w:pPr>
            <w:r>
              <w:t>878.00</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有效改善农村交通出行，完善路网结构，缩短通行时间。</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新改建公路里程</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实际完成农村公路改建里程</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22.53</w:t>
            </w:r>
            <w:r>
              <w:rPr>
                <w:rFonts w:hint="eastAsia"/>
              </w:rPr>
              <w:t>公里</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新改建桥梁座数</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实际完成前两改建座数</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1</w:t>
            </w:r>
            <w:r>
              <w:rPr>
                <w:rFonts w:hint="eastAsia"/>
              </w:rPr>
              <w:t>座</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项目（工程）验收合格率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项目实际完工验收工程质量合格率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项目（工程）完成及时率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及时完成工程量占应完成工程量的比率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对地区经济增长的贡献程度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项目对所在地经济增长贡献程度</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建制村通客车率（</w:t>
            </w:r>
            <w:r>
              <w:t>%</w:t>
            </w: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项目完工后满足各村通行</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项目建成后是否对当地扬尘污染带来明显改善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项目完工后对当地扬尘污染带来明显改善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项目建成后是否对当地经济持续性发展带来明改善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项目完工后对当地经济持续性发展带来明显改善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效果显著</w:t>
            </w:r>
          </w:p>
        </w:tc>
        <w:tc>
          <w:tcPr>
            <w:tcW w:w="1276" w:type="dxa"/>
            <w:vAlign w:val="center"/>
          </w:tcPr>
          <w:p>
            <w:pPr>
              <w:pStyle w:val="20"/>
              <w:rPr>
                <w:rFonts w:cs="Times New Roman"/>
              </w:rPr>
            </w:pPr>
            <w:r>
              <w:rPr>
                <w:rFonts w:hint="eastAsia"/>
              </w:rPr>
              <w:t>经验标准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受益人口满意度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社会调查中满意和较满意的社会群众占调查总人数的比率</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2</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冀财建【</w:t>
      </w:r>
      <w:r>
        <w:rPr>
          <w:rFonts w:ascii="方正仿宋_GBK" w:eastAsia="方正仿宋_GBK" w:cs="方正仿宋_GBK" w:hAnsi="方正仿宋_GBK"/>
          <w:b/>
          <w:bCs/>
          <w:color w:val="000000"/>
          <w:sz w:val="28"/>
          <w:szCs w:val="28"/>
        </w:rPr>
        <w:t>2024</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281</w:t>
      </w:r>
      <w:r>
        <w:rPr>
          <w:rFonts w:ascii="方正仿宋_GBK" w:eastAsia="方正仿宋_GBK" w:cs="方正仿宋_GBK" w:hAnsi="方正仿宋_GBK" w:hint="eastAsia"/>
          <w:b/>
          <w:bCs/>
          <w:color w:val="000000"/>
          <w:sz w:val="28"/>
          <w:szCs w:val="28"/>
        </w:rPr>
        <w:t>号建设改造补助（清算</w:t>
      </w:r>
      <w:r>
        <w:rPr>
          <w:rFonts w:ascii="方正仿宋_GBK" w:eastAsia="方正仿宋_GBK" w:cs="方正仿宋_GBK" w:hAnsi="方正仿宋_GBK"/>
          <w:b/>
          <w:bCs/>
          <w:color w:val="000000"/>
          <w:sz w:val="28"/>
          <w:szCs w:val="28"/>
        </w:rPr>
        <w:t>2024</w:t>
      </w:r>
      <w:r>
        <w:rPr>
          <w:rFonts w:ascii="方正仿宋_GBK" w:eastAsia="方正仿宋_GBK" w:cs="方正仿宋_GBK" w:hAnsi="方正仿宋_GBK" w:hint="eastAsia"/>
          <w:b/>
          <w:bCs/>
          <w:color w:val="000000"/>
          <w:sz w:val="28"/>
          <w:szCs w:val="28"/>
        </w:rPr>
        <w:t>年度）绩效目标表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13012526P00000610019M</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t>2025</w:t>
            </w:r>
            <w:r>
              <w:rPr>
                <w:rFonts w:hint="eastAsia"/>
              </w:rPr>
              <w:t>冀财建【</w:t>
            </w:r>
            <w:r>
              <w:t>2024</w:t>
            </w:r>
            <w:r>
              <w:rPr>
                <w:rFonts w:hint="eastAsia"/>
              </w:rPr>
              <w:t>】</w:t>
            </w:r>
            <w:r>
              <w:t>281</w:t>
            </w:r>
            <w:r>
              <w:rPr>
                <w:rFonts w:hint="eastAsia"/>
              </w:rPr>
              <w:t>号建设改造补助（清算</w:t>
            </w:r>
            <w:r>
              <w:t>2024</w:t>
            </w:r>
            <w:r>
              <w:rPr>
                <w:rFonts w:hint="eastAsia"/>
              </w:rPr>
              <w:t>年度）</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19.00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19.00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有效改善农村交通出行，完善路网结构，缩短通行时间。</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5.00</w:t>
            </w:r>
          </w:p>
        </w:tc>
        <w:tc>
          <w:tcPr>
            <w:tcW w:w="2835" w:type="dxa"/>
            <w:tcBorders>
              <w:left w:val="single" w:sz="6" w:space="0" w:color="000000"/>
              <w:right w:val="single" w:sz="6" w:space="0" w:color="000000"/>
            </w:tcBorders>
            <w:vAlign w:val="center"/>
          </w:tcPr>
          <w:p>
            <w:pPr>
              <w:pStyle w:val="21"/>
            </w:pPr>
            <w:r>
              <w:t>16.00</w:t>
            </w:r>
          </w:p>
        </w:tc>
        <w:tc>
          <w:tcPr>
            <w:tcW w:w="2551" w:type="dxa"/>
            <w:tcBorders>
              <w:left w:val="single" w:sz="6" w:space="0" w:color="000000"/>
              <w:right w:val="single" w:sz="6" w:space="0" w:color="000000"/>
            </w:tcBorders>
            <w:vAlign w:val="center"/>
          </w:tcPr>
          <w:p>
            <w:pPr>
              <w:pStyle w:val="21"/>
            </w:pPr>
            <w:r>
              <w:t>18.00</w:t>
            </w:r>
          </w:p>
        </w:tc>
        <w:tc>
          <w:tcPr>
            <w:tcW w:w="3544" w:type="dxa"/>
            <w:gridSpan w:val="2"/>
            <w:vAlign w:val="center"/>
          </w:tcPr>
          <w:p>
            <w:pPr>
              <w:pStyle w:val="21"/>
            </w:pPr>
            <w:r>
              <w:t>19.00</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有效改善农村交通出行，完善路网结构，缩短通行时间。</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新改建公路里程</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实际完成农村公路改建里程</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22.53</w:t>
            </w:r>
            <w:r>
              <w:rPr>
                <w:rFonts w:hint="eastAsia"/>
              </w:rPr>
              <w:t>公里</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改建桥梁座数</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实际完成改建桥梁座数</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1</w:t>
            </w:r>
            <w:r>
              <w:rPr>
                <w:rFonts w:hint="eastAsia"/>
              </w:rPr>
              <w:t>座</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项目（工程）验收合格率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项目实际完工验收工程质量合格率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项目（工程）完成及时率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及时完成工程量占应完成工程量的比率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对地区经济增长的贡献程度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项目对所在地经济增长贡献程度</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建制村通客车率（</w:t>
            </w:r>
            <w:r>
              <w:t>%</w:t>
            </w: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项目完工后满足各村通行</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项目建成后是否对当地扬尘污染带来明显改善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项目完工后对当地扬尘污染带来明显改善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项目建成后是否对当地经济持续性发展带来明改善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项目完工后对当地经济持续性发展带来明显改善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经验标准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受益人口满意度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社会调查中满意和较满意的社会群众占调查总人数的比率</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3</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冀财建【</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229</w:t>
      </w:r>
      <w:r>
        <w:rPr>
          <w:rFonts w:ascii="方正仿宋_GBK" w:eastAsia="方正仿宋_GBK" w:cs="方正仿宋_GBK" w:hAnsi="方正仿宋_GBK" w:hint="eastAsia"/>
          <w:b/>
          <w:bCs/>
          <w:color w:val="000000"/>
          <w:sz w:val="28"/>
          <w:szCs w:val="28"/>
        </w:rPr>
        <w:t>号清算</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年城市公交车差异化补贴资金绩效目标表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13012526P000010100187</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t>2025</w:t>
            </w:r>
            <w:r>
              <w:rPr>
                <w:rFonts w:hint="eastAsia"/>
              </w:rPr>
              <w:t>冀财建【</w:t>
            </w:r>
            <w:r>
              <w:t>2025</w:t>
            </w:r>
            <w:r>
              <w:rPr>
                <w:rFonts w:hint="eastAsia"/>
              </w:rPr>
              <w:t>】</w:t>
            </w:r>
            <w:r>
              <w:t>229</w:t>
            </w:r>
            <w:r>
              <w:rPr>
                <w:rFonts w:hint="eastAsia"/>
              </w:rPr>
              <w:t>号清算</w:t>
            </w:r>
            <w:r>
              <w:t>2025</w:t>
            </w:r>
            <w:r>
              <w:rPr>
                <w:rFonts w:hint="eastAsia"/>
              </w:rPr>
              <w:t>年城市公交车差异化补贴资金</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0.08</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0.08</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为保障城乡公交班线稳定运行</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0.08</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为保障城乡公交班线稳定运行</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发放车辆数</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实际发放车辆数</w:t>
            </w:r>
          </w:p>
        </w:tc>
        <w:tc>
          <w:tcPr>
            <w:tcW w:w="2268" w:type="dxa"/>
            <w:tcBorders>
              <w:left w:val="single" w:sz="6" w:space="0" w:color="000000"/>
              <w:right w:val="single" w:sz="6" w:space="0" w:color="000000"/>
            </w:tcBorders>
            <w:vAlign w:val="center"/>
          </w:tcPr>
          <w:p>
            <w:pPr>
              <w:pStyle w:val="20"/>
              <w:rPr>
                <w:rFonts w:cs="Times New Roman"/>
              </w:rPr>
            </w:pPr>
            <w:r>
              <w:t>3</w:t>
            </w:r>
            <w:r>
              <w:rPr>
                <w:rFonts w:hint="eastAsia"/>
              </w:rPr>
              <w:t>辆</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项目工程验收合格率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项目实际完工验收质量合格率</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项目工程完成及时率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及时完成量占应完成量的比率</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经济提高能力</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县城经济水平有所提升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明显提升</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城内公交车运行率（</w:t>
            </w:r>
            <w:r>
              <w:t>%</w:t>
            </w: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项目完成后城内公交全部运行</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公交车运行对减少污染的作用</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项目完成后对环境污染到达效果</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基本公共服务水平</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为人民出行提供有力保障</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明显提升</w:t>
            </w:r>
          </w:p>
        </w:tc>
        <w:tc>
          <w:tcPr>
            <w:tcW w:w="1276" w:type="dxa"/>
            <w:vAlign w:val="center"/>
          </w:tcPr>
          <w:p>
            <w:pPr>
              <w:pStyle w:val="20"/>
              <w:rPr>
                <w:rFonts w:cs="Times New Roman"/>
              </w:rPr>
            </w:pPr>
            <w:r>
              <w:rPr>
                <w:rFonts w:hint="eastAsia"/>
              </w:rPr>
              <w:t>计划标准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群众满意度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群众满意数量占总数的比例</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4</w:t>
      </w:r>
      <w:r>
        <w:rPr>
          <w:rFonts w:ascii="方正仿宋_GBK" w:eastAsia="方正仿宋_GBK" w:cs="方正仿宋_GBK" w:hAnsi="方正仿宋_GBK" w:hint="eastAsia"/>
          <w:b/>
          <w:bCs/>
          <w:color w:val="000000"/>
          <w:sz w:val="28"/>
          <w:szCs w:val="28"/>
        </w:rPr>
        <w:t>、国省干线日常养护资金绩效目标表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13012526P00UR0U100046</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国省干线日常养护资金</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292.28</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292.28</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通过实施普通国省干线公路日常养护，全面提升普通干线公路技术状况水平，进一步完善公路通行环境和安全水平，进一步提升公路通行能力。</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74.00</w:t>
            </w:r>
          </w:p>
        </w:tc>
        <w:tc>
          <w:tcPr>
            <w:tcW w:w="2835" w:type="dxa"/>
            <w:tcBorders>
              <w:left w:val="single" w:sz="6" w:space="0" w:color="000000"/>
              <w:right w:val="single" w:sz="6" w:space="0" w:color="000000"/>
            </w:tcBorders>
            <w:vAlign w:val="center"/>
          </w:tcPr>
          <w:p>
            <w:pPr>
              <w:pStyle w:val="21"/>
            </w:pPr>
            <w:r>
              <w:t>148.00</w:t>
            </w:r>
          </w:p>
        </w:tc>
        <w:tc>
          <w:tcPr>
            <w:tcW w:w="2551" w:type="dxa"/>
            <w:tcBorders>
              <w:left w:val="single" w:sz="6" w:space="0" w:color="000000"/>
              <w:right w:val="single" w:sz="6" w:space="0" w:color="000000"/>
            </w:tcBorders>
            <w:vAlign w:val="center"/>
          </w:tcPr>
          <w:p>
            <w:pPr>
              <w:pStyle w:val="21"/>
            </w:pPr>
            <w:r>
              <w:t>222.00</w:t>
            </w:r>
          </w:p>
        </w:tc>
        <w:tc>
          <w:tcPr>
            <w:tcW w:w="3544" w:type="dxa"/>
            <w:gridSpan w:val="2"/>
            <w:vAlign w:val="center"/>
          </w:tcPr>
          <w:p>
            <w:pPr>
              <w:pStyle w:val="21"/>
            </w:pPr>
            <w:r>
              <w:t>292.28</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通过实施普通国省干线公路日常养护，全面提升普通干线公路技术状况水平，进一步完善公路通行环境和安全水平，进一步提升公路通行能力。</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普通干线公路养护里程</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养护里程</w:t>
            </w:r>
          </w:p>
        </w:tc>
        <w:tc>
          <w:tcPr>
            <w:tcW w:w="2268" w:type="dxa"/>
            <w:tcBorders>
              <w:left w:val="single" w:sz="6" w:space="0" w:color="000000"/>
              <w:right w:val="single" w:sz="6" w:space="0" w:color="000000"/>
            </w:tcBorders>
            <w:vAlign w:val="center"/>
          </w:tcPr>
          <w:p>
            <w:pPr>
              <w:pStyle w:val="20"/>
              <w:rPr>
                <w:rFonts w:cs="Times New Roman"/>
              </w:rPr>
            </w:pPr>
            <w:r>
              <w:t>140.17</w:t>
            </w:r>
            <w:r>
              <w:rPr>
                <w:rFonts w:hint="eastAsia"/>
              </w:rPr>
              <w:t>公里</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普通干线公日常养护覆盖率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国省干线公路养护占养护总里程的比率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普通干线公路养护质量合格情况</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普通干线公路养护质量合格占养护里程的比率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合格</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日常公路养护按时完成率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及时完成日常养护占全年养护的比率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养护投资额</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普通干线公路养护投资占预算的比率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不高于预算</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对地区经济增长的贡献程度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对国省干线沿线经济增长贡献程度明显</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经验标准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对国省干线道路安全事故下降是否带来改善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国省干线道路安全事故发生带来明显下降</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经验标准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对当地扬尘污染治理是否带来改善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国省干线扬尘污染带来有效改善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经验标准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受益人群对项目满意度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调查问卷中满意和较满意人数占全部调查问卷人数的比率</w:t>
            </w:r>
          </w:p>
        </w:tc>
        <w:tc>
          <w:tcPr>
            <w:tcW w:w="2268" w:type="dxa"/>
            <w:tcBorders>
              <w:left w:val="single" w:sz="6" w:space="0" w:color="000000"/>
              <w:right w:val="single" w:sz="6" w:space="0" w:color="000000"/>
            </w:tcBorders>
            <w:vAlign w:val="center"/>
          </w:tcPr>
          <w:p>
            <w:pPr>
              <w:pStyle w:val="20"/>
            </w:pPr>
            <w:r>
              <w:rPr>
                <w:rFonts w:hint="eastAsia"/>
              </w:rPr>
              <w:t>≥</w:t>
            </w:r>
            <w:r>
              <w:t>90%</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5</w:t>
      </w:r>
      <w:r>
        <w:rPr>
          <w:rFonts w:ascii="方正仿宋_GBK" w:eastAsia="方正仿宋_GBK" w:cs="方正仿宋_GBK" w:hAnsi="方正仿宋_GBK" w:hint="eastAsia"/>
          <w:b/>
          <w:bCs/>
          <w:color w:val="000000"/>
          <w:sz w:val="28"/>
          <w:szCs w:val="28"/>
        </w:rPr>
        <w:t>、冀财建</w:t>
      </w:r>
      <w:r>
        <w:rPr>
          <w:rFonts w:ascii="方正仿宋_GBK" w:eastAsia="方正仿宋_GBK" w:cs="方正仿宋_GBK" w:hAnsi="方正仿宋_GBK"/>
          <w:b/>
          <w:bCs/>
          <w:color w:val="000000"/>
          <w:sz w:val="28"/>
          <w:szCs w:val="28"/>
        </w:rPr>
        <w:t>[2025]234</w:t>
      </w:r>
      <w:r>
        <w:rPr>
          <w:rFonts w:ascii="方正仿宋_GBK" w:eastAsia="方正仿宋_GBK" w:cs="方正仿宋_GBK" w:hAnsi="方正仿宋_GBK" w:hint="eastAsia"/>
          <w:b/>
          <w:bCs/>
          <w:color w:val="000000"/>
          <w:sz w:val="28"/>
          <w:szCs w:val="28"/>
        </w:rPr>
        <w:t>号提前下达</w:t>
      </w:r>
      <w:r>
        <w:rPr>
          <w:rFonts w:ascii="方正仿宋_GBK" w:eastAsia="方正仿宋_GBK" w:cs="方正仿宋_GBK" w:hAnsi="方正仿宋_GBK"/>
          <w:b/>
          <w:bCs/>
          <w:color w:val="000000"/>
          <w:sz w:val="28"/>
          <w:szCs w:val="28"/>
        </w:rPr>
        <w:t>2026</w:t>
      </w:r>
      <w:r>
        <w:rPr>
          <w:rFonts w:ascii="方正仿宋_GBK" w:eastAsia="方正仿宋_GBK" w:cs="方正仿宋_GBK" w:hAnsi="方正仿宋_GBK" w:hint="eastAsia"/>
          <w:b/>
          <w:bCs/>
          <w:color w:val="000000"/>
          <w:sz w:val="28"/>
          <w:szCs w:val="28"/>
        </w:rPr>
        <w:t>年普通国省干线公路建设养护发展专项资金（普通国省干线公路日常养护补助资金）绩效目标表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13012526P00000710022X</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冀财建</w:t>
            </w:r>
            <w:r>
              <w:t>[2025]234</w:t>
            </w:r>
            <w:r>
              <w:rPr>
                <w:rFonts w:hint="eastAsia"/>
              </w:rPr>
              <w:t>号提前下达</w:t>
            </w:r>
            <w:r>
              <w:t>2026</w:t>
            </w:r>
            <w:r>
              <w:rPr>
                <w:rFonts w:hint="eastAsia"/>
              </w:rPr>
              <w:t>年普通国省干线公路建设养护发展专项资金（普通国省干线公路日常养护补助资金）</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339.00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339.00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通过实施普通国省干线公路日常养护，全面提升普通干线公路技术状况水平，进一步完善公路通行环境和安全水平，进一步提升公路通行能力。</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85.00</w:t>
            </w:r>
          </w:p>
        </w:tc>
        <w:tc>
          <w:tcPr>
            <w:tcW w:w="2835" w:type="dxa"/>
            <w:tcBorders>
              <w:left w:val="single" w:sz="6" w:space="0" w:color="000000"/>
              <w:right w:val="single" w:sz="6" w:space="0" w:color="000000"/>
            </w:tcBorders>
            <w:vAlign w:val="center"/>
          </w:tcPr>
          <w:p>
            <w:pPr>
              <w:pStyle w:val="21"/>
            </w:pPr>
            <w:r>
              <w:t>170.00</w:t>
            </w:r>
          </w:p>
        </w:tc>
        <w:tc>
          <w:tcPr>
            <w:tcW w:w="2551" w:type="dxa"/>
            <w:tcBorders>
              <w:left w:val="single" w:sz="6" w:space="0" w:color="000000"/>
              <w:right w:val="single" w:sz="6" w:space="0" w:color="000000"/>
            </w:tcBorders>
            <w:vAlign w:val="center"/>
          </w:tcPr>
          <w:p>
            <w:pPr>
              <w:pStyle w:val="21"/>
            </w:pPr>
            <w:r>
              <w:t>255.00</w:t>
            </w:r>
          </w:p>
        </w:tc>
        <w:tc>
          <w:tcPr>
            <w:tcW w:w="3544" w:type="dxa"/>
            <w:gridSpan w:val="2"/>
            <w:vAlign w:val="center"/>
          </w:tcPr>
          <w:p>
            <w:pPr>
              <w:pStyle w:val="21"/>
            </w:pPr>
            <w:r>
              <w:t>339.00</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通过实施普通国省干线公路日常养护，全面提升普通干线公路技术状况水平，进一步完善公路通行环境和安全水平，进一步提升公路通行能力。</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普通干线公路养护里程</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养护里程</w:t>
            </w:r>
          </w:p>
        </w:tc>
        <w:tc>
          <w:tcPr>
            <w:tcW w:w="2268" w:type="dxa"/>
            <w:tcBorders>
              <w:left w:val="single" w:sz="6" w:space="0" w:color="000000"/>
              <w:right w:val="single" w:sz="6" w:space="0" w:color="000000"/>
            </w:tcBorders>
            <w:vAlign w:val="center"/>
          </w:tcPr>
          <w:p>
            <w:pPr>
              <w:pStyle w:val="20"/>
              <w:rPr>
                <w:rFonts w:cs="Times New Roman"/>
              </w:rPr>
            </w:pPr>
            <w:r>
              <w:t>140.17</w:t>
            </w:r>
            <w:r>
              <w:rPr>
                <w:rFonts w:hint="eastAsia"/>
              </w:rPr>
              <w:t>公里</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普通干线公日常养护覆盖率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国省干线公路养护占养护总里程的比率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普通干线公路养护质量合格情况</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普通干线公路养护质量合格占养护里程的比率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合格</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日常公路养护按时完成率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及时完成日常养护占全年养护的比率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养护投资额</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普通干线公路养护投资占预算的比率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不高于预算</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对地区经济增长的贡献程度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对国省干线沿线经济增长贡献程度明显</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经验标准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对国省干线道路安全事故下降是否带来改善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国省干线道路安全事故发生带来明显下降</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经验标准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对当地扬尘污染治理是否带来改善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国省干线扬尘污染带来有效改善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经验标准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受益人群对项目满意度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调查问卷中满意和较满意人数占全部调查问卷人数的比率</w:t>
            </w:r>
          </w:p>
        </w:tc>
        <w:tc>
          <w:tcPr>
            <w:tcW w:w="2268" w:type="dxa"/>
            <w:tcBorders>
              <w:left w:val="single" w:sz="6" w:space="0" w:color="000000"/>
              <w:right w:val="single" w:sz="6" w:space="0" w:color="000000"/>
            </w:tcBorders>
            <w:vAlign w:val="center"/>
          </w:tcPr>
          <w:p>
            <w:pPr>
              <w:pStyle w:val="20"/>
            </w:pPr>
            <w:r>
              <w:rPr>
                <w:rFonts w:hint="eastAsia"/>
              </w:rPr>
              <w:t>≥</w:t>
            </w:r>
            <w:r>
              <w:t>90%</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6</w:t>
      </w:r>
      <w:r>
        <w:rPr>
          <w:rFonts w:ascii="方正仿宋_GBK" w:eastAsia="方正仿宋_GBK" w:cs="方正仿宋_GBK" w:hAnsi="方正仿宋_GBK" w:hint="eastAsia"/>
          <w:b/>
          <w:bCs/>
          <w:color w:val="000000"/>
          <w:sz w:val="28"/>
          <w:szCs w:val="28"/>
        </w:rPr>
        <w:t>、冀财建【</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234</w:t>
      </w:r>
      <w:r>
        <w:rPr>
          <w:rFonts w:ascii="方正仿宋_GBK" w:eastAsia="方正仿宋_GBK" w:cs="方正仿宋_GBK" w:hAnsi="方正仿宋_GBK" w:hint="eastAsia"/>
          <w:b/>
          <w:bCs/>
          <w:color w:val="000000"/>
          <w:sz w:val="28"/>
          <w:szCs w:val="28"/>
        </w:rPr>
        <w:t>号提前下达</w:t>
      </w:r>
      <w:r>
        <w:rPr>
          <w:rFonts w:ascii="方正仿宋_GBK" w:eastAsia="方正仿宋_GBK" w:cs="方正仿宋_GBK" w:hAnsi="方正仿宋_GBK"/>
          <w:b/>
          <w:bCs/>
          <w:color w:val="000000"/>
          <w:sz w:val="28"/>
          <w:szCs w:val="28"/>
        </w:rPr>
        <w:t>2026</w:t>
      </w:r>
      <w:r>
        <w:rPr>
          <w:rFonts w:ascii="方正仿宋_GBK" w:eastAsia="方正仿宋_GBK" w:cs="方正仿宋_GBK" w:hAnsi="方正仿宋_GBK" w:hint="eastAsia"/>
          <w:b/>
          <w:bCs/>
          <w:color w:val="000000"/>
          <w:sz w:val="28"/>
          <w:szCs w:val="28"/>
        </w:rPr>
        <w:t>年普通国省干线公路建设养护发展专项资金（治超工作补助）绩效目标表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13012526P00UR0U10002Y</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冀财建【</w:t>
            </w:r>
            <w:r>
              <w:t>2025</w:t>
            </w:r>
            <w:r>
              <w:rPr>
                <w:rFonts w:hint="eastAsia"/>
              </w:rPr>
              <w:t>】</w:t>
            </w:r>
            <w:r>
              <w:t>234</w:t>
            </w:r>
            <w:r>
              <w:rPr>
                <w:rFonts w:hint="eastAsia"/>
              </w:rPr>
              <w:t>号提前下达</w:t>
            </w:r>
            <w:r>
              <w:t>2026</w:t>
            </w:r>
            <w:r>
              <w:rPr>
                <w:rFonts w:hint="eastAsia"/>
              </w:rPr>
              <w:t>年普通国省干线公路建设养护发展专项资金（治超工作补助）</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110.00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110.00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按照广泛宣传、统一行动、多方合作，对车辆超限超载进行综合治理，坚决打击车辆超限超载违法行为，确保治超工作开展顺利，全额用于治超站点。</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40.00</w:t>
            </w:r>
          </w:p>
        </w:tc>
        <w:tc>
          <w:tcPr>
            <w:tcW w:w="2835" w:type="dxa"/>
            <w:tcBorders>
              <w:left w:val="single" w:sz="6" w:space="0" w:color="000000"/>
              <w:right w:val="single" w:sz="6" w:space="0" w:color="000000"/>
            </w:tcBorders>
            <w:vAlign w:val="center"/>
          </w:tcPr>
          <w:p>
            <w:pPr>
              <w:pStyle w:val="21"/>
            </w:pPr>
            <w:r>
              <w:t>80.00</w:t>
            </w:r>
          </w:p>
        </w:tc>
        <w:tc>
          <w:tcPr>
            <w:tcW w:w="2551" w:type="dxa"/>
            <w:tcBorders>
              <w:left w:val="single" w:sz="6" w:space="0" w:color="000000"/>
              <w:right w:val="single" w:sz="6" w:space="0" w:color="000000"/>
            </w:tcBorders>
            <w:vAlign w:val="center"/>
          </w:tcPr>
          <w:p>
            <w:pPr>
              <w:pStyle w:val="21"/>
            </w:pPr>
            <w:r>
              <w:t>110.00</w:t>
            </w:r>
          </w:p>
        </w:tc>
        <w:tc>
          <w:tcPr>
            <w:tcW w:w="3544" w:type="dxa"/>
            <w:gridSpan w:val="2"/>
            <w:vAlign w:val="center"/>
          </w:tcPr>
          <w:p>
            <w:pPr>
              <w:pStyle w:val="21"/>
            </w:pPr>
            <w:r>
              <w:t xml:space="preserve"> </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按照广泛宣传、统一行动、多方合作，对车辆超限超载进行综合治理，坚决打击车辆超限超载违法行为，确保治超工作开展顺利，全额用于治超站点。</w:t>
            </w:r>
          </w:p>
          <w:p>
            <w:pPr>
              <w:pStyle w:val="20"/>
              <w:rPr>
                <w:rFonts w:cs="Times New Roman"/>
              </w:rPr>
            </w:pPr>
            <w:r>
              <w:t>2.</w:t>
            </w:r>
            <w:r>
              <w:rPr>
                <w:rFonts w:hint="eastAsia"/>
              </w:rPr>
              <w:t>为了保护公路路面没确保公路使用年限。</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治超站数量</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用于两个治超站</w:t>
            </w:r>
          </w:p>
        </w:tc>
        <w:tc>
          <w:tcPr>
            <w:tcW w:w="2268" w:type="dxa"/>
            <w:tcBorders>
              <w:left w:val="single" w:sz="6" w:space="0" w:color="000000"/>
              <w:right w:val="single" w:sz="6" w:space="0" w:color="000000"/>
            </w:tcBorders>
            <w:vAlign w:val="center"/>
          </w:tcPr>
          <w:p>
            <w:pPr>
              <w:pStyle w:val="20"/>
              <w:rPr>
                <w:rFonts w:cs="Times New Roman"/>
              </w:rPr>
            </w:pPr>
            <w:r>
              <w:t>2</w:t>
            </w:r>
            <w:r>
              <w:rPr>
                <w:rFonts w:hint="eastAsia"/>
              </w:rPr>
              <w:t>个</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优良率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结项鉴定优秀等级项目数量占结项总数</w:t>
            </w:r>
          </w:p>
        </w:tc>
        <w:tc>
          <w:tcPr>
            <w:tcW w:w="2268" w:type="dxa"/>
            <w:tcBorders>
              <w:left w:val="single" w:sz="6" w:space="0" w:color="000000"/>
              <w:right w:val="single" w:sz="6" w:space="0" w:color="000000"/>
            </w:tcBorders>
            <w:vAlign w:val="center"/>
          </w:tcPr>
          <w:p>
            <w:pPr>
              <w:pStyle w:val="20"/>
            </w:pPr>
            <w:r>
              <w:rPr>
                <w:rFonts w:hint="eastAsia"/>
              </w:rPr>
              <w:t>≥</w:t>
            </w:r>
            <w:r>
              <w:t>99%</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各项任务完成及时率（</w:t>
            </w:r>
            <w:r>
              <w:t>%</w:t>
            </w: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各项任务完成及时率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工作开展顺利</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确保治超工作开展顺利</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对经济发展促进的作用</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对当地扬尘治理明显改善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效果明显</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基本公共服务水平</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为人民出行提供有力保障</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明显提升</w:t>
            </w:r>
          </w:p>
        </w:tc>
        <w:tc>
          <w:tcPr>
            <w:tcW w:w="1276" w:type="dxa"/>
            <w:vAlign w:val="center"/>
          </w:tcPr>
          <w:p>
            <w:pPr>
              <w:pStyle w:val="20"/>
              <w:rPr>
                <w:rFonts w:cs="Times New Roman"/>
              </w:rPr>
            </w:pPr>
            <w:r>
              <w:rPr>
                <w:rFonts w:hint="eastAsia"/>
              </w:rPr>
              <w:t>计划标准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群众满意度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群众满意数量占总数的比例</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7</w:t>
      </w:r>
      <w:r>
        <w:rPr>
          <w:rFonts w:ascii="方正仿宋_GBK" w:eastAsia="方正仿宋_GBK" w:cs="方正仿宋_GBK" w:hAnsi="方正仿宋_GBK" w:hint="eastAsia"/>
          <w:b/>
          <w:bCs/>
          <w:color w:val="000000"/>
          <w:sz w:val="28"/>
          <w:szCs w:val="28"/>
        </w:rPr>
        <w:t>、冀财建【</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234</w:t>
      </w:r>
      <w:r>
        <w:rPr>
          <w:rFonts w:ascii="方正仿宋_GBK" w:eastAsia="方正仿宋_GBK" w:cs="方正仿宋_GBK" w:hAnsi="方正仿宋_GBK" w:hint="eastAsia"/>
          <w:b/>
          <w:bCs/>
          <w:color w:val="000000"/>
          <w:sz w:val="28"/>
          <w:szCs w:val="28"/>
        </w:rPr>
        <w:t>号提前下达</w:t>
      </w:r>
      <w:r>
        <w:rPr>
          <w:rFonts w:ascii="方正仿宋_GBK" w:eastAsia="方正仿宋_GBK" w:cs="方正仿宋_GBK" w:hAnsi="方正仿宋_GBK"/>
          <w:b/>
          <w:bCs/>
          <w:color w:val="000000"/>
          <w:sz w:val="28"/>
          <w:szCs w:val="28"/>
        </w:rPr>
        <w:t>2026</w:t>
      </w:r>
      <w:r>
        <w:rPr>
          <w:rFonts w:ascii="方正仿宋_GBK" w:eastAsia="方正仿宋_GBK" w:cs="方正仿宋_GBK" w:hAnsi="方正仿宋_GBK" w:hint="eastAsia"/>
          <w:b/>
          <w:bCs/>
          <w:color w:val="000000"/>
          <w:sz w:val="28"/>
          <w:szCs w:val="28"/>
        </w:rPr>
        <w:t>年普通国省干线公路建设养护发展专项资金（治理非现场检测点建设补助）绩效目标表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13012526P00UR0U10003J</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冀财建【</w:t>
            </w:r>
            <w:r>
              <w:t>2025</w:t>
            </w:r>
            <w:r>
              <w:rPr>
                <w:rFonts w:hint="eastAsia"/>
              </w:rPr>
              <w:t>】</w:t>
            </w:r>
            <w:r>
              <w:t>234</w:t>
            </w:r>
            <w:r>
              <w:rPr>
                <w:rFonts w:hint="eastAsia"/>
              </w:rPr>
              <w:t>号提前下达</w:t>
            </w:r>
            <w:r>
              <w:t>2026</w:t>
            </w:r>
            <w:r>
              <w:rPr>
                <w:rFonts w:hint="eastAsia"/>
              </w:rPr>
              <w:t>年普通国省干线公路建设养护发展专项资金（治理非现场检测点建设补助）</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160.00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160.00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非现场执法检测点设备建设</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40.00</w:t>
            </w:r>
          </w:p>
        </w:tc>
        <w:tc>
          <w:tcPr>
            <w:tcW w:w="2835" w:type="dxa"/>
            <w:tcBorders>
              <w:left w:val="single" w:sz="6" w:space="0" w:color="000000"/>
              <w:right w:val="single" w:sz="6" w:space="0" w:color="000000"/>
            </w:tcBorders>
            <w:vAlign w:val="center"/>
          </w:tcPr>
          <w:p>
            <w:pPr>
              <w:pStyle w:val="21"/>
            </w:pPr>
            <w:r>
              <w:t>80.00</w:t>
            </w:r>
          </w:p>
        </w:tc>
        <w:tc>
          <w:tcPr>
            <w:tcW w:w="2551" w:type="dxa"/>
            <w:tcBorders>
              <w:left w:val="single" w:sz="6" w:space="0" w:color="000000"/>
              <w:right w:val="single" w:sz="6" w:space="0" w:color="000000"/>
            </w:tcBorders>
            <w:vAlign w:val="center"/>
          </w:tcPr>
          <w:p>
            <w:pPr>
              <w:pStyle w:val="21"/>
            </w:pPr>
            <w:r>
              <w:t>120.00</w:t>
            </w:r>
          </w:p>
        </w:tc>
        <w:tc>
          <w:tcPr>
            <w:tcW w:w="3544" w:type="dxa"/>
            <w:gridSpan w:val="2"/>
            <w:vAlign w:val="center"/>
          </w:tcPr>
          <w:p>
            <w:pPr>
              <w:pStyle w:val="21"/>
            </w:pPr>
            <w:r>
              <w:t>160.00</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非现场执法检测点设备建设</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非现场执法建设项目</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项目数量</w:t>
            </w:r>
          </w:p>
        </w:tc>
        <w:tc>
          <w:tcPr>
            <w:tcW w:w="2268" w:type="dxa"/>
            <w:tcBorders>
              <w:left w:val="single" w:sz="6" w:space="0" w:color="000000"/>
              <w:right w:val="single" w:sz="6" w:space="0" w:color="000000"/>
            </w:tcBorders>
            <w:vAlign w:val="center"/>
          </w:tcPr>
          <w:p>
            <w:pPr>
              <w:pStyle w:val="20"/>
              <w:rPr>
                <w:rFonts w:cs="Times New Roman"/>
              </w:rPr>
            </w:pPr>
            <w:r>
              <w:t>1</w:t>
            </w:r>
            <w:r>
              <w:rPr>
                <w:rFonts w:hint="eastAsia"/>
              </w:rPr>
              <w:t>个</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完成工作质量</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结项鉴定优秀等级项目数量占结项总数</w:t>
            </w:r>
          </w:p>
        </w:tc>
        <w:tc>
          <w:tcPr>
            <w:tcW w:w="2268" w:type="dxa"/>
            <w:tcBorders>
              <w:left w:val="single" w:sz="6" w:space="0" w:color="000000"/>
              <w:right w:val="single" w:sz="6" w:space="0" w:color="000000"/>
            </w:tcBorders>
            <w:vAlign w:val="center"/>
          </w:tcPr>
          <w:p>
            <w:pPr>
              <w:pStyle w:val="20"/>
            </w:pPr>
            <w:r>
              <w:rPr>
                <w:rFonts w:hint="eastAsia"/>
              </w:rPr>
              <w:t>≥</w:t>
            </w:r>
            <w:r>
              <w:t>99%</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完成工作所需时间</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完成金额</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各项任务完成及时率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产生重要影响得到广大受众认可</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确保治超工作开展顺利</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改善交通状况持续时间</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对当地扬尘治理明显改善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效果明显</w:t>
            </w:r>
          </w:p>
        </w:tc>
        <w:tc>
          <w:tcPr>
            <w:tcW w:w="1276" w:type="dxa"/>
            <w:vAlign w:val="center"/>
          </w:tcPr>
          <w:p>
            <w:pPr>
              <w:pStyle w:val="20"/>
              <w:rPr>
                <w:rFonts w:cs="Times New Roman"/>
              </w:rPr>
            </w:pPr>
            <w:r>
              <w:rPr>
                <w:rFonts w:hint="eastAsia"/>
              </w:rPr>
              <w:t>计划标准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社会公众和服务对象满意度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群众满意数量占总数的比例</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8</w:t>
      </w:r>
      <w:r>
        <w:rPr>
          <w:rFonts w:ascii="方正仿宋_GBK" w:eastAsia="方正仿宋_GBK" w:cs="方正仿宋_GBK" w:hAnsi="方正仿宋_GBK" w:hint="eastAsia"/>
          <w:b/>
          <w:bCs/>
          <w:color w:val="000000"/>
          <w:sz w:val="28"/>
          <w:szCs w:val="28"/>
        </w:rPr>
        <w:t>、冀财建【</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235</w:t>
      </w:r>
      <w:r>
        <w:rPr>
          <w:rFonts w:ascii="方正仿宋_GBK" w:eastAsia="方正仿宋_GBK" w:cs="方正仿宋_GBK" w:hAnsi="方正仿宋_GBK" w:hint="eastAsia"/>
          <w:b/>
          <w:bCs/>
          <w:color w:val="000000"/>
          <w:sz w:val="28"/>
          <w:szCs w:val="28"/>
        </w:rPr>
        <w:t>号提前下达</w:t>
      </w:r>
      <w:r>
        <w:rPr>
          <w:rFonts w:ascii="方正仿宋_GBK" w:eastAsia="方正仿宋_GBK" w:cs="方正仿宋_GBK" w:hAnsi="方正仿宋_GBK"/>
          <w:b/>
          <w:bCs/>
          <w:color w:val="000000"/>
          <w:sz w:val="28"/>
          <w:szCs w:val="28"/>
        </w:rPr>
        <w:t>2026</w:t>
      </w:r>
      <w:r>
        <w:rPr>
          <w:rFonts w:ascii="方正仿宋_GBK" w:eastAsia="方正仿宋_GBK" w:cs="方正仿宋_GBK" w:hAnsi="方正仿宋_GBK" w:hint="eastAsia"/>
          <w:b/>
          <w:bCs/>
          <w:color w:val="000000"/>
          <w:sz w:val="28"/>
          <w:szCs w:val="28"/>
        </w:rPr>
        <w:t>年农村公路建设养护发展专项资金（建设改造补助）绩效目标表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13012526P000006100228</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冀财建【</w:t>
            </w:r>
            <w:r>
              <w:t>2025</w:t>
            </w:r>
            <w:r>
              <w:rPr>
                <w:rFonts w:hint="eastAsia"/>
              </w:rPr>
              <w:t>】</w:t>
            </w:r>
            <w:r>
              <w:t>235</w:t>
            </w:r>
            <w:r>
              <w:rPr>
                <w:rFonts w:hint="eastAsia"/>
              </w:rPr>
              <w:t>号提前下达</w:t>
            </w:r>
            <w:r>
              <w:t>2026</w:t>
            </w:r>
            <w:r>
              <w:rPr>
                <w:rFonts w:hint="eastAsia"/>
              </w:rPr>
              <w:t>年农村公路建设养护发展专项资金（建设改造补助）</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120.00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120.00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为建设农村道路建设，有效改善农村道路水平，提高农村群众满意度，改善农村交通出行，完善路网结构，缩短通行时间</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30.00</w:t>
            </w:r>
          </w:p>
        </w:tc>
        <w:tc>
          <w:tcPr>
            <w:tcW w:w="2835" w:type="dxa"/>
            <w:tcBorders>
              <w:left w:val="single" w:sz="6" w:space="0" w:color="000000"/>
              <w:right w:val="single" w:sz="6" w:space="0" w:color="000000"/>
            </w:tcBorders>
            <w:vAlign w:val="center"/>
          </w:tcPr>
          <w:p>
            <w:pPr>
              <w:pStyle w:val="21"/>
            </w:pPr>
            <w:r>
              <w:t>75.00</w:t>
            </w:r>
          </w:p>
        </w:tc>
        <w:tc>
          <w:tcPr>
            <w:tcW w:w="2551" w:type="dxa"/>
            <w:tcBorders>
              <w:left w:val="single" w:sz="6" w:space="0" w:color="000000"/>
              <w:right w:val="single" w:sz="6" w:space="0" w:color="000000"/>
            </w:tcBorders>
            <w:vAlign w:val="center"/>
          </w:tcPr>
          <w:p>
            <w:pPr>
              <w:pStyle w:val="21"/>
            </w:pPr>
            <w:r>
              <w:t>110.00</w:t>
            </w:r>
          </w:p>
        </w:tc>
        <w:tc>
          <w:tcPr>
            <w:tcW w:w="3544" w:type="dxa"/>
            <w:gridSpan w:val="2"/>
            <w:vAlign w:val="center"/>
          </w:tcPr>
          <w:p>
            <w:pPr>
              <w:pStyle w:val="21"/>
            </w:pPr>
            <w:r>
              <w:t>120.00</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为建设农村道路建设，有效改善农村道路水平，提高农村群众满意度，改善农村交通出行，完善路网结构，缩短通行时间</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新改建农村公路里程</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实际完成农村公路改建里程</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26.28</w:t>
            </w:r>
            <w:r>
              <w:rPr>
                <w:rFonts w:hint="eastAsia"/>
              </w:rPr>
              <w:t>公里</w:t>
            </w:r>
          </w:p>
        </w:tc>
        <w:tc>
          <w:tcPr>
            <w:tcW w:w="1276" w:type="dxa"/>
            <w:vAlign w:val="center"/>
          </w:tcPr>
          <w:p>
            <w:pPr>
              <w:pStyle w:val="20"/>
              <w:rPr>
                <w:rFonts w:cs="Times New Roman"/>
              </w:rPr>
            </w:pPr>
            <w:r>
              <w:rPr>
                <w:rFonts w:hint="eastAsia"/>
              </w:rPr>
              <w:t>测算指标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大修农村公路里程</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实际完成农村公路大修里程</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2.75</w:t>
            </w:r>
            <w:r>
              <w:rPr>
                <w:rFonts w:hint="eastAsia"/>
              </w:rPr>
              <w:t>公里</w:t>
            </w:r>
          </w:p>
        </w:tc>
        <w:tc>
          <w:tcPr>
            <w:tcW w:w="1276" w:type="dxa"/>
            <w:vAlign w:val="center"/>
          </w:tcPr>
          <w:p>
            <w:pPr>
              <w:pStyle w:val="20"/>
              <w:rPr>
                <w:rFonts w:cs="Times New Roman"/>
              </w:rPr>
            </w:pPr>
            <w:r>
              <w:rPr>
                <w:rFonts w:hint="eastAsia"/>
              </w:rPr>
              <w:t>测算指标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项目工程验收合格率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项目实际完工验收工程质量合格率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测算指标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项目工程完成及时率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及时完成工程量占应完成工程量的比率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测算指标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测算指标</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对地区经济增长的贡献程度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项目对所在地经济增长贡献程度</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计划指标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建制村通客车率（</w:t>
            </w:r>
            <w:r>
              <w:t>%</w:t>
            </w: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项目完工后满足各村通行</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计划指标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项目建成后是否对当地扬尘污染带来明显改善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项目完工后对当地扬尘污染带来明显改善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经验指标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项目建成后是否对当地经济持续性发展到来明显改善</w:t>
            </w:r>
          </w:p>
        </w:tc>
        <w:tc>
          <w:tcPr>
            <w:tcW w:w="5386" w:type="dxa"/>
            <w:tcBorders>
              <w:left w:val="single" w:sz="6" w:space="0" w:color="000000"/>
              <w:right w:val="single" w:sz="6" w:space="0" w:color="000000"/>
            </w:tcBorders>
            <w:vAlign w:val="center"/>
          </w:tcPr>
          <w:p>
            <w:pPr>
              <w:pStyle w:val="20"/>
              <w:rPr>
                <w:rFonts w:cs="Times New Roman"/>
              </w:rPr>
            </w:pPr>
            <w:r>
              <w:t xml:space="preserve"> </w:t>
            </w:r>
            <w:r>
              <w:rPr>
                <w:rFonts w:hint="eastAsia"/>
              </w:rPr>
              <w:t>项目完工后对当地经济持续性发展到来明显改善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计划指标</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受益村庄对日常出行满意度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社会调查中满意和较满意的社会群众占调查总人数的比率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9</w:t>
      </w:r>
      <w:r>
        <w:rPr>
          <w:rFonts w:ascii="方正仿宋_GBK" w:eastAsia="方正仿宋_GBK" w:cs="方正仿宋_GBK" w:hAnsi="方正仿宋_GBK" w:hint="eastAsia"/>
          <w:b/>
          <w:bCs/>
          <w:color w:val="000000"/>
          <w:sz w:val="28"/>
          <w:szCs w:val="28"/>
        </w:rPr>
        <w:t>、冀财建【</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235</w:t>
      </w:r>
      <w:r>
        <w:rPr>
          <w:rFonts w:ascii="方正仿宋_GBK" w:eastAsia="方正仿宋_GBK" w:cs="方正仿宋_GBK" w:hAnsi="方正仿宋_GBK" w:hint="eastAsia"/>
          <w:b/>
          <w:bCs/>
          <w:color w:val="000000"/>
          <w:sz w:val="28"/>
          <w:szCs w:val="28"/>
        </w:rPr>
        <w:t>号提前下达</w:t>
      </w:r>
      <w:r>
        <w:rPr>
          <w:rFonts w:ascii="方正仿宋_GBK" w:eastAsia="方正仿宋_GBK" w:cs="方正仿宋_GBK" w:hAnsi="方正仿宋_GBK"/>
          <w:b/>
          <w:bCs/>
          <w:color w:val="000000"/>
          <w:sz w:val="28"/>
          <w:szCs w:val="28"/>
        </w:rPr>
        <w:t>2026</w:t>
      </w:r>
      <w:r>
        <w:rPr>
          <w:rFonts w:ascii="方正仿宋_GBK" w:eastAsia="方正仿宋_GBK" w:cs="方正仿宋_GBK" w:hAnsi="方正仿宋_GBK" w:hint="eastAsia"/>
          <w:b/>
          <w:bCs/>
          <w:color w:val="000000"/>
          <w:sz w:val="28"/>
          <w:szCs w:val="28"/>
        </w:rPr>
        <w:t>年农村公路建设养护发展专项资金（日常养护补助）绩效目标表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13012526P00000610023U</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冀财建【</w:t>
            </w:r>
            <w:r>
              <w:t>2025</w:t>
            </w:r>
            <w:r>
              <w:rPr>
                <w:rFonts w:hint="eastAsia"/>
              </w:rPr>
              <w:t>】</w:t>
            </w:r>
            <w:r>
              <w:t>235</w:t>
            </w:r>
            <w:r>
              <w:rPr>
                <w:rFonts w:hint="eastAsia"/>
              </w:rPr>
              <w:t>号提前下达</w:t>
            </w:r>
            <w:r>
              <w:t>2026</w:t>
            </w:r>
            <w:r>
              <w:rPr>
                <w:rFonts w:hint="eastAsia"/>
              </w:rPr>
              <w:t>年农村公路建设养护发展专项资金（日常养护补助）</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66.00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66.00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用于农村公路日常清扫保洁，改善交通状况，方便群众出行。</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16.00</w:t>
            </w:r>
          </w:p>
        </w:tc>
        <w:tc>
          <w:tcPr>
            <w:tcW w:w="2835" w:type="dxa"/>
            <w:tcBorders>
              <w:left w:val="single" w:sz="6" w:space="0" w:color="000000"/>
              <w:right w:val="single" w:sz="6" w:space="0" w:color="000000"/>
            </w:tcBorders>
            <w:vAlign w:val="center"/>
          </w:tcPr>
          <w:p>
            <w:pPr>
              <w:pStyle w:val="21"/>
            </w:pPr>
            <w:r>
              <w:t>40.00</w:t>
            </w:r>
          </w:p>
        </w:tc>
        <w:tc>
          <w:tcPr>
            <w:tcW w:w="2551" w:type="dxa"/>
            <w:tcBorders>
              <w:left w:val="single" w:sz="6" w:space="0" w:color="000000"/>
              <w:right w:val="single" w:sz="6" w:space="0" w:color="000000"/>
            </w:tcBorders>
            <w:vAlign w:val="center"/>
          </w:tcPr>
          <w:p>
            <w:pPr>
              <w:pStyle w:val="21"/>
            </w:pPr>
            <w:r>
              <w:t>53.00</w:t>
            </w:r>
          </w:p>
        </w:tc>
        <w:tc>
          <w:tcPr>
            <w:tcW w:w="3544" w:type="dxa"/>
            <w:gridSpan w:val="2"/>
            <w:vAlign w:val="center"/>
          </w:tcPr>
          <w:p>
            <w:pPr>
              <w:pStyle w:val="21"/>
            </w:pPr>
            <w:r>
              <w:t>66.00</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用于农村公路日常清扫保洁，改善交通状况，方便群众出行。</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农村公路日常养护里程</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实际完成农村公路日常养护</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54.14</w:t>
            </w:r>
            <w:r>
              <w:rPr>
                <w:rFonts w:hint="eastAsia"/>
              </w:rPr>
              <w:t>公里</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农村公路日常养护合格率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农村公路日常养护质量合格的数量占日常养护总量的比例</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项目内子工程按时完工</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及时完成工程量占应完成工程量的比例</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实际支出金额占项目预算金额的比例</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对人民出行环境贡献程度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改善人民出行环境</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是否对当地扬尘污染带来明显改善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对当地扬尘污染带来明显改善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效果明显</w:t>
            </w:r>
          </w:p>
        </w:tc>
        <w:tc>
          <w:tcPr>
            <w:tcW w:w="1276" w:type="dxa"/>
            <w:vAlign w:val="center"/>
          </w:tcPr>
          <w:p>
            <w:pPr>
              <w:pStyle w:val="20"/>
              <w:rPr>
                <w:rFonts w:cs="Times New Roman"/>
              </w:rPr>
            </w:pPr>
            <w:r>
              <w:rPr>
                <w:rFonts w:hint="eastAsia"/>
              </w:rPr>
              <w:t>经验标准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受益村庄对日常出行满意度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社会调查中满意和较满意的社会群众占调查总人数的比率</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10</w:t>
      </w:r>
      <w:r>
        <w:rPr>
          <w:rFonts w:ascii="方正仿宋_GBK" w:eastAsia="方正仿宋_GBK" w:cs="方正仿宋_GBK" w:hAnsi="方正仿宋_GBK" w:hint="eastAsia"/>
          <w:b/>
          <w:bCs/>
          <w:color w:val="000000"/>
          <w:sz w:val="28"/>
          <w:szCs w:val="28"/>
        </w:rPr>
        <w:t>、冀财建【</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235</w:t>
      </w:r>
      <w:r>
        <w:rPr>
          <w:rFonts w:ascii="方正仿宋_GBK" w:eastAsia="方正仿宋_GBK" w:cs="方正仿宋_GBK" w:hAnsi="方正仿宋_GBK" w:hint="eastAsia"/>
          <w:b/>
          <w:bCs/>
          <w:color w:val="000000"/>
          <w:sz w:val="28"/>
          <w:szCs w:val="28"/>
        </w:rPr>
        <w:t>号提前下达</w:t>
      </w:r>
      <w:r>
        <w:rPr>
          <w:rFonts w:ascii="方正仿宋_GBK" w:eastAsia="方正仿宋_GBK" w:cs="方正仿宋_GBK" w:hAnsi="方正仿宋_GBK"/>
          <w:b/>
          <w:bCs/>
          <w:color w:val="000000"/>
          <w:sz w:val="28"/>
          <w:szCs w:val="28"/>
        </w:rPr>
        <w:t>2026</w:t>
      </w:r>
      <w:r>
        <w:rPr>
          <w:rFonts w:ascii="方正仿宋_GBK" w:eastAsia="方正仿宋_GBK" w:cs="方正仿宋_GBK" w:hAnsi="方正仿宋_GBK" w:hint="eastAsia"/>
          <w:b/>
          <w:bCs/>
          <w:color w:val="000000"/>
          <w:sz w:val="28"/>
          <w:szCs w:val="28"/>
        </w:rPr>
        <w:t>年农村公路建设养护发展专项资金（养护工程定额补助）绩效目标表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13012526P00000610024F</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冀财建【</w:t>
            </w:r>
            <w:r>
              <w:t>2025</w:t>
            </w:r>
            <w:r>
              <w:rPr>
                <w:rFonts w:hint="eastAsia"/>
              </w:rPr>
              <w:t>】</w:t>
            </w:r>
            <w:r>
              <w:t>235</w:t>
            </w:r>
            <w:r>
              <w:rPr>
                <w:rFonts w:hint="eastAsia"/>
              </w:rPr>
              <w:t>号提前下达</w:t>
            </w:r>
            <w:r>
              <w:t>2026</w:t>
            </w:r>
            <w:r>
              <w:rPr>
                <w:rFonts w:hint="eastAsia"/>
              </w:rPr>
              <w:t>年农村公路建设养护发展专项资金（养护工程定额补助）</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245.00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245.00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确保农村公路小修、挖补，桥梁维修加固等支出</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61.00</w:t>
            </w:r>
          </w:p>
        </w:tc>
        <w:tc>
          <w:tcPr>
            <w:tcW w:w="2835" w:type="dxa"/>
            <w:tcBorders>
              <w:left w:val="single" w:sz="6" w:space="0" w:color="000000"/>
              <w:right w:val="single" w:sz="6" w:space="0" w:color="000000"/>
            </w:tcBorders>
            <w:vAlign w:val="center"/>
          </w:tcPr>
          <w:p>
            <w:pPr>
              <w:pStyle w:val="21"/>
            </w:pPr>
            <w:r>
              <w:t>131.00</w:t>
            </w:r>
          </w:p>
        </w:tc>
        <w:tc>
          <w:tcPr>
            <w:tcW w:w="2551" w:type="dxa"/>
            <w:tcBorders>
              <w:left w:val="single" w:sz="6" w:space="0" w:color="000000"/>
              <w:right w:val="single" w:sz="6" w:space="0" w:color="000000"/>
            </w:tcBorders>
            <w:vAlign w:val="center"/>
          </w:tcPr>
          <w:p>
            <w:pPr>
              <w:pStyle w:val="21"/>
            </w:pPr>
            <w:r>
              <w:t>191.00</w:t>
            </w:r>
          </w:p>
        </w:tc>
        <w:tc>
          <w:tcPr>
            <w:tcW w:w="3544" w:type="dxa"/>
            <w:gridSpan w:val="2"/>
            <w:vAlign w:val="center"/>
          </w:tcPr>
          <w:p>
            <w:pPr>
              <w:pStyle w:val="21"/>
            </w:pPr>
            <w:r>
              <w:t>245.00</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确保农村公路小修、挖补，桥梁维修加固等支出</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农村公路养护工程量</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实际完成农村公路养护工程量</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54.14</w:t>
            </w:r>
            <w:r>
              <w:rPr>
                <w:rFonts w:hint="eastAsia"/>
              </w:rPr>
              <w:t>公里</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农村公路养护合格率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农村公路养护工程质量合格的数量占养护工程总数量的比例达</w:t>
            </w:r>
            <w:r>
              <w:t>90%</w:t>
            </w:r>
            <w:r>
              <w:rPr>
                <w:rFonts w:hint="eastAsia"/>
              </w:rPr>
              <w:t>以上</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项目工程完成及时率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及时完成工程量占应完成工程量的比率</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对地区经济增长的贡献程度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项目对所在地经济增长贡献程度</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对人民出行环境贡献程度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是否方便人民出行</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是</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项目建成后是否对当地扬尘污染带来明显改善</w:t>
            </w:r>
          </w:p>
        </w:tc>
        <w:tc>
          <w:tcPr>
            <w:tcW w:w="5386" w:type="dxa"/>
            <w:tcBorders>
              <w:left w:val="single" w:sz="6" w:space="0" w:color="000000"/>
              <w:right w:val="single" w:sz="6" w:space="0" w:color="000000"/>
            </w:tcBorders>
            <w:vAlign w:val="center"/>
          </w:tcPr>
          <w:p>
            <w:pPr>
              <w:pStyle w:val="20"/>
              <w:rPr>
                <w:rFonts w:cs="Times New Roman"/>
              </w:rPr>
            </w:pPr>
            <w:r>
              <w:t xml:space="preserve"> </w:t>
            </w:r>
            <w:r>
              <w:rPr>
                <w:rFonts w:hint="eastAsia"/>
              </w:rPr>
              <w:t>项目完工后对当地扬尘污染带来明显改善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项目建成后是否对当地经济持续性发展到来明显改善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项目完工后对当地经济持续性发展到来明显改善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效果显著</w:t>
            </w:r>
          </w:p>
        </w:tc>
        <w:tc>
          <w:tcPr>
            <w:tcW w:w="1276" w:type="dxa"/>
            <w:vAlign w:val="center"/>
          </w:tcPr>
          <w:p>
            <w:pPr>
              <w:pStyle w:val="20"/>
              <w:rPr>
                <w:rFonts w:cs="Times New Roman"/>
              </w:rPr>
            </w:pPr>
            <w:r>
              <w:rPr>
                <w:rFonts w:hint="eastAsia"/>
              </w:rPr>
              <w:t>经验标准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受益村庄对日常出行满意度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社会调查中满意和较满意的社会群众占调查总人数的比率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11</w:t>
      </w:r>
      <w:r>
        <w:rPr>
          <w:rFonts w:ascii="方正仿宋_GBK" w:eastAsia="方正仿宋_GBK" w:cs="方正仿宋_GBK" w:hAnsi="方正仿宋_GBK" w:hint="eastAsia"/>
          <w:b/>
          <w:bCs/>
          <w:color w:val="000000"/>
          <w:sz w:val="28"/>
          <w:szCs w:val="28"/>
        </w:rPr>
        <w:t>、冀财建【</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241</w:t>
      </w:r>
      <w:r>
        <w:rPr>
          <w:rFonts w:ascii="方正仿宋_GBK" w:eastAsia="方正仿宋_GBK" w:cs="方正仿宋_GBK" w:hAnsi="方正仿宋_GBK" w:hint="eastAsia"/>
          <w:b/>
          <w:bCs/>
          <w:color w:val="000000"/>
          <w:sz w:val="28"/>
          <w:szCs w:val="28"/>
        </w:rPr>
        <w:t>号提前下达</w:t>
      </w:r>
      <w:r>
        <w:rPr>
          <w:rFonts w:ascii="方正仿宋_GBK" w:eastAsia="方正仿宋_GBK" w:cs="方正仿宋_GBK" w:hAnsi="方正仿宋_GBK"/>
          <w:b/>
          <w:bCs/>
          <w:color w:val="000000"/>
          <w:sz w:val="28"/>
          <w:szCs w:val="28"/>
        </w:rPr>
        <w:t>2026</w:t>
      </w:r>
      <w:r>
        <w:rPr>
          <w:rFonts w:ascii="方正仿宋_GBK" w:eastAsia="方正仿宋_GBK" w:cs="方正仿宋_GBK" w:hAnsi="方正仿宋_GBK" w:hint="eastAsia"/>
          <w:b/>
          <w:bCs/>
          <w:color w:val="000000"/>
          <w:sz w:val="28"/>
          <w:szCs w:val="28"/>
        </w:rPr>
        <w:t>年交通运输领域专项资金预算（第一批）绩效目标表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13012526P000006100201</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冀财建【</w:t>
            </w:r>
            <w:r>
              <w:t>2025</w:t>
            </w:r>
            <w:r>
              <w:rPr>
                <w:rFonts w:hint="eastAsia"/>
              </w:rPr>
              <w:t>】</w:t>
            </w:r>
            <w:r>
              <w:t>241</w:t>
            </w:r>
            <w:r>
              <w:rPr>
                <w:rFonts w:hint="eastAsia"/>
              </w:rPr>
              <w:t>号提前下达</w:t>
            </w:r>
            <w:r>
              <w:t>2026</w:t>
            </w:r>
            <w:r>
              <w:rPr>
                <w:rFonts w:hint="eastAsia"/>
              </w:rPr>
              <w:t>年交通运输领域专项资金预算（第一批）</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425.00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425.00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为建设农村道路建设，有效改善农村道路水平，提高农村群众满意度，改善农村交通出行，完善路网结构，缩短通行时间</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106.00</w:t>
            </w:r>
          </w:p>
        </w:tc>
        <w:tc>
          <w:tcPr>
            <w:tcW w:w="2835" w:type="dxa"/>
            <w:tcBorders>
              <w:left w:val="single" w:sz="6" w:space="0" w:color="000000"/>
              <w:right w:val="single" w:sz="6" w:space="0" w:color="000000"/>
            </w:tcBorders>
            <w:vAlign w:val="center"/>
          </w:tcPr>
          <w:p>
            <w:pPr>
              <w:pStyle w:val="21"/>
            </w:pPr>
            <w:r>
              <w:t>326.00</w:t>
            </w:r>
          </w:p>
        </w:tc>
        <w:tc>
          <w:tcPr>
            <w:tcW w:w="2551" w:type="dxa"/>
            <w:tcBorders>
              <w:left w:val="single" w:sz="6" w:space="0" w:color="000000"/>
              <w:right w:val="single" w:sz="6" w:space="0" w:color="000000"/>
            </w:tcBorders>
            <w:vAlign w:val="center"/>
          </w:tcPr>
          <w:p>
            <w:pPr>
              <w:pStyle w:val="21"/>
            </w:pPr>
            <w:r>
              <w:t>376.00</w:t>
            </w:r>
          </w:p>
        </w:tc>
        <w:tc>
          <w:tcPr>
            <w:tcW w:w="3544" w:type="dxa"/>
            <w:gridSpan w:val="2"/>
            <w:vAlign w:val="center"/>
          </w:tcPr>
          <w:p>
            <w:pPr>
              <w:pStyle w:val="21"/>
            </w:pPr>
            <w:r>
              <w:t>425.00</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为建设农村道路建设，有效改善农村道路水平，提高农村群众满意度，改善农村交通出行，完善路网结构，缩短通行时间</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新改建农村公路里程</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实际完成农村公路改建里程</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26.28</w:t>
            </w:r>
            <w:r>
              <w:rPr>
                <w:rFonts w:hint="eastAsia"/>
              </w:rPr>
              <w:t>公里</w:t>
            </w:r>
          </w:p>
        </w:tc>
        <w:tc>
          <w:tcPr>
            <w:tcW w:w="1276" w:type="dxa"/>
            <w:vAlign w:val="center"/>
          </w:tcPr>
          <w:p>
            <w:pPr>
              <w:pStyle w:val="20"/>
              <w:rPr>
                <w:rFonts w:cs="Times New Roman"/>
              </w:rPr>
            </w:pPr>
            <w:r>
              <w:rPr>
                <w:rFonts w:hint="eastAsia"/>
              </w:rPr>
              <w:t>测算指标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大修农村公路里程</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实际完成农村公路大修里程</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2.75</w:t>
            </w:r>
            <w:r>
              <w:rPr>
                <w:rFonts w:hint="eastAsia"/>
              </w:rPr>
              <w:t>公里</w:t>
            </w:r>
          </w:p>
        </w:tc>
        <w:tc>
          <w:tcPr>
            <w:tcW w:w="1276" w:type="dxa"/>
            <w:vAlign w:val="center"/>
          </w:tcPr>
          <w:p>
            <w:pPr>
              <w:pStyle w:val="20"/>
              <w:rPr>
                <w:rFonts w:cs="Times New Roman"/>
              </w:rPr>
            </w:pPr>
            <w:r>
              <w:rPr>
                <w:rFonts w:hint="eastAsia"/>
              </w:rPr>
              <w:t>测算指标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项目工程验收合格率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项目实际完工验收工程质量合格率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测算指标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项目工程完成及时率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及时完成工程量占应完成工程量的比率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测算指标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测算指标</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对地区经济增长的贡献程度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项目对所在地经济增长贡献程度</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计划指标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建制村通客车率（</w:t>
            </w:r>
            <w:r>
              <w:t>%</w:t>
            </w: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项目完工后满足各村通行</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计划指标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项目建成后是否对当地扬尘污染带来明显改善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项目完工后对当地扬尘污染带来明显改善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经验指标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项目建成后是否对当地经济持续性发展到来明显改善</w:t>
            </w:r>
          </w:p>
        </w:tc>
        <w:tc>
          <w:tcPr>
            <w:tcW w:w="5386" w:type="dxa"/>
            <w:tcBorders>
              <w:left w:val="single" w:sz="6" w:space="0" w:color="000000"/>
              <w:right w:val="single" w:sz="6" w:space="0" w:color="000000"/>
            </w:tcBorders>
            <w:vAlign w:val="center"/>
          </w:tcPr>
          <w:p>
            <w:pPr>
              <w:pStyle w:val="20"/>
              <w:rPr>
                <w:rFonts w:cs="Times New Roman"/>
              </w:rPr>
            </w:pPr>
            <w:r>
              <w:t xml:space="preserve"> </w:t>
            </w:r>
            <w:r>
              <w:rPr>
                <w:rFonts w:hint="eastAsia"/>
              </w:rPr>
              <w:t>项目完工后对当地经济持续性发展到来明显改善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计划指标</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受益村庄对日常出行满意度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社会调查中满意和较满意的社会群众占调查总人数的比率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12</w:t>
      </w:r>
      <w:r>
        <w:rPr>
          <w:rFonts w:ascii="方正仿宋_GBK" w:eastAsia="方正仿宋_GBK" w:cs="方正仿宋_GBK" w:hAnsi="方正仿宋_GBK" w:hint="eastAsia"/>
          <w:b/>
          <w:bCs/>
          <w:color w:val="000000"/>
          <w:sz w:val="28"/>
          <w:szCs w:val="28"/>
        </w:rPr>
        <w:t>、冀财债【</w:t>
      </w:r>
      <w:r>
        <w:rPr>
          <w:rFonts w:ascii="方正仿宋_GBK" w:eastAsia="方正仿宋_GBK" w:cs="方正仿宋_GBK" w:hAnsi="方正仿宋_GBK"/>
          <w:b/>
          <w:bCs/>
          <w:color w:val="000000"/>
          <w:sz w:val="28"/>
          <w:szCs w:val="28"/>
        </w:rPr>
        <w:t>2024</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31</w:t>
      </w:r>
      <w:r>
        <w:rPr>
          <w:rFonts w:ascii="方正仿宋_GBK" w:eastAsia="方正仿宋_GBK" w:cs="方正仿宋_GBK" w:hAnsi="方正仿宋_GBK" w:hint="eastAsia"/>
          <w:b/>
          <w:bCs/>
          <w:color w:val="000000"/>
          <w:sz w:val="28"/>
          <w:szCs w:val="28"/>
        </w:rPr>
        <w:t>号行唐县外环路照明设施完善工程绩效目标表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13012526P00000710023H</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冀财债【</w:t>
            </w:r>
            <w:r>
              <w:t>2024</w:t>
            </w:r>
            <w:r>
              <w:rPr>
                <w:rFonts w:hint="eastAsia"/>
              </w:rPr>
              <w:t>】</w:t>
            </w:r>
            <w:r>
              <w:t>31</w:t>
            </w:r>
            <w:r>
              <w:rPr>
                <w:rFonts w:hint="eastAsia"/>
              </w:rPr>
              <w:t>号行唐县外环路照明设施完善工程</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5.10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5.10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完善外环路照明，保障群众安全出行</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5.10</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完善外环路照明设施，保障群众安全出行。</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安装单臂太阳能路灯的数量</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安装单臂太阳能路灯的数量</w:t>
            </w:r>
          </w:p>
        </w:tc>
        <w:tc>
          <w:tcPr>
            <w:tcW w:w="2268" w:type="dxa"/>
            <w:tcBorders>
              <w:left w:val="single" w:sz="6" w:space="0" w:color="000000"/>
              <w:right w:val="single" w:sz="6" w:space="0" w:color="000000"/>
            </w:tcBorders>
            <w:vAlign w:val="center"/>
          </w:tcPr>
          <w:p>
            <w:pPr>
              <w:pStyle w:val="20"/>
              <w:rPr>
                <w:rFonts w:cs="Times New Roman"/>
              </w:rPr>
            </w:pPr>
            <w:r>
              <w:t>544</w:t>
            </w:r>
            <w:r>
              <w:rPr>
                <w:rFonts w:hint="eastAsia"/>
              </w:rPr>
              <w:t>盏</w:t>
            </w:r>
          </w:p>
        </w:tc>
        <w:tc>
          <w:tcPr>
            <w:tcW w:w="1276" w:type="dxa"/>
            <w:vAlign w:val="center"/>
          </w:tcPr>
          <w:p>
            <w:pPr>
              <w:pStyle w:val="20"/>
              <w:rPr>
                <w:rFonts w:cs="Times New Roman"/>
              </w:rPr>
            </w:pPr>
            <w:r>
              <w:rPr>
                <w:rFonts w:hint="eastAsia"/>
              </w:rPr>
              <w:t>测算指标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路灯设施安装合格率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安装合格路灯占路灯总量的占比</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rPr>
                <w:rFonts w:cs="Times New Roman"/>
              </w:rPr>
            </w:pPr>
            <w:r>
              <w:rPr>
                <w:rFonts w:hint="eastAsia"/>
              </w:rPr>
              <w:t>测算指标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照明设施完善完成及时率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及时完善照明设施占总完善量的占比</w:t>
            </w:r>
          </w:p>
        </w:tc>
        <w:tc>
          <w:tcPr>
            <w:tcW w:w="2268" w:type="dxa"/>
            <w:tcBorders>
              <w:left w:val="single" w:sz="6" w:space="0" w:color="000000"/>
              <w:right w:val="single" w:sz="6" w:space="0" w:color="000000"/>
            </w:tcBorders>
            <w:vAlign w:val="center"/>
          </w:tcPr>
          <w:p>
            <w:pPr>
              <w:pStyle w:val="20"/>
            </w:pPr>
            <w:r>
              <w:rPr>
                <w:rFonts w:hint="eastAsia"/>
              </w:rPr>
              <w:t>≥</w:t>
            </w:r>
            <w:r>
              <w:t>65%</w:t>
            </w:r>
          </w:p>
        </w:tc>
        <w:tc>
          <w:tcPr>
            <w:tcW w:w="1276" w:type="dxa"/>
            <w:vAlign w:val="center"/>
          </w:tcPr>
          <w:p>
            <w:pPr>
              <w:pStyle w:val="20"/>
              <w:rPr>
                <w:rFonts w:cs="Times New Roman"/>
              </w:rPr>
            </w:pPr>
            <w:r>
              <w:rPr>
                <w:rFonts w:hint="eastAsia"/>
              </w:rPr>
              <w:t>测算指标</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对地区经济增长的贡献程度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项目对所在地经济增长贡献程度</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计划指标</w:t>
            </w:r>
            <w:r>
              <w:rPr>
                <w:rFonts w:cs="Times New Roman"/>
              </w:rPr>
              <w:tab/>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提高道路通行能力</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项目完工后改善群众出行条件</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计划指标</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项目完成后是否对当地经济持续性发展到来明显改善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项目完工后对当地经济持续性发展到来明显改善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计划指标</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pPr>
            <w:r>
              <w:t xml:space="preserve"> </w:t>
            </w:r>
            <w:r>
              <w:rPr>
                <w:rFonts w:hint="eastAsia"/>
              </w:rPr>
              <w:t>群众对日常出行满意度</w:t>
            </w:r>
            <w:r>
              <w:t xml:space="preserve"> </w:t>
            </w:r>
          </w:p>
        </w:tc>
        <w:tc>
          <w:tcPr>
            <w:tcW w:w="5386" w:type="dxa"/>
            <w:tcBorders>
              <w:left w:val="single" w:sz="6" w:space="0" w:color="000000"/>
              <w:right w:val="single" w:sz="6" w:space="0" w:color="000000"/>
            </w:tcBorders>
            <w:vAlign w:val="center"/>
          </w:tcPr>
          <w:p>
            <w:pPr>
              <w:pStyle w:val="20"/>
            </w:pPr>
            <w:r>
              <w:t xml:space="preserve"> </w:t>
            </w:r>
            <w:r>
              <w:rPr>
                <w:rFonts w:hint="eastAsia"/>
              </w:rPr>
              <w:t>群众对日常出行满意度</w:t>
            </w:r>
            <w:r>
              <w:t xml:space="preserve"> </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13</w:t>
      </w:r>
      <w:r>
        <w:rPr>
          <w:rFonts w:ascii="方正仿宋_GBK" w:eastAsia="方正仿宋_GBK" w:cs="方正仿宋_GBK" w:hAnsi="方正仿宋_GBK" w:hint="eastAsia"/>
          <w:b/>
          <w:bCs/>
          <w:color w:val="000000"/>
          <w:sz w:val="28"/>
          <w:szCs w:val="28"/>
        </w:rPr>
        <w:t>、冀财债【</w:t>
      </w:r>
      <w:r>
        <w:rPr>
          <w:rFonts w:ascii="方正仿宋_GBK" w:eastAsia="方正仿宋_GBK" w:cs="方正仿宋_GBK" w:hAnsi="方正仿宋_GBK"/>
          <w:b/>
          <w:bCs/>
          <w:color w:val="000000"/>
          <w:sz w:val="28"/>
          <w:szCs w:val="28"/>
        </w:rPr>
        <w:t>2025</w:t>
      </w:r>
      <w:r>
        <w:rPr>
          <w:rFonts w:ascii="方正仿宋_GBK" w:eastAsia="方正仿宋_GBK" w:cs="方正仿宋_GBK" w:hAnsi="方正仿宋_GBK" w:hint="eastAsia"/>
          <w:b/>
          <w:bCs/>
          <w:color w:val="000000"/>
          <w:sz w:val="28"/>
          <w:szCs w:val="28"/>
        </w:rPr>
        <w:t>】</w:t>
      </w:r>
      <w:r>
        <w:rPr>
          <w:rFonts w:ascii="方正仿宋_GBK" w:eastAsia="方正仿宋_GBK" w:cs="方正仿宋_GBK" w:hAnsi="方正仿宋_GBK"/>
          <w:b/>
          <w:bCs/>
          <w:color w:val="000000"/>
          <w:sz w:val="28"/>
          <w:szCs w:val="28"/>
        </w:rPr>
        <w:t>25</w:t>
      </w:r>
      <w:r>
        <w:rPr>
          <w:rFonts w:ascii="方正仿宋_GBK" w:eastAsia="方正仿宋_GBK" w:cs="方正仿宋_GBK" w:hAnsi="方正仿宋_GBK" w:hint="eastAsia"/>
          <w:b/>
          <w:bCs/>
          <w:color w:val="000000"/>
          <w:sz w:val="28"/>
          <w:szCs w:val="28"/>
        </w:rPr>
        <w:t>号行唐县农村路网改造工程（特色产业路二期）八标段绩效目标表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13012525P000027111764</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冀财债【</w:t>
            </w:r>
            <w:r>
              <w:t>2025</w:t>
            </w:r>
            <w:r>
              <w:rPr>
                <w:rFonts w:hint="eastAsia"/>
              </w:rPr>
              <w:t>】</w:t>
            </w:r>
            <w:r>
              <w:t>25</w:t>
            </w:r>
            <w:r>
              <w:rPr>
                <w:rFonts w:hint="eastAsia"/>
              </w:rPr>
              <w:t>号行唐县农村路网改造工程（特色产业路二期）八标段</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213.01</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213.01</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有效改善农村道路通行水平，改善农村群众出行环境，拉动当地经济发展，提升人民群众幸福感</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213.01</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有效改善农村道路通行水平，改善农村群众出行环境，拉动当地经济发展，提升人民群众幸福感</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新改建农村公路里程</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实际完成农村公路改建里程</w:t>
            </w:r>
          </w:p>
        </w:tc>
        <w:tc>
          <w:tcPr>
            <w:tcW w:w="2268" w:type="dxa"/>
            <w:tcBorders>
              <w:left w:val="single" w:sz="6" w:space="0" w:color="000000"/>
              <w:right w:val="single" w:sz="6" w:space="0" w:color="000000"/>
            </w:tcBorders>
            <w:vAlign w:val="center"/>
          </w:tcPr>
          <w:p>
            <w:pPr>
              <w:pStyle w:val="20"/>
              <w:rPr>
                <w:rFonts w:cs="Times New Roman"/>
              </w:rPr>
            </w:pPr>
            <w:r>
              <w:t>37.81</w:t>
            </w:r>
            <w:r>
              <w:rPr>
                <w:rFonts w:hint="eastAsia"/>
              </w:rPr>
              <w:t>公里</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项目工程验收合格率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项目实际完工验收工程质量合格率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项目工程完成及时率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及时完成工程量占应完成工程量的比率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对地区经济增长的贡献程度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项目对所在地经济增长贡献程度</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建制村通客车率（</w:t>
            </w:r>
            <w:r>
              <w:t>%</w:t>
            </w: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项目完工后满足各村通行</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项目建成后是否对当地扬尘污染带来明显改善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项目完工后对当地扬尘污染带来明显改善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项目建成后是否对当地经济持续性发展到来明显改善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项目完工后对当地经济持续性发展到来明显改善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效果显著</w:t>
            </w:r>
          </w:p>
        </w:tc>
        <w:tc>
          <w:tcPr>
            <w:tcW w:w="1276" w:type="dxa"/>
            <w:vAlign w:val="center"/>
          </w:tcPr>
          <w:p>
            <w:pPr>
              <w:pStyle w:val="20"/>
              <w:rPr>
                <w:rFonts w:cs="Times New Roman"/>
              </w:rPr>
            </w:pPr>
            <w:r>
              <w:rPr>
                <w:rFonts w:hint="eastAsia"/>
              </w:rPr>
              <w:t>经验标准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受益村庄对日常出行满意度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社会调查中满意和较满意的社会群众占调查总人数的比率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14</w:t>
      </w:r>
      <w:r>
        <w:rPr>
          <w:rFonts w:ascii="方正仿宋_GBK" w:eastAsia="方正仿宋_GBK" w:cs="方正仿宋_GBK" w:hAnsi="方正仿宋_GBK" w:hint="eastAsia"/>
          <w:b/>
          <w:bCs/>
          <w:color w:val="000000"/>
          <w:sz w:val="28"/>
          <w:szCs w:val="28"/>
        </w:rPr>
        <w:t>、交通局补助经费绩效目标表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13012526P00000510008G</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交通局补助经费</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37.72</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37.72</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确保做好干线公路日常保洁工作，保证重要干线公路范围内路露本色，基本无浮土，有效抑制公路路面扬尘。</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10.00</w:t>
            </w:r>
          </w:p>
        </w:tc>
        <w:tc>
          <w:tcPr>
            <w:tcW w:w="2835" w:type="dxa"/>
            <w:tcBorders>
              <w:left w:val="single" w:sz="6" w:space="0" w:color="000000"/>
              <w:right w:val="single" w:sz="6" w:space="0" w:color="000000"/>
            </w:tcBorders>
            <w:vAlign w:val="center"/>
          </w:tcPr>
          <w:p>
            <w:pPr>
              <w:pStyle w:val="21"/>
            </w:pPr>
            <w:r>
              <w:t>20.00</w:t>
            </w:r>
          </w:p>
        </w:tc>
        <w:tc>
          <w:tcPr>
            <w:tcW w:w="2551" w:type="dxa"/>
            <w:tcBorders>
              <w:left w:val="single" w:sz="6" w:space="0" w:color="000000"/>
              <w:right w:val="single" w:sz="6" w:space="0" w:color="000000"/>
            </w:tcBorders>
            <w:vAlign w:val="center"/>
          </w:tcPr>
          <w:p>
            <w:pPr>
              <w:pStyle w:val="21"/>
            </w:pPr>
            <w:r>
              <w:t>35.00</w:t>
            </w:r>
          </w:p>
        </w:tc>
        <w:tc>
          <w:tcPr>
            <w:tcW w:w="3544" w:type="dxa"/>
            <w:gridSpan w:val="2"/>
            <w:vAlign w:val="center"/>
          </w:tcPr>
          <w:p>
            <w:pPr>
              <w:pStyle w:val="21"/>
            </w:pPr>
            <w:r>
              <w:t>37.72</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确保做好干线公路日常保洁工作，保证重要干线公路范围内路露本色，基本无浮土，有效抑制公路路面扬尘。</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林带管护面积</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林带面积</w:t>
            </w:r>
          </w:p>
        </w:tc>
        <w:tc>
          <w:tcPr>
            <w:tcW w:w="2268" w:type="dxa"/>
            <w:tcBorders>
              <w:left w:val="single" w:sz="6" w:space="0" w:color="000000"/>
              <w:right w:val="single" w:sz="6" w:space="0" w:color="000000"/>
            </w:tcBorders>
            <w:vAlign w:val="center"/>
          </w:tcPr>
          <w:p>
            <w:pPr>
              <w:pStyle w:val="20"/>
              <w:rPr>
                <w:rFonts w:cs="Times New Roman"/>
              </w:rPr>
            </w:pPr>
            <w:r>
              <w:t>440894</w:t>
            </w:r>
            <w:r>
              <w:rPr>
                <w:rFonts w:hint="eastAsia"/>
              </w:rPr>
              <w:t>平方米</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林带乔木数量</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乔木数量</w:t>
            </w:r>
          </w:p>
        </w:tc>
        <w:tc>
          <w:tcPr>
            <w:tcW w:w="2268" w:type="dxa"/>
            <w:tcBorders>
              <w:left w:val="single" w:sz="6" w:space="0" w:color="000000"/>
              <w:right w:val="single" w:sz="6" w:space="0" w:color="000000"/>
            </w:tcBorders>
            <w:vAlign w:val="center"/>
          </w:tcPr>
          <w:p>
            <w:pPr>
              <w:pStyle w:val="20"/>
              <w:rPr>
                <w:rFonts w:cs="Times New Roman"/>
              </w:rPr>
            </w:pPr>
            <w:r>
              <w:t>58451</w:t>
            </w:r>
            <w:r>
              <w:rPr>
                <w:rFonts w:hint="eastAsia"/>
              </w:rPr>
              <w:t>棵</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作业车辆的数量</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洒水车、清扫车、垃圾清运车及铲车数量</w:t>
            </w:r>
          </w:p>
        </w:tc>
        <w:tc>
          <w:tcPr>
            <w:tcW w:w="2268" w:type="dxa"/>
            <w:tcBorders>
              <w:left w:val="single" w:sz="6" w:space="0" w:color="000000"/>
              <w:right w:val="single" w:sz="6" w:space="0" w:color="000000"/>
            </w:tcBorders>
            <w:vAlign w:val="center"/>
          </w:tcPr>
          <w:p>
            <w:pPr>
              <w:pStyle w:val="20"/>
              <w:rPr>
                <w:rFonts w:cs="Times New Roman"/>
              </w:rPr>
            </w:pPr>
            <w:r>
              <w:t>25</w:t>
            </w:r>
            <w:r>
              <w:rPr>
                <w:rFonts w:hint="eastAsia"/>
              </w:rPr>
              <w:t>辆</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苗木存活率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存活苗木占总苗木数量的比率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路面清洁率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路面保持清洁里程占干线公路总里程的比率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林带日常管护及时率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及时完成林带管护面积占全部林带管护面积的比率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路面清洁及时率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路面及时清洁里程占全部路面清洁里程的比率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对地区经济增长的贡献程度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对地区经济增长贡献程度明显</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w:t>
            </w:r>
          </w:p>
        </w:tc>
        <w:tc>
          <w:tcPr>
            <w:tcW w:w="1276" w:type="dxa"/>
            <w:vAlign w:val="center"/>
          </w:tcPr>
          <w:p>
            <w:pPr>
              <w:pStyle w:val="20"/>
              <w:rPr>
                <w:rFonts w:cs="Times New Roman"/>
              </w:rPr>
            </w:pPr>
            <w:r>
              <w:rPr>
                <w:rFonts w:hint="eastAsia"/>
              </w:rPr>
              <w:t>经验标准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是否对当地人居环境带来改善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对行车环境带来有效改善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经验标准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是否对扬尘污染治理带来改善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对扬尘污染治理带来有效改善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经验标准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群众满意度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调查群众满意和较满意人数占总人数的比率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15</w:t>
      </w:r>
      <w:r>
        <w:rPr>
          <w:rFonts w:ascii="方正仿宋_GBK" w:eastAsia="方正仿宋_GBK" w:cs="方正仿宋_GBK" w:hAnsi="方正仿宋_GBK" w:hint="eastAsia"/>
          <w:b/>
          <w:bCs/>
          <w:color w:val="000000"/>
          <w:sz w:val="28"/>
          <w:szCs w:val="28"/>
        </w:rPr>
        <w:t>、县级治超补助资金绩效目标表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13012526P00000510007W</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县级治超补助资金</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150.00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150.00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按照广泛宣传、统一行动、多方合作，对车辆超限超载进行综合治理，坚决打击车辆超限超载违法行为，确保工作开展顺利。</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50.00</w:t>
            </w:r>
          </w:p>
        </w:tc>
        <w:tc>
          <w:tcPr>
            <w:tcW w:w="2835" w:type="dxa"/>
            <w:tcBorders>
              <w:left w:val="single" w:sz="6" w:space="0" w:color="000000"/>
              <w:right w:val="single" w:sz="6" w:space="0" w:color="000000"/>
            </w:tcBorders>
            <w:vAlign w:val="center"/>
          </w:tcPr>
          <w:p>
            <w:pPr>
              <w:pStyle w:val="21"/>
            </w:pPr>
            <w:r>
              <w:t>100.00</w:t>
            </w:r>
          </w:p>
        </w:tc>
        <w:tc>
          <w:tcPr>
            <w:tcW w:w="2551" w:type="dxa"/>
            <w:tcBorders>
              <w:left w:val="single" w:sz="6" w:space="0" w:color="000000"/>
              <w:right w:val="single" w:sz="6" w:space="0" w:color="000000"/>
            </w:tcBorders>
            <w:vAlign w:val="center"/>
          </w:tcPr>
          <w:p>
            <w:pPr>
              <w:pStyle w:val="21"/>
            </w:pPr>
            <w:r>
              <w:t>120.00</w:t>
            </w:r>
          </w:p>
        </w:tc>
        <w:tc>
          <w:tcPr>
            <w:tcW w:w="3544" w:type="dxa"/>
            <w:gridSpan w:val="2"/>
            <w:vAlign w:val="center"/>
          </w:tcPr>
          <w:p>
            <w:pPr>
              <w:pStyle w:val="21"/>
            </w:pPr>
            <w:r>
              <w:t>150.00</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按照广泛宣传、统一行动、多方合作，对车辆超限超载进行综合治理，坚决打击车辆超限超载违法行为，确保工作开展顺利。</w:t>
            </w:r>
          </w:p>
          <w:p>
            <w:pPr>
              <w:pStyle w:val="20"/>
              <w:rPr>
                <w:rFonts w:cs="Times New Roman"/>
              </w:rPr>
            </w:pPr>
            <w:r>
              <w:t>2.</w:t>
            </w:r>
            <w:r>
              <w:rPr>
                <w:rFonts w:hint="eastAsia"/>
              </w:rPr>
              <w:t>为了保护公路路面没确保公路使用年限。</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用于整个项目</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用于整个项目</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优良率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结项鉴定优秀等级项目数量占结项总数</w:t>
            </w:r>
          </w:p>
        </w:tc>
        <w:tc>
          <w:tcPr>
            <w:tcW w:w="2268" w:type="dxa"/>
            <w:tcBorders>
              <w:left w:val="single" w:sz="6" w:space="0" w:color="000000"/>
              <w:right w:val="single" w:sz="6" w:space="0" w:color="000000"/>
            </w:tcBorders>
            <w:vAlign w:val="center"/>
          </w:tcPr>
          <w:p>
            <w:pPr>
              <w:pStyle w:val="20"/>
            </w:pPr>
            <w:r>
              <w:rPr>
                <w:rFonts w:hint="eastAsia"/>
              </w:rPr>
              <w:t>≥</w:t>
            </w:r>
            <w:r>
              <w:t>99%</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各项任务完成及时率（</w:t>
            </w:r>
            <w:r>
              <w:t>%</w:t>
            </w: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各项任务完成及时率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工作开展顺利</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确保治超工作开展顺利</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对经济发展促进的作用</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对当地扬尘治理明显改善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效果明显</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基本公共服务水平</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为人民出行提供有力保障</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明显提升</w:t>
            </w:r>
          </w:p>
        </w:tc>
        <w:tc>
          <w:tcPr>
            <w:tcW w:w="1276" w:type="dxa"/>
            <w:vAlign w:val="center"/>
          </w:tcPr>
          <w:p>
            <w:pPr>
              <w:pStyle w:val="20"/>
              <w:rPr>
                <w:rFonts w:cs="Times New Roman"/>
              </w:rPr>
            </w:pPr>
            <w:r>
              <w:rPr>
                <w:rFonts w:hint="eastAsia"/>
              </w:rPr>
              <w:t>计划标准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群众满意度</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群众满意数量占总数的比例</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16</w:t>
      </w:r>
      <w:r>
        <w:rPr>
          <w:rFonts w:ascii="方正仿宋_GBK" w:eastAsia="方正仿宋_GBK" w:cs="方正仿宋_GBK" w:hAnsi="方正仿宋_GBK" w:hint="eastAsia"/>
          <w:b/>
          <w:bCs/>
          <w:color w:val="000000"/>
          <w:sz w:val="28"/>
          <w:szCs w:val="28"/>
        </w:rPr>
        <w:t>、行唐县城乡客运一体化运营补贴绩效目标表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13012526P000010100135</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行唐县城乡客运一体化运营补贴</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400.00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400.00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为保障城乡公交班线稳定运行</w:t>
            </w:r>
            <w:r>
              <w:rPr>
                <w:rFonts w:cs="Times New Roman"/>
              </w:rPr>
              <w:tab/>
              <w:tab/>
              <w:tab/>
              <w:tab/>
              <w:tab/>
              <w:tab/>
            </w:r>
          </w:p>
          <w:p>
            <w:pPr>
              <w:pStyle w:val="20"/>
              <w:rPr>
                <w:rFonts w:cs="Times New Roman"/>
              </w:rPr>
            </w:pP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100.00</w:t>
            </w:r>
          </w:p>
        </w:tc>
        <w:tc>
          <w:tcPr>
            <w:tcW w:w="2835" w:type="dxa"/>
            <w:tcBorders>
              <w:left w:val="single" w:sz="6" w:space="0" w:color="000000"/>
              <w:right w:val="single" w:sz="6" w:space="0" w:color="000000"/>
            </w:tcBorders>
            <w:vAlign w:val="center"/>
          </w:tcPr>
          <w:p>
            <w:pPr>
              <w:pStyle w:val="21"/>
            </w:pPr>
            <w:r>
              <w:t>200.00</w:t>
            </w:r>
          </w:p>
        </w:tc>
        <w:tc>
          <w:tcPr>
            <w:tcW w:w="2551" w:type="dxa"/>
            <w:tcBorders>
              <w:left w:val="single" w:sz="6" w:space="0" w:color="000000"/>
              <w:right w:val="single" w:sz="6" w:space="0" w:color="000000"/>
            </w:tcBorders>
            <w:vAlign w:val="center"/>
          </w:tcPr>
          <w:p>
            <w:pPr>
              <w:pStyle w:val="21"/>
            </w:pPr>
            <w:r>
              <w:t>300.00</w:t>
            </w:r>
          </w:p>
        </w:tc>
        <w:tc>
          <w:tcPr>
            <w:tcW w:w="3544" w:type="dxa"/>
            <w:gridSpan w:val="2"/>
            <w:vAlign w:val="center"/>
          </w:tcPr>
          <w:p>
            <w:pPr>
              <w:pStyle w:val="21"/>
            </w:pPr>
            <w:r>
              <w:t>400.00</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为保障城乡公交班线稳定运行</w:t>
            </w:r>
            <w:r>
              <w:rPr>
                <w:rFonts w:cs="Times New Roman"/>
              </w:rPr>
              <w:tab/>
              <w:tab/>
              <w:tab/>
              <w:tab/>
              <w:tab/>
              <w:tab/>
            </w:r>
          </w:p>
          <w:p>
            <w:pPr>
              <w:pStyle w:val="20"/>
              <w:rPr>
                <w:rFonts w:cs="Times New Roman"/>
              </w:rPr>
            </w:pP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发放车辆数</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实际发放车辆数</w:t>
            </w:r>
          </w:p>
        </w:tc>
        <w:tc>
          <w:tcPr>
            <w:tcW w:w="2268" w:type="dxa"/>
            <w:tcBorders>
              <w:left w:val="single" w:sz="6" w:space="0" w:color="000000"/>
              <w:right w:val="single" w:sz="6" w:space="0" w:color="000000"/>
            </w:tcBorders>
            <w:vAlign w:val="center"/>
          </w:tcPr>
          <w:p>
            <w:pPr>
              <w:pStyle w:val="20"/>
              <w:rPr>
                <w:rFonts w:cs="Times New Roman"/>
              </w:rPr>
            </w:pPr>
            <w:r>
              <w:t>100</w:t>
            </w:r>
            <w:r>
              <w:rPr>
                <w:rFonts w:hint="eastAsia"/>
              </w:rPr>
              <w:t>辆</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项目实际完工验收质量合格率</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及时完成量占应完成量的比率</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测算标准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经济效益指标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文字描述</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县城经济水平有所提升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明显提升</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项目完成后城内公交全部运行</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文字描述</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项目完成后对环境污染到达效果</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有效改善</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可持续影响指标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文字描述</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为人民出行提供有力保障</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明显提升</w:t>
            </w:r>
          </w:p>
        </w:tc>
        <w:tc>
          <w:tcPr>
            <w:tcW w:w="1276" w:type="dxa"/>
            <w:vAlign w:val="center"/>
          </w:tcPr>
          <w:p>
            <w:pPr>
              <w:pStyle w:val="20"/>
              <w:rPr>
                <w:rFonts w:cs="Times New Roman"/>
              </w:rPr>
            </w:pPr>
            <w:r>
              <w:rPr>
                <w:rFonts w:hint="eastAsia"/>
              </w:rPr>
              <w:t>计划标准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群众满意数量占总数的比例</w:t>
            </w:r>
          </w:p>
        </w:tc>
        <w:tc>
          <w:tcPr>
            <w:tcW w:w="2268" w:type="dxa"/>
            <w:tcBorders>
              <w:left w:val="single" w:sz="6" w:space="0" w:color="000000"/>
              <w:right w:val="single" w:sz="6" w:space="0" w:color="000000"/>
            </w:tcBorders>
            <w:vAlign w:val="center"/>
          </w:tcPr>
          <w:p>
            <w:pPr>
              <w:pStyle w:val="20"/>
            </w:pPr>
            <w:r>
              <w:rPr>
                <w:rFonts w:hint="eastAsia"/>
              </w:rPr>
              <w:t>≥</w:t>
            </w:r>
            <w:r>
              <w:t>98%</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bCs/>
          <w:color w:val="000000"/>
          <w:sz w:val="28"/>
          <w:szCs w:val="28"/>
        </w:rPr>
        <w:t>17</w:t>
      </w:r>
      <w:r>
        <w:rPr>
          <w:rFonts w:ascii="方正仿宋_GBK" w:eastAsia="方正仿宋_GBK" w:cs="方正仿宋_GBK" w:hAnsi="方正仿宋_GBK" w:hint="eastAsia"/>
          <w:b/>
          <w:bCs/>
          <w:color w:val="000000"/>
          <w:sz w:val="28"/>
          <w:szCs w:val="28"/>
        </w:rPr>
        <w:t>、行唐县农村路网改造工程（特色产业路二期）树木及地上附着物补偿绩效目标表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rPr>
                <w:rFonts w:cs="Times New Roman"/>
              </w:rPr>
            </w:pPr>
            <w:r>
              <w:rPr>
                <w:rFonts w:hint="eastAsia"/>
              </w:rPr>
              <w:t>单位：万元</w:t>
            </w:r>
          </w:p>
        </w:tc>
      </w:tr>
      <w:tr>
        <w:trPr>
          <w:trHeight w:val="369"/>
        </w:trPr>
        <w:tc>
          <w:tcPr>
            <w:tcW w:w="1276" w:type="dxa"/>
            <w:vAlign w:val="center"/>
          </w:tcPr>
          <w:p>
            <w:pPr>
              <w:pStyle w:val="18"/>
              <w:rPr>
                <w:rFonts w:cs="Times New Roman"/>
              </w:rPr>
            </w:pPr>
            <w:r>
              <w:rPr>
                <w:rFonts w:hint="eastAsia"/>
              </w:rPr>
              <w:t>项目编码</w:t>
            </w:r>
          </w:p>
        </w:tc>
        <w:tc>
          <w:tcPr>
            <w:tcW w:w="5103" w:type="dxa"/>
            <w:gridSpan w:val="2"/>
            <w:tcBorders>
              <w:left w:val="single" w:sz="6" w:space="0" w:color="000000"/>
              <w:right w:val="single" w:sz="6" w:space="0" w:color="000000"/>
            </w:tcBorders>
            <w:vAlign w:val="center"/>
          </w:tcPr>
          <w:p>
            <w:pPr>
              <w:pStyle w:val="20"/>
            </w:pPr>
            <w:r>
              <w:t>13012526P00001310135E</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项目名称</w:t>
            </w:r>
          </w:p>
        </w:tc>
        <w:tc>
          <w:tcPr>
            <w:tcW w:w="6095" w:type="dxa"/>
            <w:gridSpan w:val="3"/>
            <w:vAlign w:val="center"/>
          </w:tcPr>
          <w:p>
            <w:pPr>
              <w:pStyle w:val="20"/>
              <w:rPr>
                <w:rFonts w:cs="Times New Roman"/>
              </w:rPr>
            </w:pPr>
            <w:r>
              <w:rPr>
                <w:rFonts w:hint="eastAsia"/>
              </w:rPr>
              <w:t>行唐县农村路网改造工程（特色产业路二期）树木及地上附着物补偿</w:t>
            </w:r>
          </w:p>
        </w:tc>
      </w:tr>
      <w:tr>
        <w:trPr>
          <w:trHeight w:val="369"/>
        </w:trPr>
        <w:tc>
          <w:tcPr>
            <w:tcW w:w="1276" w:type="dxa"/>
            <w:vMerge w:val="restart"/>
            <w:vAlign w:val="center"/>
          </w:tcPr>
          <w:p>
            <w:pPr>
              <w:pStyle w:val="18"/>
              <w:rPr>
                <w:rFonts w:cs="Times New Roman"/>
              </w:rPr>
            </w:pPr>
            <w:r>
              <w:rPr>
                <w:rFonts w:hint="eastAsia"/>
              </w:rPr>
              <w:t>预算规模及资金用途</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预算数</w:t>
            </w:r>
          </w:p>
        </w:tc>
        <w:tc>
          <w:tcPr>
            <w:tcW w:w="2835" w:type="dxa"/>
            <w:tcBorders>
              <w:left w:val="single" w:sz="6" w:space="0" w:color="000000"/>
              <w:right w:val="single" w:sz="6" w:space="0" w:color="000000"/>
            </w:tcBorders>
            <w:vAlign w:val="center"/>
          </w:tcPr>
          <w:p>
            <w:pPr>
              <w:pStyle w:val="20"/>
            </w:pPr>
            <w:r>
              <w:t>435.00</w:t>
            </w:r>
          </w:p>
        </w:tc>
        <w:tc>
          <w:tcPr>
            <w:tcW w:w="2835" w:type="dxa"/>
            <w:tcBorders>
              <w:left w:val="single" w:sz="6" w:space="0" w:color="000000"/>
              <w:right w:val="single" w:sz="6" w:space="0" w:color="000000"/>
            </w:tcBorders>
            <w:vAlign w:val="center"/>
          </w:tcPr>
          <w:p>
            <w:pPr>
              <w:pStyle w:val="18"/>
              <w:rPr>
                <w:rFonts w:cs="Times New Roman"/>
              </w:rPr>
            </w:pPr>
            <w:r>
              <w:rPr>
                <w:rFonts w:hint="eastAsia"/>
              </w:rPr>
              <w:t>其中：财政</w:t>
            </w:r>
            <w:r>
              <w:t xml:space="preserve">    </w:t>
            </w:r>
            <w:r>
              <w:rPr>
                <w:rFonts w:hint="eastAsia"/>
              </w:rPr>
              <w:t>资金</w:t>
            </w:r>
          </w:p>
        </w:tc>
        <w:tc>
          <w:tcPr>
            <w:tcW w:w="2551" w:type="dxa"/>
            <w:tcBorders>
              <w:left w:val="single" w:sz="6" w:space="0" w:color="000000"/>
              <w:right w:val="single" w:sz="6" w:space="0" w:color="000000"/>
            </w:tcBorders>
            <w:vAlign w:val="center"/>
          </w:tcPr>
          <w:p>
            <w:pPr>
              <w:pStyle w:val="20"/>
            </w:pPr>
            <w:r>
              <w:t>435.00</w:t>
            </w:r>
          </w:p>
        </w:tc>
        <w:tc>
          <w:tcPr>
            <w:tcW w:w="2268" w:type="dxa"/>
            <w:tcBorders>
              <w:left w:val="single" w:sz="6" w:space="0" w:color="000000"/>
              <w:right w:val="single" w:sz="6" w:space="0" w:color="000000"/>
            </w:tcBorders>
            <w:vAlign w:val="center"/>
          </w:tcPr>
          <w:p>
            <w:pPr>
              <w:pStyle w:val="18"/>
              <w:rPr>
                <w:rFonts w:cs="Times New Roman"/>
              </w:rPr>
            </w:pPr>
            <w:r>
              <w:rPr>
                <w:rFonts w:hint="eastAsia"/>
              </w:rP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rPr>
                <w:rFonts w:cs="Times New Roman"/>
              </w:rPr>
            </w:pPr>
            <w:r>
              <w:rPr>
                <w:rFonts w:hint="eastAsia"/>
              </w:rPr>
              <w:t>改善交通状况，方便群众出行，提高群众的幸福感和满意度，为实现乡村振兴和全县建成小康社会有力保障。为确保行唐县农村路网改造工程（特色产业路二期）顺利进行。</w:t>
            </w:r>
          </w:p>
        </w:tc>
      </w:tr>
      <w:tr>
        <w:trPr>
          <w:trHeight w:val="369"/>
        </w:trPr>
        <w:tc>
          <w:tcPr>
            <w:tcW w:w="1276" w:type="dxa"/>
            <w:vMerge w:val="restart"/>
            <w:vAlign w:val="center"/>
          </w:tcPr>
          <w:p>
            <w:pPr>
              <w:pStyle w:val="18"/>
              <w:rPr>
                <w:rFonts w:cs="Times New Roman"/>
              </w:rPr>
            </w:pPr>
            <w:r>
              <w:rPr>
                <w:rFonts w:hint="eastAsia"/>
              </w:rPr>
              <w:t>资金支出计划（</w:t>
            </w:r>
            <w:r>
              <w:t>%</w:t>
            </w:r>
            <w:r>
              <w:rPr>
                <w:rFonts w:hint="eastAsia"/>
              </w:rPr>
              <w:t>）</w:t>
            </w:r>
          </w:p>
        </w:tc>
        <w:tc>
          <w:tcPr>
            <w:tcW w:w="5103" w:type="dxa"/>
            <w:gridSpan w:val="2"/>
            <w:tcBorders>
              <w:left w:val="single" w:sz="6" w:space="0" w:color="000000"/>
              <w:right w:val="single" w:sz="6" w:space="0" w:color="000000"/>
            </w:tcBorders>
            <w:vAlign w:val="center"/>
          </w:tcPr>
          <w:p>
            <w:pPr>
              <w:pStyle w:val="18"/>
              <w:rPr>
                <w:rFonts w:cs="Times New Roman"/>
              </w:rPr>
            </w:pPr>
            <w:r>
              <w:t>3</w:t>
            </w:r>
            <w:r>
              <w:rPr>
                <w:rFonts w:hint="eastAsia"/>
              </w:rPr>
              <w:t>月底</w:t>
            </w:r>
          </w:p>
        </w:tc>
        <w:tc>
          <w:tcPr>
            <w:tcW w:w="2835" w:type="dxa"/>
            <w:tcBorders>
              <w:left w:val="single" w:sz="6" w:space="0" w:color="000000"/>
              <w:right w:val="single" w:sz="6" w:space="0" w:color="000000"/>
            </w:tcBorders>
            <w:vAlign w:val="center"/>
          </w:tcPr>
          <w:p>
            <w:pPr>
              <w:pStyle w:val="18"/>
              <w:rPr>
                <w:rFonts w:cs="Times New Roman"/>
              </w:rPr>
            </w:pPr>
            <w:r>
              <w:t>6</w:t>
            </w:r>
            <w:r>
              <w:rPr>
                <w:rFonts w:hint="eastAsia"/>
              </w:rPr>
              <w:t>月底</w:t>
            </w:r>
          </w:p>
        </w:tc>
        <w:tc>
          <w:tcPr>
            <w:tcW w:w="2551" w:type="dxa"/>
            <w:tcBorders>
              <w:left w:val="single" w:sz="6" w:space="0" w:color="000000"/>
              <w:right w:val="single" w:sz="6" w:space="0" w:color="000000"/>
            </w:tcBorders>
            <w:vAlign w:val="center"/>
          </w:tcPr>
          <w:p>
            <w:pPr>
              <w:pStyle w:val="18"/>
              <w:rPr>
                <w:rFonts w:cs="Times New Roman"/>
              </w:rPr>
            </w:pPr>
            <w:r>
              <w:t>10</w:t>
            </w:r>
            <w:r>
              <w:rPr>
                <w:rFonts w:hint="eastAsia"/>
              </w:rPr>
              <w:t>月底</w:t>
            </w:r>
          </w:p>
        </w:tc>
        <w:tc>
          <w:tcPr>
            <w:tcW w:w="3544" w:type="dxa"/>
            <w:gridSpan w:val="2"/>
            <w:vAlign w:val="center"/>
          </w:tcPr>
          <w:p>
            <w:pPr>
              <w:pStyle w:val="18"/>
              <w:rPr>
                <w:rFonts w:cs="Times New Roman"/>
              </w:rPr>
            </w:pPr>
            <w:r>
              <w:t>12</w:t>
            </w:r>
            <w:r>
              <w:rPr>
                <w:rFonts w:hint="eastAsia"/>
              </w:rPr>
              <w:t>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435.00</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tcBorders>
              <w:bottom w:val="single" w:sz="6" w:space="0" w:color="FFFFFF"/>
            </w:tcBorders>
            <w:vAlign w:val="center"/>
          </w:tcPr>
          <w:p>
            <w:pPr>
              <w:pStyle w:val="18"/>
              <w:rPr>
                <w:rFonts w:cs="Times New Roman"/>
              </w:rPr>
            </w:pPr>
            <w:r>
              <w:rPr>
                <w:rFonts w:hint="eastAsia"/>
              </w:rPr>
              <w:t>绩效目标</w:t>
            </w:r>
          </w:p>
        </w:tc>
        <w:tc>
          <w:tcPr>
            <w:tcW w:w="14033" w:type="dxa"/>
            <w:gridSpan w:val="6"/>
            <w:tcBorders>
              <w:bottom w:val="single" w:sz="6" w:space="0" w:color="FFFFFF"/>
            </w:tcBorders>
            <w:vAlign w:val="center"/>
          </w:tcPr>
          <w:p>
            <w:pPr>
              <w:pStyle w:val="20"/>
              <w:rPr>
                <w:rFonts w:cs="Times New Roman"/>
              </w:rPr>
            </w:pPr>
            <w:r>
              <w:t>1.</w:t>
            </w:r>
            <w:r>
              <w:rPr>
                <w:rFonts w:hint="eastAsia"/>
              </w:rPr>
              <w:t>改善交通状况，方便群众出行，提高群众的幸福感和满意度，为实现乡村振兴和全县建成小康社会有力保障。为确保行唐县农村路网改造工程（特色产业路二期）顺利进行。</w:t>
            </w:r>
          </w:p>
        </w:tc>
      </w:tr>
    </w:tbl>
    <w:p>
      <w:pPr>
        <w:spacing w:line="2" w:lineRule="exact"/>
        <w:jc w:val="center"/>
      </w:pPr>
      <w:r>
        <w:rPr>
          <w:rFonts w:ascii="方正书宋_GBK" w:eastAsia="方正书宋_GBK" w:cs="方正书宋_GBK" w:hAnsi="方正书宋_GBK"/>
          <w:color w:val="000000"/>
          <w:sz w:val="18"/>
          <w:szCs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cantSplit/>
          <w:trHeight w:val="397"/>
          <w:tblHeader/>
        </w:trPr>
        <w:tc>
          <w:tcPr>
            <w:tcW w:w="1276" w:type="dxa"/>
            <w:vAlign w:val="center"/>
          </w:tcPr>
          <w:p>
            <w:pPr>
              <w:pStyle w:val="18"/>
              <w:rPr>
                <w:rFonts w:cs="Times New Roman"/>
              </w:rPr>
            </w:pPr>
            <w:r>
              <w:rPr>
                <w:rFonts w:hint="eastAsia"/>
              </w:rPr>
              <w:t>一级指标</w:t>
            </w:r>
          </w:p>
        </w:tc>
        <w:tc>
          <w:tcPr>
            <w:tcW w:w="2268" w:type="dxa"/>
            <w:vAlign w:val="center"/>
          </w:tcPr>
          <w:p>
            <w:pPr>
              <w:pStyle w:val="18"/>
              <w:rPr>
                <w:rFonts w:cs="Times New Roman"/>
              </w:rPr>
            </w:pPr>
            <w:r>
              <w:rPr>
                <w:rFonts w:hint="eastAsia"/>
              </w:rPr>
              <w:t>二级指标</w:t>
            </w:r>
          </w:p>
        </w:tc>
        <w:tc>
          <w:tcPr>
            <w:tcW w:w="2835" w:type="dxa"/>
            <w:vAlign w:val="center"/>
          </w:tcPr>
          <w:p>
            <w:pPr>
              <w:pStyle w:val="18"/>
              <w:rPr>
                <w:rFonts w:cs="Times New Roman"/>
              </w:rPr>
            </w:pPr>
            <w:r>
              <w:rPr>
                <w:rFonts w:hint="eastAsia"/>
              </w:rPr>
              <w:t>三级指标</w:t>
            </w:r>
          </w:p>
        </w:tc>
        <w:tc>
          <w:tcPr>
            <w:tcW w:w="5386" w:type="dxa"/>
            <w:vAlign w:val="center"/>
          </w:tcPr>
          <w:p>
            <w:pPr>
              <w:pStyle w:val="18"/>
              <w:rPr>
                <w:rFonts w:cs="Times New Roman"/>
              </w:rPr>
            </w:pPr>
            <w:r>
              <w:rPr>
                <w:rFonts w:hint="eastAsia"/>
              </w:rPr>
              <w:t>绩效指标描述</w:t>
            </w:r>
          </w:p>
        </w:tc>
        <w:tc>
          <w:tcPr>
            <w:tcW w:w="2268" w:type="dxa"/>
            <w:vAlign w:val="center"/>
          </w:tcPr>
          <w:p>
            <w:pPr>
              <w:pStyle w:val="18"/>
              <w:rPr>
                <w:rFonts w:cs="Times New Roman"/>
              </w:rPr>
            </w:pPr>
            <w:r>
              <w:rPr>
                <w:rFonts w:hint="eastAsia"/>
              </w:rPr>
              <w:t>指标值</w:t>
            </w:r>
          </w:p>
        </w:tc>
        <w:tc>
          <w:tcPr>
            <w:tcW w:w="1276" w:type="dxa"/>
            <w:vAlign w:val="center"/>
          </w:tcPr>
          <w:p>
            <w:pPr>
              <w:pStyle w:val="18"/>
              <w:rPr>
                <w:rFonts w:cs="Times New Roman"/>
              </w:rPr>
            </w:pPr>
            <w:r>
              <w:rPr>
                <w:rFonts w:hint="eastAsia"/>
              </w:rPr>
              <w:t>指标值确定依据</w:t>
            </w:r>
          </w:p>
        </w:tc>
      </w:tr>
      <w:tr>
        <w:trPr>
          <w:trHeight w:val="397"/>
        </w:trPr>
        <w:tc>
          <w:tcPr>
            <w:tcW w:w="1276" w:type="dxa"/>
            <w:vMerge w:val="restart"/>
            <w:vAlign w:val="center"/>
          </w:tcPr>
          <w:p>
            <w:pPr>
              <w:pStyle w:val="21"/>
              <w:rPr>
                <w:rFonts w:cs="Times New Roman"/>
              </w:rPr>
            </w:pPr>
            <w:r>
              <w:rPr>
                <w:rFonts w:hint="eastAsia"/>
              </w:rPr>
              <w:t>产出指标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数量指标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补贴地方事务公里数</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补贴地方事务总里程</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57.56</w:t>
            </w:r>
            <w:r>
              <w:rPr>
                <w:rFonts w:hint="eastAsia"/>
              </w:rPr>
              <w:t>公里</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质量指标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补偿发放覆盖率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已补偿户数占应补偿人群的比率</w:t>
            </w:r>
          </w:p>
        </w:tc>
        <w:tc>
          <w:tcPr>
            <w:tcW w:w="2268" w:type="dxa"/>
            <w:tcBorders>
              <w:left w:val="single" w:sz="6" w:space="0" w:color="000000"/>
              <w:right w:val="single" w:sz="6" w:space="0" w:color="000000"/>
            </w:tcBorders>
            <w:vAlign w:val="center"/>
          </w:tcPr>
          <w:p>
            <w:pPr>
              <w:pStyle w:val="20"/>
            </w:pPr>
            <w:r>
              <w:rPr>
                <w:rFonts w:hint="eastAsia"/>
              </w:rPr>
              <w:t>已补偿户数占应补偿人群的比率</w:t>
            </w:r>
            <w:r>
              <w:t>100%</w:t>
            </w:r>
          </w:p>
        </w:tc>
        <w:tc>
          <w:tcPr>
            <w:tcW w:w="1276" w:type="dxa"/>
            <w:vAlign w:val="center"/>
          </w:tcPr>
          <w:p>
            <w:pPr>
              <w:pStyle w:val="20"/>
              <w:rPr>
                <w:rFonts w:cs="Times New Roman"/>
              </w:rPr>
            </w:pPr>
            <w:r>
              <w:rPr>
                <w:rFonts w:hint="eastAsia"/>
              </w:rPr>
              <w:t>测算标准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时效指标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补偿发放及时性</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从受理发放时间道实际完成发放补偿的天数</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w:t>
            </w:r>
            <w:r>
              <w:t>50</w:t>
            </w:r>
            <w:r>
              <w:rPr>
                <w:rFonts w:hint="eastAsia"/>
              </w:rPr>
              <w:t>天</w:t>
            </w:r>
          </w:p>
        </w:tc>
        <w:tc>
          <w:tcPr>
            <w:tcW w:w="1276" w:type="dxa"/>
            <w:vAlign w:val="center"/>
          </w:tcPr>
          <w:p>
            <w:pPr>
              <w:pStyle w:val="20"/>
              <w:rPr>
                <w:rFonts w:cs="Times New Roman"/>
              </w:rPr>
            </w:pPr>
            <w:r>
              <w:rPr>
                <w:rFonts w:hint="eastAsia"/>
              </w:rPr>
              <w:t>计划标准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成本指标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预算控制率</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实际支出金额占项目预算金额的比率</w:t>
            </w:r>
          </w:p>
        </w:tc>
        <w:tc>
          <w:tcPr>
            <w:tcW w:w="2268" w:type="dxa"/>
            <w:tcBorders>
              <w:left w:val="single" w:sz="6" w:space="0" w:color="000000"/>
              <w:right w:val="single" w:sz="6" w:space="0" w:color="000000"/>
            </w:tcBorders>
            <w:vAlign w:val="center"/>
          </w:tcPr>
          <w:p>
            <w:pPr>
              <w:pStyle w:val="20"/>
            </w:pPr>
            <w:r>
              <w:rPr>
                <w:rFonts w:hint="eastAsia"/>
              </w:rPr>
              <w:t>≥</w:t>
            </w:r>
            <w:r>
              <w:t>95%</w:t>
            </w:r>
          </w:p>
        </w:tc>
        <w:tc>
          <w:tcPr>
            <w:tcW w:w="1276" w:type="dxa"/>
            <w:vAlign w:val="center"/>
          </w:tcPr>
          <w:p>
            <w:pPr>
              <w:pStyle w:val="20"/>
              <w:rPr>
                <w:rFonts w:cs="Times New Roman"/>
              </w:rPr>
            </w:pPr>
            <w:r>
              <w:rPr>
                <w:rFonts w:hint="eastAsia"/>
              </w:rPr>
              <w:t>计划标准</w:t>
            </w:r>
          </w:p>
        </w:tc>
      </w:tr>
      <w:tr>
        <w:trPr>
          <w:trHeight w:val="397"/>
        </w:trPr>
        <w:tc>
          <w:tcPr>
            <w:tcW w:w="1276" w:type="dxa"/>
            <w:vMerge w:val="restart"/>
            <w:vAlign w:val="center"/>
          </w:tcPr>
          <w:p>
            <w:pPr>
              <w:pStyle w:val="21"/>
              <w:rPr>
                <w:rFonts w:cs="Times New Roman"/>
              </w:rPr>
            </w:pPr>
            <w:r>
              <w:rPr>
                <w:rFonts w:hint="eastAsia"/>
              </w:rPr>
              <w:t>效益指标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社会效益指标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社会问题零发生</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是否因补偿发放问题引发社会问题</w:t>
            </w:r>
          </w:p>
        </w:tc>
        <w:tc>
          <w:tcPr>
            <w:tcW w:w="2268" w:type="dxa"/>
            <w:tcBorders>
              <w:left w:val="single" w:sz="6" w:space="0" w:color="000000"/>
              <w:right w:val="single" w:sz="6" w:space="0" w:color="000000"/>
            </w:tcBorders>
            <w:vAlign w:val="center"/>
          </w:tcPr>
          <w:p>
            <w:pPr>
              <w:pStyle w:val="20"/>
            </w:pPr>
            <w:r>
              <w:rPr>
                <w:rFonts w:hint="eastAsia"/>
              </w:rPr>
              <w:t>是否因补偿发放问题引发社会问题</w:t>
            </w:r>
            <w:r>
              <w:t>0</w:t>
            </w:r>
          </w:p>
        </w:tc>
        <w:tc>
          <w:tcPr>
            <w:tcW w:w="1276" w:type="dxa"/>
            <w:vAlign w:val="center"/>
          </w:tcPr>
          <w:p>
            <w:pPr>
              <w:pStyle w:val="20"/>
              <w:rPr>
                <w:rFonts w:cs="Times New Roman"/>
              </w:rPr>
            </w:pPr>
            <w:r>
              <w:rPr>
                <w:rFonts w:hint="eastAsia"/>
              </w:rPr>
              <w:t>经验标准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rPr>
                <w:rFonts w:cs="Times New Roman"/>
              </w:rPr>
            </w:pPr>
            <w:r>
              <w:rPr>
                <w:rFonts w:hint="eastAsia"/>
              </w:rPr>
              <w:t>生态效益指标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项目建成后是否对当地经济持续性发展带来明改善</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项目完工后对当地经济持续性发展带来明显改善</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明显改善</w:t>
            </w:r>
          </w:p>
        </w:tc>
        <w:tc>
          <w:tcPr>
            <w:tcW w:w="1276" w:type="dxa"/>
            <w:vAlign w:val="center"/>
          </w:tcPr>
          <w:p>
            <w:pPr>
              <w:pStyle w:val="20"/>
              <w:rPr>
                <w:rFonts w:cs="Times New Roman"/>
              </w:rPr>
            </w:pPr>
            <w:r>
              <w:rPr>
                <w:rFonts w:hint="eastAsia"/>
              </w:rPr>
              <w:t>经验标准</w:t>
            </w:r>
          </w:p>
        </w:tc>
      </w:tr>
      <w:tr>
        <w:trPr>
          <w:trHeight w:val="397"/>
        </w:trPr>
        <w:tc>
          <w:tcPr>
            <w:tcW w:w="1276" w:type="dxa"/>
            <w:vAlign w:val="center"/>
          </w:tcPr>
          <w:p>
            <w:pPr>
              <w:pStyle w:val="21"/>
              <w:rPr>
                <w:rFonts w:cs="Times New Roman"/>
              </w:rPr>
            </w:pPr>
            <w:r>
              <w:rPr>
                <w:rFonts w:hint="eastAsia"/>
              </w:rPr>
              <w:t>满意度指标</w:t>
            </w:r>
          </w:p>
        </w:tc>
        <w:tc>
          <w:tcPr>
            <w:tcW w:w="2268" w:type="dxa"/>
            <w:tcBorders>
              <w:left w:val="single" w:sz="6" w:space="0" w:color="000000"/>
              <w:right w:val="single" w:sz="6" w:space="0" w:color="000000"/>
            </w:tcBorders>
            <w:vAlign w:val="center"/>
          </w:tcPr>
          <w:p>
            <w:pPr>
              <w:pStyle w:val="20"/>
              <w:rPr>
                <w:rFonts w:cs="Times New Roman"/>
              </w:rPr>
            </w:pPr>
            <w:r>
              <w:rPr>
                <w:rFonts w:hint="eastAsia"/>
              </w:rPr>
              <w:t>服务对象满意度指标</w:t>
            </w:r>
          </w:p>
        </w:tc>
        <w:tc>
          <w:tcPr>
            <w:tcW w:w="2835" w:type="dxa"/>
            <w:tcBorders>
              <w:left w:val="single" w:sz="6" w:space="0" w:color="000000"/>
              <w:right w:val="single" w:sz="6" w:space="0" w:color="000000"/>
            </w:tcBorders>
            <w:vAlign w:val="center"/>
          </w:tcPr>
          <w:p>
            <w:pPr>
              <w:pStyle w:val="20"/>
              <w:rPr>
                <w:rFonts w:cs="Times New Roman"/>
              </w:rPr>
            </w:pPr>
            <w:r>
              <w:rPr>
                <w:rFonts w:hint="eastAsia"/>
              </w:rPr>
              <w:t>受补助人群满意度（</w:t>
            </w:r>
            <w:r>
              <w:t>%</w:t>
            </w:r>
            <w:r>
              <w:rPr>
                <w:rFonts w:hint="eastAsia"/>
              </w:rPr>
              <w:t>）</w:t>
            </w:r>
          </w:p>
        </w:tc>
        <w:tc>
          <w:tcPr>
            <w:tcW w:w="5386" w:type="dxa"/>
            <w:tcBorders>
              <w:left w:val="single" w:sz="6" w:space="0" w:color="000000"/>
              <w:right w:val="single" w:sz="6" w:space="0" w:color="000000"/>
            </w:tcBorders>
            <w:vAlign w:val="center"/>
          </w:tcPr>
          <w:p>
            <w:pPr>
              <w:pStyle w:val="20"/>
              <w:rPr>
                <w:rFonts w:cs="Times New Roman"/>
              </w:rPr>
            </w:pPr>
            <w:r>
              <w:rPr>
                <w:rFonts w:hint="eastAsia"/>
              </w:rPr>
              <w:t>社会调查中满意和较满意的社会群众占调查总人数的比率</w:t>
            </w:r>
          </w:p>
        </w:tc>
        <w:tc>
          <w:tcPr>
            <w:tcW w:w="2268" w:type="dxa"/>
            <w:tcBorders>
              <w:left w:val="single" w:sz="6" w:space="0" w:color="000000"/>
              <w:right w:val="single" w:sz="6" w:space="0" w:color="000000"/>
            </w:tcBorders>
            <w:vAlign w:val="center"/>
          </w:tcPr>
          <w:p>
            <w:pPr>
              <w:pStyle w:val="20"/>
            </w:pPr>
            <w:r>
              <w:rPr>
                <w:rFonts w:hint="eastAsia"/>
              </w:rPr>
              <w:t>≥</w:t>
            </w:r>
            <w:r>
              <w:t>96%</w:t>
            </w:r>
          </w:p>
        </w:tc>
        <w:tc>
          <w:tcPr>
            <w:tcW w:w="1276" w:type="dxa"/>
            <w:vAlign w:val="center"/>
          </w:tcPr>
          <w:p>
            <w:pPr>
              <w:pStyle w:val="20"/>
              <w:rPr>
                <w:rFonts w:cs="Times New Roman"/>
              </w:rPr>
            </w:pPr>
            <w:r>
              <w:rPr>
                <w:rFonts w:hint="eastAsia"/>
              </w:rPr>
              <w:t>调查问卷</w:t>
            </w:r>
          </w:p>
        </w:tc>
      </w:tr>
    </w:tbl>
    <w:p>
      <w:pPr>
        <w:sectPr>
          <w:pgSz w:w="16840" w:h="11900" w:orient="landscape"/>
          <w:pgMar w:top="1361" w:right="1020" w:bottom="1134" w:left="1020" w:header="720" w:footer="720" w:gutter="0"/>
          <w:docGrid w:linePitch="326" w:charSpace="0"/>
        </w:sectPr>
      </w:pPr>
    </w:p>
    <w:p>
      <w:pPr>
        <w:spacing w:before="10" w:after="10"/>
        <w:ind w:firstLine="640"/>
        <w:outlineLvl w:val="5"/>
      </w:pPr>
      <w:r>
        <w:rPr>
          <w:rFonts w:ascii="黑体" w:eastAsia="黑体" w:cs="黑体" w:hAnsi="黑体" w:hint="eastAsia"/>
          <w:color w:val="000000"/>
          <w:sz w:val="32"/>
          <w:szCs w:val="32"/>
        </w:rPr>
        <w:t>六、政府采购预算情况</w:t>
      </w:r>
    </w:p>
    <w:p>
      <w:pPr>
        <w:jc w:val="center"/>
      </w:pPr>
      <w:r>
        <w:rPr>
          <w:rFonts w:ascii="方正小标宋_GBK" w:eastAsia="方正小标宋_GBK" w:cs="方正小标宋_GBK" w:hAnsi="方正小标宋_GBK" w:hint="eastAsia"/>
          <w:color w:val="000000"/>
          <w:sz w:val="36"/>
          <w:szCs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rPr>
                <w:rFonts w:cs="Times New Roman"/>
              </w:rPr>
            </w:pPr>
            <w:r>
              <w:t>348001</w:t>
            </w:r>
            <w:r>
              <w:rPr>
                <w:rFonts w:hint="eastAsia"/>
              </w:rPr>
              <w:t>行唐县交通运输局本级</w:t>
            </w:r>
          </w:p>
        </w:tc>
        <w:tc>
          <w:tcPr>
            <w:tcW w:w="8676" w:type="dxa"/>
            <w:gridSpan w:val="9"/>
            <w:tcBorders>
              <w:top w:val="single" w:sz="6" w:space="0" w:color="FFFFFF"/>
              <w:left w:val="single" w:sz="6" w:space="0" w:color="FFFFFF"/>
              <w:right w:val="single" w:sz="6" w:space="0" w:color="FFFFFF"/>
            </w:tcBorders>
            <w:vAlign w:val="center"/>
          </w:tcPr>
          <w:p>
            <w:pPr>
              <w:pStyle w:val="29"/>
              <w:rPr>
                <w:rFonts w:cs="Times New Roman"/>
              </w:rPr>
            </w:pPr>
            <w:r>
              <w:rPr>
                <w:rFonts w:hint="eastAsia"/>
              </w:rPr>
              <w:t>单位：万元</w:t>
            </w:r>
          </w:p>
        </w:tc>
      </w:tr>
      <w:tr>
        <w:trPr>
          <w:tblHeader/>
        </w:trPr>
        <w:tc>
          <w:tcPr>
            <w:tcW w:w="2665" w:type="dxa"/>
            <w:gridSpan w:val="2"/>
            <w:vAlign w:val="center"/>
          </w:tcPr>
          <w:p>
            <w:pPr>
              <w:pStyle w:val="18"/>
              <w:rPr>
                <w:rFonts w:cs="Times New Roman"/>
              </w:rPr>
            </w:pPr>
            <w:r>
              <w:rPr>
                <w:rFonts w:hint="eastAsia"/>
              </w:rPr>
              <w:t>政府采购项目来源</w:t>
            </w:r>
          </w:p>
        </w:tc>
        <w:tc>
          <w:tcPr>
            <w:tcW w:w="1134" w:type="dxa"/>
            <w:vMerge w:val="restart"/>
            <w:tcBorders>
              <w:left w:val="single" w:sz="6" w:space="0" w:color="000000"/>
              <w:right w:val="single" w:sz="6" w:space="0" w:color="000000"/>
            </w:tcBorders>
            <w:vAlign w:val="center"/>
          </w:tcPr>
          <w:p>
            <w:pPr>
              <w:pStyle w:val="18"/>
              <w:rPr>
                <w:rFonts w:cs="Times New Roman"/>
              </w:rPr>
            </w:pPr>
            <w:r>
              <w:rPr>
                <w:rFonts w:hint="eastAsia"/>
              </w:rPr>
              <w:t>采购物品名称</w:t>
            </w:r>
          </w:p>
        </w:tc>
        <w:tc>
          <w:tcPr>
            <w:tcW w:w="1134" w:type="dxa"/>
            <w:vMerge w:val="restart"/>
            <w:tcBorders>
              <w:left w:val="single" w:sz="6" w:space="0" w:color="000000"/>
              <w:right w:val="single" w:sz="6" w:space="0" w:color="000000"/>
            </w:tcBorders>
            <w:vAlign w:val="center"/>
          </w:tcPr>
          <w:p>
            <w:pPr>
              <w:pStyle w:val="18"/>
              <w:rPr>
                <w:rFonts w:cs="Times New Roman"/>
              </w:rPr>
            </w:pPr>
            <w:r>
              <w:rPr>
                <w:rFonts w:hint="eastAsia"/>
              </w:rPr>
              <w:t>政府采购目录序号</w:t>
            </w:r>
          </w:p>
        </w:tc>
        <w:tc>
          <w:tcPr>
            <w:tcW w:w="709" w:type="dxa"/>
            <w:vMerge w:val="restart"/>
            <w:tcBorders>
              <w:left w:val="single" w:sz="6" w:space="0" w:color="000000"/>
              <w:right w:val="single" w:sz="6" w:space="0" w:color="000000"/>
            </w:tcBorders>
            <w:vAlign w:val="center"/>
          </w:tcPr>
          <w:p>
            <w:pPr>
              <w:pStyle w:val="18"/>
              <w:rPr>
                <w:rFonts w:cs="Times New Roman"/>
              </w:rPr>
            </w:pPr>
            <w:r>
              <w:rPr>
                <w:rFonts w:hint="eastAsia"/>
              </w:rPr>
              <w:t>计量</w:t>
            </w:r>
            <w:r>
              <w:t xml:space="preserve">  </w:t>
            </w:r>
            <w:r>
              <w:rPr>
                <w:rFonts w:hint="eastAsia"/>
              </w:rPr>
              <w:t>单位</w:t>
            </w:r>
          </w:p>
        </w:tc>
        <w:tc>
          <w:tcPr>
            <w:tcW w:w="850" w:type="dxa"/>
            <w:vMerge w:val="restart"/>
            <w:tcBorders>
              <w:left w:val="single" w:sz="6" w:space="0" w:color="000000"/>
              <w:right w:val="single" w:sz="6" w:space="0" w:color="000000"/>
            </w:tcBorders>
            <w:vAlign w:val="center"/>
          </w:tcPr>
          <w:p>
            <w:pPr>
              <w:pStyle w:val="18"/>
              <w:rPr>
                <w:rFonts w:cs="Times New Roman"/>
              </w:rPr>
            </w:pPr>
            <w:r>
              <w:rPr>
                <w:rFonts w:hint="eastAsia"/>
              </w:rPr>
              <w:t>数量</w:t>
            </w:r>
          </w:p>
        </w:tc>
        <w:tc>
          <w:tcPr>
            <w:tcW w:w="850" w:type="dxa"/>
            <w:vMerge w:val="restart"/>
            <w:tcBorders>
              <w:left w:val="single" w:sz="6" w:space="0" w:color="000000"/>
              <w:right w:val="single" w:sz="6" w:space="0" w:color="000000"/>
            </w:tcBorders>
            <w:vAlign w:val="center"/>
          </w:tcPr>
          <w:p>
            <w:pPr>
              <w:pStyle w:val="18"/>
              <w:rPr>
                <w:rFonts w:cs="Times New Roman"/>
              </w:rPr>
            </w:pPr>
            <w:r>
              <w:rPr>
                <w:rFonts w:hint="eastAsia"/>
              </w:rPr>
              <w:t>单价</w:t>
            </w:r>
          </w:p>
        </w:tc>
        <w:tc>
          <w:tcPr>
            <w:tcW w:w="7712" w:type="dxa"/>
            <w:gridSpan w:val="8"/>
            <w:tcBorders>
              <w:left w:val="single" w:sz="6" w:space="0" w:color="000000"/>
              <w:right w:val="single" w:sz="6" w:space="0" w:color="000000"/>
            </w:tcBorders>
            <w:vAlign w:val="center"/>
          </w:tcPr>
          <w:p>
            <w:pPr>
              <w:pStyle w:val="18"/>
              <w:rPr>
                <w:rFonts w:cs="Times New Roman"/>
              </w:rPr>
            </w:pPr>
            <w:r>
              <w:rPr>
                <w:rFonts w:hint="eastAsia"/>
              </w:rPr>
              <w:t>政府采购金额（当年部门预算安排资金）</w:t>
            </w:r>
          </w:p>
        </w:tc>
        <w:tc>
          <w:tcPr>
            <w:tcW w:w="964" w:type="dxa"/>
            <w:vMerge w:val="restart"/>
            <w:vAlign w:val="center"/>
          </w:tcPr>
          <w:p>
            <w:pPr>
              <w:pStyle w:val="18"/>
              <w:rPr>
                <w:rFonts w:cs="Times New Roman"/>
              </w:rPr>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rPr>
          <w:tblHeader/>
        </w:trPr>
        <w:tc>
          <w:tcPr>
            <w:tcW w:w="1701" w:type="dxa"/>
            <w:vAlign w:val="center"/>
          </w:tcPr>
          <w:p>
            <w:pPr>
              <w:pStyle w:val="18"/>
              <w:rPr>
                <w:rFonts w:cs="Times New Roman"/>
              </w:rPr>
            </w:pPr>
            <w:r>
              <w:rPr>
                <w:rFonts w:hint="eastAsia"/>
              </w:rPr>
              <w:t>项目名称</w:t>
            </w:r>
          </w:p>
        </w:tc>
        <w:tc>
          <w:tcPr>
            <w:tcW w:w="964" w:type="dxa"/>
            <w:tcBorders>
              <w:left w:val="single" w:sz="6" w:space="0" w:color="000000"/>
              <w:right w:val="single" w:sz="6" w:space="0" w:color="000000"/>
            </w:tcBorders>
            <w:vAlign w:val="center"/>
          </w:tcPr>
          <w:p>
            <w:pPr>
              <w:pStyle w:val="18"/>
              <w:rPr>
                <w:rFonts w:cs="Times New Roman"/>
              </w:rPr>
            </w:pPr>
            <w:r>
              <w:rPr>
                <w:rFonts w:hint="eastAsia"/>
              </w:rPr>
              <w:t>预算</w:t>
            </w:r>
            <w:r>
              <w:t xml:space="preserve">    </w:t>
            </w:r>
            <w:r>
              <w:rPr>
                <w:rFonts w:hint="eastAsia"/>
              </w:rPr>
              <w:t>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rPr>
                <w:rFonts w:cs="Times New Roman"/>
              </w:rPr>
            </w:pPr>
            <w:r>
              <w:rPr>
                <w:rFonts w:hint="eastAsia"/>
              </w:rPr>
              <w:t>合计</w:t>
            </w:r>
          </w:p>
        </w:tc>
        <w:tc>
          <w:tcPr>
            <w:tcW w:w="964" w:type="dxa"/>
            <w:tcBorders>
              <w:left w:val="single" w:sz="6" w:space="0" w:color="000000"/>
              <w:right w:val="single" w:sz="6" w:space="0" w:color="000000"/>
            </w:tcBorders>
            <w:vAlign w:val="center"/>
          </w:tcPr>
          <w:p>
            <w:pPr>
              <w:pStyle w:val="18"/>
              <w:rPr>
                <w:rFonts w:cs="Times New Roman"/>
              </w:rPr>
            </w:pPr>
            <w:r>
              <w:rPr>
                <w:rFonts w:hint="eastAsia"/>
              </w:rPr>
              <w:t>一般公共预算拨款</w:t>
            </w:r>
          </w:p>
        </w:tc>
        <w:tc>
          <w:tcPr>
            <w:tcW w:w="964" w:type="dxa"/>
            <w:tcBorders>
              <w:left w:val="single" w:sz="6" w:space="0" w:color="000000"/>
              <w:right w:val="single" w:sz="6" w:space="0" w:color="000000"/>
            </w:tcBorders>
            <w:vAlign w:val="center"/>
          </w:tcPr>
          <w:p>
            <w:pPr>
              <w:pStyle w:val="18"/>
              <w:rPr>
                <w:rFonts w:cs="Times New Roman"/>
              </w:rPr>
            </w:pPr>
            <w:r>
              <w:rPr>
                <w:rFonts w:hint="eastAsia"/>
              </w:rPr>
              <w:t>基金预算拨款</w:t>
            </w:r>
          </w:p>
        </w:tc>
        <w:tc>
          <w:tcPr>
            <w:tcW w:w="964" w:type="dxa"/>
            <w:tcBorders>
              <w:left w:val="single" w:sz="6" w:space="0" w:color="000000"/>
              <w:right w:val="single" w:sz="6" w:space="0" w:color="000000"/>
            </w:tcBorders>
            <w:vAlign w:val="center"/>
          </w:tcPr>
          <w:p>
            <w:pPr>
              <w:pStyle w:val="18"/>
              <w:rPr>
                <w:rFonts w:cs="Times New Roman"/>
              </w:rPr>
            </w:pPr>
            <w:r>
              <w:rPr>
                <w:rFonts w:hint="eastAsia"/>
              </w:rPr>
              <w:t>国有资本经营预算拨款</w:t>
            </w:r>
          </w:p>
        </w:tc>
        <w:tc>
          <w:tcPr>
            <w:tcW w:w="964" w:type="dxa"/>
            <w:tcBorders>
              <w:left w:val="single" w:sz="6" w:space="0" w:color="000000"/>
              <w:right w:val="single" w:sz="6" w:space="0" w:color="000000"/>
            </w:tcBorders>
            <w:vAlign w:val="center"/>
          </w:tcPr>
          <w:p>
            <w:pPr>
              <w:pStyle w:val="18"/>
              <w:rPr>
                <w:rFonts w:cs="Times New Roman"/>
              </w:rPr>
            </w:pPr>
            <w:r>
              <w:rPr>
                <w:rFonts w:hint="eastAsia"/>
              </w:rPr>
              <w:t>财政专户核拨</w:t>
            </w:r>
          </w:p>
        </w:tc>
        <w:tc>
          <w:tcPr>
            <w:tcW w:w="964" w:type="dxa"/>
            <w:tcBorders>
              <w:left w:val="single" w:sz="6" w:space="0" w:color="000000"/>
              <w:right w:val="single" w:sz="6" w:space="0" w:color="000000"/>
            </w:tcBorders>
            <w:vAlign w:val="center"/>
          </w:tcPr>
          <w:p>
            <w:pPr>
              <w:pStyle w:val="18"/>
              <w:rPr>
                <w:rFonts w:cs="Times New Roman"/>
              </w:rPr>
            </w:pPr>
            <w:r>
              <w:rPr>
                <w:rFonts w:hint="eastAsia"/>
              </w:rPr>
              <w:t>单位</w:t>
            </w:r>
            <w:r>
              <w:t xml:space="preserve">    </w:t>
            </w:r>
            <w:r>
              <w:rPr>
                <w:rFonts w:hint="eastAsia"/>
              </w:rPr>
              <w:t>资金</w:t>
            </w:r>
          </w:p>
        </w:tc>
        <w:tc>
          <w:tcPr>
            <w:tcW w:w="964" w:type="dxa"/>
            <w:tcBorders>
              <w:left w:val="single" w:sz="6" w:space="0" w:color="000000"/>
              <w:right w:val="single" w:sz="6" w:space="0" w:color="000000"/>
            </w:tcBorders>
            <w:vAlign w:val="center"/>
          </w:tcPr>
          <w:p>
            <w:pPr>
              <w:pStyle w:val="18"/>
              <w:rPr>
                <w:rFonts w:cs="Times New Roman"/>
              </w:rPr>
            </w:pPr>
            <w:r>
              <w:rPr>
                <w:rFonts w:hint="eastAsia"/>
              </w:rPr>
              <w:t>财政拨款结转</w:t>
            </w:r>
          </w:p>
        </w:tc>
        <w:tc>
          <w:tcPr>
            <w:tcW w:w="964" w:type="dxa"/>
            <w:tcBorders>
              <w:left w:val="single" w:sz="6" w:space="0" w:color="000000"/>
              <w:right w:val="single" w:sz="6" w:space="0" w:color="000000"/>
            </w:tcBorders>
            <w:vAlign w:val="center"/>
          </w:tcPr>
          <w:p>
            <w:pPr>
              <w:pStyle w:val="18"/>
              <w:rPr>
                <w:rFonts w:cs="Times New Roman"/>
              </w:rPr>
            </w:pPr>
            <w:r>
              <w:rPr>
                <w:rFonts w:hint="eastAsia"/>
              </w:rPr>
              <w:t>非财政拨款结余</w:t>
            </w:r>
          </w:p>
        </w:tc>
        <w:tc>
          <w:tcPr>
            <w:tcW w:w="964" w:type="dxa"/>
            <w:vMerge/>
          </w:tcPr>
          <w:p/>
        </w:tc>
      </w:tr>
      <w:tr>
        <w:tc>
          <w:tcPr>
            <w:tcW w:w="1701" w:type="dxa"/>
            <w:vAlign w:val="center"/>
          </w:tcPr>
          <w:p>
            <w:pPr>
              <w:pStyle w:val="20"/>
              <w:rPr>
                <w:rFonts w:cs="Times New Roman"/>
              </w:rPr>
            </w:pPr>
          </w:p>
        </w:tc>
        <w:tc>
          <w:tcPr>
            <w:tcW w:w="964" w:type="dxa"/>
            <w:tcBorders>
              <w:left w:val="single" w:sz="6" w:space="0" w:color="000000"/>
              <w:right w:val="single" w:sz="6" w:space="0" w:color="000000"/>
            </w:tcBorders>
            <w:vAlign w:val="center"/>
          </w:tcPr>
          <w:p>
            <w:pPr>
              <w:pStyle w:val="19"/>
              <w:rPr>
                <w:rFonts w:cs="Times New Roman"/>
              </w:rPr>
            </w:pPr>
          </w:p>
        </w:tc>
        <w:tc>
          <w:tcPr>
            <w:tcW w:w="1134" w:type="dxa"/>
            <w:tcBorders>
              <w:left w:val="single" w:sz="6" w:space="0" w:color="000000"/>
              <w:right w:val="single" w:sz="6" w:space="0" w:color="000000"/>
            </w:tcBorders>
            <w:vAlign w:val="center"/>
          </w:tcPr>
          <w:p>
            <w:pPr>
              <w:pStyle w:val="20"/>
              <w:rPr>
                <w:rFonts w:cs="Times New Roman"/>
              </w:rPr>
            </w:pPr>
          </w:p>
        </w:tc>
        <w:tc>
          <w:tcPr>
            <w:tcW w:w="1134" w:type="dxa"/>
            <w:tcBorders>
              <w:left w:val="single" w:sz="6" w:space="0" w:color="000000"/>
              <w:right w:val="single" w:sz="6" w:space="0" w:color="000000"/>
            </w:tcBorders>
            <w:vAlign w:val="center"/>
          </w:tcPr>
          <w:p>
            <w:pPr>
              <w:pStyle w:val="20"/>
              <w:rPr>
                <w:rFonts w:cs="Times New Roman"/>
              </w:rPr>
            </w:pPr>
          </w:p>
        </w:tc>
        <w:tc>
          <w:tcPr>
            <w:tcW w:w="709" w:type="dxa"/>
            <w:tcBorders>
              <w:left w:val="single" w:sz="6" w:space="0" w:color="000000"/>
              <w:right w:val="single" w:sz="6" w:space="0" w:color="000000"/>
            </w:tcBorders>
            <w:vAlign w:val="center"/>
          </w:tcPr>
          <w:p>
            <w:pPr>
              <w:pStyle w:val="21"/>
              <w:rPr>
                <w:rFonts w:cs="Times New Roman"/>
              </w:rPr>
            </w:pPr>
          </w:p>
        </w:tc>
        <w:tc>
          <w:tcPr>
            <w:tcW w:w="850" w:type="dxa"/>
            <w:tcBorders>
              <w:left w:val="single" w:sz="6" w:space="0" w:color="000000"/>
              <w:right w:val="single" w:sz="6" w:space="0" w:color="000000"/>
            </w:tcBorders>
            <w:vAlign w:val="center"/>
          </w:tcPr>
          <w:p>
            <w:pPr>
              <w:pStyle w:val="19"/>
              <w:rPr>
                <w:rFonts w:cs="Times New Roman"/>
              </w:rPr>
            </w:pPr>
          </w:p>
        </w:tc>
        <w:tc>
          <w:tcPr>
            <w:tcW w:w="850" w:type="dxa"/>
            <w:tcBorders>
              <w:left w:val="single" w:sz="6" w:space="0" w:color="000000"/>
              <w:right w:val="single" w:sz="6" w:space="0" w:color="000000"/>
            </w:tcBorders>
            <w:vAlign w:val="center"/>
          </w:tcPr>
          <w:p>
            <w:pPr>
              <w:pStyle w:val="19"/>
              <w:rPr>
                <w:rFonts w:cs="Times New Roman"/>
              </w:rPr>
            </w:pPr>
          </w:p>
        </w:tc>
        <w:tc>
          <w:tcPr>
            <w:tcW w:w="964" w:type="dxa"/>
            <w:tcBorders>
              <w:left w:val="single" w:sz="6" w:space="0" w:color="000000"/>
              <w:right w:val="single" w:sz="6" w:space="0" w:color="000000"/>
            </w:tcBorders>
            <w:vAlign w:val="center"/>
          </w:tcPr>
          <w:p>
            <w:pPr>
              <w:pStyle w:val="19"/>
              <w:rPr>
                <w:rFonts w:cs="Times New Roman"/>
              </w:rPr>
            </w:pPr>
          </w:p>
        </w:tc>
        <w:tc>
          <w:tcPr>
            <w:tcW w:w="964" w:type="dxa"/>
            <w:tcBorders>
              <w:left w:val="single" w:sz="6" w:space="0" w:color="000000"/>
              <w:right w:val="single" w:sz="6" w:space="0" w:color="000000"/>
            </w:tcBorders>
            <w:vAlign w:val="center"/>
          </w:tcPr>
          <w:p>
            <w:pPr>
              <w:pStyle w:val="19"/>
              <w:rPr>
                <w:rFonts w:cs="Times New Roman"/>
              </w:rPr>
            </w:pPr>
          </w:p>
        </w:tc>
        <w:tc>
          <w:tcPr>
            <w:tcW w:w="964" w:type="dxa"/>
            <w:tcBorders>
              <w:left w:val="single" w:sz="6" w:space="0" w:color="000000"/>
              <w:right w:val="single" w:sz="6" w:space="0" w:color="000000"/>
            </w:tcBorders>
            <w:vAlign w:val="center"/>
          </w:tcPr>
          <w:p>
            <w:pPr>
              <w:pStyle w:val="19"/>
              <w:rPr>
                <w:rFonts w:cs="Times New Roman"/>
              </w:rPr>
            </w:pPr>
          </w:p>
        </w:tc>
        <w:tc>
          <w:tcPr>
            <w:tcW w:w="964" w:type="dxa"/>
            <w:tcBorders>
              <w:left w:val="single" w:sz="6" w:space="0" w:color="000000"/>
              <w:right w:val="single" w:sz="6" w:space="0" w:color="000000"/>
            </w:tcBorders>
            <w:vAlign w:val="center"/>
          </w:tcPr>
          <w:p>
            <w:pPr>
              <w:pStyle w:val="19"/>
              <w:rPr>
                <w:rFonts w:cs="Times New Roman"/>
              </w:rPr>
            </w:pPr>
          </w:p>
        </w:tc>
        <w:tc>
          <w:tcPr>
            <w:tcW w:w="964" w:type="dxa"/>
            <w:tcBorders>
              <w:left w:val="single" w:sz="6" w:space="0" w:color="000000"/>
              <w:right w:val="single" w:sz="6" w:space="0" w:color="000000"/>
            </w:tcBorders>
            <w:vAlign w:val="center"/>
          </w:tcPr>
          <w:p>
            <w:pPr>
              <w:pStyle w:val="19"/>
              <w:rPr>
                <w:rFonts w:cs="Times New Roman"/>
              </w:rPr>
            </w:pPr>
          </w:p>
        </w:tc>
        <w:tc>
          <w:tcPr>
            <w:tcW w:w="964" w:type="dxa"/>
            <w:tcBorders>
              <w:left w:val="single" w:sz="6" w:space="0" w:color="000000"/>
              <w:right w:val="single" w:sz="6" w:space="0" w:color="000000"/>
            </w:tcBorders>
            <w:vAlign w:val="center"/>
          </w:tcPr>
          <w:p>
            <w:pPr>
              <w:pStyle w:val="19"/>
              <w:rPr>
                <w:rFonts w:cs="Times New Roman"/>
              </w:rPr>
            </w:pPr>
          </w:p>
        </w:tc>
        <w:tc>
          <w:tcPr>
            <w:tcW w:w="964" w:type="dxa"/>
            <w:tcBorders>
              <w:left w:val="single" w:sz="6" w:space="0" w:color="000000"/>
              <w:right w:val="single" w:sz="6" w:space="0" w:color="000000"/>
            </w:tcBorders>
            <w:vAlign w:val="center"/>
          </w:tcPr>
          <w:p>
            <w:pPr>
              <w:pStyle w:val="19"/>
              <w:rPr>
                <w:rFonts w:cs="Times New Roman"/>
              </w:rPr>
            </w:pPr>
          </w:p>
        </w:tc>
        <w:tc>
          <w:tcPr>
            <w:tcW w:w="964" w:type="dxa"/>
            <w:tcBorders>
              <w:left w:val="single" w:sz="6" w:space="0" w:color="000000"/>
              <w:right w:val="single" w:sz="6" w:space="0" w:color="000000"/>
            </w:tcBorders>
            <w:vAlign w:val="center"/>
          </w:tcPr>
          <w:p>
            <w:pPr>
              <w:pStyle w:val="19"/>
              <w:rPr>
                <w:rFonts w:cs="Times New Roman"/>
              </w:rPr>
            </w:pPr>
          </w:p>
        </w:tc>
        <w:tc>
          <w:tcPr>
            <w:tcW w:w="964" w:type="dxa"/>
            <w:vAlign w:val="center"/>
          </w:tcPr>
          <w:p>
            <w:pPr>
              <w:pStyle w:val="19"/>
              <w:rPr>
                <w:rFonts w:cs="Times New Roman"/>
              </w:rPr>
            </w:pPr>
          </w:p>
        </w:tc>
      </w:tr>
    </w:tbl>
    <w:p>
      <w:pPr>
        <w:spacing w:line="500" w:lineRule="exact"/>
        <w:ind w:firstLine="420"/>
      </w:pPr>
      <w:r>
        <w:rPr>
          <w:rFonts w:ascii="方正书宋_GBK" w:eastAsia="方正书宋_GBK" w:cs="方正书宋_GBK" w:hAnsi="方正书宋_GBK" w:hint="eastAsia"/>
          <w:color w:val="000000"/>
          <w:sz w:val="21"/>
          <w:szCs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hint="eastAsia"/>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ascii="黑体" w:eastAsia="黑体" w:cs="黑体" w:hAnsi="黑体" w:hint="eastAsia"/>
          <w:color w:val="000000"/>
          <w:sz w:val="32"/>
          <w:szCs w:val="32"/>
        </w:rPr>
        <w:t>七、国有资产信息</w:t>
      </w:r>
    </w:p>
    <w:p>
      <w:pPr>
        <w:spacing w:line="500" w:lineRule="exact"/>
        <w:ind w:firstLine="560"/>
      </w:pPr>
      <w:r>
        <w:rPr>
          <w:rFonts w:eastAsia="方正仿宋_GBK" w:cs="方正仿宋_GBK" w:hint="eastAsia"/>
          <w:color w:val="000000"/>
          <w:sz w:val="28"/>
          <w:szCs w:val="28"/>
        </w:rPr>
        <w:t>行唐县交通运输局（含所属单位）上年末固定资产金额为</w:t>
      </w:r>
      <w:r>
        <w:rPr>
          <w:rFonts w:eastAsia="方正仿宋_GBK"/>
          <w:color w:val="000000"/>
          <w:sz w:val="28"/>
          <w:szCs w:val="28"/>
          <w:lang w:eastAsia="zh-CN"/>
        </w:rPr>
        <w:t>3482.64</w:t>
      </w:r>
      <w:r>
        <w:rPr>
          <w:rFonts w:eastAsia="方正仿宋_GBK" w:cs="方正仿宋_GBK" w:hint="eastAsia"/>
          <w:color w:val="000000"/>
          <w:sz w:val="28"/>
          <w:szCs w:val="28"/>
        </w:rPr>
        <w:t>万元（详见下表）。本年度拟购置固定资产总额为</w:t>
      </w:r>
      <w:r>
        <w:rPr>
          <w:rFonts w:eastAsia="方正仿宋_GBK"/>
          <w:color w:val="000000"/>
          <w:sz w:val="28"/>
          <w:szCs w:val="28"/>
        </w:rPr>
        <w:t>0.00</w:t>
      </w:r>
      <w:r>
        <w:rPr>
          <w:rFonts w:eastAsia="方正仿宋_GBK" w:cs="方正仿宋_GBK" w:hint="eastAsia"/>
          <w:color w:val="000000"/>
          <w:sz w:val="28"/>
          <w:szCs w:val="28"/>
        </w:rPr>
        <w:t>万元，已按要求列入政府采购预算，详见政府采购预算表。</w:t>
      </w:r>
    </w:p>
    <w:p>
      <w:pPr>
        <w:jc w:val="center"/>
      </w:pPr>
      <w:r>
        <w:rPr>
          <w:rFonts w:ascii="方正小标宋_GBK" w:eastAsia="方正小标宋_GBK" w:cs="方正小标宋_GBK" w:hAnsi="方正小标宋_GBK" w:hint="eastAsia"/>
          <w:color w:val="000000"/>
          <w:sz w:val="36"/>
          <w:szCs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rPr>
                <w:rFonts w:cs="Times New Roman"/>
              </w:rPr>
            </w:pPr>
            <w:r>
              <w:t>348</w:t>
            </w:r>
            <w:r>
              <w:rPr>
                <w:rFonts w:hint="eastAsia"/>
              </w:rPr>
              <w:t>行唐县交通运输局</w:t>
            </w:r>
          </w:p>
        </w:tc>
        <w:tc>
          <w:tcPr>
            <w:tcW w:w="5670" w:type="dxa"/>
            <w:gridSpan w:val="2"/>
            <w:tcBorders>
              <w:top w:val="single" w:sz="6" w:space="0" w:color="FFFFFF"/>
              <w:left w:val="single" w:sz="6" w:space="0" w:color="FFFFFF"/>
              <w:right w:val="single" w:sz="6" w:space="0" w:color="FFFFFF"/>
            </w:tcBorders>
            <w:vAlign w:val="center"/>
          </w:tcPr>
          <w:p>
            <w:pPr>
              <w:pStyle w:val="15"/>
            </w:pPr>
            <w:r>
              <w:rPr>
                <w:rFonts w:hint="eastAsia"/>
              </w:rPr>
              <w:t>截止时间：</w:t>
            </w:r>
            <w:r>
              <w:t>2024-12-31</w:t>
            </w:r>
          </w:p>
        </w:tc>
      </w:tr>
      <w:tr>
        <w:trPr>
          <w:tblHeader/>
        </w:trPr>
        <w:tc>
          <w:tcPr>
            <w:tcW w:w="7370" w:type="dxa"/>
            <w:vAlign w:val="center"/>
          </w:tcPr>
          <w:p>
            <w:pPr>
              <w:pStyle w:val="18"/>
              <w:rPr>
                <w:rFonts w:cs="Times New Roman"/>
              </w:rPr>
            </w:pPr>
            <w:r>
              <w:rPr>
                <w:rFonts w:hint="eastAsia"/>
              </w:rPr>
              <w:t>项</w:t>
            </w:r>
            <w:r>
              <w:t xml:space="preserve">   </w:t>
            </w:r>
            <w:r>
              <w:rPr>
                <w:rFonts w:hint="eastAsia"/>
              </w:rPr>
              <w:t>目</w:t>
            </w:r>
          </w:p>
        </w:tc>
        <w:tc>
          <w:tcPr>
            <w:tcW w:w="2835" w:type="dxa"/>
            <w:tcBorders>
              <w:left w:val="single" w:sz="6" w:space="0" w:color="auto"/>
              <w:right w:val="single" w:sz="6" w:space="0" w:color="auto"/>
            </w:tcBorders>
            <w:vAlign w:val="center"/>
          </w:tcPr>
          <w:p>
            <w:pPr>
              <w:pStyle w:val="18"/>
              <w:rPr>
                <w:rFonts w:cs="Times New Roman"/>
              </w:rPr>
            </w:pPr>
            <w:r>
              <w:rPr>
                <w:rFonts w:hint="eastAsia"/>
              </w:rPr>
              <w:t>数量</w:t>
            </w:r>
          </w:p>
        </w:tc>
        <w:tc>
          <w:tcPr>
            <w:tcW w:w="2835" w:type="dxa"/>
            <w:vAlign w:val="center"/>
          </w:tcPr>
          <w:p>
            <w:pPr>
              <w:pStyle w:val="18"/>
              <w:rPr>
                <w:rFonts w:cs="Times New Roman"/>
              </w:rPr>
            </w:pPr>
            <w:r>
              <w:rPr>
                <w:rFonts w:hint="eastAsia"/>
              </w:rPr>
              <w:t>价值（金额单位：万元）</w:t>
            </w:r>
          </w:p>
        </w:tc>
      </w:tr>
      <w:tr>
        <w:tc>
          <w:tcPr>
            <w:tcW w:w="7370" w:type="dxa"/>
            <w:vAlign w:val="center"/>
          </w:tcPr>
          <w:p>
            <w:pPr>
              <w:pStyle w:val="20"/>
              <w:rPr>
                <w:rFonts w:cs="Times New Roman"/>
              </w:rPr>
            </w:pPr>
            <w:r>
              <w:rPr>
                <w:rFonts w:hint="eastAsia"/>
              </w:rPr>
              <w:t>资产总额</w:t>
            </w:r>
          </w:p>
        </w:tc>
        <w:tc>
          <w:tcPr>
            <w:tcW w:w="2835" w:type="dxa"/>
            <w:tcBorders>
              <w:left w:val="single" w:sz="6" w:space="0" w:color="auto"/>
              <w:right w:val="single" w:sz="6" w:space="0" w:color="auto"/>
            </w:tcBorders>
            <w:vAlign w:val="center"/>
          </w:tcPr>
          <w:p>
            <w:pPr>
              <w:pStyle w:val="21"/>
              <w:rPr>
                <w:rFonts w:cs="Times New Roman"/>
              </w:rPr>
            </w:pPr>
          </w:p>
        </w:tc>
        <w:tc>
          <w:tcPr>
            <w:tcW w:w="2835" w:type="dxa"/>
            <w:vAlign w:val="center"/>
          </w:tcPr>
          <w:p>
            <w:pPr>
              <w:pStyle w:val="19"/>
            </w:pPr>
            <w:r>
              <w:t>3482.64</w:t>
            </w:r>
          </w:p>
        </w:tc>
      </w:tr>
      <w:tr>
        <w:tc>
          <w:tcPr>
            <w:tcW w:w="7370" w:type="dxa"/>
            <w:vAlign w:val="center"/>
          </w:tcPr>
          <w:p>
            <w:pPr>
              <w:pStyle w:val="20"/>
              <w:rPr>
                <w:rFonts w:cs="Times New Roman"/>
              </w:rPr>
            </w:pPr>
            <w:r>
              <w:t>1</w:t>
            </w:r>
            <w:r>
              <w:rPr>
                <w:rFonts w:hint="eastAsia"/>
              </w:rPr>
              <w:t>、房屋（平方米）</w:t>
            </w:r>
          </w:p>
        </w:tc>
        <w:tc>
          <w:tcPr>
            <w:tcW w:w="2835" w:type="dxa"/>
            <w:tcBorders>
              <w:left w:val="single" w:sz="6" w:space="0" w:color="auto"/>
              <w:right w:val="single" w:sz="6" w:space="0" w:color="auto"/>
            </w:tcBorders>
            <w:vAlign w:val="center"/>
          </w:tcPr>
          <w:p>
            <w:pPr>
              <w:pStyle w:val="21"/>
            </w:pPr>
            <w:r>
              <w:t>14200.71</w:t>
            </w:r>
          </w:p>
        </w:tc>
        <w:tc>
          <w:tcPr>
            <w:tcW w:w="2835" w:type="dxa"/>
            <w:vAlign w:val="center"/>
          </w:tcPr>
          <w:p>
            <w:pPr>
              <w:pStyle w:val="19"/>
            </w:pPr>
            <w:r>
              <w:t>1215.64</w:t>
            </w:r>
          </w:p>
        </w:tc>
      </w:tr>
      <w:tr>
        <w:tc>
          <w:tcPr>
            <w:tcW w:w="7370" w:type="dxa"/>
            <w:vAlign w:val="center"/>
          </w:tcPr>
          <w:p>
            <w:pPr>
              <w:pStyle w:val="20"/>
              <w:rPr>
                <w:rFonts w:cs="Times New Roman"/>
              </w:rPr>
            </w:pPr>
            <w:r>
              <w:rPr>
                <w:rFonts w:hint="eastAsia"/>
              </w:rPr>
              <w:t>　　其中：办公用房（平方米）</w:t>
            </w:r>
          </w:p>
        </w:tc>
        <w:tc>
          <w:tcPr>
            <w:tcW w:w="2835" w:type="dxa"/>
            <w:tcBorders>
              <w:left w:val="single" w:sz="6" w:space="0" w:color="auto"/>
              <w:right w:val="single" w:sz="6" w:space="0" w:color="auto"/>
            </w:tcBorders>
            <w:vAlign w:val="center"/>
          </w:tcPr>
          <w:p>
            <w:pPr>
              <w:pStyle w:val="21"/>
              <w:rPr>
                <w:rFonts w:cs="Times New Roman"/>
              </w:rPr>
            </w:pPr>
          </w:p>
        </w:tc>
        <w:tc>
          <w:tcPr>
            <w:tcW w:w="2835" w:type="dxa"/>
            <w:vAlign w:val="center"/>
          </w:tcPr>
          <w:p>
            <w:pPr>
              <w:pStyle w:val="19"/>
              <w:rPr>
                <w:rFonts w:cs="Times New Roman"/>
              </w:rPr>
            </w:pPr>
          </w:p>
        </w:tc>
      </w:tr>
      <w:tr>
        <w:tc>
          <w:tcPr>
            <w:tcW w:w="7370" w:type="dxa"/>
            <w:vAlign w:val="center"/>
          </w:tcPr>
          <w:p>
            <w:pPr>
              <w:pStyle w:val="20"/>
              <w:rPr>
                <w:rFonts w:cs="Times New Roman"/>
              </w:rPr>
            </w:pPr>
            <w:r>
              <w:t>2</w:t>
            </w:r>
            <w:r>
              <w:rPr>
                <w:rFonts w:hint="eastAsia"/>
              </w:rPr>
              <w:t>、车辆（台、辆）</w:t>
            </w:r>
          </w:p>
        </w:tc>
        <w:tc>
          <w:tcPr>
            <w:tcW w:w="2835" w:type="dxa"/>
            <w:tcBorders>
              <w:left w:val="single" w:sz="6" w:space="0" w:color="auto"/>
              <w:right w:val="single" w:sz="6" w:space="0" w:color="auto"/>
            </w:tcBorders>
            <w:vAlign w:val="center"/>
          </w:tcPr>
          <w:p>
            <w:pPr>
              <w:pStyle w:val="21"/>
              <w:rPr>
                <w:rFonts w:cs="Times New Roman"/>
              </w:rPr>
            </w:pPr>
            <w:r>
              <w:t>20</w:t>
            </w:r>
          </w:p>
        </w:tc>
        <w:tc>
          <w:tcPr>
            <w:tcW w:w="2835" w:type="dxa"/>
            <w:vAlign w:val="center"/>
          </w:tcPr>
          <w:p>
            <w:pPr>
              <w:pStyle w:val="19"/>
            </w:pPr>
            <w:r>
              <w:t>190.44</w:t>
            </w:r>
          </w:p>
        </w:tc>
      </w:tr>
      <w:tr>
        <w:tc>
          <w:tcPr>
            <w:tcW w:w="7370" w:type="dxa"/>
            <w:vAlign w:val="center"/>
          </w:tcPr>
          <w:p>
            <w:pPr>
              <w:pStyle w:val="20"/>
              <w:rPr>
                <w:rFonts w:cs="Times New Roman"/>
              </w:rPr>
            </w:pPr>
            <w:r>
              <w:t>3</w:t>
            </w:r>
            <w:r>
              <w:rPr>
                <w:rFonts w:hint="eastAsia"/>
              </w:rPr>
              <w:t>、单价在</w:t>
            </w:r>
            <w:r>
              <w:t>20</w:t>
            </w:r>
            <w:r>
              <w:rPr>
                <w:rFonts w:hint="eastAsia"/>
              </w:rPr>
              <w:t>万元以上的设备</w:t>
            </w:r>
          </w:p>
        </w:tc>
        <w:tc>
          <w:tcPr>
            <w:tcW w:w="2835" w:type="dxa"/>
            <w:tcBorders>
              <w:left w:val="single" w:sz="6" w:space="0" w:color="auto"/>
              <w:right w:val="single" w:sz="6" w:space="0" w:color="auto"/>
            </w:tcBorders>
            <w:vAlign w:val="center"/>
          </w:tcPr>
          <w:p>
            <w:pPr>
              <w:pStyle w:val="21"/>
              <w:rPr>
                <w:rFonts w:cs="Times New Roman"/>
              </w:rPr>
            </w:pPr>
          </w:p>
        </w:tc>
        <w:tc>
          <w:tcPr>
            <w:tcW w:w="2835" w:type="dxa"/>
            <w:vAlign w:val="center"/>
          </w:tcPr>
          <w:p>
            <w:pPr>
              <w:pStyle w:val="19"/>
              <w:rPr>
                <w:rFonts w:cs="Times New Roman"/>
              </w:rPr>
            </w:pPr>
          </w:p>
        </w:tc>
      </w:tr>
      <w:tr>
        <w:tc>
          <w:tcPr>
            <w:tcW w:w="7370" w:type="dxa"/>
            <w:vAlign w:val="center"/>
          </w:tcPr>
          <w:p>
            <w:pPr>
              <w:pStyle w:val="20"/>
              <w:rPr>
                <w:rFonts w:cs="Times New Roman"/>
              </w:rPr>
            </w:pPr>
            <w:r>
              <w:t>4</w:t>
            </w:r>
            <w:r>
              <w:rPr>
                <w:rFonts w:hint="eastAsia"/>
              </w:rPr>
              <w:t>、其他固定资产</w:t>
            </w:r>
          </w:p>
        </w:tc>
        <w:tc>
          <w:tcPr>
            <w:tcW w:w="2835" w:type="dxa"/>
            <w:tcBorders>
              <w:left w:val="single" w:sz="6" w:space="0" w:color="auto"/>
              <w:right w:val="single" w:sz="6" w:space="0" w:color="auto"/>
            </w:tcBorders>
            <w:vAlign w:val="center"/>
          </w:tcPr>
          <w:p>
            <w:pPr>
              <w:pStyle w:val="21"/>
              <w:rPr>
                <w:rFonts w:cs="Times New Roman"/>
              </w:rPr>
            </w:pPr>
            <w:r>
              <w:t>1147</w:t>
            </w:r>
          </w:p>
        </w:tc>
        <w:tc>
          <w:tcPr>
            <w:tcW w:w="2835" w:type="dxa"/>
            <w:vAlign w:val="center"/>
          </w:tcPr>
          <w:p>
            <w:pPr>
              <w:pStyle w:val="19"/>
            </w:pPr>
            <w:r>
              <w:t>2076.56</w:t>
            </w:r>
          </w:p>
        </w:tc>
      </w:tr>
    </w:tbl>
    <w:p>
      <w:pPr>
        <w:spacing w:before="10" w:after="10"/>
        <w:ind w:firstLine="640"/>
        <w:outlineLvl w:val="5"/>
        <w:rPr>
          <w:rFonts w:ascii="黑体" w:eastAsia="黑体" w:hAnsi="黑体"/>
          <w:color w:val="000000"/>
          <w:sz w:val="32"/>
          <w:szCs w:val="32"/>
          <w:lang w:eastAsia="zh-CN"/>
        </w:rPr>
      </w:pPr>
    </w:p>
    <w:p>
      <w:pPr>
        <w:spacing w:before="10" w:after="10"/>
        <w:ind w:firstLine="640"/>
        <w:outlineLvl w:val="5"/>
        <w:rPr>
          <w:rFonts w:ascii="黑体" w:eastAsia="黑体" w:hAnsi="黑体"/>
          <w:color w:val="000000"/>
          <w:sz w:val="32"/>
          <w:szCs w:val="32"/>
          <w:lang w:eastAsia="zh-CN"/>
        </w:rPr>
      </w:pPr>
    </w:p>
    <w:p>
      <w:pPr>
        <w:spacing w:before="10" w:after="10"/>
        <w:ind w:firstLine="640"/>
        <w:outlineLvl w:val="5"/>
      </w:pPr>
      <w:r>
        <w:rPr>
          <w:rFonts w:ascii="黑体" w:eastAsia="黑体" w:cs="黑体" w:hAnsi="黑体" w:hint="eastAsia"/>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cs="方正仿宋_GBK" w:hint="eastAsia"/>
          <w:color w:val="000000"/>
          <w:sz w:val="28"/>
          <w:szCs w:val="28"/>
        </w:rPr>
        <w:t>、</w:t>
      </w:r>
      <w:r>
        <w:rPr>
          <w:rFonts w:eastAsia="方正仿宋_GBK" w:cs="方正仿宋_GBK" w:hint="eastAsia"/>
          <w:b/>
          <w:bCs/>
          <w:color w:val="000000"/>
          <w:sz w:val="28"/>
          <w:szCs w:val="28"/>
        </w:rPr>
        <w:t>财政拨款收入：</w:t>
      </w:r>
      <w:r>
        <w:rPr>
          <w:rFonts w:eastAsia="方正仿宋_GBK" w:cs="方正仿宋_GBK" w:hint="eastAsia"/>
          <w:color w:val="000000"/>
          <w:sz w:val="28"/>
          <w:szCs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szCs w:val="28"/>
        </w:rPr>
        <w:t>2</w:t>
      </w:r>
      <w:r>
        <w:rPr>
          <w:rFonts w:eastAsia="方正仿宋_GBK" w:cs="方正仿宋_GBK" w:hint="eastAsia"/>
          <w:color w:val="000000"/>
          <w:sz w:val="28"/>
          <w:szCs w:val="28"/>
        </w:rPr>
        <w:t>、</w:t>
      </w:r>
      <w:r>
        <w:rPr>
          <w:rFonts w:eastAsia="方正仿宋_GBK" w:cs="方正仿宋_GBK" w:hint="eastAsia"/>
          <w:b/>
          <w:bCs/>
          <w:color w:val="000000"/>
          <w:sz w:val="28"/>
          <w:szCs w:val="28"/>
        </w:rPr>
        <w:t>财政专户管理资金收入：</w:t>
      </w:r>
      <w:r>
        <w:rPr>
          <w:rFonts w:eastAsia="方正仿宋_GBK" w:cs="方正仿宋_GBK" w:hint="eastAsia"/>
          <w:color w:val="000000"/>
          <w:sz w:val="28"/>
          <w:szCs w:val="28"/>
        </w:rPr>
        <w:t>缴入财政专户、实行专项管理的教育收费收入。</w:t>
      </w:r>
    </w:p>
    <w:p>
      <w:pPr>
        <w:spacing w:line="500" w:lineRule="exact"/>
        <w:ind w:firstLine="560"/>
      </w:pPr>
      <w:r>
        <w:rPr>
          <w:rFonts w:eastAsia="方正仿宋_GBK"/>
          <w:color w:val="000000"/>
          <w:sz w:val="28"/>
          <w:szCs w:val="28"/>
        </w:rPr>
        <w:t>3</w:t>
      </w:r>
      <w:r>
        <w:rPr>
          <w:rFonts w:eastAsia="方正仿宋_GBK" w:cs="方正仿宋_GBK" w:hint="eastAsia"/>
          <w:color w:val="000000"/>
          <w:sz w:val="28"/>
          <w:szCs w:val="28"/>
        </w:rPr>
        <w:t>、</w:t>
      </w:r>
      <w:r>
        <w:rPr>
          <w:rFonts w:eastAsia="方正仿宋_GBK" w:cs="方正仿宋_GBK" w:hint="eastAsia"/>
          <w:b/>
          <w:bCs/>
          <w:color w:val="000000"/>
          <w:sz w:val="28"/>
          <w:szCs w:val="28"/>
        </w:rPr>
        <w:t>单位资金收入：</w:t>
      </w:r>
      <w:r>
        <w:rPr>
          <w:rFonts w:eastAsia="方正仿宋_GBK" w:cs="方正仿宋_GBK" w:hint="eastAsia"/>
          <w:color w:val="000000"/>
          <w:sz w:val="28"/>
          <w:szCs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szCs w:val="28"/>
        </w:rPr>
        <w:t>4</w:t>
      </w:r>
      <w:r>
        <w:rPr>
          <w:rFonts w:eastAsia="方正仿宋_GBK" w:cs="方正仿宋_GBK" w:hint="eastAsia"/>
          <w:color w:val="000000"/>
          <w:sz w:val="28"/>
          <w:szCs w:val="28"/>
        </w:rPr>
        <w:t>、</w:t>
      </w:r>
      <w:r>
        <w:rPr>
          <w:rFonts w:eastAsia="方正仿宋_GBK" w:cs="方正仿宋_GBK" w:hint="eastAsia"/>
          <w:b/>
          <w:bCs/>
          <w:color w:val="000000"/>
          <w:sz w:val="28"/>
          <w:szCs w:val="28"/>
        </w:rPr>
        <w:t>事业收入：</w:t>
      </w:r>
      <w:r>
        <w:rPr>
          <w:rFonts w:eastAsia="方正仿宋_GBK" w:cs="方正仿宋_GBK" w:hint="eastAsia"/>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5</w:t>
      </w:r>
      <w:r>
        <w:rPr>
          <w:rFonts w:eastAsia="方正仿宋_GBK" w:cs="方正仿宋_GBK" w:hint="eastAsia"/>
          <w:color w:val="000000"/>
          <w:sz w:val="28"/>
          <w:szCs w:val="28"/>
        </w:rPr>
        <w:t>、</w:t>
      </w:r>
      <w:r>
        <w:rPr>
          <w:rFonts w:eastAsia="方正仿宋_GBK" w:cs="方正仿宋_GBK" w:hint="eastAsia"/>
          <w:b/>
          <w:bCs/>
          <w:color w:val="000000"/>
          <w:sz w:val="28"/>
          <w:szCs w:val="28"/>
        </w:rPr>
        <w:t>事业单位经营收入：</w:t>
      </w:r>
      <w:r>
        <w:rPr>
          <w:rFonts w:eastAsia="方正仿宋_GBK" w:cs="方正仿宋_GBK" w:hint="eastAsia"/>
          <w:color w:val="000000"/>
          <w:sz w:val="28"/>
          <w:szCs w:val="28"/>
        </w:rPr>
        <w:t>指事业单位在专业业务活动及其辅助活动之外开展非独立核算经营活动取得的收入。</w:t>
      </w:r>
    </w:p>
    <w:p>
      <w:pPr>
        <w:spacing w:line="500" w:lineRule="exact"/>
        <w:ind w:firstLine="560"/>
      </w:pPr>
      <w:r>
        <w:rPr>
          <w:rFonts w:eastAsia="方正仿宋_GBK"/>
          <w:color w:val="000000"/>
          <w:sz w:val="28"/>
          <w:szCs w:val="28"/>
        </w:rPr>
        <w:t>6</w:t>
      </w:r>
      <w:r>
        <w:rPr>
          <w:rFonts w:eastAsia="方正仿宋_GBK" w:cs="方正仿宋_GBK" w:hint="eastAsia"/>
          <w:color w:val="000000"/>
          <w:sz w:val="28"/>
          <w:szCs w:val="28"/>
        </w:rPr>
        <w:t>、</w:t>
      </w:r>
      <w:r>
        <w:rPr>
          <w:rFonts w:eastAsia="方正仿宋_GBK" w:cs="方正仿宋_GBK" w:hint="eastAsia"/>
          <w:b/>
          <w:bCs/>
          <w:color w:val="000000"/>
          <w:sz w:val="28"/>
          <w:szCs w:val="28"/>
        </w:rPr>
        <w:t>上年结转：</w:t>
      </w:r>
      <w:r>
        <w:rPr>
          <w:rFonts w:eastAsia="方正仿宋_GBK" w:cs="方正仿宋_GBK" w:hint="eastAsia"/>
          <w:color w:val="000000"/>
          <w:sz w:val="28"/>
          <w:szCs w:val="28"/>
        </w:rPr>
        <w:t>指以前年度安排、结转到本年仍按原规定用途继续使用的资金。</w:t>
      </w:r>
    </w:p>
    <w:p>
      <w:pPr>
        <w:spacing w:line="500" w:lineRule="exact"/>
        <w:ind w:firstLine="560"/>
      </w:pPr>
      <w:r>
        <w:rPr>
          <w:rFonts w:eastAsia="方正仿宋_GBK"/>
          <w:color w:val="000000"/>
          <w:sz w:val="28"/>
          <w:szCs w:val="28"/>
        </w:rPr>
        <w:t>7</w:t>
      </w:r>
      <w:r>
        <w:rPr>
          <w:rFonts w:eastAsia="方正仿宋_GBK" w:cs="方正仿宋_GBK" w:hint="eastAsia"/>
          <w:color w:val="000000"/>
          <w:sz w:val="28"/>
          <w:szCs w:val="28"/>
        </w:rPr>
        <w:t>、</w:t>
      </w:r>
      <w:r>
        <w:rPr>
          <w:rFonts w:eastAsia="方正仿宋_GBK" w:cs="方正仿宋_GBK" w:hint="eastAsia"/>
          <w:b/>
          <w:bCs/>
          <w:color w:val="000000"/>
          <w:sz w:val="28"/>
          <w:szCs w:val="28"/>
        </w:rPr>
        <w:t>单位预算支出：</w:t>
      </w:r>
      <w:r>
        <w:rPr>
          <w:rFonts w:eastAsia="方正仿宋_GBK" w:cs="方正仿宋_GBK" w:hint="eastAsia"/>
          <w:color w:val="000000"/>
          <w:sz w:val="28"/>
          <w:szCs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szCs w:val="28"/>
        </w:rPr>
        <w:t>8</w:t>
      </w:r>
      <w:r>
        <w:rPr>
          <w:rFonts w:eastAsia="方正仿宋_GBK" w:cs="方正仿宋_GBK" w:hint="eastAsia"/>
          <w:color w:val="000000"/>
          <w:sz w:val="28"/>
          <w:szCs w:val="28"/>
        </w:rPr>
        <w:t>、</w:t>
      </w:r>
      <w:r>
        <w:rPr>
          <w:rFonts w:eastAsia="方正仿宋_GBK" w:cs="方正仿宋_GBK" w:hint="eastAsia"/>
          <w:b/>
          <w:bCs/>
          <w:color w:val="000000"/>
          <w:sz w:val="28"/>
          <w:szCs w:val="28"/>
        </w:rPr>
        <w:t>事业单位经营支出：</w:t>
      </w:r>
      <w:r>
        <w:rPr>
          <w:rFonts w:eastAsia="方正仿宋_GBK" w:cs="方正仿宋_GBK" w:hint="eastAsia"/>
          <w:color w:val="000000"/>
          <w:sz w:val="28"/>
          <w:szCs w:val="28"/>
        </w:rPr>
        <w:t>指事业单位在专业业务活动及其辅助活动之外开展非独立核算经营活动发生的支出。</w:t>
      </w:r>
    </w:p>
    <w:p>
      <w:pPr>
        <w:spacing w:line="500" w:lineRule="exact"/>
        <w:ind w:firstLine="560"/>
      </w:pPr>
      <w:r>
        <w:rPr>
          <w:rFonts w:eastAsia="方正仿宋_GBK"/>
          <w:color w:val="000000"/>
          <w:sz w:val="28"/>
          <w:szCs w:val="28"/>
        </w:rPr>
        <w:t>9</w:t>
      </w:r>
      <w:r>
        <w:rPr>
          <w:rFonts w:eastAsia="方正仿宋_GBK" w:cs="方正仿宋_GBK" w:hint="eastAsia"/>
          <w:color w:val="000000"/>
          <w:sz w:val="28"/>
          <w:szCs w:val="28"/>
        </w:rPr>
        <w:t>、</w:t>
      </w:r>
      <w:r>
        <w:rPr>
          <w:rFonts w:eastAsia="方正仿宋_GBK"/>
          <w:b/>
          <w:bCs/>
          <w:color w:val="000000"/>
          <w:sz w:val="28"/>
          <w:szCs w:val="28"/>
        </w:rPr>
        <w:t>“</w:t>
      </w:r>
      <w:r>
        <w:rPr>
          <w:rFonts w:eastAsia="方正仿宋_GBK" w:cs="方正仿宋_GBK" w:hint="eastAsia"/>
          <w:b/>
          <w:bCs/>
          <w:color w:val="000000"/>
          <w:sz w:val="28"/>
          <w:szCs w:val="28"/>
        </w:rPr>
        <w:t>三公</w:t>
      </w:r>
      <w:r>
        <w:rPr>
          <w:rFonts w:eastAsia="方正仿宋_GBK"/>
          <w:b/>
          <w:bCs/>
          <w:color w:val="000000"/>
          <w:sz w:val="28"/>
          <w:szCs w:val="28"/>
        </w:rPr>
        <w:t>”</w:t>
      </w:r>
      <w:r>
        <w:rPr>
          <w:rFonts w:eastAsia="方正仿宋_GBK" w:cs="方正仿宋_GBK" w:hint="eastAsia"/>
          <w:b/>
          <w:bCs/>
          <w:color w:val="000000"/>
          <w:sz w:val="28"/>
          <w:szCs w:val="28"/>
        </w:rPr>
        <w:t>经费：</w:t>
      </w:r>
      <w:r>
        <w:rPr>
          <w:rFonts w:eastAsia="方正仿宋_GBK" w:cs="方正仿宋_GBK" w:hint="eastAsia"/>
          <w:color w:val="000000"/>
          <w:sz w:val="28"/>
          <w:szCs w:val="28"/>
        </w:rPr>
        <w:t>纳入财政预算管理的</w:t>
      </w:r>
      <w:r>
        <w:rPr>
          <w:rFonts w:eastAsia="方正仿宋_GBK"/>
          <w:color w:val="000000"/>
          <w:sz w:val="28"/>
          <w:szCs w:val="28"/>
        </w:rPr>
        <w:t>“</w:t>
      </w:r>
      <w:r>
        <w:rPr>
          <w:rFonts w:eastAsia="方正仿宋_GBK" w:cs="方正仿宋_GBK" w:hint="eastAsia"/>
          <w:color w:val="000000"/>
          <w:sz w:val="28"/>
          <w:szCs w:val="28"/>
        </w:rPr>
        <w:t>三公</w:t>
      </w:r>
      <w:r>
        <w:rPr>
          <w:rFonts w:eastAsia="方正仿宋_GBK"/>
          <w:color w:val="000000"/>
          <w:sz w:val="28"/>
          <w:szCs w:val="28"/>
        </w:rPr>
        <w:t>”</w:t>
      </w:r>
      <w:r>
        <w:rPr>
          <w:rFonts w:eastAsia="方正仿宋_GBK" w:cs="方正仿宋_GBK" w:hint="eastAsia"/>
          <w:color w:val="000000"/>
          <w:sz w:val="28"/>
          <w:szCs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szCs w:val="28"/>
        </w:rPr>
        <w:t>10</w:t>
      </w:r>
      <w:r>
        <w:rPr>
          <w:rFonts w:eastAsia="方正仿宋_GBK" w:cs="方正仿宋_GBK" w:hint="eastAsia"/>
          <w:color w:val="000000"/>
          <w:sz w:val="28"/>
          <w:szCs w:val="28"/>
        </w:rPr>
        <w:t>、</w:t>
      </w:r>
      <w:r>
        <w:rPr>
          <w:rFonts w:eastAsia="方正仿宋_GBK" w:cs="方正仿宋_GBK" w:hint="eastAsia"/>
          <w:b/>
          <w:bCs/>
          <w:color w:val="000000"/>
          <w:sz w:val="28"/>
          <w:szCs w:val="28"/>
        </w:rPr>
        <w:t>机关运行经费：</w:t>
      </w:r>
      <w:r>
        <w:rPr>
          <w:rFonts w:eastAsia="方正仿宋_GBK" w:cs="方正仿宋_GBK" w:hint="eastAsia"/>
          <w:color w:val="000000"/>
          <w:sz w:val="28"/>
          <w:szCs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eastAsia="黑体" w:cs="黑体" w:hAnsi="黑体" w:hint="eastAsia"/>
          <w:color w:val="000000"/>
          <w:sz w:val="32"/>
          <w:szCs w:val="32"/>
        </w:rPr>
        <w:t>九、其他需要说明的事项</w:t>
      </w:r>
    </w:p>
    <w:p>
      <w:pPr>
        <w:spacing w:line="500" w:lineRule="exact"/>
        <w:ind w:firstLine="560"/>
      </w:pPr>
      <w:r>
        <w:rPr>
          <w:rFonts w:eastAsia="方正仿宋_GBK" w:cs="方正仿宋_GBK" w:hint="eastAsia"/>
          <w:color w:val="000000"/>
          <w:sz w:val="28"/>
          <w:szCs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SimHei"/>
    <w:panose1 w:val="02010609060101010101"/>
    <w:charset w:val="86"/>
    <w:family w:val="modern"/>
    <w:pitch w:val="variable"/>
    <w:sig w:usb0="800002BF" w:usb1="38CF7CFA" w:usb2="00000016" w:usb3="00000000" w:csb0="00040001" w:csb1="00000000"/>
  </w:font>
  <w:font w:name="方正仿宋_GBK">
    <w:altName w:val="宋体"/>
    <w:panose1 w:val="00000000000000000000"/>
    <w:charset w:val="86"/>
    <w:family w:val="roman"/>
    <w:pitch w:val="variable"/>
    <w:sig w:usb0="00000001" w:usb1="080E0000" w:usb2="00000010" w:usb3="00000000" w:csb0="00040000" w:csb1="00000000"/>
  </w:font>
  <w:font w:name="方正小标宋_GBK">
    <w:altName w:val="宋体"/>
    <w:panose1 w:val="00000000000000000000"/>
    <w:charset w:val="86"/>
    <w:family w:val="roman"/>
    <w:pitch w:val="variable"/>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方正书宋_GBK">
    <w:altName w:val="宋体"/>
    <w:panose1 w:val="00000000000000000000"/>
    <w:charset w:val="86"/>
    <w:family w:val="roman"/>
    <w:pitch w:val="variable"/>
    <w:sig w:usb0="00000001" w:usb1="080E0000" w:usb2="00000010" w:usb3="00000000" w:csb0="00040000" w:csb1="00000000"/>
  </w:font>
  <w:font w:name="方正楷体_GBK">
    <w:altName w:val="宋体"/>
    <w:panose1 w:val="00000000000000000000"/>
    <w:charset w:val="86"/>
    <w:family w:val="roman"/>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38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720"/>
  <w:evenAndOddHeaders/>
  <w:drawingGridHorizontalSpacing w:val="120"/>
  <w:drawingGridVerticalSpacing w:val="163"/>
  <w:displayHorizontalDrawingGridEvery w:val="0"/>
  <w:displayVerticalDrawingGridEvery w:val="1"/>
  <w:noLineBreaksAfter w:lang="zh-CN" w:val="$([{£¥·‘“〈《「『【〔〖〝﹙﹛﹝＄（．［｛￡￥"/>
  <w:noLineBreaksBefore w:lang="zh-CN" w:val="!%),.:;&gt;?]}¢¨°·ˇˉ―‖’”…‰′″›℃∶、。〃〉》」』】〕〗〞︶︺︾﹀﹄﹚﹜﹞！＂％＇），．：；？］｀｜｝～￠"/>
  <w:compat>
    <w:spaceForUL/>
    <w:doNotExpandShiftReturn/>
    <w:adjustLineHeightInTable/>
    <w:doNotUseIndentAsNumberingTabStop/>
    <w:useAltKinsokuLineBreakRules/>
    <w:doNotSuppressIndentation/>
    <w:splitPgBreakAndParaMark/>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Times New Roman" w:hAnsi="Times New Roman"/>
      <w:kern w:val="0"/>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jc w:val="right"/>
    </w:pPr>
    <w:rPr>
      <w:rFonts w:ascii="方正小标宋_GBK" w:eastAsia="方正小标宋_GBK" w:cs="方正小标宋_GBK" w:hAnsi="方正小标宋_GBK"/>
      <w:kern w:val="0"/>
      <w:sz w:val="24"/>
      <w:szCs w:val="24"/>
      <w:lang w:val="en-US" w:eastAsia="zh-CN" w:bidi="ar-SA"/>
    </w:rPr>
  </w:style>
  <w:style w:type="paragraph" w:customStyle="1" w:styleId="16">
    <w:name w:val="单元格样式21"/>
    <w:pPr>
      <w:jc w:val="center"/>
    </w:pPr>
    <w:rPr>
      <w:rFonts w:ascii="方正小标宋_GBK" w:eastAsia="方正小标宋_GBK" w:cs="方正小标宋_GBK" w:hAnsi="方正小标宋_GBK"/>
      <w:kern w:val="0"/>
      <w:sz w:val="24"/>
      <w:szCs w:val="24"/>
      <w:lang w:val="en-US" w:eastAsia="zh-CN" w:bidi="ar-SA"/>
    </w:rPr>
  </w:style>
  <w:style w:type="paragraph" w:customStyle="1" w:styleId="17">
    <w:name w:val="单元格样式20"/>
    <w:rPr>
      <w:rFonts w:ascii="方正小标宋_GBK" w:eastAsia="方正小标宋_GBK" w:cs="方正小标宋_GBK" w:hAnsi="方正小标宋_GBK"/>
      <w:kern w:val="0"/>
      <w:sz w:val="24"/>
      <w:szCs w:val="24"/>
      <w:lang w:val="en-US" w:eastAsia="zh-CN" w:bidi="ar-SA"/>
    </w:rPr>
  </w:style>
  <w:style w:type="paragraph" w:customStyle="1" w:styleId="18">
    <w:name w:val="单元格样式1"/>
    <w:pPr>
      <w:jc w:val="center"/>
    </w:pPr>
    <w:rPr>
      <w:rFonts w:ascii="方正书宋_GBK" w:eastAsia="方正书宋_GBK" w:cs="方正书宋_GBK" w:hAnsi="方正书宋_GBK"/>
      <w:b/>
      <w:bCs/>
      <w:kern w:val="0"/>
      <w:sz w:val="21"/>
      <w:szCs w:val="21"/>
      <w:lang w:val="en-US" w:eastAsia="zh-CN" w:bidi="ar-SA"/>
    </w:rPr>
  </w:style>
  <w:style w:type="paragraph" w:customStyle="1" w:styleId="19">
    <w:name w:val="单元格样式4"/>
    <w:pPr>
      <w:jc w:val="right"/>
    </w:pPr>
    <w:rPr>
      <w:rFonts w:ascii="方正书宋_GBK" w:eastAsia="方正书宋_GBK" w:cs="方正书宋_GBK" w:hAnsi="方正书宋_GBK"/>
      <w:kern w:val="0"/>
      <w:sz w:val="21"/>
      <w:szCs w:val="21"/>
      <w:lang w:val="en-US" w:eastAsia="zh-CN" w:bidi="ar-SA"/>
    </w:rPr>
  </w:style>
  <w:style w:type="paragraph" w:customStyle="1" w:styleId="20">
    <w:name w:val="单元格样式2"/>
    <w:rPr>
      <w:rFonts w:ascii="方正书宋_GBK" w:eastAsia="方正书宋_GBK" w:cs="方正书宋_GBK" w:hAnsi="方正书宋_GBK"/>
      <w:kern w:val="0"/>
      <w:sz w:val="21"/>
      <w:szCs w:val="21"/>
      <w:lang w:val="en-US" w:eastAsia="zh-CN" w:bidi="ar-SA"/>
    </w:rPr>
  </w:style>
  <w:style w:type="paragraph" w:customStyle="1" w:styleId="21">
    <w:name w:val="单元格样式3"/>
    <w:pPr>
      <w:jc w:val="center"/>
    </w:pPr>
    <w:rPr>
      <w:rFonts w:ascii="方正书宋_GBK" w:eastAsia="方正书宋_GBK" w:cs="方正书宋_GBK" w:hAnsi="方正书宋_GBK"/>
      <w:kern w:val="0"/>
      <w:sz w:val="21"/>
      <w:szCs w:val="21"/>
      <w:lang w:val="en-US" w:eastAsia="zh-CN" w:bidi="ar-SA"/>
    </w:rPr>
  </w:style>
  <w:style w:type="paragraph" w:customStyle="1" w:styleId="22">
    <w:name w:val="单元格样式6"/>
    <w:pPr>
      <w:jc w:val="center"/>
    </w:pPr>
    <w:rPr>
      <w:rFonts w:ascii="方正书宋_GBK" w:eastAsia="方正书宋_GBK" w:cs="方正书宋_GBK" w:hAnsi="方正书宋_GBK"/>
      <w:b/>
      <w:bCs/>
      <w:kern w:val="0"/>
      <w:sz w:val="21"/>
      <w:szCs w:val="21"/>
      <w:lang w:val="en-US" w:eastAsia="zh-CN" w:bidi="ar-SA"/>
    </w:rPr>
  </w:style>
  <w:style w:type="paragraph" w:customStyle="1" w:styleId="23">
    <w:name w:val="单元格样式7"/>
    <w:pPr>
      <w:jc w:val="right"/>
    </w:pPr>
    <w:rPr>
      <w:rFonts w:ascii="方正书宋_GBK" w:eastAsia="方正书宋_GBK" w:cs="方正书宋_GBK" w:hAnsi="方正书宋_GBK"/>
      <w:b/>
      <w:bCs/>
      <w:kern w:val="0"/>
      <w:sz w:val="21"/>
      <w:szCs w:val="21"/>
      <w:lang w:val="en-US" w:eastAsia="zh-CN" w:bidi="ar-SA"/>
    </w:rPr>
  </w:style>
  <w:style w:type="paragraph" w:customStyle="1" w:styleId="24">
    <w:name w:val="单元格样式5"/>
    <w:rPr>
      <w:rFonts w:ascii="方正书宋_GBK" w:eastAsia="方正书宋_GBK" w:cs="方正书宋_GBK" w:hAnsi="方正书宋_GBK"/>
      <w:b/>
      <w:bCs/>
      <w:kern w:val="0"/>
      <w:sz w:val="21"/>
      <w:szCs w:val="21"/>
      <w:lang w:val="en-US" w:eastAsia="zh-CN" w:bidi="ar-SA"/>
    </w:rPr>
  </w:style>
  <w:style w:type="paragraph" w:customStyle="1" w:styleId="25">
    <w:name w:val="插入文本样式-插入单位职责文件"/>
    <w:pPr>
      <w:spacing w:line="500" w:lineRule="exact"/>
      <w:ind w:firstLine="560"/>
    </w:pPr>
    <w:rPr>
      <w:rFonts w:ascii="Times New Roman" w:eastAsia="方正仿宋_GBK" w:cs="Times New Roman" w:hAnsi="Times New Roman"/>
      <w:kern w:val="0"/>
      <w:sz w:val="28"/>
      <w:szCs w:val="28"/>
      <w:lang w:val="en-US" w:eastAsia="zh-CN" w:bidi="ar-SA"/>
    </w:rPr>
  </w:style>
  <w:style w:type="paragraph" w:customStyle="1" w:styleId="26">
    <w:name w:val="插入文本样式-插入预算公开单位预算安排的总体情况文件"/>
    <w:pPr>
      <w:spacing w:line="500" w:lineRule="exact"/>
      <w:ind w:firstLine="560"/>
    </w:pPr>
    <w:rPr>
      <w:rFonts w:ascii="Times New Roman" w:eastAsia="方正仿宋_GBK" w:cs="Times New Roman" w:hAnsi="Times New Roman"/>
      <w:kern w:val="0"/>
      <w:sz w:val="28"/>
      <w:szCs w:val="28"/>
      <w:lang w:val="en-US" w:eastAsia="zh-CN" w:bidi="ar-SA"/>
    </w:rPr>
  </w:style>
  <w:style w:type="paragraph" w:customStyle="1" w:styleId="27">
    <w:name w:val="插入文本样式-插入预算公开单位机关运行经费安排情况文件"/>
    <w:pPr>
      <w:spacing w:line="500" w:lineRule="exact"/>
      <w:ind w:firstLine="560"/>
    </w:pPr>
    <w:rPr>
      <w:rFonts w:ascii="Times New Roman" w:eastAsia="方正仿宋_GBK" w:cs="Times New Roman" w:hAnsi="Times New Roman"/>
      <w:kern w:val="0"/>
      <w:sz w:val="28"/>
      <w:szCs w:val="28"/>
      <w:lang w:val="en-US" w:eastAsia="zh-CN" w:bidi="ar-SA"/>
    </w:rPr>
  </w:style>
  <w:style w:type="paragraph" w:customStyle="1" w:styleId="28">
    <w:name w:val="插入文本样式-插入预算公开单位财政拨款三公经费预算情况及增减变化原因文件"/>
    <w:pPr>
      <w:spacing w:line="500" w:lineRule="exact"/>
      <w:ind w:firstLine="560"/>
    </w:pPr>
    <w:rPr>
      <w:rFonts w:ascii="Times New Roman" w:eastAsia="方正仿宋_GBK" w:cs="Times New Roman" w:hAnsi="Times New Roman"/>
      <w:kern w:val="0"/>
      <w:sz w:val="28"/>
      <w:szCs w:val="28"/>
      <w:lang w:val="en-US" w:eastAsia="zh-CN" w:bidi="ar-SA"/>
    </w:rPr>
  </w:style>
  <w:style w:type="paragraph" w:customStyle="1" w:styleId="29">
    <w:name w:val="单元格样式23"/>
    <w:pPr>
      <w:jc w:val="right"/>
    </w:pPr>
    <w:rPr>
      <w:rFonts w:ascii="方正书宋_GBK" w:eastAsia="方正书宋_GBK" w:cs="方正书宋_GBK" w:hAnsi="方正书宋_GBK"/>
      <w:kern w:val="0"/>
      <w:sz w:val="24"/>
      <w:szCs w:val="24"/>
      <w:lang w:val="en-US" w:eastAsia="zh-CN" w:bidi="ar-SA"/>
    </w:rPr>
  </w:style>
  <w:style w:type="paragraph" w:styleId="30">
    <w:name w:val="toc 4"/>
    <w:basedOn w:val="0"/>
    <w:autoRedefine/>
    <w:pPr>
      <w:ind w:left="720"/>
    </w:pPr>
  </w:style>
  <w:style w:type="paragraph" w:styleId="31">
    <w:name w:val="toc 1"/>
    <w:basedOn w:val="0"/>
    <w:autoRedefine/>
    <w:pPr>
      <w:spacing w:before="120"/>
      <w:ind w:firstLine="560"/>
    </w:pPr>
    <w:rPr>
      <w:rFonts w:eastAsia="方正仿宋_GBK"/>
      <w:color w:val="000000"/>
      <w:sz w:val="28"/>
      <w:szCs w:val="28"/>
    </w:rPr>
  </w:style>
  <w:style w:type="paragraph" w:customStyle="1" w:styleId="32">
    <w:name w:val="插入文本样式-插入预算公开部门预算安排的总体情况文件"/>
    <w:basedOn w:val="0"/>
    <w:pPr>
      <w:spacing w:line="500" w:lineRule="exact"/>
      <w:ind w:firstLine="560"/>
    </w:pPr>
    <w:rPr>
      <w:rFonts w:eastAsia="方正仿宋_GBK"/>
      <w:sz w:val="28"/>
      <w:szCs w:val="28"/>
    </w:rPr>
  </w:style>
  <w:style w:type="paragraph" w:customStyle="1" w:styleId="149">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9466CC4-8068-4232-9F9F-A0C58F0BDAD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14</TotalTime>
  <Application>Yozo_Office27021597764231179</Application>
  <Pages>39</Pages>
  <Words>0</Words>
  <Characters>17046</Characters>
  <Lines>0</Lines>
  <Paragraphs>177</Paragraphs>
  <CharactersWithSpaces>22728</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itle>2026年单位预算信息公开目录</dc:title>
  <dc:creator>lenovo</dc:creator>
  <cp:lastModifiedBy>Administrator</cp:lastModifiedBy>
  <cp:revision>4</cp:revision>
  <dcterms:created xsi:type="dcterms:W3CDTF">2026-02-25T01:55:00Z</dcterms:created>
  <dcterms:modified xsi:type="dcterms:W3CDTF">2026-02-25T03:27:07Z</dcterms:modified>
</cp:coreProperties>
</file>