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rPr>
          <w:rFonts w:ascii="方正小标宋简体" w:eastAsia="方正小标宋简体" w:cs="方正小标宋简体" w:hAnsi="方正小标宋简体" w:hint="eastAsia"/>
          <w:sz w:val="44"/>
          <w:szCs w:val="44"/>
        </w:rPr>
      </w:pPr>
      <w:r>
        <w:rPr>
          <w:rFonts w:ascii="方正小标宋简体" w:eastAsia="方正小标宋简体" w:cs="方正小标宋简体" w:hAnsi="方正小标宋简体" w:hint="eastAsia"/>
          <w:sz w:val="44"/>
          <w:szCs w:val="44"/>
          <w:lang w:val="en-US" w:eastAsia="zh-CN"/>
        </w:rPr>
        <w:t>行唐县财政局</w:t>
      </w:r>
    </w:p>
    <w:p>
      <w:pPr>
        <w:jc w:val="center"/>
        <w:rPr>
          <w:rFonts w:ascii="方正小标宋简体" w:eastAsia="方正小标宋简体" w:cs="方正小标宋简体" w:hAnsi="方正小标宋简体" w:hint="eastAsia"/>
          <w:sz w:val="44"/>
          <w:szCs w:val="44"/>
        </w:rPr>
      </w:pPr>
      <w:r>
        <w:rPr>
          <w:rFonts w:ascii="方正小标宋简体" w:eastAsia="方正小标宋简体" w:cs="方正小标宋简体" w:hAnsi="方正小标宋简体" w:hint="eastAsia"/>
          <w:sz w:val="44"/>
          <w:szCs w:val="44"/>
          <w:lang w:val="en-US" w:eastAsia="zh-CN"/>
        </w:rPr>
        <w:t>202</w:t>
      </w:r>
      <w:r>
        <w:rPr>
          <w:rFonts w:ascii="方正小标宋简体" w:eastAsia="方正小标宋简体" w:cs="方正小标宋简体" w:hAnsi="方正小标宋简体"/>
          <w:sz w:val="44"/>
          <w:szCs w:val="44"/>
          <w:lang w:val="en-US" w:eastAsia="zh-CN"/>
        </w:rPr>
        <w:t>5</w:t>
      </w:r>
      <w:r>
        <w:rPr>
          <w:rFonts w:ascii="方正小标宋简体" w:eastAsia="方正小标宋简体" w:cs="方正小标宋简体" w:hAnsi="方正小标宋简体" w:hint="eastAsia"/>
          <w:sz w:val="44"/>
          <w:szCs w:val="44"/>
          <w:lang w:val="en-US" w:eastAsia="zh-CN"/>
        </w:rPr>
        <w:t>年度政府信息公开年度报告</w:t>
      </w:r>
    </w:p>
    <w:p>
      <w:pPr>
        <w:rPr>
          <w:rFonts w:hint="eastAsia"/>
        </w:rPr>
      </w:pPr>
      <w:r>
        <w:rPr>
          <w:lang w:val="en-US" w:eastAsia="zh-CN"/>
        </w:rPr>
        <w:t> </w:t>
      </w:r>
    </w:p>
    <w:p>
      <w:pPr>
        <w:keepNext w:val="0"/>
        <w:keepLines w:val="0"/>
        <w:pageBreakBefore w:val="0"/>
        <w:widowControl w:val="0"/>
        <w:kinsoku/>
        <w:wordWrap/>
        <w:overflowPunct/>
        <w:topLinePunct w:val="0"/>
        <w:autoSpaceDE/>
        <w:autoSpaceDN/>
        <w:bidi w:val="0"/>
        <w:adjustRightInd/>
        <w:snapToGrid/>
        <w:ind w:firstLineChars="200" w:firstLine="640"/>
        <w:textAlignment w:val="auto"/>
        <w:rPr>
          <w:rFonts w:ascii="黑体" w:eastAsia="黑体" w:cs="黑体" w:hAnsi="黑体" w:hint="eastAsia"/>
          <w:sz w:val="32"/>
          <w:szCs w:val="32"/>
        </w:rPr>
      </w:pPr>
      <w:r>
        <w:rPr>
          <w:rFonts w:ascii="黑体" w:eastAsia="黑体" w:cs="黑体" w:hAnsi="黑体" w:hint="eastAsia"/>
          <w:sz w:val="32"/>
          <w:szCs w:val="32"/>
          <w:lang w:val="en-US" w:eastAsia="zh-CN"/>
        </w:rPr>
        <w:t>一、总体情况</w:t>
      </w:r>
    </w:p>
    <w:p>
      <w:pPr>
        <w:keepNext w:val="0"/>
        <w:keepLines w:val="0"/>
        <w:pageBreakBefore w:val="0"/>
        <w:widowControl w:val="0"/>
        <w:kinsoku/>
        <w:wordWrap/>
        <w:overflowPunct/>
        <w:topLinePunct w:val="0"/>
        <w:autoSpaceDE/>
        <w:autoSpaceDN/>
        <w:bidi w:val="0"/>
        <w:adjustRightInd/>
        <w:snapToGrid/>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202</w:t>
      </w:r>
      <w:r>
        <w:rPr>
          <w:rFonts w:ascii="仿宋_GB2312" w:eastAsia="仿宋_GB2312" w:cs="仿宋_GB2312" w:hAnsi="仿宋_GB2312"/>
          <w:sz w:val="32"/>
          <w:szCs w:val="32"/>
          <w:lang w:val="en-US" w:eastAsia="zh-CN"/>
        </w:rPr>
        <w:t>5</w:t>
      </w:r>
      <w:r>
        <w:rPr>
          <w:rFonts w:ascii="仿宋_GB2312" w:eastAsia="仿宋_GB2312" w:cs="仿宋_GB2312" w:hAnsi="仿宋_GB2312" w:hint="eastAsia"/>
          <w:sz w:val="32"/>
          <w:szCs w:val="32"/>
          <w:lang w:val="en-US" w:eastAsia="zh-CN"/>
        </w:rPr>
        <w:t>年，我局认真贯彻落实《中华人民共和国政府信息公开条例》，在县政府网站及时公开了相关内容。一是将本单位工作职能和内设机构进行了更新、公开；二是公开政策文件7条：三是严格按要求在行唐县人民政府网站预决算公开专栏对政府预决算和部门预决算进行了全面公</w:t>
      </w:r>
      <w:bookmarkStart w:id="0" w:name="_GoBack"/>
      <w:bookmarkEnd w:id="0"/>
      <w:r>
        <w:rPr>
          <w:rFonts w:ascii="仿宋_GB2312" w:eastAsia="仿宋_GB2312" w:cs="仿宋_GB2312" w:hAnsi="仿宋_GB2312" w:hint="eastAsia"/>
          <w:sz w:val="32"/>
          <w:szCs w:val="32"/>
          <w:lang w:val="en-US" w:eastAsia="zh-CN"/>
        </w:rPr>
        <w:t>开。</w:t>
      </w:r>
    </w:p>
    <w:p>
      <w:pPr>
        <w:keepNext w:val="0"/>
        <w:keepLines w:val="0"/>
        <w:pageBreakBefore w:val="0"/>
        <w:widowControl w:val="0"/>
        <w:kinsoku/>
        <w:wordWrap/>
        <w:overflowPunct/>
        <w:topLinePunct w:val="0"/>
        <w:autoSpaceDE/>
        <w:autoSpaceDN/>
        <w:bidi w:val="0"/>
        <w:adjustRightInd/>
        <w:snapToGrid/>
        <w:ind w:firstLineChars="200" w:firstLine="640"/>
        <w:textAlignment w:val="auto"/>
        <w:rPr>
          <w:rFonts w:hint="eastAsia"/>
        </w:rPr>
      </w:pPr>
      <w:r>
        <w:rPr>
          <w:rFonts w:ascii="黑体" w:eastAsia="黑体" w:cs="黑体" w:hAnsi="黑体" w:hint="eastAsia"/>
          <w:sz w:val="32"/>
          <w:szCs w:val="32"/>
          <w:lang w:val="en-US" w:eastAsia="zh-CN"/>
        </w:rPr>
        <w:t>二、主动公开政府信息情况</w:t>
      </w:r>
    </w:p>
    <w:p>
      <w:pPr>
        <w:rPr>
          <w:rFonts w:hint="eastAsia"/>
        </w:rPr>
      </w:pPr>
      <w:r>
        <w:rPr>
          <w:rFonts w:hint="eastAsia"/>
          <w:lang w:val="en-US" w:eastAsia="zh-CN"/>
        </w:rPr>
        <w:t> </w:t>
      </w:r>
    </w:p>
    <w:tbl>
      <w:tblPr>
        <w:jc w:val="center"/>
        <w:tblBorders>
          <w:top w:val="none" w:sz="0" w:space="0" w:color="auto"/>
          <w:left w:val="none" w:sz="0" w:space="0" w:color="auto"/>
          <w:bottom w:val="none" w:sz="0" w:space="0" w:color="auto"/>
          <w:right w:val="none" w:sz="0" w:space="0" w:color="auto"/>
        </w:tblBorders>
        <w:shd w:val="clear" w:color="auto" w:fill="auto"/>
        <w:tblCellMar>
          <w:top w:w="0" w:type="dxa"/>
          <w:left w:w="0" w:type="dxa"/>
          <w:bottom w:w="0" w:type="dxa"/>
          <w:right w:w="0" w:type="dxa"/>
        </w:tblCellMar>
        <w:tblLook w:val="0600" w:firstRow="0" w:lastRow="0" w:firstColumn="0" w:lastColumn="0" w:noHBand="1" w:noVBand="1"/>
      </w:tblPr>
      <w:tblGrid>
        <w:gridCol w:w="2823"/>
        <w:gridCol w:w="1843"/>
        <w:gridCol w:w="1843"/>
        <w:gridCol w:w="1772"/>
      </w:tblGrid>
      <w:tr>
        <w:trPr>
          <w:trHeight w:val="828"/>
        </w:trPr>
        <w:tc>
          <w:tcPr>
            <w:tcW w:w="8281" w:type="dxa"/>
            <w:gridSpan w:val="4"/>
            <w:tcBorders>
              <w:top w:val="single" w:sz="8" w:space="0" w:color="auto"/>
              <w:left w:val="single" w:sz="8" w:space="0" w:color="auto"/>
              <w:bottom w:val="single" w:sz="8" w:space="0" w:color="auto"/>
              <w:right w:val="single" w:sz="8" w:space="0" w:color="auto"/>
            </w:tcBorders>
            <w:shd w:val="clear" w:color="auto" w:fill="C6D9F1"/>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kern w:val="0"/>
                <w:sz w:val="24"/>
                <w:szCs w:val="24"/>
                <w:lang w:val="en-US" w:eastAsia="zh-CN"/>
              </w:rPr>
              <w:t>第二十条 第（一）项</w:t>
            </w:r>
          </w:p>
        </w:tc>
      </w:tr>
      <w:tr>
        <w:trPr>
          <w:trHeight w:val="882"/>
        </w:trPr>
        <w:tc>
          <w:tcPr>
            <w:tcW w:w="2823" w:type="dxa"/>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信息内容</w:t>
            </w:r>
          </w:p>
        </w:tc>
        <w:tc>
          <w:tcPr>
            <w:tcW w:w="1843"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本年制发件数</w:t>
            </w:r>
          </w:p>
        </w:tc>
        <w:tc>
          <w:tcPr>
            <w:tcW w:w="1843"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本年废止件数</w:t>
            </w:r>
          </w:p>
        </w:tc>
        <w:tc>
          <w:tcPr>
            <w:tcW w:w="177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现行有效件数</w:t>
            </w:r>
          </w:p>
        </w:tc>
      </w:tr>
      <w:tr>
        <w:trPr>
          <w:trHeight w:val="937"/>
        </w:trPr>
        <w:tc>
          <w:tcPr>
            <w:tcW w:w="2823" w:type="dxa"/>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left"/>
              <w:rPr>
                <w:sz w:val="24"/>
                <w:szCs w:val="24"/>
              </w:rPr>
            </w:pPr>
            <w:r>
              <w:rPr>
                <w:rFonts w:ascii="仿宋" w:eastAsia="仿宋" w:cs="仿宋" w:hAnsi="仿宋" w:hint="eastAsia"/>
                <w:kern w:val="0"/>
                <w:sz w:val="24"/>
                <w:szCs w:val="24"/>
                <w:lang w:val="en-US" w:eastAsia="zh-CN"/>
              </w:rPr>
              <w:t>规章</w:t>
            </w:r>
          </w:p>
        </w:tc>
        <w:tc>
          <w:tcPr>
            <w:tcW w:w="1843"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0</w:t>
            </w:r>
          </w:p>
        </w:tc>
        <w:tc>
          <w:tcPr>
            <w:tcW w:w="1843"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0</w:t>
            </w:r>
          </w:p>
        </w:tc>
        <w:tc>
          <w:tcPr>
            <w:tcW w:w="177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0</w:t>
            </w:r>
          </w:p>
        </w:tc>
      </w:tr>
      <w:tr>
        <w:trPr>
          <w:trHeight w:val="837"/>
        </w:trPr>
        <w:tc>
          <w:tcPr>
            <w:tcW w:w="2823" w:type="dxa"/>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left"/>
              <w:rPr>
                <w:sz w:val="24"/>
                <w:szCs w:val="24"/>
              </w:rPr>
            </w:pPr>
            <w:r>
              <w:rPr>
                <w:rFonts w:ascii="仿宋" w:eastAsia="仿宋" w:cs="仿宋" w:hAnsi="仿宋" w:hint="eastAsia"/>
                <w:kern w:val="0"/>
                <w:sz w:val="24"/>
                <w:szCs w:val="24"/>
                <w:lang w:val="en-US" w:eastAsia="zh-CN"/>
              </w:rPr>
              <w:t>规范性文件</w:t>
            </w:r>
          </w:p>
        </w:tc>
        <w:tc>
          <w:tcPr>
            <w:tcW w:w="1843"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0</w:t>
            </w:r>
          </w:p>
        </w:tc>
        <w:tc>
          <w:tcPr>
            <w:tcW w:w="1843"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0</w:t>
            </w:r>
          </w:p>
        </w:tc>
        <w:tc>
          <w:tcPr>
            <w:tcW w:w="177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0</w:t>
            </w:r>
          </w:p>
        </w:tc>
      </w:tr>
      <w:tr>
        <w:trPr>
          <w:trHeight w:val="965"/>
        </w:trPr>
        <w:tc>
          <w:tcPr>
            <w:tcW w:w="8281" w:type="dxa"/>
            <w:gridSpan w:val="4"/>
            <w:tcBorders>
              <w:top w:val="nil"/>
              <w:left w:val="single" w:sz="8" w:space="0" w:color="auto"/>
              <w:bottom w:val="single" w:sz="8" w:space="0" w:color="auto"/>
              <w:right w:val="single" w:sz="8" w:space="0" w:color="auto"/>
            </w:tcBorders>
            <w:shd w:val="clear" w:color="auto" w:fill="C6D9F1"/>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第二十条 第（五）项</w:t>
            </w:r>
          </w:p>
        </w:tc>
      </w:tr>
      <w:tr>
        <w:trPr>
          <w:trHeight w:val="835"/>
        </w:trPr>
        <w:tc>
          <w:tcPr>
            <w:tcW w:w="2823" w:type="dxa"/>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信息内容</w:t>
            </w:r>
          </w:p>
        </w:tc>
        <w:tc>
          <w:tcPr>
            <w:tcW w:w="5458" w:type="dxa"/>
            <w:gridSpan w:val="3"/>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本年处理决定数量</w:t>
            </w:r>
          </w:p>
        </w:tc>
      </w:tr>
      <w:tr>
        <w:trPr>
          <w:trHeight w:val="805"/>
        </w:trPr>
        <w:tc>
          <w:tcPr>
            <w:tcW w:w="2823" w:type="dxa"/>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left"/>
              <w:rPr>
                <w:sz w:val="24"/>
                <w:szCs w:val="24"/>
              </w:rPr>
            </w:pPr>
            <w:r>
              <w:rPr>
                <w:rFonts w:ascii="仿宋" w:eastAsia="仿宋" w:cs="仿宋" w:hAnsi="仿宋" w:hint="eastAsia"/>
                <w:kern w:val="0"/>
                <w:sz w:val="24"/>
                <w:szCs w:val="24"/>
                <w:lang w:val="en-US" w:eastAsia="zh-CN"/>
              </w:rPr>
              <w:t>行政许可</w:t>
            </w:r>
          </w:p>
        </w:tc>
        <w:tc>
          <w:tcPr>
            <w:tcW w:w="5458" w:type="dxa"/>
            <w:gridSpan w:val="3"/>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0</w:t>
            </w:r>
          </w:p>
        </w:tc>
      </w:tr>
      <w:tr>
        <w:trPr>
          <w:trHeight w:val="837"/>
        </w:trPr>
        <w:tc>
          <w:tcPr>
            <w:tcW w:w="8281" w:type="dxa"/>
            <w:gridSpan w:val="4"/>
            <w:tcBorders>
              <w:top w:val="nil"/>
              <w:left w:val="single" w:sz="8" w:space="0" w:color="auto"/>
              <w:bottom w:val="single" w:sz="8" w:space="0" w:color="auto"/>
              <w:right w:val="single" w:sz="8" w:space="0" w:color="auto"/>
            </w:tcBorders>
            <w:shd w:val="clear" w:color="auto" w:fill="C6D9F1"/>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第二十条 第（六）项</w:t>
            </w:r>
          </w:p>
        </w:tc>
      </w:tr>
      <w:tr>
        <w:trPr>
          <w:trHeight w:val="634"/>
        </w:trPr>
        <w:tc>
          <w:tcPr>
            <w:tcW w:w="2823" w:type="dxa"/>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信息内容</w:t>
            </w:r>
          </w:p>
        </w:tc>
        <w:tc>
          <w:tcPr>
            <w:tcW w:w="5458" w:type="dxa"/>
            <w:gridSpan w:val="3"/>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本年处理决定数量</w:t>
            </w:r>
          </w:p>
        </w:tc>
      </w:tr>
      <w:tr>
        <w:trPr>
          <w:trHeight w:val="746"/>
        </w:trPr>
        <w:tc>
          <w:tcPr>
            <w:tcW w:w="2823" w:type="dxa"/>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left"/>
              <w:rPr>
                <w:sz w:val="24"/>
                <w:szCs w:val="24"/>
              </w:rPr>
            </w:pPr>
            <w:r>
              <w:rPr>
                <w:rFonts w:ascii="仿宋" w:eastAsia="仿宋" w:cs="仿宋" w:hAnsi="仿宋" w:hint="eastAsia"/>
                <w:kern w:val="0"/>
                <w:sz w:val="24"/>
                <w:szCs w:val="24"/>
                <w:lang w:val="en-US" w:eastAsia="zh-CN"/>
              </w:rPr>
              <w:t>行政处罚</w:t>
            </w:r>
          </w:p>
        </w:tc>
        <w:tc>
          <w:tcPr>
            <w:tcW w:w="5458" w:type="dxa"/>
            <w:gridSpan w:val="3"/>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0</w:t>
            </w:r>
          </w:p>
        </w:tc>
      </w:tr>
      <w:tr>
        <w:trPr>
          <w:trHeight w:val="827"/>
        </w:trPr>
        <w:tc>
          <w:tcPr>
            <w:tcW w:w="2823" w:type="dxa"/>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left"/>
              <w:rPr>
                <w:sz w:val="24"/>
                <w:szCs w:val="24"/>
              </w:rPr>
            </w:pPr>
            <w:r>
              <w:rPr>
                <w:rFonts w:ascii="仿宋" w:eastAsia="仿宋" w:cs="仿宋" w:hAnsi="仿宋" w:hint="eastAsia"/>
                <w:kern w:val="0"/>
                <w:sz w:val="24"/>
                <w:szCs w:val="24"/>
                <w:lang w:val="en-US" w:eastAsia="zh-CN"/>
              </w:rPr>
              <w:t>行政强制</w:t>
            </w:r>
          </w:p>
        </w:tc>
        <w:tc>
          <w:tcPr>
            <w:tcW w:w="5458" w:type="dxa"/>
            <w:gridSpan w:val="3"/>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0</w:t>
            </w:r>
          </w:p>
        </w:tc>
      </w:tr>
      <w:tr>
        <w:trPr>
          <w:trHeight w:val="847"/>
        </w:trPr>
        <w:tc>
          <w:tcPr>
            <w:tcW w:w="8281" w:type="dxa"/>
            <w:gridSpan w:val="4"/>
            <w:tcBorders>
              <w:top w:val="nil"/>
              <w:left w:val="single" w:sz="8" w:space="0" w:color="auto"/>
              <w:bottom w:val="single" w:sz="8" w:space="0" w:color="auto"/>
              <w:right w:val="single" w:sz="8" w:space="0" w:color="auto"/>
            </w:tcBorders>
            <w:shd w:val="clear" w:color="auto" w:fill="C6D9F1"/>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第二十条 第（八）项</w:t>
            </w:r>
          </w:p>
        </w:tc>
      </w:tr>
      <w:tr>
        <w:trPr>
          <w:trHeight w:val="542"/>
        </w:trPr>
        <w:tc>
          <w:tcPr>
            <w:tcW w:w="2823" w:type="dxa"/>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信息内容</w:t>
            </w:r>
          </w:p>
        </w:tc>
        <w:tc>
          <w:tcPr>
            <w:tcW w:w="5458" w:type="dxa"/>
            <w:gridSpan w:val="3"/>
            <w:tcBorders>
              <w:top w:val="nil"/>
              <w:left w:val="nil"/>
              <w:bottom w:val="single" w:sz="8" w:space="0" w:color="auto"/>
              <w:right w:val="single" w:sz="8" w:space="0" w:color="000000"/>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本年收费金额（单位：万元）</w:t>
            </w:r>
          </w:p>
        </w:tc>
      </w:tr>
      <w:tr>
        <w:trPr>
          <w:trHeight w:val="683"/>
        </w:trPr>
        <w:tc>
          <w:tcPr>
            <w:tcW w:w="2823" w:type="dxa"/>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left"/>
              <w:rPr>
                <w:sz w:val="24"/>
                <w:szCs w:val="24"/>
              </w:rPr>
            </w:pPr>
            <w:r>
              <w:rPr>
                <w:rFonts w:ascii="仿宋" w:eastAsia="仿宋" w:cs="仿宋" w:hAnsi="仿宋" w:hint="eastAsia"/>
                <w:kern w:val="0"/>
                <w:sz w:val="24"/>
                <w:szCs w:val="24"/>
                <w:lang w:val="en-US" w:eastAsia="zh-CN"/>
              </w:rPr>
              <w:t>行政事业性收费</w:t>
            </w:r>
          </w:p>
        </w:tc>
        <w:tc>
          <w:tcPr>
            <w:tcW w:w="5458" w:type="dxa"/>
            <w:gridSpan w:val="3"/>
            <w:tcBorders>
              <w:top w:val="nil"/>
              <w:left w:val="nil"/>
              <w:bottom w:val="single" w:sz="8" w:space="0" w:color="auto"/>
              <w:right w:val="single" w:sz="8" w:space="0" w:color="000000"/>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0</w:t>
            </w:r>
          </w:p>
        </w:tc>
      </w:tr>
    </w:tbl>
    <w:p>
      <w:pPr>
        <w:rPr>
          <w:rFonts w:hint="eastAsia"/>
        </w:rPr>
      </w:pPr>
      <w:r>
        <w:rPr>
          <w:rFonts w:hint="eastAsia"/>
          <w:lang w:val="en-US"/>
        </w:rPr>
        <w:t> </w:t>
      </w:r>
    </w:p>
    <w:p>
      <w:pPr>
        <w:rPr>
          <w:rFonts w:ascii="黑体" w:eastAsia="黑体" w:cs="黑体" w:hAnsi="黑体" w:hint="eastAsia"/>
          <w:sz w:val="32"/>
          <w:szCs w:val="32"/>
        </w:rPr>
      </w:pPr>
      <w:r>
        <w:rPr>
          <w:rFonts w:ascii="黑体" w:eastAsia="黑体" w:cs="黑体" w:hAnsi="黑体" w:hint="eastAsia"/>
          <w:sz w:val="32"/>
          <w:szCs w:val="32"/>
        </w:rPr>
        <w:t>三、收到和处理政府信息公开申请情况</w:t>
      </w:r>
    </w:p>
    <w:tbl>
      <w:tblPr>
        <w:jc w:val="center"/>
        <w:tblW w:w="9765"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shd w:val="clear" w:color="auto" w:fill="auto"/>
        <w:tblCellMar>
          <w:top w:w="0" w:type="dxa"/>
          <w:left w:w="0" w:type="dxa"/>
          <w:bottom w:w="0" w:type="dxa"/>
          <w:right w:w="0" w:type="dxa"/>
        </w:tblCellMar>
        <w:tblLook w:val="0600" w:firstRow="0" w:lastRow="0" w:firstColumn="0" w:lastColumn="0" w:noHBand="1" w:noVBand="1"/>
      </w:tblPr>
      <w:tblGrid>
        <w:gridCol w:w="918"/>
        <w:gridCol w:w="921"/>
        <w:gridCol w:w="2591"/>
        <w:gridCol w:w="889"/>
        <w:gridCol w:w="668"/>
        <w:gridCol w:w="668"/>
        <w:gridCol w:w="905"/>
        <w:gridCol w:w="882"/>
        <w:gridCol w:w="548"/>
        <w:gridCol w:w="535"/>
        <w:gridCol w:w="245"/>
      </w:tblGrid>
      <w:tr>
        <w:trPr>
          <w:trHeight w:val="98"/>
        </w:trPr>
        <w:tc>
          <w:tcPr>
            <w:tcW w:w="4430" w:type="dxa"/>
            <w:gridSpan w:val="3"/>
            <w:vMerge w:val="restart"/>
            <w:tcBorders>
              <w:top w:val="single" w:sz="8" w:space="0" w:color="auto"/>
              <w:left w:val="single" w:sz="8" w:space="0" w:color="auto"/>
              <w:bottom w:val="single" w:sz="8" w:space="0" w:color="auto"/>
              <w:right w:val="single" w:sz="4"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（本列数据的勾稽关系为：第一项加第二项之和，等于第三项加第四项之和）</w:t>
            </w:r>
          </w:p>
        </w:tc>
        <w:tc>
          <w:tcPr>
            <w:tcW w:w="5335" w:type="dxa"/>
            <w:gridSpan w:val="8"/>
            <w:tcBorders>
              <w:top w:val="single" w:sz="4" w:space="0" w:color="auto"/>
              <w:left w:val="single" w:sz="4" w:space="0" w:color="auto"/>
              <w:bottom w:val="single" w:sz="8" w:space="0" w:color="auto"/>
              <w:right w:val="single" w:sz="4"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申请人情况</w:t>
            </w: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rFonts w:ascii="仿宋" w:eastAsia="仿宋" w:cs="仿宋" w:hAnsi="仿宋" w:hint="eastAsia"/>
                <w:kern w:val="0"/>
                <w:sz w:val="22"/>
                <w:szCs w:val="22"/>
                <w:lang w:val="en-US" w:eastAsia="zh-CN"/>
              </w:rPr>
            </w:pPr>
            <w:r>
              <w:rPr>
                <w:rFonts w:ascii="仿宋" w:eastAsia="仿宋" w:cs="仿宋" w:hAnsi="仿宋"/>
                <w:kern w:val="0"/>
                <w:sz w:val="22"/>
                <w:szCs w:val="22"/>
                <w:lang w:val="en-US" w:eastAsia="zh-CN"/>
              </w:rPr>
              <w:t> </w:t>
            </w:r>
          </w:p>
        </w:tc>
      </w:tr>
      <w:tr>
        <w:trPr>
          <w:trHeight w:val="44"/>
        </w:trPr>
        <w:tc>
          <w:tcPr>
            <w:tcW w:w="4430" w:type="dxa"/>
            <w:gridSpan w:val="3"/>
            <w:vMerge/>
            <w:tcBorders>
              <w:top w:val="single" w:sz="8" w:space="0" w:color="auto"/>
              <w:left w:val="single" w:sz="8" w:space="0" w:color="auto"/>
              <w:bottom w:val="single" w:sz="8" w:space="0" w:color="auto"/>
              <w:right w:val="single" w:sz="4" w:space="0" w:color="auto"/>
            </w:tcBorders>
            <w:shd w:val="clear" w:color="auto" w:fill="E6F4FF"/>
            <w:tcMar>
              <w:left w:w="108" w:type="dxa"/>
              <w:right w:w="108" w:type="dxa"/>
            </w:tcMar>
            <w:vAlign w:val="center"/>
          </w:tcPr>
          <w:p/>
        </w:tc>
        <w:tc>
          <w:tcPr>
            <w:tcW w:w="889" w:type="dxa"/>
            <w:vMerge w:val="restart"/>
            <w:tcBorders>
              <w:top w:val="nil"/>
              <w:left w:val="single" w:sz="4" w:space="0" w:color="auto"/>
              <w:bottom w:val="single" w:sz="4"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自然人</w:t>
            </w:r>
          </w:p>
        </w:tc>
        <w:tc>
          <w:tcPr>
            <w:tcW w:w="3671" w:type="dxa"/>
            <w:gridSpan w:val="5"/>
            <w:tcBorders>
              <w:top w:val="nil"/>
              <w:left w:val="nil"/>
              <w:bottom w:val="single" w:sz="4"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法人或其他组织</w:t>
            </w:r>
          </w:p>
        </w:tc>
        <w:tc>
          <w:tcPr>
            <w:tcW w:w="775" w:type="dxa"/>
            <w:gridSpan w:val="2"/>
            <w:tcBorders>
              <w:top w:val="nil"/>
              <w:left w:val="nil"/>
              <w:bottom w:val="single" w:sz="4" w:space="0" w:color="auto"/>
              <w:right w:val="single" w:sz="4"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rFonts w:ascii="仿宋" w:eastAsia="仿宋" w:cs="仿宋" w:hAnsi="仿宋" w:hint="eastAsia"/>
                <w:kern w:val="0"/>
                <w:sz w:val="22"/>
                <w:szCs w:val="22"/>
                <w:lang w:val="en-US" w:eastAsia="zh-CN"/>
              </w:rPr>
            </w:pPr>
            <w:r>
              <w:rPr>
                <w:rFonts w:ascii="仿宋" w:eastAsia="仿宋" w:cs="仿宋" w:hAnsi="仿宋" w:hint="eastAsia"/>
                <w:kern w:val="0"/>
                <w:sz w:val="22"/>
                <w:szCs w:val="22"/>
                <w:lang w:val="en-US" w:eastAsia="zh-CN"/>
              </w:rPr>
              <w:t>总计</w:t>
            </w:r>
            <w:r>
              <w:rPr>
                <w:rFonts w:ascii="仿宋" w:eastAsia="仿宋" w:cs="仿宋" w:hAnsi="仿宋"/>
                <w:kern w:val="0"/>
                <w:sz w:val="22"/>
                <w:szCs w:val="22"/>
                <w:lang w:val="en-US" w:eastAsia="zh-CN"/>
              </w:rPr>
              <w:t> </w:t>
            </w:r>
          </w:p>
        </w:tc>
      </w:tr>
      <w:tr>
        <w:trPr>
          <w:trHeight w:val="44"/>
        </w:trPr>
        <w:tc>
          <w:tcPr>
            <w:tcW w:w="4430" w:type="dxa"/>
            <w:gridSpan w:val="3"/>
            <w:vMerge/>
            <w:tcBorders>
              <w:top w:val="single" w:sz="8" w:space="0" w:color="auto"/>
              <w:left w:val="single" w:sz="8" w:space="0" w:color="auto"/>
              <w:bottom w:val="single" w:sz="8" w:space="0" w:color="auto"/>
              <w:right w:val="single" w:sz="4" w:space="0" w:color="auto"/>
            </w:tcBorders>
            <w:shd w:val="clear" w:color="auto" w:fill="E6F4FF"/>
            <w:tcMar>
              <w:left w:w="108" w:type="dxa"/>
              <w:right w:w="108" w:type="dxa"/>
            </w:tcMar>
            <w:vAlign w:val="center"/>
          </w:tcPr>
          <w:p/>
        </w:tc>
        <w:tc>
          <w:tcPr>
            <w:tcW w:w="889" w:type="dxa"/>
            <w:vMerge/>
            <w:tcBorders>
              <w:top w:val="single" w:sz="4" w:space="0" w:color="auto"/>
              <w:left w:val="single" w:sz="4" w:space="0" w:color="auto"/>
              <w:bottom w:val="single" w:sz="8" w:space="0" w:color="auto"/>
              <w:right w:val="single" w:sz="8" w:space="0" w:color="auto"/>
            </w:tcBorders>
            <w:shd w:val="clear" w:color="auto" w:fill="E6F4FF"/>
            <w:tcMar>
              <w:left w:w="108" w:type="dxa"/>
              <w:right w:w="108" w:type="dxa"/>
            </w:tcMar>
            <w:vAlign w:val="center"/>
          </w:tcPr>
          <w:p/>
        </w:tc>
        <w:tc>
          <w:tcPr>
            <w:tcW w:w="668" w:type="dxa"/>
            <w:tcBorders>
              <w:top w:val="single" w:sz="4" w:space="0" w:color="auto"/>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商业企业</w:t>
            </w:r>
          </w:p>
        </w:tc>
        <w:tc>
          <w:tcPr>
            <w:tcW w:w="668" w:type="dxa"/>
            <w:tcBorders>
              <w:top w:val="single" w:sz="4" w:space="0" w:color="auto"/>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科研机构</w:t>
            </w:r>
          </w:p>
        </w:tc>
        <w:tc>
          <w:tcPr>
            <w:tcW w:w="905" w:type="dxa"/>
            <w:tcBorders>
              <w:top w:val="single" w:sz="4" w:space="0" w:color="auto"/>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社会公益组织</w:t>
            </w:r>
          </w:p>
        </w:tc>
        <w:tc>
          <w:tcPr>
            <w:tcW w:w="882" w:type="dxa"/>
            <w:tcBorders>
              <w:top w:val="single" w:sz="4" w:space="0" w:color="auto"/>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法律服务机构</w:t>
            </w:r>
          </w:p>
        </w:tc>
        <w:tc>
          <w:tcPr>
            <w:tcW w:w="548" w:type="dxa"/>
            <w:tcBorders>
              <w:top w:val="single" w:sz="4" w:space="0" w:color="auto"/>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其他</w:t>
            </w:r>
          </w:p>
        </w:tc>
        <w:tc>
          <w:tcPr>
            <w:tcW w:w="775" w:type="dxa"/>
            <w:gridSpan w:val="2"/>
            <w:tcBorders>
              <w:top w:val="single" w:sz="4" w:space="0" w:color="auto"/>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 </w:t>
            </w:r>
          </w:p>
        </w:tc>
      </w:tr>
      <w:tr>
        <w:trPr>
          <w:trHeight w:val="159"/>
        </w:trPr>
        <w:tc>
          <w:tcPr>
            <w:tcW w:w="4430" w:type="dxa"/>
            <w:gridSpan w:val="3"/>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一、本年新收政府信息公开申请数量</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139"/>
        </w:trPr>
        <w:tc>
          <w:tcPr>
            <w:tcW w:w="4430" w:type="dxa"/>
            <w:gridSpan w:val="3"/>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二、上年结转政府信息公开申请数量</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191"/>
        </w:trPr>
        <w:tc>
          <w:tcPr>
            <w:tcW w:w="918" w:type="dxa"/>
            <w:vMerge w:val="restart"/>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三、本年度办理结果</w:t>
            </w:r>
          </w:p>
        </w:tc>
        <w:tc>
          <w:tcPr>
            <w:tcW w:w="3512"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（一）予以公开</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202"/>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3512"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（二）部分公开（区分处理的，只计这一情形，不计其他情形）</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196"/>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921" w:type="dxa"/>
            <w:vMerge w:val="restart"/>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（三）不予公开</w:t>
            </w:r>
          </w:p>
        </w:tc>
        <w:tc>
          <w:tcPr>
            <w:tcW w:w="2591"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1.属于国家秘密</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202"/>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921"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2591"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2.其他法律行政法规禁止公开</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196"/>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921"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2591"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3.危及“三安全一稳定”</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202"/>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921"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2591"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4.保护第三方合法权益</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196"/>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921"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2591"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5.属于三类内部事务信息</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196"/>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921"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2591"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6.属于四类过程性信息</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202"/>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921"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2591"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7.属于行政执法案卷</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196"/>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921"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2591"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8.属于行政查询事项</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202"/>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921" w:type="dxa"/>
            <w:vMerge w:val="restart"/>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（四）无法提供</w:t>
            </w:r>
          </w:p>
        </w:tc>
        <w:tc>
          <w:tcPr>
            <w:tcW w:w="2591"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1.本机关不掌握相关政府信息</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196"/>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921"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2591"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2.没有现成信息需要另行制作</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202"/>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921"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2591"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3.补正后申请内容仍不明确</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196"/>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921" w:type="dxa"/>
            <w:vMerge w:val="restart"/>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（五）不予处理</w:t>
            </w:r>
          </w:p>
        </w:tc>
        <w:tc>
          <w:tcPr>
            <w:tcW w:w="2591"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1.信访举报投诉类申请</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103"/>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921"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2591"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2.重复申请</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191"/>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921"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2591"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3.要求提供公开出版物</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191"/>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921"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2591"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4.无正当理由大量反复申请</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191"/>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921"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2591"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5.要求行政机关确认或重新出具已获取信息</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191"/>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3512"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（六）其他处理</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191"/>
        </w:trPr>
        <w:tc>
          <w:tcPr>
            <w:tcW w:w="918"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3512"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（七）总计</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rPr>
          <w:trHeight w:val="196"/>
        </w:trPr>
        <w:tc>
          <w:tcPr>
            <w:tcW w:w="4430" w:type="dxa"/>
            <w:gridSpan w:val="3"/>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left"/>
              <w:rPr>
                <w:sz w:val="24"/>
                <w:szCs w:val="24"/>
              </w:rPr>
            </w:pPr>
            <w:r>
              <w:rPr>
                <w:rFonts w:ascii="仿宋" w:eastAsia="仿宋" w:cs="仿宋" w:hAnsi="仿宋" w:hint="eastAsia"/>
                <w:kern w:val="0"/>
                <w:sz w:val="22"/>
                <w:szCs w:val="22"/>
                <w:lang w:val="en-US" w:eastAsia="zh-CN"/>
              </w:rPr>
              <w:t>四、结转下年度继续办理</w:t>
            </w:r>
          </w:p>
        </w:tc>
        <w:tc>
          <w:tcPr>
            <w:tcW w:w="889"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 0</w:t>
            </w:r>
          </w:p>
        </w:tc>
        <w:tc>
          <w:tcPr>
            <w:tcW w:w="66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9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882"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54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c>
          <w:tcPr>
            <w:tcW w:w="775" w:type="dxa"/>
            <w:gridSpan w:val="2"/>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240" w:lineRule="atLeast"/>
              <w:ind w:left="0" w:right="0" w:firstLine="0"/>
              <w:jc w:val="center"/>
              <w:rPr>
                <w:sz w:val="24"/>
                <w:szCs w:val="24"/>
              </w:rPr>
            </w:pPr>
            <w:r>
              <w:rPr>
                <w:rFonts w:ascii="仿宋" w:eastAsia="仿宋" w:cs="仿宋" w:hAnsi="仿宋" w:hint="eastAsia"/>
                <w:kern w:val="0"/>
                <w:sz w:val="22"/>
                <w:szCs w:val="22"/>
                <w:lang w:val="en-US" w:eastAsia="zh-CN"/>
              </w:rPr>
              <w:t>0 </w:t>
            </w:r>
          </w:p>
        </w:tc>
      </w:tr>
      <w:tr>
        <w:tc>
          <w:tcPr>
            <w:tcW w:w="918"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firstLine="0"/>
              <w:jc w:val="left"/>
            </w:pPr>
            <w:r>
              <w:rPr>
                <w:rFonts w:ascii="宋体" w:eastAsia="宋体" w:cs="宋体" w:hAnsi="宋体"/>
                <w:kern w:val="0"/>
                <w:sz w:val="24"/>
                <w:szCs w:val="24"/>
                <w:lang w:val="en-US" w:eastAsia="zh-CN"/>
              </w:rPr>
              <w:t> </w:t>
            </w:r>
          </w:p>
        </w:tc>
        <w:tc>
          <w:tcPr>
            <w:tcW w:w="921"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firstLine="0"/>
              <w:jc w:val="left"/>
            </w:pPr>
            <w:r>
              <w:rPr>
                <w:rFonts w:ascii="宋体" w:eastAsia="宋体" w:cs="宋体" w:hAnsi="宋体"/>
                <w:kern w:val="0"/>
                <w:sz w:val="24"/>
                <w:szCs w:val="24"/>
                <w:lang w:val="en-US" w:eastAsia="zh-CN"/>
              </w:rPr>
              <w:t> </w:t>
            </w:r>
          </w:p>
        </w:tc>
        <w:tc>
          <w:tcPr>
            <w:tcW w:w="2591"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firstLine="0"/>
              <w:jc w:val="left"/>
            </w:pPr>
            <w:r>
              <w:rPr>
                <w:rFonts w:ascii="宋体" w:eastAsia="宋体" w:cs="宋体" w:hAnsi="宋体"/>
                <w:kern w:val="0"/>
                <w:sz w:val="24"/>
                <w:szCs w:val="24"/>
                <w:lang w:val="en-US" w:eastAsia="zh-CN"/>
              </w:rPr>
              <w:t> </w:t>
            </w:r>
          </w:p>
        </w:tc>
        <w:tc>
          <w:tcPr>
            <w:tcW w:w="889"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firstLine="0"/>
              <w:jc w:val="left"/>
            </w:pPr>
            <w:r>
              <w:rPr>
                <w:rFonts w:ascii="宋体" w:eastAsia="宋体" w:cs="宋体" w:hAnsi="宋体"/>
                <w:kern w:val="0"/>
                <w:sz w:val="24"/>
                <w:szCs w:val="24"/>
                <w:lang w:val="en-US" w:eastAsia="zh-CN"/>
              </w:rPr>
              <w:t> </w:t>
            </w:r>
          </w:p>
        </w:tc>
        <w:tc>
          <w:tcPr>
            <w:tcW w:w="668"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firstLine="0"/>
              <w:jc w:val="left"/>
            </w:pPr>
            <w:r>
              <w:rPr>
                <w:rFonts w:ascii="宋体" w:eastAsia="宋体" w:cs="宋体" w:hAnsi="宋体"/>
                <w:kern w:val="0"/>
                <w:sz w:val="24"/>
                <w:szCs w:val="24"/>
                <w:lang w:val="en-US" w:eastAsia="zh-CN"/>
              </w:rPr>
              <w:t> </w:t>
            </w:r>
          </w:p>
        </w:tc>
        <w:tc>
          <w:tcPr>
            <w:tcW w:w="668"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firstLine="0"/>
              <w:jc w:val="left"/>
            </w:pPr>
            <w:r>
              <w:rPr>
                <w:rFonts w:ascii="宋体" w:eastAsia="宋体" w:cs="宋体" w:hAnsi="宋体"/>
                <w:kern w:val="0"/>
                <w:sz w:val="24"/>
                <w:szCs w:val="24"/>
                <w:lang w:val="en-US" w:eastAsia="zh-CN"/>
              </w:rPr>
              <w:t> </w:t>
            </w:r>
          </w:p>
        </w:tc>
        <w:tc>
          <w:tcPr>
            <w:tcW w:w="905"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firstLine="0"/>
              <w:jc w:val="left"/>
            </w:pPr>
            <w:r>
              <w:rPr>
                <w:rFonts w:ascii="宋体" w:eastAsia="宋体" w:cs="宋体" w:hAnsi="宋体"/>
                <w:kern w:val="0"/>
                <w:sz w:val="24"/>
                <w:szCs w:val="24"/>
                <w:lang w:val="en-US" w:eastAsia="zh-CN"/>
              </w:rPr>
              <w:t> </w:t>
            </w:r>
          </w:p>
        </w:tc>
        <w:tc>
          <w:tcPr>
            <w:tcW w:w="882"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firstLine="0"/>
              <w:jc w:val="left"/>
            </w:pPr>
            <w:r>
              <w:rPr>
                <w:rFonts w:ascii="宋体" w:eastAsia="宋体" w:cs="宋体" w:hAnsi="宋体"/>
                <w:kern w:val="0"/>
                <w:sz w:val="24"/>
                <w:szCs w:val="24"/>
                <w:lang w:val="en-US" w:eastAsia="zh-CN"/>
              </w:rPr>
              <w:t> </w:t>
            </w:r>
          </w:p>
        </w:tc>
        <w:tc>
          <w:tcPr>
            <w:tcW w:w="548"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firstLine="0"/>
              <w:jc w:val="left"/>
            </w:pPr>
            <w:r>
              <w:rPr>
                <w:rFonts w:ascii="宋体" w:eastAsia="宋体" w:cs="宋体" w:hAnsi="宋体"/>
                <w:kern w:val="0"/>
                <w:sz w:val="24"/>
                <w:szCs w:val="24"/>
                <w:lang w:val="en-US" w:eastAsia="zh-CN"/>
              </w:rPr>
              <w:t> </w:t>
            </w:r>
          </w:p>
        </w:tc>
        <w:tc>
          <w:tcPr>
            <w:tcW w:w="535"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firstLine="0"/>
              <w:jc w:val="left"/>
            </w:pPr>
            <w:r>
              <w:rPr>
                <w:rFonts w:ascii="宋体" w:eastAsia="宋体" w:cs="宋体" w:hAnsi="宋体"/>
                <w:kern w:val="0"/>
                <w:sz w:val="24"/>
                <w:szCs w:val="24"/>
                <w:lang w:val="en-US" w:eastAsia="zh-CN"/>
              </w:rPr>
              <w:t> </w:t>
            </w:r>
          </w:p>
        </w:tc>
        <w:tc>
          <w:tcPr>
            <w:tcW w:w="240"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firstLine="0"/>
              <w:jc w:val="left"/>
            </w:pPr>
            <w:r>
              <w:rPr>
                <w:rFonts w:ascii="宋体" w:eastAsia="宋体" w:cs="宋体" w:hAnsi="宋体"/>
                <w:kern w:val="0"/>
                <w:sz w:val="24"/>
                <w:szCs w:val="24"/>
                <w:lang w:val="en-US" w:eastAsia="zh-CN"/>
              </w:rPr>
              <w:t> </w:t>
            </w:r>
          </w:p>
        </w:tc>
      </w:tr>
    </w:tbl>
    <w:p>
      <w:pPr>
        <w:rPr>
          <w:rFonts w:ascii="黑体" w:eastAsia="黑体" w:cs="黑体" w:hAnsi="黑体" w:hint="eastAsia"/>
          <w:sz w:val="32"/>
          <w:szCs w:val="32"/>
        </w:rPr>
      </w:pPr>
      <w:r>
        <w:rPr>
          <w:rFonts w:ascii="黑体" w:eastAsia="黑体" w:cs="黑体" w:hAnsi="黑体" w:hint="eastAsia"/>
          <w:sz w:val="32"/>
          <w:szCs w:val="32"/>
        </w:rPr>
        <w:t>四、政府信息公开行政复议、行政诉讼情况</w:t>
      </w:r>
    </w:p>
    <w:tbl>
      <w:tblPr>
        <w:jc w:val="center"/>
        <w:tblBorders>
          <w:top w:val="none" w:sz="0" w:space="0" w:color="auto"/>
          <w:left w:val="none" w:sz="0" w:space="0" w:color="auto"/>
          <w:bottom w:val="none" w:sz="0" w:space="0" w:color="auto"/>
          <w:right w:val="none" w:sz="0" w:space="0" w:color="auto"/>
          <w:insideH w:val="outset" w:sz="6" w:space="0" w:color="auto"/>
          <w:insideV w:val="outset" w:sz="6" w:space="0" w:color="auto"/>
        </w:tblBorders>
        <w:shd w:val="clear" w:color="auto" w:fill="auto"/>
        <w:tblCellMar>
          <w:top w:w="0" w:type="dxa"/>
          <w:left w:w="0" w:type="dxa"/>
          <w:bottom w:w="0" w:type="dxa"/>
          <w:right w:w="0" w:type="dxa"/>
        </w:tblCellMar>
        <w:tblLook w:val="0600" w:firstRow="0" w:lastRow="0" w:firstColumn="0" w:lastColumn="0" w:noHBand="1" w:noVBand="1"/>
      </w:tblPr>
      <w:tblGrid>
        <w:gridCol w:w="602"/>
        <w:gridCol w:w="602"/>
        <w:gridCol w:w="602"/>
        <w:gridCol w:w="602"/>
        <w:gridCol w:w="656"/>
        <w:gridCol w:w="572"/>
        <w:gridCol w:w="603"/>
        <w:gridCol w:w="603"/>
        <w:gridCol w:w="603"/>
        <w:gridCol w:w="603"/>
        <w:gridCol w:w="603"/>
        <w:gridCol w:w="603"/>
        <w:gridCol w:w="603"/>
        <w:gridCol w:w="604"/>
        <w:gridCol w:w="604"/>
      </w:tblGrid>
      <w:tr>
        <w:tc>
          <w:tcPr>
            <w:tcW w:w="3074" w:type="dxa"/>
            <w:gridSpan w:val="5"/>
            <w:tcBorders>
              <w:top w:val="single" w:sz="8" w:space="0" w:color="auto"/>
              <w:left w:val="single" w:sz="8" w:space="0" w:color="auto"/>
              <w:bottom w:val="single" w:sz="8" w:space="0" w:color="auto"/>
              <w:right w:val="single" w:sz="8" w:space="0" w:color="auto"/>
            </w:tcBorders>
            <w:shd w:val="clear" w:color="auto" w:fill="E6F4FF"/>
            <w:tcMar>
              <w:left w:w="108" w:type="dxa"/>
              <w:right w:w="108" w:type="dxa"/>
            </w:tcMar>
            <w:vAlign w:val="center"/>
          </w:tcPr>
          <w:p>
            <w:pPr>
              <w:rPr>
                <w:sz w:val="24"/>
                <w:szCs w:val="24"/>
              </w:rPr>
            </w:pPr>
            <w:r>
              <w:rPr>
                <w:rFonts w:ascii="黑体" w:eastAsia="黑体" w:cs="黑体" w:hAnsi="黑体" w:hint="eastAsia"/>
                <w:sz w:val="32"/>
                <w:szCs w:val="32"/>
                <w:lang w:val="en-US"/>
              </w:rPr>
              <w:t> </w:t>
            </w:r>
            <w:r>
              <w:rPr>
                <w:rFonts w:ascii="仿宋" w:eastAsia="仿宋" w:cs="仿宋" w:hAnsi="仿宋" w:hint="eastAsia"/>
                <w:kern w:val="0"/>
                <w:sz w:val="24"/>
                <w:szCs w:val="24"/>
                <w:lang w:val="en-US" w:eastAsia="zh-CN"/>
              </w:rPr>
              <w:t>行政复议</w:t>
            </w:r>
          </w:p>
        </w:tc>
        <w:tc>
          <w:tcPr>
            <w:tcW w:w="5997" w:type="dxa"/>
            <w:gridSpan w:val="10"/>
            <w:tcBorders>
              <w:top w:val="single" w:sz="8" w:space="0" w:color="auto"/>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行政诉讼</w:t>
            </w:r>
          </w:p>
        </w:tc>
      </w:tr>
      <w:tr>
        <w:tc>
          <w:tcPr>
            <w:tcW w:w="604" w:type="dxa"/>
            <w:vMerge w:val="restart"/>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结果维持</w:t>
            </w:r>
          </w:p>
        </w:tc>
        <w:tc>
          <w:tcPr>
            <w:tcW w:w="604" w:type="dxa"/>
            <w:vMerge w:val="restart"/>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结果纠正</w:t>
            </w:r>
          </w:p>
        </w:tc>
        <w:tc>
          <w:tcPr>
            <w:tcW w:w="604" w:type="dxa"/>
            <w:vMerge w:val="restart"/>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其他结果</w:t>
            </w:r>
          </w:p>
        </w:tc>
        <w:tc>
          <w:tcPr>
            <w:tcW w:w="604" w:type="dxa"/>
            <w:vMerge w:val="restart"/>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尚未审结</w:t>
            </w:r>
          </w:p>
        </w:tc>
        <w:tc>
          <w:tcPr>
            <w:tcW w:w="658" w:type="dxa"/>
            <w:vMerge w:val="restart"/>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总计</w:t>
            </w:r>
          </w:p>
        </w:tc>
        <w:tc>
          <w:tcPr>
            <w:tcW w:w="2970" w:type="dxa"/>
            <w:gridSpan w:val="5"/>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未经复议直接起诉</w:t>
            </w:r>
          </w:p>
        </w:tc>
        <w:tc>
          <w:tcPr>
            <w:tcW w:w="3027" w:type="dxa"/>
            <w:gridSpan w:val="5"/>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复议后起诉</w:t>
            </w:r>
          </w:p>
        </w:tc>
      </w:tr>
      <w:tr>
        <w:tc>
          <w:tcPr>
            <w:tcW w:w="604" w:type="dxa"/>
            <w:vMerge/>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tc>
        <w:tc>
          <w:tcPr>
            <w:tcW w:w="604"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604"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604"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658" w:type="dxa"/>
            <w:vMerge/>
            <w:tcBorders>
              <w:top w:val="nil"/>
              <w:left w:val="nil"/>
              <w:bottom w:val="single" w:sz="8" w:space="0" w:color="auto"/>
              <w:right w:val="single" w:sz="8" w:space="0" w:color="auto"/>
            </w:tcBorders>
            <w:shd w:val="clear" w:color="auto" w:fill="E6F4FF"/>
            <w:tcMar>
              <w:left w:w="108" w:type="dxa"/>
              <w:right w:w="108" w:type="dxa"/>
            </w:tcMar>
            <w:vAlign w:val="center"/>
          </w:tcPr>
          <w:p/>
        </w:tc>
        <w:tc>
          <w:tcPr>
            <w:tcW w:w="550"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结果维持</w:t>
            </w:r>
          </w:p>
        </w:tc>
        <w:tc>
          <w:tcPr>
            <w:tcW w:w="6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结果纠正</w:t>
            </w:r>
          </w:p>
        </w:tc>
        <w:tc>
          <w:tcPr>
            <w:tcW w:w="6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其他结果</w:t>
            </w:r>
          </w:p>
        </w:tc>
        <w:tc>
          <w:tcPr>
            <w:tcW w:w="6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尚未审结</w:t>
            </w:r>
          </w:p>
        </w:tc>
        <w:tc>
          <w:tcPr>
            <w:tcW w:w="6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总计</w:t>
            </w:r>
          </w:p>
        </w:tc>
        <w:tc>
          <w:tcPr>
            <w:tcW w:w="6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结果维持</w:t>
            </w:r>
          </w:p>
        </w:tc>
        <w:tc>
          <w:tcPr>
            <w:tcW w:w="6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结果纠正</w:t>
            </w:r>
          </w:p>
        </w:tc>
        <w:tc>
          <w:tcPr>
            <w:tcW w:w="6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其他结果</w:t>
            </w:r>
          </w:p>
        </w:tc>
        <w:tc>
          <w:tcPr>
            <w:tcW w:w="606"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尚未审结</w:t>
            </w:r>
          </w:p>
        </w:tc>
        <w:tc>
          <w:tcPr>
            <w:tcW w:w="606"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总计</w:t>
            </w:r>
          </w:p>
        </w:tc>
      </w:tr>
      <w:tr>
        <w:tc>
          <w:tcPr>
            <w:tcW w:w="604" w:type="dxa"/>
            <w:tcBorders>
              <w:top w:val="nil"/>
              <w:left w:val="single" w:sz="8" w:space="0" w:color="auto"/>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0 </w:t>
            </w:r>
          </w:p>
        </w:tc>
        <w:tc>
          <w:tcPr>
            <w:tcW w:w="604"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 0</w:t>
            </w:r>
          </w:p>
        </w:tc>
        <w:tc>
          <w:tcPr>
            <w:tcW w:w="604"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 0</w:t>
            </w:r>
          </w:p>
        </w:tc>
        <w:tc>
          <w:tcPr>
            <w:tcW w:w="604"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 0</w:t>
            </w:r>
          </w:p>
        </w:tc>
        <w:tc>
          <w:tcPr>
            <w:tcW w:w="658"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 0</w:t>
            </w:r>
          </w:p>
        </w:tc>
        <w:tc>
          <w:tcPr>
            <w:tcW w:w="550"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 0</w:t>
            </w:r>
          </w:p>
        </w:tc>
        <w:tc>
          <w:tcPr>
            <w:tcW w:w="6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 0</w:t>
            </w:r>
          </w:p>
        </w:tc>
        <w:tc>
          <w:tcPr>
            <w:tcW w:w="6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 0</w:t>
            </w:r>
          </w:p>
        </w:tc>
        <w:tc>
          <w:tcPr>
            <w:tcW w:w="6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 0</w:t>
            </w:r>
          </w:p>
        </w:tc>
        <w:tc>
          <w:tcPr>
            <w:tcW w:w="6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 0</w:t>
            </w:r>
          </w:p>
        </w:tc>
        <w:tc>
          <w:tcPr>
            <w:tcW w:w="6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 0</w:t>
            </w:r>
          </w:p>
        </w:tc>
        <w:tc>
          <w:tcPr>
            <w:tcW w:w="6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 0</w:t>
            </w:r>
          </w:p>
        </w:tc>
        <w:tc>
          <w:tcPr>
            <w:tcW w:w="605"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 0</w:t>
            </w:r>
          </w:p>
        </w:tc>
        <w:tc>
          <w:tcPr>
            <w:tcW w:w="606"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center"/>
              <w:rPr>
                <w:sz w:val="24"/>
                <w:szCs w:val="24"/>
              </w:rPr>
            </w:pPr>
            <w:r>
              <w:rPr>
                <w:rFonts w:ascii="仿宋" w:eastAsia="仿宋" w:cs="仿宋" w:hAnsi="仿宋" w:hint="eastAsia"/>
                <w:kern w:val="0"/>
                <w:sz w:val="24"/>
                <w:szCs w:val="24"/>
                <w:lang w:val="en-US" w:eastAsia="zh-CN"/>
              </w:rPr>
              <w:t> 0</w:t>
            </w:r>
          </w:p>
        </w:tc>
        <w:tc>
          <w:tcPr>
            <w:tcW w:w="606" w:type="dxa"/>
            <w:tcBorders>
              <w:top w:val="nil"/>
              <w:left w:val="nil"/>
              <w:bottom w:val="single" w:sz="8" w:space="0" w:color="auto"/>
              <w:right w:val="single" w:sz="8" w:space="0" w:color="auto"/>
            </w:tcBorders>
            <w:shd w:val="clear" w:color="auto" w:fill="E6F4FF"/>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line="480" w:lineRule="atLeast"/>
              <w:ind w:left="0" w:right="0" w:firstLine="0"/>
              <w:jc w:val="left"/>
              <w:rPr>
                <w:sz w:val="24"/>
                <w:szCs w:val="24"/>
              </w:rPr>
            </w:pPr>
            <w:r>
              <w:rPr>
                <w:rFonts w:ascii="仿宋" w:eastAsia="仿宋" w:cs="仿宋" w:hAnsi="仿宋" w:hint="eastAsia"/>
                <w:kern w:val="0"/>
                <w:sz w:val="24"/>
                <w:szCs w:val="24"/>
                <w:lang w:val="en-US" w:eastAsia="zh-CN"/>
              </w:rPr>
              <w:t> 0</w:t>
            </w:r>
          </w:p>
        </w:tc>
      </w:tr>
    </w:tbl>
    <w:p>
      <w:pPr>
        <w:rPr>
          <w:rFonts w:ascii="黑体" w:eastAsia="黑体" w:cs="黑体" w:hAnsi="黑体" w:hint="eastAsia"/>
          <w:sz w:val="32"/>
          <w:szCs w:val="32"/>
        </w:rPr>
      </w:pPr>
      <w:r>
        <w:rPr>
          <w:rFonts w:hint="eastAsia"/>
          <w:lang w:val="en-US" w:eastAsia="zh-CN"/>
        </w:rPr>
        <w:t> </w:t>
      </w:r>
      <w:r>
        <w:rPr>
          <w:rFonts w:ascii="黑体" w:eastAsia="黑体" w:cs="黑体" w:hAnsi="黑体" w:hint="eastAsia"/>
          <w:sz w:val="32"/>
          <w:szCs w:val="32"/>
          <w:lang w:val="en-US" w:eastAsia="zh-CN"/>
        </w:rPr>
        <w:t>五、存在的主要问题及改进情况</w:t>
      </w:r>
    </w:p>
    <w:p>
      <w:pPr>
        <w:keepNext w:val="0"/>
        <w:keepLines w:val="0"/>
        <w:pageBreakBefore w:val="0"/>
        <w:widowControl w:val="0"/>
        <w:kinsoku/>
        <w:wordWrap/>
        <w:overflowPunct/>
        <w:topLinePunct w:val="0"/>
        <w:autoSpaceDE/>
        <w:autoSpaceDN/>
        <w:bidi w:val="0"/>
        <w:adjustRightInd/>
        <w:snapToGrid/>
        <w:ind w:firstLineChars="200" w:firstLine="640"/>
        <w:textAlignment w:val="auto"/>
        <w:rPr>
          <w:rFonts w:ascii="仿宋_GB2312" w:eastAsia="仿宋_GB2312" w:cs="仿宋_GB2312" w:hAnsi="仿宋_GB2312" w:hint="eastAsia"/>
          <w:sz w:val="32"/>
          <w:szCs w:val="32"/>
        </w:rPr>
      </w:pPr>
      <w:r>
        <w:rPr>
          <w:rFonts w:ascii="仿宋_GB2312" w:eastAsia="仿宋_GB2312" w:cs="仿宋_GB2312" w:hAnsi="仿宋_GB2312" w:hint="eastAsia"/>
          <w:sz w:val="32"/>
          <w:szCs w:val="32"/>
          <w:lang w:val="en-US" w:eastAsia="zh-CN"/>
        </w:rPr>
        <w:t>我局政务信息公开工作还需进一步完善公开内容覆盖范围，下一步我局将持续以提高行政服务水平为目标，扎实推动政务公开工作，不断规范和完善政务公开的内容、程序、形式及监督保障措施。坚持依法依规、便民快捷，主动公开重大财政政策以及执行情况，推动政务阳光透明。</w:t>
      </w:r>
    </w:p>
    <w:p>
      <w:pPr>
        <w:keepNext w:val="0"/>
        <w:keepLines w:val="0"/>
        <w:pageBreakBefore w:val="0"/>
        <w:widowControl w:val="0"/>
        <w:kinsoku/>
        <w:wordWrap/>
        <w:overflowPunct/>
        <w:topLinePunct w:val="0"/>
        <w:autoSpaceDE/>
        <w:autoSpaceDN/>
        <w:bidi w:val="0"/>
        <w:adjustRightInd/>
        <w:snapToGrid/>
        <w:ind w:firstLineChars="200" w:firstLine="640"/>
        <w:textAlignment w:val="auto"/>
        <w:rPr>
          <w:rFonts w:ascii="黑体" w:eastAsia="黑体" w:cs="黑体" w:hAnsi="黑体" w:hint="eastAsia"/>
          <w:sz w:val="32"/>
          <w:szCs w:val="32"/>
          <w:lang w:val="en-US" w:eastAsia="zh-CN"/>
        </w:rPr>
      </w:pPr>
      <w:r>
        <w:rPr>
          <w:rFonts w:ascii="黑体" w:eastAsia="黑体" w:cs="黑体" w:hAnsi="黑体" w:hint="eastAsia"/>
          <w:sz w:val="32"/>
          <w:szCs w:val="32"/>
          <w:lang w:val="en-US" w:eastAsia="zh-CN"/>
        </w:rPr>
        <w:t>六、其他需要报告的事项</w:t>
      </w:r>
    </w:p>
    <w:p>
      <w:pPr>
        <w:keepNext w:val="0"/>
        <w:keepLines w:val="0"/>
        <w:pageBreakBefore w:val="0"/>
        <w:widowControl w:val="0"/>
        <w:kinsoku/>
        <w:wordWrap/>
        <w:overflowPunct/>
        <w:topLinePunct w:val="0"/>
        <w:autoSpaceDE/>
        <w:autoSpaceDN/>
        <w:bidi w:val="0"/>
        <w:adjustRightInd/>
        <w:snapToGrid/>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无。</w:t>
      </w:r>
    </w:p>
    <w:p>
      <w:pPr>
        <w:keepNext w:val="0"/>
        <w:keepLines w:val="0"/>
        <w:pageBreakBefore w:val="0"/>
        <w:widowControl w:val="0"/>
        <w:kinsoku/>
        <w:wordWrap/>
        <w:overflowPunct/>
        <w:topLinePunct w:val="0"/>
        <w:autoSpaceDE/>
        <w:autoSpaceDN/>
        <w:bidi w:val="0"/>
        <w:adjustRightInd/>
        <w:snapToGrid/>
        <w:ind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 </w:t>
      </w:r>
    </w:p>
    <w:p>
      <w:pPr>
        <w:keepNext w:val="0"/>
        <w:keepLines w:val="0"/>
        <w:pageBreakBefore w:val="0"/>
        <w:widowControl w:val="0"/>
        <w:kinsoku/>
        <w:wordWrap w:val="0"/>
        <w:overflowPunct/>
        <w:topLinePunct w:val="0"/>
        <w:autoSpaceDE/>
        <w:autoSpaceDN/>
        <w:bidi w:val="0"/>
        <w:adjustRightInd/>
        <w:snapToGrid/>
        <w:ind w:firstLineChars="200" w:firstLine="640"/>
        <w:jc w:val="right"/>
        <w:textAlignment w:val="auto"/>
        <w:rPr>
          <w:rFonts w:ascii="仿宋_GB2312" w:eastAsia="仿宋_GB2312" w:cs="仿宋_GB2312" w:hAnsi="仿宋_GB2312"/>
          <w:sz w:val="32"/>
          <w:szCs w:val="32"/>
          <w:lang w:val="en-US" w:eastAsia="zh-CN"/>
        </w:rPr>
      </w:pPr>
      <w:r>
        <w:rPr>
          <w:rFonts w:ascii="仿宋_GB2312" w:eastAsia="仿宋_GB2312" w:cs="仿宋_GB2312" w:hAnsi="仿宋_GB2312" w:hint="eastAsia"/>
          <w:sz w:val="32"/>
          <w:szCs w:val="32"/>
          <w:lang w:val="en-US" w:eastAsia="zh-CN"/>
        </w:rPr>
        <w:t xml:space="preserve">行唐县财政局          </w:t>
      </w:r>
    </w:p>
    <w:p>
      <w:pPr>
        <w:keepNext w:val="0"/>
        <w:keepLines w:val="0"/>
        <w:pageBreakBefore w:val="0"/>
        <w:widowControl w:val="0"/>
        <w:kinsoku/>
        <w:wordWrap w:val="0"/>
        <w:overflowPunct/>
        <w:topLinePunct w:val="0"/>
        <w:autoSpaceDE/>
        <w:autoSpaceDN/>
        <w:bidi w:val="0"/>
        <w:adjustRightInd/>
        <w:snapToGrid/>
        <w:ind w:firstLineChars="200" w:firstLine="640"/>
        <w:jc w:val="right"/>
        <w:textAlignment w:val="auto"/>
        <w:rPr>
          <w:rFonts w:ascii="仿宋_GB2312" w:eastAsia="仿宋_GB2312" w:cs="仿宋_GB2312" w:hAnsi="仿宋_GB2312"/>
          <w:sz w:val="32"/>
          <w:szCs w:val="32"/>
          <w:lang w:val="en-US" w:eastAsia="zh-CN"/>
        </w:rPr>
      </w:pPr>
      <w:r>
        <w:rPr>
          <w:rFonts w:ascii="仿宋_GB2312" w:eastAsia="仿宋_GB2312" w:cs="仿宋_GB2312" w:hAnsi="仿宋_GB2312" w:hint="eastAsia"/>
          <w:sz w:val="32"/>
          <w:szCs w:val="32"/>
          <w:lang w:val="en-US" w:eastAsia="zh-CN"/>
        </w:rPr>
        <w:t>202</w:t>
      </w:r>
      <w:r>
        <w:rPr>
          <w:rFonts w:ascii="仿宋_GB2312" w:eastAsia="仿宋_GB2312" w:cs="仿宋_GB2312" w:hAnsi="仿宋_GB2312"/>
          <w:sz w:val="32"/>
          <w:szCs w:val="32"/>
          <w:lang w:val="en-US" w:eastAsia="zh-CN"/>
        </w:rPr>
        <w:t>6</w:t>
      </w:r>
      <w:r>
        <w:rPr>
          <w:rFonts w:ascii="仿宋_GB2312" w:eastAsia="仿宋_GB2312" w:cs="仿宋_GB2312" w:hAnsi="仿宋_GB2312" w:hint="eastAsia"/>
          <w:sz w:val="32"/>
          <w:szCs w:val="32"/>
          <w:lang w:val="en-US" w:eastAsia="zh-CN"/>
        </w:rPr>
        <w:t>年1月2</w:t>
      </w:r>
      <w:r>
        <w:rPr>
          <w:rFonts w:ascii="仿宋_GB2312" w:eastAsia="仿宋_GB2312" w:cs="仿宋_GB2312" w:hAnsi="仿宋_GB2312"/>
          <w:sz w:val="32"/>
          <w:szCs w:val="32"/>
          <w:lang w:val="en-US" w:eastAsia="zh-CN"/>
        </w:rPr>
        <w:t>6</w:t>
      </w:r>
      <w:r>
        <w:rPr>
          <w:rFonts w:ascii="仿宋_GB2312" w:eastAsia="仿宋_GB2312" w:cs="仿宋_GB2312" w:hAnsi="仿宋_GB2312" w:hint="eastAsia"/>
          <w:sz w:val="32"/>
          <w:szCs w:val="32"/>
          <w:lang w:val="en-US" w:eastAsia="zh-CN"/>
        </w:rPr>
        <w:t xml:space="preserve">日        </w:t>
      </w:r>
    </w:p>
    <w:p/>
    <w:sectPr>
      <w:pgSz w:w="11906" w:h="16838"/>
      <w:pgMar w:top="2098" w:right="1474" w:bottom="1984" w:left="1587" w:header="851" w:footer="992" w:gutter="0"/>
      <w:cols w:num="1" w:space="0"/>
      <w:rtlGutter/>
      <w:docGrid w:type="lines" w:linePitch="312" w:charSpace="0"/>
    </w:sectPr>
  </w:body>
</w:document>
</file>

<file path=word/fontTable.xml><?xml version="1.0" encoding="utf-8"?>
<w:fonts xmlns:w="http://schemas.openxmlformats.org/wordprocessingml/2006/main" xmlns:r="http://schemas.openxmlformats.org/officeDocument/2006/relationships">
  <w:font w:name="方正小标宋简体">
    <w:altName w:val="方正小标宋_GBK"/>
    <w:panose1 w:val="02010601030101010101"/>
    <w:charset w:val="86"/>
    <w:family w:val="auto"/>
    <w:pitch w:val="variable"/>
    <w:sig w:usb0="00000001" w:usb1="080E0000" w:usb2="00000000" w:usb3="00000000" w:csb0="00040000" w:csb1="00000000"/>
  </w:font>
  <w:font w:name="黑体">
    <w:altName w:val="方正黑体_GBK"/>
    <w:panose1 w:val="02010609060101010101"/>
    <w:charset w:val="86"/>
    <w:family w:val="auto"/>
    <w:pitch w:val="variable"/>
    <w:sig w:usb0="800002BF" w:usb1="38CF7CFA" w:usb2="00000016" w:usb3="00000000" w:csb0="00040001" w:csb1="00000000"/>
  </w:font>
  <w:font w:name="仿宋_GB2312">
    <w:altName w:val="方正仿宋_GBK"/>
    <w:panose1 w:val="02010609030101010101"/>
    <w:charset w:val="86"/>
    <w:family w:val="auto"/>
    <w:pitch w:val="variable"/>
    <w:sig w:usb0="00000001" w:usb1="080E0000" w:usb2="00000000" w:usb3="00000000" w:csb0="00040000" w:csb1="00000000"/>
  </w:font>
  <w:font w:name="仿宋">
    <w:altName w:val="方正仿宋_GBK"/>
    <w:panose1 w:val="02010609060101010101"/>
    <w:charset w:val="86"/>
    <w:family w:val="auto"/>
    <w:pitch w:val="variable"/>
    <w:sig w:usb0="800002BF" w:usb1="38CF7CFA" w:usb2="00000016" w:usb3="00000000" w:csb0="00040001" w:csb1="00000000"/>
  </w:font>
  <w:font w:name="宋体">
    <w:altName w:val="方正黑体_GBK"/>
    <w:panose1 w:val="02010600030101010101"/>
    <w:charset w:val="86"/>
    <w:family w:val="auto"/>
    <w:pitch w:val="variable"/>
    <w:sig w:usb0="00000203" w:usb1="288F0000" w:usb2="00000006" w:usb3="00000000" w:csb0="00040001" w:csb1="00000000"/>
  </w:font>
  <w:font w:name="Times New Roman">
    <w:altName w:val="DejaVu Sans"/>
    <w:panose1 w:val="02020603050405020304"/>
    <w:charset w:val="00"/>
    <w:family w:val="roman"/>
    <w:pitch w:val="variable"/>
    <w:sig w:usb0="20007A87" w:usb1="80000000" w:usb2="00000008" w:usb3="00000000" w:csb0="000001FF" w:csb1="00000000"/>
  </w:font>
  <w:font w:name="Lucida Sans">
    <w:altName w:val="DejaVu Sans"/>
    <w:panose1 w:val="020B0602030504020204"/>
    <w:charset w:val="00"/>
    <w:family w:val="auto"/>
    <w:pitch w:val="variable"/>
    <w:sig w:usb0="00000003" w:usb1="00000000" w:usb2="00000000" w:usb3="00000000" w:csb0="20000001" w:csb1="00000000"/>
  </w:font>
  <w:font w:name="Calibri">
    <w:altName w:val="DejaVu Sans"/>
    <w:panose1 w:val="020F0502020204030204"/>
    <w:charset w:val="00"/>
    <w:family w:val="swiss"/>
    <w:pitch w:val="variable"/>
    <w:sig w:usb0="E4002EFF" w:usb1="C200247B" w:usb2="00000009" w:usb3="00000000" w:csb0="200001FF" w:csb1="00000000"/>
  </w:font>
  <w:font w:name="Arial">
    <w:altName w:val="DejaVu Sans"/>
    <w:panose1 w:val="020B0604020202020204"/>
    <w:charset w:val="01"/>
    <w:family w:val="swiss"/>
    <w:pitch w:val="variable"/>
    <w:sig w:usb0="E0002EFF" w:usb1="C000785B" w:usb2="00000009" w:usb3="00000000" w:csb0="400001FF" w:csb1="FFFF0000"/>
  </w:font>
  <w:font w:name="方正兰亭黑_GBK">
    <w:panose1 w:val="02000000000000000000"/>
    <w:charset w:val="86"/>
    <w:family w:val="script"/>
    <w:pitch w:val="variable"/>
    <w:sig w:usb0="A00002BF" w:usb1="3ACF7CFA" w:usb2="00080016" w:usb3="00000000" w:csb0="00040001"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60"/>
  <w:bordersDoNotSurroundHeader w:val="0"/>
  <w:bordersDoNotSurroundFooter w:val="0"/>
  <w:defaultTabStop w:val="420"/>
  <w:drawingGridHorizontalSpacing w:val="105"/>
  <w:drawingGridVerticalSpacing w:val="156"/>
  <w:displayHorizontalDrawingGridEvery w:val="1"/>
  <w:displayVerticalDrawingGridEvery w:val="1"/>
  <w:noPunctuationKerning/>
  <w:characterSpacingControl w:val="compressPunctuation"/>
  <w:compat>
    <w:spaceForUL/>
    <w:balanceSingleByteDoubleByteWidth/>
    <w:ulTrailSpace/>
    <w:doNotExpandShiftReturn/>
    <w:adjustLineHeightInTable/>
    <w:doNotUseIndentAsNumberingTabStop/>
    <w:compatSetting w:name="compatibilityMode" w:uri="http://schemas.microsoft.com/office/word" w:val="14"/>
  </w:compat>
  <w:docVars>
    <w:docVar w:name="commondata" w:val="eyJoZGlkIjoiYzVmMGY5MGQ5MDRjOGNjNGUxMWQ0NThjYWM3YzQ1NGIifQ=="/>
  </w:docVars>
  <m:mathPr>
    <m:mathFont m:val="Cambria Math"/>
    <m:brkBin m:val="before"/>
    <m:brkBinSub m:val="--"/>
    <m:smallFrac m:val="0"/>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qFormat/>
    <w:autoRedefine/>
    <w:pPr>
      <w:widowControl w:val="0"/>
      <w:jc w:val="both"/>
    </w:pPr>
    <w:rPr>
      <w:rFonts w:ascii="Calibri" w:eastAsia="宋体" w:cs="Arial" w:hAnsi="Calibri"/>
      <w:kern w:val="2"/>
      <w:sz w:val="21"/>
      <w:szCs w:val="24"/>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Arial" w:hAnsi="Calibri"/>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方正兰亭黑_GBK" w:eastAsia="黑体" w:hAnsi="方正兰亭黑_GBK"/>
      <w:b/>
      <w:bCs/>
      <w:sz w:val="32"/>
      <w:szCs w:val="32"/>
    </w:rPr>
  </w:style>
  <w:style w:type="character" w:customStyle="1" w:styleId="2Char">
    <w:name w:val="heading 2 Char"/>
    <w:basedOn w:val="10"/>
    <w:link w:val="2"/>
    <w:rPr>
      <w:rFonts w:ascii="方正兰亭黑_GBK" w:eastAsia="黑体" w:cs="Arial" w:hAnsi="Calibri"/>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Arial" w:hAnsi="Calibri"/>
      <w:b/>
      <w:bCs/>
      <w:kern w:val="2"/>
      <w:sz w:val="32"/>
      <w:szCs w:val="32"/>
      <w:lang w:val="en-US" w:eastAsia="zh-CN" w:bidi="ar-SA"/>
    </w:rPr>
  </w:style>
  <w:style w:type="character" w:default="1" w:styleId="10">
    <w:name w:val="Default Paragraph Font"/>
    <w:qFormat/>
    <w:autoRedefine/>
  </w:style>
  <w:style w:type="paragraph" w:styleId="15">
    <w:name w:val="Normal (Web)"/>
    <w:qFormat/>
    <w:basedOn w:val="0"/>
    <w:pPr>
      <w:spacing w:before="0" w:beforeAutospacing="1" w:after="0" w:afterAutospacing="1"/>
      <w:ind w:left="0" w:right="0"/>
      <w:jc w:val="left"/>
    </w:pPr>
    <w:rPr>
      <w:kern w:val="0"/>
      <w:sz w:val="24"/>
      <w:lang w:val="en-US" w:eastAsia="zh-CN"/>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customXml" Target="../customXml/item1.xml"/><Relationship Id="rId5" Type="http://schemas.openxmlformats.org/officeDocument/2006/relationships/theme" Target="theme/theme1.xml"/></Relationships>
</file>

<file path=word/theme/theme1.xml><?xml version="1.0" encoding="utf-8"?>
<a:theme xmlns:a="http://schemas.openxmlformats.org/drawingml/2006/main" name="WPS">
  <a:themeElements>
    <a:clrScheme name="WPS">
      <a:dk1>
        <a:srgbClr val="000000"/>
      </a:dk1>
      <a:lt1>
        <a:srgbClr val="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
        <a:ea typeface=""/>
        <a:cs typeface=""/>
      </a:majorFont>
      <a:minorFont>
        <a:latin typeface=""/>
        <a:ea typeface=""/>
        <a:cs typeface=""/>
      </a:minorFont>
    </a:fontScheme>
    <a:fmtScheme name="WPS">
      <a:fillStyleLst>
        <a:solidFill>
          <a:schemeClr val="phClr"/>
        </a:solidFill>
        <a:gradFill rotWithShape="1">
          <a:gsLst>
            <a:gs pos="0">
              <a:schemeClr val="phClr">
                <a:lumOff val="17500"/>
              </a:schemeClr>
            </a:gs>
            <a:gs pos="100000">
              <a:schemeClr val="phClr"/>
            </a:gs>
          </a:gsLst>
          <a:lin ang="2700000" scaled="1"/>
        </a:gradFill>
        <a:gradFill rotWithShape="1">
          <a:gsLst>
            <a:gs pos="0">
              <a:schemeClr val="phClr">
                <a:hueOff val="-2520000"/>
              </a:schemeClr>
            </a:gs>
            <a:gs pos="100000">
              <a:schemeClr val="phClr"/>
            </a:gs>
          </a:gsLst>
          <a:lin ang="2700000" scaled="1"/>
        </a:gradFill>
      </a:fillStyleLst>
      <a:lnStyleLst>
        <a:ln w="12700" cmpd="sng" cap="flat">
          <a:solidFill>
            <a:schemeClr val="phClr"/>
          </a:solidFill>
          <a:prstDash val="solid"/>
          <a:miter/>
        </a:ln>
        <a:ln w="12700" cmpd="sng" cap="flat">
          <a:solidFill>
            <a:schemeClr val="phClr"/>
          </a:solidFill>
          <a:prstDash val="solid"/>
          <a:miter/>
        </a:ln>
        <a:ln w="12700" cmpd="sng" cap="flat">
          <a:gradFill rotWithShape="1">
            <a:gsLst>
              <a:gs pos="0">
                <a:schemeClr val="phClr">
                  <a:hueOff val="-4200000"/>
                </a:schemeClr>
              </a:gs>
              <a:gs pos="100000">
                <a:schemeClr val="phClr"/>
              </a:gs>
            </a:gsLst>
            <a:lin ang="2700000" scaled="1"/>
          </a:gradFill>
          <a:prstDash val="solid"/>
          <a:miter/>
        </a:ln>
      </a:lnStyleLst>
      <a:effectStyleLst>
        <a:effectStyle>
          <a:effectLst>
            <a:outerShdw sx="100000" sy="100000" algn="ctr" rotWithShape="0" blurRad="101600" dist="50800" dir="5400000">
              <a:schemeClr val="phClr">
                <a:alpha val="60000"/>
              </a:schemeClr>
            </a:outerShdw>
          </a:effectLst>
        </a:effectStyle>
        <a:effectStyle>
          <a:effectLst>
            <a:reflection stA="50000" endA="300" endPos="40000" dist="25400" dir="5400000" sy="-100000" algn="bl" rotWithShape="0"/>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26650 1 1 1 1 1"/>
    <sectPr/>
  </customProps>
</customData>
</file>

<file path=customXml/itemProps1.xml><?xml version="1.0" encoding="utf-8"?>
<ds:datastoreItem xmlns:ds="http://schemas.openxmlformats.org/officeDocument/2006/customXml" ds:itemID="{5ADA6342-EDF1-4688-9BD3-F48EC54102F3}">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32</TotalTime>
  <Application>WPS_Yozo_Office9.0.6461.191ZH.S1</Application>
  <Pages>6</Pages>
  <Words>0</Words>
  <Characters>1271</Characters>
  <Lines>0</Lines>
  <Paragraphs>21</Paragraphs>
  <CharactersWithSpaces>1695</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宣纸墨痕</dc:creator>
  <cp:lastModifiedBy>huawei</cp:lastModifiedBy>
  <cp:revision>1</cp:revision>
  <dcterms:created xsi:type="dcterms:W3CDTF">2024-01-03T02:34:00Z</dcterms:created>
  <dcterms:modified xsi:type="dcterms:W3CDTF">2026-01-26T07:08:50Z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2052-12.1.0.19302</vt:lpwstr>
  </property>
  <property fmtid="{D5CDD505-2E9C-101B-9397-08002B2CF9AE}" pid="3" name="ICV">
    <vt:lpwstr>65601F8DB83147A69BB32F02EDF213F1_13</vt:lpwstr>
  </property>
  <property fmtid="{D5CDD505-2E9C-101B-9397-08002B2CF9AE}" pid="4" name="KSOTemplateDocerSaveRecord">
    <vt:lpwstr>eyJoZGlkIjoiOTRkMTI5MTQ5NDNjMmYwMmZkY2FkNGRkMTQ3MzRmZWMiLCJ1c2VySWQiOiIxOTc4MjY5MTUifQ==</vt:lpwstr>
  </property>
</Properties>
</file>