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spacing w:line="540" w:lineRule="exact"/>
        <w:jc w:val="center"/>
        <w:rPr>
          <w:rFonts w:ascii="方正小标宋简体" w:eastAsia="方正小标宋简体" w:cs="宋体" w:hAnsi="宋体" w:hint="eastAsia"/>
          <w:bCs/>
          <w:sz w:val="44"/>
          <w:szCs w:val="44"/>
        </w:rPr>
      </w:pPr>
    </w:p>
    <w:p>
      <w:pPr>
        <w:spacing w:line="540" w:lineRule="exact"/>
        <w:jc w:val="center"/>
        <w:rPr>
          <w:rFonts w:ascii="方正小标宋简体" w:eastAsia="方正小标宋简体" w:cs="宋体" w:hAnsi="宋体"/>
          <w:bCs/>
          <w:sz w:val="44"/>
          <w:szCs w:val="44"/>
        </w:rPr>
      </w:pPr>
      <w:r>
        <w:rPr>
          <w:rFonts w:ascii="方正小标宋简体" w:eastAsia="方正小标宋简体" w:cs="宋体" w:hAnsi="宋体" w:hint="eastAsia"/>
          <w:bCs/>
          <w:sz w:val="44"/>
          <w:szCs w:val="44"/>
        </w:rPr>
        <w:t>行唐县</w:t>
      </w:r>
      <w:r>
        <w:rPr>
          <w:rFonts w:ascii="方正小标宋简体" w:eastAsia="方正小标宋简体" w:cs="宋体" w:hAnsi="宋体" w:hint="eastAsia"/>
          <w:bCs/>
          <w:sz w:val="44"/>
          <w:szCs w:val="44"/>
          <w:lang w:val="en-US" w:eastAsia="zh-CN"/>
        </w:rPr>
        <w:t>统计局</w:t>
      </w:r>
    </w:p>
    <w:p>
      <w:pPr>
        <w:spacing w:line="540" w:lineRule="exact"/>
        <w:jc w:val="center"/>
        <w:rPr>
          <w:rFonts w:ascii="方正小标宋简体" w:eastAsia="方正小标宋简体" w:cs="宋体" w:hAnsi="宋体"/>
          <w:bCs/>
          <w:sz w:val="44"/>
          <w:szCs w:val="44"/>
        </w:rPr>
      </w:pPr>
      <w:r>
        <w:rPr>
          <w:rFonts w:ascii="方正小标宋简体" w:eastAsia="方正小标宋简体" w:cs="宋体" w:hAnsi="宋体" w:hint="eastAsia"/>
          <w:bCs/>
          <w:sz w:val="44"/>
          <w:szCs w:val="44"/>
        </w:rPr>
        <w:t>20</w:t>
      </w:r>
      <w:r>
        <w:rPr>
          <w:rFonts w:ascii="方正小标宋简体" w:eastAsia="方正小标宋简体" w:cs="宋体" w:hAnsi="宋体" w:hint="eastAsia"/>
          <w:bCs/>
          <w:sz w:val="44"/>
          <w:szCs w:val="44"/>
          <w:lang w:val="en-US" w:eastAsia="zh-CN"/>
        </w:rPr>
        <w:t>2</w:t>
      </w:r>
      <w:r>
        <w:rPr>
          <w:rFonts w:ascii="方正小标宋简体" w:eastAsia="方正小标宋简体" w:cs="宋体" w:hAnsi="宋体"/>
          <w:bCs/>
          <w:sz w:val="44"/>
          <w:szCs w:val="44"/>
          <w:lang w:val="en-US" w:eastAsia="zh-CN"/>
        </w:rPr>
        <w:t>5</w:t>
      </w:r>
      <w:r>
        <w:rPr>
          <w:rFonts w:ascii="方正小标宋简体" w:eastAsia="方正小标宋简体" w:cs="宋体" w:hAnsi="宋体" w:hint="eastAsia"/>
          <w:bCs/>
          <w:sz w:val="44"/>
          <w:szCs w:val="44"/>
        </w:rPr>
        <w:t>年度</w:t>
      </w:r>
      <w:r>
        <w:rPr>
          <w:rFonts w:ascii="方正小标宋简体" w:eastAsia="方正小标宋简体" w:cs="宋体" w:hAnsi="宋体" w:hint="eastAsia"/>
          <w:bCs/>
          <w:sz w:val="44"/>
          <w:szCs w:val="44"/>
          <w:lang w:val="en-US" w:eastAsia="zh-CN"/>
        </w:rPr>
        <w:t>政府</w:t>
      </w:r>
      <w:r>
        <w:rPr>
          <w:rFonts w:ascii="方正小标宋简体" w:eastAsia="方正小标宋简体" w:cs="宋体" w:hAnsi="宋体" w:hint="eastAsia"/>
          <w:bCs/>
          <w:sz w:val="44"/>
          <w:szCs w:val="44"/>
        </w:rPr>
        <w:t>信息公开工作报告</w:t>
      </w:r>
    </w:p>
    <w:p>
      <w:pPr>
        <w:spacing w:line="540" w:lineRule="exact"/>
        <w:rPr>
          <w:rFonts w:ascii="仿宋" w:eastAsia="仿宋" w:hAnsi="仿宋"/>
          <w:sz w:val="32"/>
          <w:szCs w:val="32"/>
        </w:rPr>
      </w:pPr>
    </w:p>
    <w:p>
      <w:pPr>
        <w:pStyle w:val="1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Chars="200" w:firstLine="640"/>
        <w:jc w:val="both"/>
        <w:textAlignment w:val="auto"/>
        <w:rPr>
          <w:rFonts w:ascii="黑体" w:eastAsia="黑体" w:cs="黑体" w:hAnsi="黑体"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color w:val="000000"/>
          <w:sz w:val="32"/>
          <w:szCs w:val="32"/>
        </w:rPr>
        <w:t>一、总体情况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今年以来，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县统计局</w:t>
      </w:r>
      <w:r>
        <w:rPr>
          <w:rFonts w:ascii="仿宋_GB2312" w:eastAsia="仿宋_GB2312" w:hint="eastAsia"/>
          <w:sz w:val="32"/>
          <w:szCs w:val="32"/>
        </w:rPr>
        <w:t>聚焦政府信息公开工作主题主线，认真贯彻落实《中华人民共和国政府信息公开条例》，紧紧围绕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全县经济发展战略</w:t>
      </w:r>
      <w:r>
        <w:rPr>
          <w:rFonts w:ascii="仿宋_GB2312" w:eastAsia="仿宋_GB2312" w:hint="eastAsia"/>
          <w:sz w:val="32"/>
          <w:szCs w:val="32"/>
        </w:rPr>
        <w:t>，深入贯彻落实《石家庄市2019年政务公开工作要点》要求，严格做好主动公开、依申请公开、政府信息管理等方面的工作，现将有关情况汇报如下。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楷体_GB2312" w:eastAsia="楷体_GB2312" w:hAnsi="黑体"/>
          <w:sz w:val="32"/>
          <w:szCs w:val="32"/>
        </w:rPr>
      </w:pPr>
      <w:r>
        <w:rPr>
          <w:rFonts w:ascii="楷体_GB2312" w:eastAsia="楷体_GB2312" w:hAnsi="黑体" w:hint="eastAsia"/>
          <w:sz w:val="32"/>
          <w:szCs w:val="32"/>
        </w:rPr>
        <w:t>（一）主动公开方面。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公开了行唐县</w:t>
      </w:r>
      <w:r>
        <w:rPr>
          <w:rFonts w:ascii="仿宋_GB2312" w:eastAsia="仿宋_GB2312" w:hint="eastAsia"/>
          <w:sz w:val="32"/>
          <w:szCs w:val="32"/>
          <w:lang w:val="en-US" w:eastAsia="zh-CN"/>
        </w:rPr>
        <w:t>统计局</w:t>
      </w:r>
      <w:r>
        <w:rPr>
          <w:rFonts w:ascii="仿宋_GB2312" w:eastAsia="仿宋_GB2312" w:hint="eastAsia"/>
          <w:sz w:val="32"/>
          <w:szCs w:val="32"/>
        </w:rPr>
        <w:t>办公室机关职能、机构设置、办公地址、办公时间、联系方式、负责人姓名</w:t>
      </w:r>
      <w:r>
        <w:rPr>
          <w:rFonts w:ascii="仿宋_GB2312" w:eastAsia="仿宋_GB2312" w:hint="eastAsia"/>
          <w:sz w:val="32"/>
          <w:szCs w:val="32"/>
          <w:lang w:eastAsia="zh-CN"/>
        </w:rPr>
        <w:t>，</w:t>
      </w:r>
      <w:r>
        <w:rPr>
          <w:rFonts w:ascii="仿宋_GB2312" w:eastAsia="仿宋_GB2312" w:hint="eastAsia"/>
          <w:sz w:val="32"/>
          <w:szCs w:val="32"/>
        </w:rPr>
        <w:t>公开了本单位财政预算、决算信息。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楷体_GB2312" w:eastAsia="楷体_GB2312" w:hAnsi="黑体"/>
          <w:sz w:val="32"/>
          <w:szCs w:val="32"/>
        </w:rPr>
      </w:pPr>
      <w:r>
        <w:rPr>
          <w:rFonts w:ascii="楷体_GB2312" w:eastAsia="楷体_GB2312" w:hAnsi="黑体" w:hint="eastAsia"/>
          <w:sz w:val="32"/>
          <w:szCs w:val="32"/>
        </w:rPr>
        <w:t>（二）依申请公开方面。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仿宋_GB2312" w:eastAsia="仿宋_GB2312" w:cs="仿宋_GB2312" w:hAnsi="仿宋_GB2312" w:hint="eastAsia"/>
          <w:sz w:val="32"/>
          <w:szCs w:val="32"/>
        </w:rPr>
      </w:pPr>
      <w:r>
        <w:rPr>
          <w:rFonts w:ascii="仿宋_GB2312" w:eastAsia="仿宋_GB2312" w:cs="仿宋_GB2312" w:hAnsi="仿宋_GB2312" w:hint="eastAsia"/>
          <w:sz w:val="32"/>
          <w:szCs w:val="32"/>
        </w:rPr>
        <w:t>　本年度未收到政府信息公开申请。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楷体_GB2312" w:eastAsia="楷体_GB2312" w:hAnsi="黑体"/>
          <w:sz w:val="32"/>
          <w:szCs w:val="32"/>
        </w:rPr>
      </w:pPr>
      <w:r>
        <w:rPr>
          <w:rFonts w:ascii="楷体_GB2312" w:eastAsia="楷体_GB2312" w:hAnsi="黑体" w:hint="eastAsia"/>
          <w:sz w:val="32"/>
          <w:szCs w:val="32"/>
        </w:rPr>
        <w:t>（三）政府信息管理方面。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Chars="200" w:firstLine="640"/>
        <w:textAlignment w:val="auto"/>
        <w:rPr>
          <w:rFonts w:ascii="黑体" w:eastAsia="仿宋_GB2312" w:hAnsi="黑体"/>
          <w:sz w:val="32"/>
          <w:szCs w:val="32"/>
          <w:lang w:val="en-US" w:eastAsia="zh-CN"/>
        </w:rPr>
      </w:pP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5</w:t>
      </w:r>
      <w:r>
        <w:rPr>
          <w:rFonts w:ascii="仿宋_GB2312" w:eastAsia="仿宋_GB2312" w:cs="仿宋_GB2312" w:hAnsi="仿宋_GB2312" w:hint="eastAsia"/>
          <w:sz w:val="32"/>
          <w:szCs w:val="32"/>
          <w:lang w:val="en-US" w:eastAsia="zh-CN"/>
        </w:rPr>
        <w:t>年公开发布了行唐县统计局“双随机、一公开”执法检查工作方案、培训工作计划、执法文书清单等有关内容。公开发布《行唐县统计行政执法全过程记录实施办法》。</w:t>
      </w:r>
      <w:r>
        <w:rPr>
          <w:rFonts w:ascii="仿宋_GB2312" w:eastAsia="仿宋_GB2312" w:cs="仿宋_GB2312" w:hAnsi="仿宋_GB2312"/>
          <w:sz w:val="32"/>
          <w:szCs w:val="32"/>
          <w:lang w:val="en-US" w:eastAsia="zh-CN"/>
        </w:rPr>
        <w:t>公开发布《行唐县2024年国民经济和社会发展统计公报》。</w:t>
      </w:r>
      <w:bookmarkStart w:id="0" w:name="_GoBack"/>
      <w:bookmarkEnd w:id="0"/>
    </w:p>
    <w:p>
      <w:pPr>
        <w:pStyle w:val="19"/>
        <w:widowControl/>
        <w:numPr>
          <w:ilvl w:val="0"/>
          <w:numId w:val="1"/>
        </w:numPr>
        <w:spacing w:beforeAutospacing="0" w:after="192" w:afterAutospacing="0" w:line="540" w:lineRule="exact"/>
        <w:ind w:left="0" w:firstLine="420"/>
        <w:jc w:val="both"/>
        <w:rPr>
          <w:rFonts w:ascii="黑体" w:eastAsia="黑体" w:cs="黑体" w:hAnsi="黑体" w:hint="eastAsia"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color w:val="000000"/>
          <w:sz w:val="32"/>
          <w:szCs w:val="32"/>
        </w:rPr>
        <w:t>主动公开政</w:t>
      </w:r>
      <w:r>
        <w:rPr>
          <w:rFonts w:ascii="黑体" w:eastAsia="黑体" w:cs="黑体" w:hAnsi="黑体" w:hint="eastAsia"/>
          <w:color w:val="000000"/>
          <w:sz w:val="32"/>
          <w:szCs w:val="32"/>
          <w:lang w:val="en-US" w:eastAsia="zh-CN"/>
        </w:rPr>
        <w:t>务</w:t>
      </w:r>
      <w:r>
        <w:rPr>
          <w:rFonts w:ascii="黑体" w:eastAsia="黑体" w:cs="黑体" w:hAnsi="黑体" w:hint="eastAsia"/>
          <w:color w:val="000000"/>
          <w:sz w:val="32"/>
          <w:szCs w:val="32"/>
        </w:rPr>
        <w:t>信息情况</w:t>
      </w:r>
    </w:p>
    <w:tbl>
      <w:tblPr>
        <w:jc w:val="center"/>
        <w:tblW w:w="81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608"/>
        <w:gridCol w:w="1995"/>
        <w:gridCol w:w="1656"/>
        <w:gridCol w:w="1881"/>
      </w:tblGrid>
      <w:tr>
        <w:trPr>
          <w:trHeight w:val="495"/>
        </w:trPr>
        <w:tc>
          <w:tcPr>
            <w:tcW w:w="81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540" w:lineRule="exact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第二十条第（一）项</w:t>
            </w:r>
          </w:p>
        </w:tc>
      </w:tr>
      <w:tr>
        <w:trPr>
          <w:trHeight w:val="90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信息内容</w:t>
            </w:r>
          </w:p>
        </w:tc>
        <w:tc>
          <w:tcPr>
            <w:tcW w:w="19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本年</w:t>
            </w: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制发件数</w:t>
            </w:r>
          </w:p>
        </w:tc>
        <w:tc>
          <w:tcPr>
            <w:tcW w:w="16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本年</w:t>
            </w: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废止件数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现行有效件数</w:t>
            </w:r>
          </w:p>
        </w:tc>
      </w:tr>
      <w:tr>
        <w:trPr>
          <w:trHeight w:val="343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规章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sz w:val="24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rPr>
          <w:trHeight w:val="306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行政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规范性文件</w:t>
            </w:r>
          </w:p>
        </w:tc>
        <w:tc>
          <w:tcPr>
            <w:tcW w:w="19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16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rPr>
          <w:trHeight w:val="480"/>
        </w:trPr>
        <w:tc>
          <w:tcPr>
            <w:tcW w:w="81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第二十条第（五）项</w:t>
            </w:r>
          </w:p>
        </w:tc>
      </w:tr>
      <w:tr>
        <w:trPr>
          <w:trHeight w:val="364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信息内容</w:t>
            </w:r>
          </w:p>
        </w:tc>
        <w:tc>
          <w:tcPr>
            <w:tcW w:w="55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本年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处理决定数量</w:t>
            </w:r>
          </w:p>
        </w:tc>
      </w:tr>
      <w:tr>
        <w:trPr>
          <w:trHeight w:val="360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行政许可</w:t>
            </w:r>
          </w:p>
        </w:tc>
        <w:tc>
          <w:tcPr>
            <w:tcW w:w="55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sz w:val="24"/>
                <w:lang w:val="en-US" w:eastAsia="zh-CN"/>
              </w:rPr>
              <w:t>0</w:t>
            </w:r>
          </w:p>
        </w:tc>
      </w:tr>
      <w:tr>
        <w:trPr>
          <w:trHeight w:val="406"/>
        </w:trPr>
        <w:tc>
          <w:tcPr>
            <w:tcW w:w="81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第二十条第（六）项</w:t>
            </w:r>
          </w:p>
        </w:tc>
      </w:tr>
      <w:tr>
        <w:trPr>
          <w:trHeight w:val="364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信息内容</w:t>
            </w:r>
          </w:p>
        </w:tc>
        <w:tc>
          <w:tcPr>
            <w:tcW w:w="553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本年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处理决定数量</w:t>
            </w:r>
          </w:p>
        </w:tc>
      </w:tr>
      <w:tr>
        <w:trPr>
          <w:trHeight w:val="280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行政处罚</w:t>
            </w:r>
          </w:p>
        </w:tc>
        <w:tc>
          <w:tcPr>
            <w:tcW w:w="55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</w:tr>
      <w:tr>
        <w:trPr>
          <w:trHeight w:val="364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行政强制</w:t>
            </w:r>
          </w:p>
        </w:tc>
        <w:tc>
          <w:tcPr>
            <w:tcW w:w="55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</w:tr>
      <w:tr>
        <w:trPr>
          <w:trHeight w:val="384"/>
        </w:trPr>
        <w:tc>
          <w:tcPr>
            <w:tcW w:w="81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第二十条第（八）项</w:t>
            </w:r>
          </w:p>
        </w:tc>
      </w:tr>
      <w:tr>
        <w:trPr>
          <w:trHeight w:val="270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信息内容</w:t>
            </w:r>
          </w:p>
        </w:tc>
        <w:tc>
          <w:tcPr>
            <w:tcW w:w="55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本年</w:t>
            </w: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收费金额（单位：万元）</w:t>
            </w:r>
          </w:p>
        </w:tc>
      </w:tr>
      <w:tr>
        <w:trPr>
          <w:trHeight w:val="391"/>
        </w:trPr>
        <w:tc>
          <w:tcPr>
            <w:tcW w:w="26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行政事业性收费</w:t>
            </w:r>
          </w:p>
        </w:tc>
        <w:tc>
          <w:tcPr>
            <w:tcW w:w="553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sz w:val="24"/>
                <w:lang w:val="en-US" w:eastAsia="zh-CN"/>
              </w:rPr>
              <w:t>0</w:t>
            </w:r>
          </w:p>
        </w:tc>
      </w:tr>
    </w:tbl>
    <w:p>
      <w:pPr>
        <w:pStyle w:val="19"/>
        <w:widowControl/>
        <w:spacing w:beforeAutospacing="0" w:afterAutospacing="0" w:line="540" w:lineRule="exact"/>
        <w:jc w:val="both"/>
        <w:rPr>
          <w:rFonts w:ascii="仿宋" w:eastAsia="仿宋" w:cs="仿宋" w:hAnsi="仿宋"/>
          <w:sz w:val="32"/>
          <w:szCs w:val="32"/>
        </w:rPr>
      </w:pPr>
    </w:p>
    <w:p>
      <w:pPr>
        <w:pStyle w:val="19"/>
        <w:widowControl/>
        <w:spacing w:beforeAutospacing="0" w:after="192" w:afterAutospacing="0" w:line="540" w:lineRule="exact"/>
        <w:ind w:firstLine="420"/>
        <w:jc w:val="both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三、收到和处理政府信息公开申请情况</w:t>
      </w:r>
    </w:p>
    <w:tbl>
      <w:tblPr>
        <w:jc w:val="center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c>
          <w:tcPr>
            <w:tcW w:w="393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申请人情况</w:t>
            </w:r>
          </w:p>
        </w:tc>
      </w:tr>
      <w:t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77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总计</w:t>
            </w:r>
          </w:p>
        </w:tc>
      </w:tr>
      <w:tr>
        <w:tc>
          <w:tcPr>
            <w:tcW w:w="393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77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科研机构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社会公益组织</w:t>
            </w:r>
          </w:p>
        </w:tc>
        <w:tc>
          <w:tcPr>
            <w:tcW w:w="9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法律服务机构</w:t>
            </w:r>
          </w:p>
        </w:tc>
        <w:tc>
          <w:tcPr>
            <w:tcW w:w="68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其他</w:t>
            </w:r>
          </w:p>
        </w:tc>
        <w:tc>
          <w:tcPr>
            <w:tcW w:w="543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</w:tr>
      <w:t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 xml:space="preserve"> </w:t>
            </w: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 xml:space="preserve">  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 xml:space="preserve">  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</w:tr>
      <w:t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 xml:space="preserve"> 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</w:t>
            </w:r>
          </w:p>
        </w:tc>
      </w:tr>
      <w:tr>
        <w:tc>
          <w:tcPr>
            <w:tcW w:w="85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 0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eastAsia="zh-CN"/>
              </w:rPr>
            </w:pPr>
            <w:r>
              <w:rPr>
                <w:rFonts w:ascii="宋体" w:eastAsia="仿宋" w:cs="宋体" w:hAnsi="宋体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eastAsia="zh-CN"/>
              </w:rPr>
            </w:pPr>
            <w:r>
              <w:rPr>
                <w:rFonts w:ascii="仿宋" w:eastAsia="仿宋" w:cs="仿宋" w:hAnsi="仿宋" w:hint="eastAsia"/>
                <w:sz w:val="24"/>
                <w:lang w:val="en-US" w:eastAsia="zh-CN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eastAsia="zh-CN"/>
              </w:rPr>
            </w:pPr>
            <w:r>
              <w:rPr>
                <w:rFonts w:ascii="仿宋" w:eastAsia="仿宋" w:cs="仿宋" w:hAnsi="仿宋" w:hint="eastAsia"/>
                <w:sz w:val="24"/>
                <w:lang w:val="en-US" w:eastAsia="zh-CN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rPr>
          <w:trHeight w:val="540"/>
        </w:trP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 w:val="restart"/>
            <w:tcBorders>
              <w:top w:val="nil"/>
              <w:left w:val="nil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（六）其他处理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  <w:tr>
        <w:trPr>
          <w:trHeight w:val="540"/>
        </w:trPr>
        <w:tc>
          <w:tcPr>
            <w:tcW w:w="856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176" w:type="dxa"/>
            <w:vMerge/>
            <w:tcBorders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19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</w:tr>
      <w:tr>
        <w:tc>
          <w:tcPr>
            <w:tcW w:w="85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3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  <w:lang w:val="en-US" w:eastAsia="zh-CN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 w:hint="eastAsia"/>
                <w:sz w:val="24"/>
                <w:lang w:eastAsia="zh-CN"/>
              </w:rPr>
            </w:pPr>
            <w:r>
              <w:rPr>
                <w:rFonts w:ascii="仿宋" w:eastAsia="仿宋" w:cs="仿宋" w:hAnsi="仿宋" w:hint="eastAsia"/>
                <w:sz w:val="24"/>
                <w:lang w:val="en-US" w:eastAsia="zh-CN"/>
              </w:rPr>
              <w:t>0</w:t>
            </w:r>
          </w:p>
        </w:tc>
      </w:tr>
      <w:tr>
        <w:tc>
          <w:tcPr>
            <w:tcW w:w="393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left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</w:tbl>
    <w:p>
      <w:pPr>
        <w:pStyle w:val="19"/>
        <w:widowControl/>
        <w:spacing w:beforeAutospacing="0" w:afterAutospacing="0" w:line="540" w:lineRule="exact"/>
        <w:ind w:firstLine="420"/>
        <w:jc w:val="both"/>
        <w:rPr>
          <w:rFonts w:ascii="黑体" w:eastAsia="黑体" w:cs="黑体" w:hAnsi="黑体" w:hint="eastAsia"/>
          <w:sz w:val="32"/>
          <w:szCs w:val="32"/>
        </w:rPr>
      </w:pPr>
    </w:p>
    <w:p>
      <w:pPr>
        <w:pStyle w:val="19"/>
        <w:widowControl/>
        <w:spacing w:beforeAutospacing="0" w:afterAutospacing="0" w:line="540" w:lineRule="exact"/>
        <w:ind w:firstLine="420"/>
        <w:jc w:val="both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四、政</w:t>
      </w:r>
      <w:r>
        <w:rPr>
          <w:rFonts w:ascii="黑体" w:eastAsia="黑体" w:cs="黑体" w:hAnsi="黑体" w:hint="eastAsia"/>
          <w:sz w:val="32"/>
          <w:szCs w:val="32"/>
          <w:lang w:val="en-US" w:eastAsia="zh-CN"/>
        </w:rPr>
        <w:t>府</w:t>
      </w:r>
      <w:r>
        <w:rPr>
          <w:rFonts w:ascii="黑体" w:eastAsia="黑体" w:cs="黑体" w:hAnsi="黑体" w:hint="eastAsia"/>
          <w:sz w:val="32"/>
          <w:szCs w:val="32"/>
        </w:rPr>
        <w:t>信息公开行政复议、行政诉讼情况</w:t>
      </w:r>
    </w:p>
    <w:p>
      <w:pPr>
        <w:pStyle w:val="19"/>
        <w:widowControl/>
        <w:spacing w:beforeAutospacing="0" w:afterAutospacing="0" w:line="540" w:lineRule="exact"/>
        <w:ind w:firstLine="420"/>
        <w:jc w:val="both"/>
        <w:rPr>
          <w:rFonts w:ascii="仿宋" w:eastAsia="仿宋" w:cs="仿宋" w:hAnsi="仿宋"/>
          <w:sz w:val="32"/>
          <w:szCs w:val="32"/>
        </w:rPr>
      </w:pPr>
    </w:p>
    <w:tbl>
      <w:tblPr>
        <w:jc w:val="center"/>
        <w:tblW w:w="907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outset" w:sz="6" w:space="0" w:color="auto"/>
          <w:insideV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行政诉讼</w:t>
            </w:r>
          </w:p>
        </w:tc>
      </w:tr>
      <w:t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复议后起诉</w:t>
            </w:r>
          </w:p>
        </w:tc>
      </w:tr>
      <w:t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/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其他结果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其他结果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总计</w:t>
            </w:r>
          </w:p>
        </w:tc>
      </w:tr>
      <w:t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ascii="仿宋" w:eastAsia="仿宋" w:cs="仿宋" w:hAnsi="仿宋"/>
                <w:sz w:val="24"/>
              </w:rPr>
            </w:pPr>
            <w:r>
              <w:rPr>
                <w:rFonts w:ascii="宋体" w:cs="宋体" w:hAnsi="宋体" w:hint="eastAsia"/>
                <w:kern w:val="0"/>
                <w:sz w:val="24"/>
              </w:rPr>
              <w:t> </w:t>
            </w:r>
            <w:r>
              <w:rPr>
                <w:rFonts w:ascii="仿宋" w:eastAsia="仿宋" w:cs="仿宋" w:hAnsi="仿宋" w:hint="eastAsia"/>
                <w:kern w:val="0"/>
                <w:sz w:val="24"/>
              </w:rPr>
              <w:t>0</w:t>
            </w:r>
          </w:p>
        </w:tc>
      </w:tr>
    </w:tbl>
    <w:p>
      <w:pPr>
        <w:widowControl/>
        <w:spacing w:after="120" w:line="540" w:lineRule="exact"/>
        <w:jc w:val="center"/>
        <w:rPr>
          <w:rFonts w:ascii="仿宋" w:eastAsia="仿宋" w:cs="仿宋" w:hAnsi="仿宋"/>
          <w:sz w:val="32"/>
          <w:szCs w:val="32"/>
        </w:rPr>
      </w:pPr>
    </w:p>
    <w:p>
      <w:pPr>
        <w:pStyle w:val="1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Chars="200" w:firstLine="640"/>
        <w:jc w:val="both"/>
        <w:textAlignment w:val="auto"/>
        <w:rPr>
          <w:rFonts w:ascii="黑体" w:eastAsia="黑体" w:cs="黑体" w:hAnsi="黑体"/>
          <w:color w:val="000000"/>
          <w:sz w:val="32"/>
          <w:szCs w:val="32"/>
        </w:rPr>
      </w:pPr>
      <w:r>
        <w:rPr>
          <w:rFonts w:ascii="黑体" w:eastAsia="黑体" w:cs="黑体" w:hAnsi="黑体" w:hint="eastAsia"/>
          <w:color w:val="000000"/>
          <w:sz w:val="32"/>
          <w:szCs w:val="32"/>
        </w:rPr>
        <w:t>五、存在的主要问题及改进情况</w:t>
      </w:r>
    </w:p>
    <w:p>
      <w:pPr>
        <w:pStyle w:val="1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Chars="200" w:firstLine="640"/>
        <w:jc w:val="both"/>
        <w:textAlignment w:val="auto"/>
        <w:rPr>
          <w:rFonts w:ascii="楷体_GB2312" w:eastAsia="楷体_GB2312" w:hAnsi="黑体" w:hint="eastAsia"/>
          <w:sz w:val="32"/>
          <w:szCs w:val="32"/>
        </w:rPr>
      </w:pPr>
      <w:r>
        <w:rPr>
          <w:rFonts w:ascii="仿宋_GB2312" w:eastAsia="仿宋_GB2312" w:hAnsi="黑体" w:hint="eastAsia"/>
          <w:sz w:val="32"/>
          <w:szCs w:val="32"/>
        </w:rPr>
        <w:t>目前，我局政府信息公开工作存在的主要问题是，一是信息公开的内容有待进一步完善，二是信息更新还不够及时。</w:t>
      </w:r>
      <w:r>
        <w:rPr>
          <w:rFonts w:ascii="仿宋_GB2312" w:eastAsia="仿宋_GB2312" w:hAnsi="黑体" w:hint="eastAsia"/>
          <w:sz w:val="32"/>
          <w:szCs w:val="32"/>
          <w:lang w:val="en-US" w:eastAsia="zh-CN"/>
        </w:rPr>
        <w:t>今后工作中。</w:t>
      </w:r>
      <w:r>
        <w:rPr>
          <w:rFonts w:ascii="仿宋_GB2312" w:eastAsia="仿宋_GB2312" w:hAnsi="黑体" w:hint="eastAsia"/>
          <w:sz w:val="32"/>
          <w:szCs w:val="32"/>
        </w:rPr>
        <w:t>不断完善政府信息公开的内容，及时更新政府信息;主动及时向社会公开可以公开的信息，以确保政府信息公开的完整性、全面性和及时性。</w:t>
      </w:r>
    </w:p>
    <w:p>
      <w:pPr>
        <w:pStyle w:val="19"/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Chars="200" w:firstLine="640"/>
        <w:jc w:val="both"/>
        <w:textAlignment w:val="auto"/>
        <w:rPr>
          <w:rFonts w:ascii="仿宋_GB2312" w:eastAsia="仿宋_GB2312" w:hAnsi="黑体" w:hint="eastAsia"/>
          <w:b/>
          <w:bCs/>
          <w:sz w:val="32"/>
          <w:szCs w:val="32"/>
          <w:lang w:val="en-US" w:eastAsia="zh-CN"/>
        </w:rPr>
      </w:pPr>
      <w:r>
        <w:rPr>
          <w:rFonts w:ascii="仿宋_GB2312" w:eastAsia="仿宋_GB2312" w:hAnsi="黑体" w:hint="eastAsia"/>
          <w:b/>
          <w:bCs/>
          <w:sz w:val="32"/>
          <w:szCs w:val="32"/>
          <w:lang w:val="en-US" w:eastAsia="zh-CN"/>
        </w:rPr>
        <w:t>其他需要报告的事项。</w:t>
      </w:r>
    </w:p>
    <w:p>
      <w:pPr>
        <w:pStyle w:val="1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Chars="200" w:firstLine="640"/>
        <w:jc w:val="both"/>
        <w:textAlignment w:val="auto"/>
        <w:rPr>
          <w:rFonts w:ascii="仿宋_GB2312" w:eastAsia="仿宋_GB2312" w:hAnsi="黑体" w:hint="eastAsia"/>
          <w:sz w:val="32"/>
          <w:szCs w:val="32"/>
          <w:lang w:val="en-US" w:eastAsia="zh-CN"/>
        </w:rPr>
      </w:pPr>
      <w:r>
        <w:rPr>
          <w:rFonts w:ascii="仿宋_GB2312" w:eastAsia="仿宋_GB2312" w:hAnsi="黑体" w:hint="eastAsia"/>
          <w:sz w:val="32"/>
          <w:szCs w:val="32"/>
          <w:lang w:val="en-US" w:eastAsia="zh-CN"/>
        </w:rPr>
        <w:t>无。</w:t>
      </w:r>
    </w:p>
    <w:p>
      <w:pPr>
        <w:pStyle w:val="1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Chars="200" w:firstLine="640"/>
        <w:jc w:val="both"/>
        <w:textAlignment w:val="auto"/>
        <w:rPr>
          <w:rFonts w:ascii="仿宋_GB2312" w:eastAsia="仿宋_GB2312" w:hAnsi="黑体" w:hint="eastAsia"/>
          <w:sz w:val="32"/>
          <w:szCs w:val="32"/>
          <w:lang w:val="en-US" w:eastAsia="zh-CN"/>
        </w:rPr>
      </w:pPr>
    </w:p>
    <w:p>
      <w:pPr>
        <w:pStyle w:val="1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Chars="200" w:firstLine="640"/>
        <w:jc w:val="both"/>
        <w:textAlignment w:val="auto"/>
        <w:rPr>
          <w:rFonts w:ascii="仿宋_GB2312" w:eastAsia="仿宋_GB2312" w:hAnsi="黑体" w:hint="eastAsia"/>
          <w:sz w:val="32"/>
          <w:szCs w:val="32"/>
          <w:lang w:val="en-US" w:eastAsia="zh-CN"/>
        </w:rPr>
      </w:pPr>
    </w:p>
    <w:p>
      <w:pPr>
        <w:pStyle w:val="19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0" w:firstLineChars="200" w:firstLine="640"/>
        <w:jc w:val="right"/>
        <w:textAlignment w:val="auto"/>
        <w:rPr>
          <w:rFonts w:ascii="仿宋_GB2312" w:eastAsia="仿宋_GB2312" w:hAnsi="黑体"/>
          <w:sz w:val="32"/>
          <w:szCs w:val="32"/>
          <w:lang w:val="en-US" w:eastAsia="zh-CN"/>
        </w:rPr>
      </w:pPr>
      <w:r>
        <w:rPr>
          <w:rFonts w:ascii="仿宋_GB2312" w:eastAsia="仿宋_GB2312" w:hAnsi="黑体" w:hint="eastAsia"/>
          <w:sz w:val="32"/>
          <w:szCs w:val="32"/>
          <w:lang w:val="en-US" w:eastAsia="zh-CN"/>
        </w:rPr>
        <w:t>202</w:t>
      </w:r>
      <w:r>
        <w:rPr>
          <w:rFonts w:ascii="仿宋_GB2312" w:eastAsia="仿宋_GB2312" w:hAnsi="黑体"/>
          <w:sz w:val="32"/>
          <w:szCs w:val="32"/>
          <w:lang w:val="en-US" w:eastAsia="zh-CN"/>
        </w:rPr>
        <w:t>6</w:t>
      </w:r>
      <w:r>
        <w:rPr>
          <w:rFonts w:ascii="仿宋_GB2312" w:eastAsia="仿宋_GB2312" w:hAnsi="黑体" w:hint="eastAsia"/>
          <w:sz w:val="32"/>
          <w:szCs w:val="32"/>
          <w:lang w:val="en-US" w:eastAsia="zh-CN"/>
        </w:rPr>
        <w:t>.1.</w:t>
      </w:r>
      <w:r>
        <w:rPr>
          <w:rFonts w:ascii="仿宋_GB2312" w:eastAsia="仿宋_GB2312" w:hAnsi="黑体"/>
          <w:sz w:val="32"/>
          <w:szCs w:val="32"/>
          <w:lang w:val="en-US" w:eastAsia="zh-CN"/>
        </w:rPr>
        <w:t>26</w:t>
      </w:r>
    </w:p>
    <w:sectPr>
      <w:footerReference w:type="default" r:id="rId2"/>
      <w:pgSz w:w="11906" w:h="16838"/>
      <w:pgMar w:top="1440" w:right="1800" w:bottom="1440" w:left="1800" w:header="851" w:footer="992" w:gutter="0"/>
      <w:pgNumType w:fmt="numberInDash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203" w:usb1="288F0000" w:usb2="00000006" w:usb3="00000000" w:csb0="00040001" w:csb1="00000000"/>
  </w:font>
  <w:font w:name="方正小标宋简体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id w:val="2110681143"/>
    </w:sdtPr>
    <w:sdtEndPr>
      <w:rPr>
        <w:rFonts w:ascii="宋体" w:eastAsia="宋体"/>
        <w:sz w:val="28"/>
        <w:szCs w:val="28"/>
      </w:rPr>
    </w:sdtEndPr>
    <w:sdtContent>
      <w:p>
        <w:pPr>
          <w:pStyle w:val="17"/>
          <w:tabs>
            <w:tab w:val="center" w:pos="4153"/>
            <w:tab w:val="right" w:pos="8306"/>
          </w:tabs>
          <w:jc w:val="center"/>
          <w:rPr>
            <w:rFonts w:ascii="宋体" w:eastAsia="宋体"/>
            <w:sz w:val="28"/>
            <w:szCs w:val="28"/>
          </w:rPr>
        </w:pPr>
        <w:r>
          <w:rPr>
            <w:rFonts w:ascii="宋体" w:eastAsia="宋体"/>
            <w:sz w:val="28"/>
            <w:szCs w:val="28"/>
          </w:rPr>
          <w:fldChar w:fldCharType="begin"/>
        </w:r>
        <w:r>
          <w:rPr>
            <w:rFonts w:ascii="宋体" w:eastAsia="宋体"/>
            <w:sz w:val="28"/>
            <w:szCs w:val="28"/>
          </w:rPr>
          <w:instrText xml:space="preserve"> PAGE   \* MERGEFORMAT </w:instrText>
        </w:r>
        <w:r>
          <w:rPr>
            <w:rFonts w:ascii="宋体" w:eastAsia="宋体"/>
            <w:sz w:val="28"/>
            <w:szCs w:val="28"/>
          </w:rPr>
          <w:fldChar w:fldCharType="separate"/>
        </w:r>
        <w:r>
          <w:rPr>
            <w:rFonts w:ascii="宋体" w:eastAsia="宋体"/>
            <w:sz w:val="28"/>
            <w:szCs w:val="28"/>
            <w:lang w:val="zh-CN"/>
          </w:rPr>
          <w:t>-</w:t>
        </w:r>
        <w:r>
          <w:rPr>
            <w:rFonts w:ascii="宋体" w:eastAsia="宋体"/>
            <w:sz w:val="28"/>
            <w:szCs w:val="28"/>
          </w:rPr>
          <w:t xml:space="preserve"> 9 -</w:t>
        </w:r>
        <w:r>
          <w:rPr>
            <w:rFonts w:ascii="宋体" w:eastAsia="宋体"/>
            <w:sz w:val="28"/>
            <w:szCs w:val="28"/>
          </w:rPr>
          <w:fldChar w:fldCharType="end"/>
        </w:r>
      </w:p>
    </w:sdtContent>
  </w:sdt>
  <w:p>
    <w:pPr>
      <w:pStyle w:val="17"/>
      <w:tabs>
        <w:tab w:val="center" w:pos="4153"/>
        <w:tab w:val="right" w:pos="8306"/>
      </w:tabs>
    </w:pP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76CAE8F7"/>
    <w:multiLevelType w:val="singleLevel"/>
    <w:tmpl w:val="76CAE8F7"/>
    <w:lvl w:ilvl="0">
      <w:start w:val="2"/>
      <w:numFmt w:val="chineseCounting"/>
      <w:lvlRestart w:val="0"/>
      <w:suff w:val="nothing"/>
      <w:lvlText w:val="%1、"/>
      <w:lvlJc w:val="left"/>
      <w:pPr>
        <w:ind w:left="0" w:hanging="0"/>
      </w:pPr>
      <w:rPr>
        <w:rFonts w:hint="eastAsia"/>
      </w:rPr>
    </w:lvl>
  </w:abstractNum>
  <w:abstractNum w:abstractNumId="1">
    <w:nsid w:val="2DC3EFA5"/>
    <w:multiLevelType w:val="singleLevel"/>
    <w:tmpl w:val="2DC3EFA5"/>
    <w:lvl w:ilvl="0">
      <w:start w:val="6"/>
      <w:numFmt w:val="chineseCounting"/>
      <w:lvlRestart w:val="0"/>
      <w:suff w:val="nothing"/>
      <w:lvlText w:val="%1、"/>
      <w:lvlJc w:val="left"/>
      <w:pPr>
        <w:ind w:left="0" w:hanging="0"/>
      </w:pPr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0"/>
  <w:doNotDisplayPageBoundaries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  <w:docVars>
    <w:docVar w:name="5E157C4000008DF0" w:val=" "/>
    <w:docVar w:name="commondata" w:val="eyJoZGlkIjoiOGIwYTA4NzRiN2YxYjc5MmE3OWE3YWU1NjllZTEwYTAifQ=="/>
  </w:docVars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黑体" w:hAnsi="Calibri"/>
      <w:kern w:val="2"/>
      <w:sz w:val="21"/>
      <w:szCs w:val="22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Date"/>
    <w:basedOn w:val="0"/>
    <w:next w:val="0"/>
    <w:pPr>
      <w:ind w:leftChars="2500" w:left="2500"/>
    </w:pPr>
  </w:style>
  <w:style w:type="paragraph" w:styleId="16">
    <w:name w:val="Balloon Text"/>
    <w:basedOn w:val="0"/>
    <w:rPr>
      <w:sz w:val="18"/>
      <w:szCs w:val="18"/>
    </w:rPr>
  </w:style>
  <w:style w:type="paragraph" w:styleId="17">
    <w:name w:val="footer"/>
    <w:basedOn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8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9">
    <w:name w:val="Normal (Web)"/>
    <w:basedOn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20">
    <w:name w:val="Hyperlink"/>
    <w:basedOn w:val="1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oter" Target="footer1.xml"/><Relationship Id="rId3" Type="http://schemas.openxmlformats.org/officeDocument/2006/relationships/styles" Target="styl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customXml" Target="../customXml/item1.xml"/></Relationships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CD132C5F-D054-440A-B7EA-F3D9F32BF332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24</TotalTime>
  <Application>Yozo_Office27021597764231179</Application>
  <Pages>4</Pages>
  <Words>0</Words>
  <Characters>1433</Characters>
  <Lines>0</Lines>
  <Paragraphs>29</Paragraphs>
  <CharactersWithSpaces>1911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lenovo</dc:creator>
  <cp:lastModifiedBy>Administrator</cp:lastModifiedBy>
  <cp:revision>475</cp:revision>
  <cp:lastPrinted>2024-01-18T02:18:00Z</cp:lastPrinted>
  <dcterms:created xsi:type="dcterms:W3CDTF">2019-12-10T01:44:00Z</dcterms:created>
  <dcterms:modified xsi:type="dcterms:W3CDTF">2026-01-26T03:25:21Z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2052-12.8.2.17149</vt:lpwstr>
  </property>
  <property fmtid="{D5CDD505-2E9C-101B-9397-08002B2CF9AE}" pid="3" name="ICV">
    <vt:lpwstr>321EC83D16C7444C9F25A2584B1791B4_13</vt:lpwstr>
  </property>
</Properties>
</file>