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s="方正小标宋简体" w:hAnsi="方正小标宋简体" w:hint="eastAsia"/>
          <w:color w:val="000000"/>
          <w:sz w:val="44"/>
          <w:szCs w:val="44"/>
          <w:lang w:val="en-US" w:eastAsia="zh-CN"/>
        </w:rPr>
      </w:pPr>
      <w:r>
        <w:rPr>
          <w:rFonts w:ascii="方正小标宋简体" w:eastAsia="方正小标宋简体" w:cs="方正小标宋简体" w:hAnsi="方正小标宋简体" w:hint="eastAsia"/>
          <w:color w:val="000000"/>
          <w:sz w:val="44"/>
          <w:szCs w:val="44"/>
          <w:lang w:val="en-US" w:eastAsia="zh-CN"/>
        </w:rPr>
        <w:t>行唐县文化广电体育和旅游局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s="方正小标宋简体" w:hAnsi="方正小标宋简体"/>
          <w:color w:val="000000"/>
          <w:sz w:val="44"/>
          <w:szCs w:val="44"/>
          <w:lang w:val="en-US" w:eastAsia="zh-CN"/>
        </w:rPr>
      </w:pPr>
      <w:r>
        <w:rPr>
          <w:rFonts w:ascii="方正小标宋简体" w:eastAsia="方正小标宋简体" w:cs="方正小标宋简体" w:hAnsi="方正小标宋简体" w:hint="eastAsia"/>
          <w:color w:val="000000"/>
          <w:sz w:val="44"/>
          <w:szCs w:val="44"/>
          <w:lang w:val="en-US" w:eastAsia="zh-CN"/>
        </w:rPr>
        <w:t>202</w:t>
      </w:r>
      <w:r>
        <w:rPr>
          <w:rFonts w:ascii="方正小标宋简体" w:eastAsia="方正小标宋简体" w:cs="方正小标宋简体" w:hAnsi="方正小标宋简体"/>
          <w:color w:val="000000"/>
          <w:sz w:val="44"/>
          <w:szCs w:val="44"/>
          <w:lang w:val="en-US" w:eastAsia="zh-CN"/>
        </w:rPr>
        <w:t>6</w:t>
      </w:r>
      <w:r>
        <w:rPr>
          <w:rFonts w:ascii="方正小标宋简体" w:eastAsia="方正小标宋简体" w:cs="方正小标宋简体" w:hAnsi="方正小标宋简体" w:hint="eastAsia"/>
          <w:color w:val="000000"/>
          <w:sz w:val="44"/>
          <w:szCs w:val="44"/>
          <w:lang w:val="en-US" w:eastAsia="zh-CN"/>
        </w:rPr>
        <w:t>年度涉企行政检查计划</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eastAsia="方正小标宋简体" w:cs="方正小标宋简体" w:hAnsi="方正小标宋简体" w:hint="eastAsia"/>
          <w:color w:val="000000"/>
          <w:sz w:val="44"/>
          <w:szCs w:val="44"/>
          <w:lang w:val="en-US" w:eastAsia="zh-CN"/>
        </w:rPr>
      </w:pP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为规范文化和旅游市场行政执法行为，强化行政执法责任，提高行政执法水平，确保全县文化和旅游市场安全、规范、有序发展，结合工作实际，特制定202</w:t>
      </w:r>
      <w:r>
        <w:rPr>
          <w:rFonts w:ascii="仿宋_GB2312" w:eastAsia="仿宋_GB2312" w:cs="仿宋_GB2312" w:hAnsi="仿宋_GB2312"/>
          <w:i w:val="0"/>
          <w:iCs w:val="0"/>
          <w:caps w:val="0"/>
          <w:smallCaps w:val="0"/>
          <w:color w:val="000000"/>
          <w:spacing w:val="0"/>
          <w:sz w:val="32"/>
          <w:szCs w:val="32"/>
          <w:shd w:val="clear" w:color="auto" w:fill="FFFFFF"/>
        </w:rPr>
        <w:t>6</w:t>
      </w:r>
      <w:r>
        <w:rPr>
          <w:rFonts w:ascii="仿宋_GB2312" w:eastAsia="仿宋_GB2312" w:cs="仿宋_GB2312" w:hAnsi="仿宋_GB2312" w:hint="eastAsia"/>
          <w:i w:val="0"/>
          <w:iCs w:val="0"/>
          <w:caps w:val="0"/>
          <w:smallCaps w:val="0"/>
          <w:color w:val="000000"/>
          <w:spacing w:val="0"/>
          <w:sz w:val="32"/>
          <w:szCs w:val="32"/>
          <w:shd w:val="clear" w:color="auto" w:fill="FFFFFF"/>
        </w:rPr>
        <w:t>年行政执法检查工作计划。</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一、工作目标</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以习近平新时代中国特色社会主义思想为指导，全面贯彻党的二十大精神，以重点监管时段和重点监管任务为核心、以市场秩序和安全生产为重点开展对文化旅游市场经营单位的执法检查专项行动，依法打击各类文化旅游市场违法违规经营行为，以执法检查工作推动文化旅游经营单位有效落实自身规范经营和安全生产责任，保障文化旅游市场安全稳定。</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二、工作方式</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根据全县文化和旅游行业实际，针对重点时段、重点环节和存在的重点问题，以日常监管与集中检查相结合，充分运用联合执法、“双随机”抽查等方式，深入开展各类文化和旅游市场专项整治，进一步规范执法检查行为，提升执法检查水平。强化执法检查力度，推动行业监管责任和企业主体责任的落实。</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三、工作重点</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(一)营业性演出活动执法监管</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加强对演出举办单位、演出场所经营单位的日常检查。重点检查演出内容是否含有禁止内容，演出票务销售是否规范，是否存在虚假宣传等问题。特别是在重大节假日、旅游旺季等重点时段，加大对商业演出、旅游演出的监管力度，确保演出活动安全、有序进行。</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(二)娱乐场所内容管控</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加大对歌舞娱乐场所、游艺娱乐场所的检查频次和力度。检查歌舞娱乐场所曲库是否存在违禁歌曲，游艺娱乐场所电子游戏机机型机种是否符合规定，是否接纳未成年人等。督促娱乐场所落实安全生产主体责任，加强消防安全检查，确保疏散通道畅通，消防设施完好有效。</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(三)网络文化市场执法</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加强对网络文化经营单位的监管，重点查处未经许可从事网络文化经营活动、提供含有禁止内容的网络文化产品等违法违规行为。密切关注网络直播、网络游戏、网络动漫等新兴业态，加强对网络文化市场的动态监测和分析研判，及时发现和处置违法违规线索。</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(四)互联网上网服务经营场所执法检查</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加强对互联网上网服务经营场所的日常巡查，检查是否接纳未成年人上网，是否按规定核对登记上网消费者身份信息，是否存在擅自停止实施经营管理技术措施等问题。督促互联网上网服务经营场所加强内部管理，保持场所环境卫生整洁，为消费者提供良好的上网环境。</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(五)出版物、版权(知识产权)、电影、广电等市场执法工作</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1.出版物市场：加强对书店、音像店、出版物批发市场等经营场所的检查，严厉打击销售侵权盗版、淫秽色情、非法出版等各类非法出版物的行为。结合“扫黄打非”工作，加大对校园周边出版物市场的整治力度，为青少年健康成长营造良好的文化环境。</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2.版权(知识产权)：加强版权执法监管，加大对侵权盗版行为的打击力度。重点查处未经授权复制、传播他人作品，以及网络侵权盗版等违法行为。加强对软件正版化工作的监督检查，推动政府机关、企事业单位使用正版软件。</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3.电影市场：加强对电影院的执法检查，检查是否按照规定放映电影，是否存在偷漏瞒报票房等行为。打击放映未取得《电影片公映许可证》的电影片、走私放映盗版影片等违法活动，维护电影市场秩序。</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4.广电市场：加强对广播电视播出机构、传输机构的监管，检查是否存在违规播出、传输节目等问题。</w:t>
      </w:r>
      <w:bookmarkStart w:id="0" w:name="_GoBack"/>
      <w:bookmarkEnd w:id="0"/>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四、检查主体和形式</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(一)检查主体</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行唐</w:t>
      </w:r>
      <w:r>
        <w:rPr>
          <w:rFonts w:ascii="仿宋_GB2312" w:eastAsia="仿宋_GB2312" w:cs="仿宋_GB2312" w:hAnsi="仿宋_GB2312" w:hint="eastAsia"/>
          <w:i w:val="0"/>
          <w:iCs w:val="0"/>
          <w:caps w:val="0"/>
          <w:smallCaps w:val="0"/>
          <w:color w:val="000000"/>
          <w:spacing w:val="0"/>
          <w:sz w:val="32"/>
          <w:szCs w:val="32"/>
          <w:shd w:val="clear" w:color="auto" w:fill="FFFFFF"/>
        </w:rPr>
        <w:t>县</w:t>
      </w: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文化广电体育和旅游局</w:t>
      </w:r>
      <w:r>
        <w:rPr>
          <w:rFonts w:ascii="仿宋_GB2312" w:eastAsia="仿宋_GB2312" w:cs="仿宋_GB2312" w:hAnsi="仿宋_GB2312" w:hint="eastAsia"/>
          <w:i w:val="0"/>
          <w:iCs w:val="0"/>
          <w:caps w:val="0"/>
          <w:smallCaps w:val="0"/>
          <w:color w:val="000000"/>
          <w:spacing w:val="0"/>
          <w:sz w:val="32"/>
          <w:szCs w:val="32"/>
          <w:shd w:val="clear" w:color="auto" w:fill="FFFFFF"/>
        </w:rPr>
        <w:t>，</w:t>
      </w: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行唐县</w:t>
      </w:r>
      <w:r>
        <w:rPr>
          <w:rFonts w:ascii="仿宋_GB2312" w:eastAsia="仿宋_GB2312" w:cs="仿宋_GB2312" w:hAnsi="仿宋_GB2312" w:hint="eastAsia"/>
          <w:i w:val="0"/>
          <w:iCs w:val="0"/>
          <w:caps w:val="0"/>
          <w:smallCaps w:val="0"/>
          <w:color w:val="000000"/>
          <w:spacing w:val="0"/>
          <w:sz w:val="32"/>
          <w:szCs w:val="32"/>
          <w:shd w:val="clear" w:color="auto" w:fill="FFFFFF"/>
        </w:rPr>
        <w:t>文化市场综合行政执法</w:t>
      </w: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大</w:t>
      </w:r>
      <w:r>
        <w:rPr>
          <w:rFonts w:ascii="仿宋_GB2312" w:eastAsia="仿宋_GB2312" w:cs="仿宋_GB2312" w:hAnsi="仿宋_GB2312" w:hint="eastAsia"/>
          <w:i w:val="0"/>
          <w:iCs w:val="0"/>
          <w:caps w:val="0"/>
          <w:smallCaps w:val="0"/>
          <w:color w:val="000000"/>
          <w:spacing w:val="0"/>
          <w:sz w:val="32"/>
          <w:szCs w:val="32"/>
          <w:shd w:val="clear" w:color="auto" w:fill="FFFFFF"/>
        </w:rPr>
        <w:t>队。 </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jc w:val="both"/>
        <w:textAlignment w:val="auto"/>
        <w:rPr>
          <w:rFonts w:ascii="仿宋_GB2312" w:eastAsia="仿宋_GB2312" w:cs="仿宋_GB2312" w:hAnsi="仿宋_GB2312" w:hint="eastAsia"/>
          <w:i w:val="0"/>
          <w:iCs w:val="0"/>
          <w:caps w:val="0"/>
          <w:smallCaps w:val="0"/>
          <w:color w:val="000000"/>
          <w:spacing w:val="0"/>
          <w:sz w:val="32"/>
          <w:szCs w:val="32"/>
          <w:shd w:val="clear" w:color="auto" w:fill="FFFFFF"/>
        </w:rPr>
      </w:pPr>
      <w:r>
        <w:rPr>
          <w:rFonts w:ascii="仿宋_GB2312" w:eastAsia="仿宋_GB2312" w:cs="仿宋_GB2312" w:hAnsi="仿宋_GB2312"/>
          <w:i w:val="0"/>
          <w:iCs w:val="0"/>
          <w:caps w:val="0"/>
          <w:smallCaps w:val="0"/>
          <w:color w:val="000000"/>
          <w:spacing w:val="0"/>
          <w:sz w:val="32"/>
          <w:szCs w:val="32"/>
          <w:shd w:val="clear" w:color="auto" w:fill="FFFFFF"/>
        </w:rPr>
        <w:t>（二）</w:t>
      </w:r>
      <w:r>
        <w:rPr>
          <w:rFonts w:ascii="仿宋_GB2312" w:eastAsia="仿宋_GB2312" w:cs="仿宋_GB2312" w:hAnsi="仿宋_GB2312" w:hint="eastAsia"/>
          <w:i w:val="0"/>
          <w:iCs w:val="0"/>
          <w:caps w:val="0"/>
          <w:smallCaps w:val="0"/>
          <w:color w:val="000000"/>
          <w:spacing w:val="0"/>
          <w:sz w:val="32"/>
          <w:szCs w:val="32"/>
          <w:shd w:val="clear" w:color="auto" w:fill="FFFFFF"/>
        </w:rPr>
        <w:t>检查形式。</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color w:val="000000"/>
          <w:sz w:val="32"/>
          <w:szCs w:val="32"/>
        </w:rPr>
      </w:pPr>
      <w:r>
        <w:rPr>
          <w:rFonts w:ascii="仿宋_GB2312" w:eastAsia="仿宋_GB2312" w:cs="仿宋_GB2312" w:hAnsi="仿宋_GB2312" w:hint="eastAsia"/>
          <w:color w:val="000000"/>
          <w:sz w:val="32"/>
          <w:szCs w:val="32"/>
        </w:rPr>
        <w:t>包括实地检查、双随机抽查、接举报检查、联合检查、专项检查等。</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五、检查安排</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(一)日常检查</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对全县文旅、广电、出版物等场所及经营单位开展</w:t>
      </w:r>
      <w:r>
        <w:rPr>
          <w:rFonts w:ascii="仿宋_GB2312" w:eastAsia="仿宋_GB2312" w:cs="仿宋_GB2312" w:hAnsi="仿宋_GB2312"/>
          <w:i w:val="0"/>
          <w:iCs w:val="0"/>
          <w:caps w:val="0"/>
          <w:smallCaps w:val="0"/>
          <w:color w:val="000000"/>
          <w:spacing w:val="0"/>
          <w:sz w:val="32"/>
          <w:szCs w:val="32"/>
          <w:shd w:val="clear" w:color="auto" w:fill="FFFFFF"/>
        </w:rPr>
        <w:t>4</w:t>
      </w:r>
      <w:r>
        <w:rPr>
          <w:rFonts w:ascii="仿宋_GB2312" w:eastAsia="仿宋_GB2312" w:cs="仿宋_GB2312" w:hAnsi="仿宋_GB2312" w:hint="eastAsia"/>
          <w:i w:val="0"/>
          <w:iCs w:val="0"/>
          <w:caps w:val="0"/>
          <w:smallCaps w:val="0"/>
          <w:color w:val="000000"/>
          <w:spacing w:val="0"/>
          <w:sz w:val="32"/>
          <w:szCs w:val="32"/>
          <w:shd w:val="clear" w:color="auto" w:fill="FFFFFF"/>
        </w:rPr>
        <w:t>次100%全覆盖安全生产大检查。每季度一次。具体时间根据实际情况确定。</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(二)重点时段检查</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1.元旦、春节期间文旅行业执法监督检查：12月下旬至2月上旬，检查比例不低于30%。</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2.全国两会期间文旅行业执法监督检查：3月，检查比例不低于20%。</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3.“五一”小长假文旅行业执法监督检查：4月下旬至5月初，检查比例不低于20%。</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4.暑期和旺季文旅行业执法监督检查：7月和8月，检查比例不低于30%。</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5.“中秋”“国庆”黄金周文旅行业执法监督检查：9月份和10月初，检查比例不低于30%。</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w:t>
      </w: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三</w:t>
      </w:r>
      <w:r>
        <w:rPr>
          <w:rFonts w:ascii="仿宋_GB2312" w:eastAsia="仿宋_GB2312" w:cs="仿宋_GB2312" w:hAnsi="仿宋_GB2312" w:hint="eastAsia"/>
          <w:i w:val="0"/>
          <w:iCs w:val="0"/>
          <w:caps w:val="0"/>
          <w:smallCaps w:val="0"/>
          <w:color w:val="000000"/>
          <w:spacing w:val="0"/>
          <w:sz w:val="32"/>
          <w:szCs w:val="32"/>
          <w:shd w:val="clear" w:color="auto" w:fill="FFFFFF"/>
        </w:rPr>
        <w:t>)专项检查</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根据文化旅游市场监管、安全生产和重大活动保障等要求，组织开展专项整治工作，具体时间以相关部门工作部署安排行动时间。</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六、工作要求</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(一)加强计划的落实，确保行政执法检查计划的严肃性。因上级工作部署和其他不可预见因素，计划有重大调整与变更时，应及时调整方案。</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(二)加强协调配合，进一步规范联合执法、信息共享机制，主动联系有关部门，保证步调一致，相互补位，形成合力。</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(三)坚持对法律法规的长期学习，建立健全执法监督检查工作制度，规范执法监督检查行为，落实执法责任，树立执法威信</w:t>
      </w:r>
      <w:r>
        <w:rPr>
          <w:rFonts w:ascii="仿宋_GB2312" w:eastAsia="仿宋_GB2312" w:cs="仿宋_GB2312" w:hAnsi="仿宋_GB2312"/>
          <w:i w:val="0"/>
          <w:iCs w:val="0"/>
          <w:caps w:val="0"/>
          <w:smallCaps w:val="0"/>
          <w:color w:val="000000"/>
          <w:spacing w:val="0"/>
          <w:sz w:val="32"/>
          <w:szCs w:val="32"/>
          <w:shd w:val="clear" w:color="auto" w:fill="FFFFFF"/>
        </w:rPr>
        <w:t>，</w:t>
      </w:r>
      <w:r>
        <w:rPr>
          <w:rFonts w:ascii="仿宋_GB2312" w:eastAsia="仿宋_GB2312" w:cs="仿宋_GB2312" w:hAnsi="仿宋_GB2312" w:hint="eastAsia"/>
          <w:i w:val="0"/>
          <w:iCs w:val="0"/>
          <w:caps w:val="0"/>
          <w:smallCaps w:val="0"/>
          <w:color w:val="000000"/>
          <w:spacing w:val="0"/>
          <w:sz w:val="32"/>
          <w:szCs w:val="32"/>
          <w:shd w:val="clear" w:color="auto" w:fill="FFFFFF"/>
        </w:rPr>
        <w:t>做到依法执法、公正执法。</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黑体" w:eastAsia="黑体" w:cs="黑体" w:hAnsi="仿宋_GB2312" w:hint="eastAsia"/>
          <w:i w:val="0"/>
          <w:iCs w:val="0"/>
          <w:caps w:val="0"/>
          <w:smallCaps w:val="0"/>
          <w:color w:val="000000"/>
          <w:spacing w:val="0"/>
          <w:sz w:val="32"/>
          <w:szCs w:val="32"/>
        </w:rPr>
      </w:pPr>
      <w:r>
        <w:rPr>
          <w:rFonts w:ascii="黑体" w:eastAsia="黑体" w:cs="黑体" w:hAnsi="仿宋_GB2312" w:hint="eastAsia"/>
          <w:i w:val="0"/>
          <w:iCs w:val="0"/>
          <w:caps w:val="0"/>
          <w:smallCaps w:val="0"/>
          <w:color w:val="000000"/>
          <w:spacing w:val="0"/>
          <w:sz w:val="32"/>
          <w:szCs w:val="32"/>
          <w:shd w:val="clear" w:color="auto" w:fill="FFFFFF"/>
        </w:rPr>
        <w:t>七、检查结果的应用</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ascii="仿宋_GB2312" w:eastAsia="仿宋_GB2312" w:cs="仿宋_GB2312" w:hAnsi="仿宋_GB2312" w:hint="eastAsia"/>
          <w:i w:val="0"/>
          <w:iCs w:val="0"/>
          <w:caps w:val="0"/>
          <w:smallCaps w:val="0"/>
          <w:color w:val="000000"/>
          <w:spacing w:val="0"/>
          <w:sz w:val="32"/>
          <w:szCs w:val="32"/>
        </w:rPr>
      </w:pPr>
      <w:r>
        <w:rPr>
          <w:rFonts w:ascii="仿宋_GB2312" w:eastAsia="仿宋_GB2312" w:cs="仿宋_GB2312" w:hAnsi="仿宋_GB2312" w:hint="eastAsia"/>
          <w:i w:val="0"/>
          <w:iCs w:val="0"/>
          <w:caps w:val="0"/>
          <w:smallCaps w:val="0"/>
          <w:color w:val="000000"/>
          <w:spacing w:val="0"/>
          <w:sz w:val="32"/>
          <w:szCs w:val="32"/>
          <w:shd w:val="clear" w:color="auto" w:fill="FFFFFF"/>
        </w:rPr>
        <w:t>行政执法检查结果每月在行政执法监督管理系统录入，针对检查中发现的违法违规行为，由县</w:t>
      </w:r>
      <w:r>
        <w:rPr>
          <w:rFonts w:ascii="仿宋_GB2312" w:eastAsia="仿宋_GB2312" w:cs="仿宋_GB2312" w:hAnsi="仿宋_GB2312" w:hint="eastAsia"/>
          <w:i w:val="0"/>
          <w:iCs w:val="0"/>
          <w:caps w:val="0"/>
          <w:smallCaps w:val="0"/>
          <w:color w:val="000000"/>
          <w:spacing w:val="0"/>
          <w:sz w:val="32"/>
          <w:szCs w:val="32"/>
          <w:shd w:val="clear" w:color="auto" w:fill="FFFFFF"/>
          <w:lang w:val="en-US" w:eastAsia="zh-CN"/>
        </w:rPr>
        <w:t>文化广电体育和旅游局</w:t>
      </w:r>
      <w:r>
        <w:rPr>
          <w:rFonts w:ascii="仿宋_GB2312" w:eastAsia="仿宋_GB2312" w:cs="仿宋_GB2312" w:hAnsi="仿宋_GB2312" w:hint="eastAsia"/>
          <w:i w:val="0"/>
          <w:iCs w:val="0"/>
          <w:caps w:val="0"/>
          <w:smallCaps w:val="0"/>
          <w:color w:val="000000"/>
          <w:spacing w:val="0"/>
          <w:sz w:val="32"/>
          <w:szCs w:val="32"/>
          <w:shd w:val="clear" w:color="auto" w:fill="FFFFFF"/>
        </w:rPr>
        <w:t>分不同情况分别进行通报、行业惩戒、行政处罚。</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color w:val="000000"/>
        </w:rPr>
      </w:pPr>
      <w:r>
        <w:rPr>
          <w:rFonts w:ascii="仿宋_GB2312" w:eastAsia="仿宋_GB2312" w:cs="仿宋_GB2312" w:hAnsi="仿宋_GB2312" w:hint="eastAsia"/>
          <w:i w:val="0"/>
          <w:iCs w:val="0"/>
          <w:caps w:val="0"/>
          <w:smallCaps w:val="0"/>
          <w:color w:val="000000"/>
          <w:spacing w:val="0"/>
          <w:sz w:val="32"/>
          <w:szCs w:val="32"/>
          <w:shd w:val="clear" w:color="auto" w:fill="FFFFFF"/>
        </w:rPr>
        <w:t> </w:t>
      </w:r>
    </w:p>
    <w:p>
      <w:pPr>
        <w:bidi w:val="0"/>
        <w:spacing w:line="560" w:lineRule="exact"/>
        <w:rPr>
          <w:rFonts w:ascii="Calibri" w:eastAsia="宋体" w:cs="Arial" w:hAnsi="Calibri"/>
          <w:color w:val="000000"/>
          <w:kern w:val="2"/>
          <w:sz w:val="21"/>
          <w:szCs w:val="24"/>
          <w:lang w:val="en-US" w:eastAsia="zh-CN" w:bidi="ar-SA"/>
        </w:rPr>
      </w:pPr>
    </w:p>
    <w:p>
      <w:pPr>
        <w:tabs>
          <w:tab w:val="left" w:pos="5023"/>
        </w:tabs>
        <w:bidi w:val="0"/>
        <w:spacing w:line="560" w:lineRule="exact"/>
        <w:jc w:val="center"/>
        <w:rPr>
          <w:rFonts w:ascii="仿宋_GB2312" w:eastAsia="仿宋_GB2312" w:cs="仿宋_GB2312" w:hAnsi="仿宋_GB2312" w:hint="eastAsia"/>
          <w:color w:val="000000"/>
          <w:kern w:val="2"/>
          <w:sz w:val="32"/>
          <w:szCs w:val="32"/>
          <w:lang w:val="en-US" w:eastAsia="zh-CN" w:bidi="ar-SA"/>
        </w:rPr>
      </w:pPr>
      <w:r>
        <w:rPr>
          <w:rFonts w:ascii="仿宋_GB2312" w:eastAsia="仿宋_GB2312" w:cs="仿宋_GB2312" w:hAnsi="仿宋_GB2312"/>
          <w:color w:val="000000"/>
          <w:sz w:val="32"/>
          <w:szCs w:val="32"/>
          <w:lang w:val="en-US" w:eastAsia="zh-CN"/>
        </w:rPr>
        <w:t xml:space="preserve">                          </w:t>
      </w:r>
      <w:r>
        <w:rPr>
          <w:rFonts w:ascii="仿宋_GB2312" w:eastAsia="仿宋_GB2312" w:cs="仿宋_GB2312" w:hAnsi="仿宋_GB2312" w:hint="eastAsia"/>
          <w:color w:val="000000"/>
          <w:sz w:val="32"/>
          <w:szCs w:val="32"/>
          <w:lang w:val="en-US" w:eastAsia="zh-CN"/>
        </w:rPr>
        <w:t>行唐县文化广电体育和旅游局</w:t>
      </w:r>
    </w:p>
    <w:p>
      <w:pPr>
        <w:tabs>
          <w:tab w:val="left" w:pos="5233"/>
        </w:tabs>
        <w:bidi w:val="0"/>
        <w:spacing w:line="560" w:lineRule="exact"/>
        <w:jc w:val="left"/>
        <w:rPr>
          <w:rFonts w:ascii="仿宋_GB2312" w:eastAsia="仿宋_GB2312" w:cs="仿宋_GB2312" w:hAnsi="仿宋_GB2312" w:hint="eastAsia"/>
          <w:color w:val="000000"/>
          <w:sz w:val="32"/>
          <w:szCs w:val="32"/>
          <w:lang w:val="en-US" w:eastAsia="zh-CN"/>
        </w:rPr>
      </w:pPr>
      <w:r>
        <w:rPr>
          <w:rFonts w:ascii="仿宋_GB2312" w:eastAsia="仿宋_GB2312" w:cs="仿宋_GB2312" w:hAnsi="仿宋_GB2312" w:hint="eastAsia"/>
          <w:color w:val="000000"/>
          <w:sz w:val="32"/>
          <w:szCs w:val="32"/>
          <w:lang w:val="en-US" w:eastAsia="zh-CN"/>
        </w:rPr>
        <w:tab/>
        <w:t>202</w:t>
      </w:r>
      <w:r>
        <w:rPr>
          <w:rFonts w:ascii="仿宋_GB2312" w:eastAsia="仿宋_GB2312" w:cs="仿宋_GB2312" w:hAnsi="仿宋_GB2312"/>
          <w:color w:val="000000"/>
          <w:sz w:val="32"/>
          <w:szCs w:val="32"/>
          <w:lang w:val="en-US" w:eastAsia="zh-CN"/>
        </w:rPr>
        <w:t>6</w:t>
      </w:r>
      <w:r>
        <w:rPr>
          <w:rFonts w:ascii="仿宋_GB2312" w:eastAsia="仿宋_GB2312" w:cs="仿宋_GB2312" w:hAnsi="仿宋_GB2312" w:hint="eastAsia"/>
          <w:color w:val="000000"/>
          <w:sz w:val="32"/>
          <w:szCs w:val="32"/>
          <w:lang w:val="en-US" w:eastAsia="zh-CN"/>
        </w:rPr>
        <w:t>年</w:t>
      </w:r>
      <w:r>
        <w:rPr>
          <w:rFonts w:ascii="仿宋_GB2312" w:eastAsia="仿宋_GB2312" w:cs="仿宋_GB2312" w:hAnsi="仿宋_GB2312"/>
          <w:color w:val="000000"/>
          <w:sz w:val="32"/>
          <w:szCs w:val="32"/>
          <w:lang w:val="en-US" w:eastAsia="zh-CN"/>
        </w:rPr>
        <w:t>1</w:t>
      </w:r>
      <w:r>
        <w:rPr>
          <w:rFonts w:ascii="仿宋_GB2312" w:eastAsia="仿宋_GB2312" w:cs="仿宋_GB2312" w:hAnsi="仿宋_GB2312" w:hint="eastAsia"/>
          <w:color w:val="000000"/>
          <w:sz w:val="32"/>
          <w:szCs w:val="32"/>
          <w:lang w:val="en-US" w:eastAsia="zh-CN"/>
        </w:rPr>
        <w:t>月1</w:t>
      </w:r>
      <w:r>
        <w:rPr>
          <w:rFonts w:ascii="仿宋_GB2312" w:eastAsia="仿宋_GB2312" w:cs="仿宋_GB2312" w:hAnsi="仿宋_GB2312"/>
          <w:color w:val="000000"/>
          <w:sz w:val="32"/>
          <w:szCs w:val="32"/>
          <w:lang w:val="en-US" w:eastAsia="zh-CN"/>
        </w:rPr>
        <w:t>3</w:t>
      </w:r>
      <w:r>
        <w:rPr>
          <w:rFonts w:ascii="仿宋_GB2312" w:eastAsia="仿宋_GB2312" w:cs="仿宋_GB2312" w:hAnsi="仿宋_GB2312" w:hint="eastAsia"/>
          <w:color w:val="000000"/>
          <w:sz w:val="32"/>
          <w:szCs w:val="32"/>
          <w:lang w:val="en-US" w:eastAsia="zh-CN"/>
        </w:rPr>
        <w:t>日</w:t>
      </w:r>
    </w:p>
    <w:sectPr>
      <w:pgSz w:w="11906" w:h="16838"/>
      <w:pgMar w:top="2098" w:right="1474" w:bottom="1985" w:left="1588"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panose1 w:val="02010601030101010101"/>
    <w:charset w:val="86"/>
    <w:family w:val="auto"/>
    <w:pitch w:val="variable"/>
    <w:sig w:usb0="00000001" w:usb1="080E0000" w:usb2="00000000" w:usb3="00000000" w:csb0="00040000" w:csb1="00000000"/>
  </w:font>
  <w:font w:name="仿宋_GB2312">
    <w:panose1 w:val="02010609030101010101"/>
    <w:charset w:val="86"/>
    <w:family w:val="auto"/>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Calibri">
    <w:panose1 w:val="020F0502020204030204"/>
    <w:charset w:val="00"/>
    <w:family w:val="swiss"/>
    <w:pitch w:val="variable"/>
    <w:sig w:usb0="E4002EFF" w:usb1="C000247B" w:usb2="00000009" w:usb3="00000000" w:csb0="2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 w:name="Times New Roman">
    <w:panose1 w:val="02020603050405020304"/>
    <w:charset w:val="00"/>
    <w:family w:val="roman"/>
    <w:pitch w:val="variable"/>
    <w:sig w:usb0="20007A87" w:usb1="80000000" w:usb2="00000008" w:usb3="00000000" w:csb0="000001F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Arial"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Normal (Web)"/>
    <w:basedOn w:val="0"/>
    <w:pPr>
      <w:spacing w:before="0" w:beforeAutospacing="1" w:after="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C9B1EA75-CA2F-4C37-BDC0-0225FF9C23C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1189</TotalTime>
  <Application>Yozo_Office27021597764231179</Application>
  <Pages>0</Pages>
  <Words>0</Words>
  <Characters>1587</Characters>
  <Lines>0</Lines>
  <Paragraphs>48</Paragraphs>
  <CharactersWithSpaces>2117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小鸡炖蘑菇</dc:creator>
  <cp:lastModifiedBy>Administrator</cp:lastModifiedBy>
  <cp:revision>1</cp:revision>
  <cp:lastPrinted>2026-01-15T07:39:20Z</cp:lastPrinted>
  <dcterms:created xsi:type="dcterms:W3CDTF">2025-04-09T06:54:00Z</dcterms:created>
  <dcterms:modified xsi:type="dcterms:W3CDTF">2026-01-15T07:39:27Z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2052-12.1.0.20784</vt:lpwstr>
  </property>
  <property fmtid="{D5CDD505-2E9C-101B-9397-08002B2CF9AE}" pid="3" name="ICV">
    <vt:lpwstr>D933FE8EB1454A0084DCEF9C3CADAB80_11</vt:lpwstr>
  </property>
  <property fmtid="{D5CDD505-2E9C-101B-9397-08002B2CF9AE}" pid="4" name="KSOTemplateDocerSaveRecord">
    <vt:lpwstr>eyJoZGlkIjoiZjA2YTA0MmQzODAxZWRiODA1Y2Q3ZjM0M2ExNWI2NzciLCJ1c2VySWQiOiI1OTY4MzY5MTgifQ==</vt:lpwstr>
  </property>
</Properties>
</file>