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xlsx" ContentType="application/vnd.openxmlformats-officedocument.spreadsheetml.sheet"/>
  <Default Extension="png" ContentType="image/png"/>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600" w:lineRule="auto"/>
        <w:jc w:val="both"/>
        <w:rPr>
          <w:rFonts w:ascii="楷体_GB2312" w:eastAsia="楷体_GB2312" w:cs="楷体_GB2312" w:hAnsi="楷体_GB2312" w:hint="eastAsia"/>
          <w:color w:val="000000"/>
          <w:sz w:val="40"/>
          <w:szCs w:val="40"/>
        </w:rPr>
      </w:pPr>
      <w:r>
        <w:drawing>
          <wp:anchor distT="0" distB="0" distL="114300" distR="114300" simplePos="0" relativeHeight="2" behindDoc="1" locked="0" layoutInCell="1" hidden="0" allowOverlap="1">
            <wp:simplePos x="0" y="0"/>
            <wp:positionH relativeFrom="column">
              <wp:posOffset>-1692910</wp:posOffset>
            </wp:positionH>
            <wp:positionV relativeFrom="paragraph">
              <wp:posOffset>-1319530</wp:posOffset>
            </wp:positionV>
            <wp:extent cx="8646795" cy="11107419"/>
            <wp:effectExtent l="0" t="0" r="0" b="0"/>
            <wp:wrapNone/>
            <wp:docPr id="1" name="图片 15" descr="7b0a202020202266696c746572223a202230220a7d0a"/>
            <wp:cNvGraphicFramePr>
              <a:graphicFrameLocks noChangeAspect="0"/>
            </wp:cNvGraphicFramePr>
            <a:graphic>
              <a:graphicData uri="http://schemas.openxmlformats.org/drawingml/2006/picture">
                <pic:pic>
                  <pic:nvPicPr>
                    <pic:cNvPr id="3" name="图片 15 3"/>
                    <pic:cNvPicPr/>
                  </pic:nvPicPr>
                  <pic:blipFill>
                    <a:blip r:embed="rId3">
                      <a:lum bright="5999"/>
                    </a:blip>
                    <a:srcRect t="559" b="3637"/>
                    <a:stretch>
                      <a:fillRect/>
                    </a:stretch>
                  </pic:blipFill>
                  <pic:spPr>
                    <a:xfrm rot="0">
                      <a:off x="0" y="0"/>
                      <a:ext cx="8646795" cy="11107419"/>
                    </a:xfrm>
                    <a:prstGeom prst="rect"/>
                    <a:noFill/>
                    <a:ln w="9525" cmpd="sng" cap="flat">
                      <a:noFill/>
                      <a:prstDash val="solid"/>
                      <a:miter/>
                    </a:ln>
                  </pic:spPr>
                </pic:pic>
              </a:graphicData>
            </a:graphic>
          </wp:anchor>
        </w:drawing>
      </w:r>
      <w:r>
        <mc:AlternateContent>
          <mc:Choice Requires="wps">
            <w:drawing>
              <wp:anchor distT="0" distB="0" distL="114298" distR="114298" simplePos="0" relativeHeight="46" behindDoc="0" locked="0" layoutInCell="1" hidden="0" allowOverlap="1">
                <wp:simplePos x="0" y="0"/>
                <wp:positionH relativeFrom="column">
                  <wp:posOffset>-546735</wp:posOffset>
                </wp:positionH>
                <wp:positionV relativeFrom="paragraph">
                  <wp:posOffset>253365</wp:posOffset>
                </wp:positionV>
                <wp:extent cx="6431279" cy="2862579"/>
                <wp:effectExtent l="0" t="0" r="0" b="0"/>
                <wp:wrapNone/>
                <wp:docPr id="4" name="文本框 1" descr="7b0a2020202022776f7264617274223a20227b5c2269645c223a32353030323136362c5c227469645c223a5c225c227d220a7d0a"/>
                <wp:cNvGraphicFramePr>
                  <a:graphicFrameLocks noChangeAspect="0"/>
                </wp:cNvGraphicFramePr>
                <a:graphic>
                  <a:graphicData uri="http://schemas.microsoft.com/office/word/2010/wordprocessingShape">
                    <wps:wsp>
                      <wps:cNvSpPr/>
                      <wps:spPr>
                        <a:xfrm rot="0">
                          <a:off x="0" y="0"/>
                          <a:ext cx="6431279" cy="2862579"/>
                        </a:xfrm>
                        <a:prstGeom prst="rect"/>
                        <a:noFill/>
                        <a:ln w="9525" cmpd="sng" cap="flat">
                          <a:noFill/>
                          <a:prstDash val="solid"/>
                          <a:round/>
                        </a:ln>
                      </wps:spPr>
                      <wps:txbx id="5">
                        <w:txbxContent>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2024年度</w:t>
                            </w:r>
                          </w:p>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部门决算公开文本</w:t>
                            </w:r>
                          </w:p>
                        </w:txbxContent>
                      </wps:txbx>
                      <wps:bodyPr vert="horz" wrap="square" lIns="91440" tIns="45720" rIns="91440" bIns="45720" anchor="t" anchorCtr="0" upright="0">
                        <a:noAutofit/>
                      </wps:bodyPr>
                    </wps:wsp>
                  </a:graphicData>
                </a:graphic>
              </wp:anchor>
            </w:drawing>
          </mc:Choice>
          <mc:Fallback>
            <w:pict>
              <v:rect type="#_x0000_t1" id="文本框 1 6" o:spid="_x0000_s6" filled="f" stroked="f" alt="7b0a2020202022776f7264617274223a20227b5c2269645c223a32353030323136362c5c227469645c223a5c225c227d220a7d0a" style="position:absolute;margin-left:-43.05pt;margin-top:19.95pt;width:506.4pt;height:225.4pt;z-index:46;mso-position-horizontal:absolute;mso-position-vertical:absolute;mso-wrap-distance-left:8.999863pt;mso-wrap-distance-right:8.999863pt;mso-wrap-style:square;">
                <v:stroke color="#000000"/>
                <v:textbox id="860" inset="2.54mm,1.27mm,2.54mm,1.27mm" o:insetmode="custom" style="layout-flow:horizontal;v-text-anchor:top;">
                  <w:txbxContent>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2024年度</w:t>
                      </w:r>
                    </w:p>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部门决算公开文本</w:t>
                      </w:r>
                    </w:p>
                  </w:txbxContent>
                </v:textbox>
              </v:rect>
            </w:pict>
          </mc:Fallback>
        </mc:AlternateContent>
      </w: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left"/>
        <w:rPr>
          <w:rFonts w:ascii="楷体_GB2312" w:eastAsia="楷体_GB2312" w:cs="楷体_GB2312" w:hAnsi="楷体_GB2312" w:hint="eastAsia"/>
          <w:color w:val="000000"/>
          <w:sz w:val="40"/>
          <w:szCs w:val="40"/>
          <w:lang w:val="en-US" w:eastAsia="zh-CN"/>
        </w:rPr>
      </w:pPr>
      <w:r>
        <w:rPr>
          <w:rFonts w:ascii="黑体" w:eastAsia="黑体" w:cs="黑体" w:hAnsi="黑体" w:hint="eastAsia"/>
          <w:color w:val="000000"/>
          <w:sz w:val="40"/>
          <w:szCs w:val="40"/>
        </w:rPr>
        <w:t>预算代码</w:t>
      </w:r>
      <w:r>
        <w:rPr>
          <w:rFonts w:ascii="楷体_GB2312" w:eastAsia="楷体_GB2312" w:cs="楷体_GB2312" w:hAnsi="楷体_GB2312" w:hint="eastAsia"/>
          <w:color w:val="000000"/>
          <w:sz w:val="40"/>
          <w:szCs w:val="40"/>
        </w:rPr>
        <w:t>：</w:t>
      </w:r>
      <w:r>
        <w:rPr>
          <w:rFonts w:ascii="楷体_GB2312" w:eastAsia="楷体_GB2312" w:cs="楷体_GB2312" w:hAnsi="楷体_GB2312" w:hint="eastAsia"/>
          <w:color w:val="000000"/>
          <w:sz w:val="40"/>
          <w:szCs w:val="40"/>
          <w:lang w:val="en-US" w:eastAsia="zh-CN"/>
        </w:rPr>
        <w:t>303002</w:t>
      </w:r>
    </w:p>
    <w:p>
      <w:pPr>
        <w:spacing w:line="600" w:lineRule="auto"/>
        <w:jc w:val="left"/>
        <w:rPr>
          <w:rFonts w:ascii="楷体_GB2312" w:eastAsia="楷体_GB2312" w:cs="楷体_GB2312" w:hAnsi="楷体_GB2312" w:hint="eastAsia"/>
          <w:color w:val="000000"/>
          <w:sz w:val="40"/>
          <w:szCs w:val="40"/>
        </w:rPr>
      </w:pPr>
      <w:r>
        <w:rPr>
          <w:rFonts w:ascii="黑体" w:eastAsia="黑体" w:cs="黑体" w:hAnsi="黑体" w:hint="eastAsia"/>
          <w:color w:val="000000"/>
          <w:sz w:val="40"/>
          <w:szCs w:val="40"/>
        </w:rPr>
        <w:t>单位名称</w:t>
      </w:r>
      <w:r>
        <w:rPr>
          <w:rFonts w:ascii="楷体_GB2312" w:eastAsia="楷体_GB2312" w:cs="楷体_GB2312" w:hAnsi="楷体_GB2312" w:hint="eastAsia"/>
          <w:color w:val="000000"/>
          <w:sz w:val="40"/>
          <w:szCs w:val="40"/>
        </w:rPr>
        <w:t>：行唐县重点项目服务中心</w:t>
      </w:r>
    </w:p>
    <w:p>
      <w:pPr>
        <w:spacing w:line="600" w:lineRule="auto"/>
        <w:jc w:val="both"/>
        <w:rPr>
          <w:rFonts w:ascii="楷体_GB2312" w:eastAsia="楷体_GB2312" w:cs="楷体_GB2312" w:hAnsi="楷体_GB2312" w:hint="eastAsia"/>
          <w:color w:val="000000"/>
          <w:sz w:val="40"/>
          <w:szCs w:val="40"/>
        </w:rPr>
        <w:sectPr>
          <w:footerReference w:type="default" r:id="rId2"/>
          <w:pgSz w:w="11906" w:h="16838"/>
          <w:pgMar w:top="2098" w:right="1417" w:bottom="1871" w:left="1417" w:header="851" w:footer="992" w:gutter="0"/>
          <w:docGrid w:type="lines" w:linePitch="312" w:charSpace="0"/>
        </w:sectPr>
      </w:pPr>
    </w:p>
    <w:p>
      <w:pPr>
        <w:spacing w:line="600" w:lineRule="auto"/>
        <w:jc w:val="center"/>
        <w:rPr>
          <w:rFonts w:ascii="楷体_GB2312" w:eastAsia="楷体_GB2312" w:cs="楷体_GB2312" w:hAnsi="楷体_GB2312" w:hint="eastAsia"/>
          <w:color w:val="000000"/>
          <w:sz w:val="40"/>
          <w:szCs w:val="40"/>
        </w:rPr>
      </w:pPr>
    </w:p>
    <w:p>
      <w:pPr>
        <w:rPr>
          <w:rFonts w:ascii="黑体" w:eastAsia="黑体" w:cs="黑体" w:hAnsi="黑体" w:hint="eastAsia"/>
          <w:b/>
          <w:bCs/>
          <w:sz w:val="32"/>
          <w:szCs w:val="36"/>
          <w:highlight w:val="yellow"/>
        </w:rPr>
      </w:pPr>
    </w:p>
    <w:p>
      <w:pPr>
        <w:widowControl/>
        <w:spacing w:before="0" w:beforeAutospacing="0" w:after="0" w:afterAutospacing="0" w:line="360" w:lineRule="auto"/>
        <w:jc w:val="center"/>
        <w:rPr>
          <w:rFonts w:ascii="Times New Roman" w:eastAsia="方正小标宋_GBK" w:hAnsi="Times New Roman"/>
          <w:b w:val="0"/>
          <w:sz w:val="72"/>
          <w:szCs w:val="72"/>
        </w:rPr>
      </w:pPr>
      <w:r>
        <w:rPr>
          <w:rFonts w:ascii="Times New Roman" w:eastAsia="方正小标宋_GBK" w:hAnsi="Times New Roman"/>
          <w:b w:val="0"/>
          <w:sz w:val="72"/>
          <w:szCs w:val="72"/>
        </w:rPr>
        <w:t>行唐县重点项目服务</w:t>
      </w:r>
    </w:p>
    <w:p>
      <w:pPr>
        <w:widowControl/>
        <w:spacing w:before="0" w:beforeAutospacing="0" w:after="0" w:afterAutospacing="0" w:line="360" w:lineRule="auto"/>
        <w:jc w:val="center"/>
        <w:rPr>
          <w:rFonts w:ascii="Times New Roman" w:eastAsia="方正小标宋_GBK" w:hAnsi="Times New Roman"/>
          <w:sz w:val="72"/>
          <w:szCs w:val="72"/>
        </w:rPr>
      </w:pPr>
      <w:r>
        <w:rPr>
          <w:rFonts w:ascii="Times New Roman" w:eastAsia="方正小标宋_GBK" w:hAnsi="Times New Roman"/>
          <w:b w:val="0"/>
          <w:sz w:val="72"/>
          <w:szCs w:val="72"/>
        </w:rPr>
        <w:t>中心</w:t>
      </w:r>
    </w:p>
    <w:p>
      <w:pPr>
        <w:widowControl/>
        <w:spacing w:before="0" w:beforeAutospacing="0" w:after="0" w:afterAutospacing="0" w:line="360" w:lineRule="auto"/>
        <w:jc w:val="center"/>
        <w:rPr>
          <w:rFonts w:ascii="Times New Roman" w:eastAsia="方正小标宋_GBK" w:hAnsi="Times New Roman"/>
          <w:sz w:val="72"/>
          <w:szCs w:val="72"/>
        </w:rPr>
      </w:pPr>
      <w:r>
        <w:rPr>
          <w:rFonts w:ascii="Times New Roman" w:eastAsia="仿宋_GB2312" w:hAnsi="Times New Roman"/>
          <w:b w:val="0"/>
          <w:sz w:val="72"/>
          <w:szCs w:val="72"/>
        </w:rPr>
        <w:t>2024</w:t>
      </w:r>
      <w:r>
        <w:rPr>
          <w:rFonts w:ascii="Times New Roman" w:eastAsia="方正小标宋_GBK" w:hAnsi="Times New Roman"/>
          <w:b w:val="0"/>
          <w:sz w:val="72"/>
          <w:szCs w:val="72"/>
        </w:rPr>
        <w:t>年度部门决算公开文本</w:t>
      </w:r>
    </w:p>
    <w:p>
      <w:pPr>
        <w:spacing w:line="36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480" w:lineRule="auto"/>
        <w:jc w:val="both"/>
        <w:rPr>
          <w:rFonts w:ascii="黑体" w:eastAsia="黑体" w:cs="黑体" w:hAnsi="黑体"/>
          <w:sz w:val="56"/>
          <w:szCs w:val="72"/>
        </w:rPr>
      </w:pPr>
    </w:p>
    <w:p>
      <w:pPr>
        <w:spacing w:line="480" w:lineRule="auto"/>
        <w:jc w:val="both"/>
        <w:rPr>
          <w:rFonts w:ascii="黑体" w:eastAsia="黑体" w:cs="黑体" w:hAnsi="黑体"/>
          <w:sz w:val="56"/>
          <w:szCs w:val="72"/>
        </w:rPr>
      </w:pPr>
    </w:p>
    <w:p>
      <w:pPr>
        <w:widowControl/>
        <w:spacing w:before="0" w:beforeAutospacing="0" w:after="0" w:afterAutospacing="0" w:line="360" w:lineRule="auto"/>
        <w:jc w:val="center"/>
        <w:rPr>
          <w:rFonts w:ascii="Times New Roman" w:eastAsia="楷体_GB2312" w:hAnsi="Times New Roman"/>
          <w:b w:val="0"/>
          <w:sz w:val="44"/>
          <w:szCs w:val="44"/>
        </w:rPr>
      </w:pPr>
      <w:r>
        <w:rPr>
          <w:rFonts w:ascii="Times New Roman" w:eastAsia="楷体_GB2312" w:hAnsi="Times New Roman"/>
          <w:b w:val="0"/>
          <w:sz w:val="44"/>
          <w:szCs w:val="44"/>
        </w:rPr>
        <w:t>行唐县重点项目服务中心</w:t>
      </w:r>
    </w:p>
    <w:p>
      <w:pPr>
        <w:widowControl/>
        <w:spacing w:before="0" w:beforeAutospacing="0" w:after="0" w:afterAutospacing="0" w:line="360" w:lineRule="auto"/>
        <w:jc w:val="center"/>
        <w:rPr>
          <w:rFonts w:ascii="Times New Roman" w:eastAsia="楷体_GB2312" w:hAnsi="Times New Roman"/>
          <w:sz w:val="44"/>
          <w:szCs w:val="44"/>
        </w:rPr>
      </w:pPr>
      <w:r>
        <w:rPr>
          <w:rFonts w:ascii="Times New Roman" w:eastAsia="楷体_GB2312" w:hAnsi="Times New Roman"/>
          <w:b w:val="0"/>
          <w:sz w:val="44"/>
          <w:szCs w:val="44"/>
        </w:rPr>
        <w:t>二〇二五年八月</w:t>
      </w:r>
    </w:p>
    <w:p>
      <w:pPr>
        <w:snapToGrid w:val="0"/>
        <w:jc w:val="left"/>
        <w:rPr>
          <w:rFonts w:ascii="楷体_GB2312" w:eastAsia="楷体_GB2312" w:cs="楷体_GB2312" w:hAnsi="楷体_GB2312" w:hint="eastAsia"/>
          <w:color w:val="000000"/>
          <w:kern w:val="0"/>
          <w:sz w:val="44"/>
          <w:szCs w:val="44"/>
          <w14:shadow w14:sx="100000" w14:sy="100000" w14:blurRad="38100" w14:dir="2700000" w14:dist="19050" w14:algn="tl">
            <w14:srgbClr w14:val="000000">
              <w14:alpha w14:val="60000"/>
            </w14:srgbClr>
          </w14:shadow>
          <w:lang w:val="en-US" w:eastAsia="zh-CN"/>
        </w:rPr>
      </w:pPr>
    </w:p>
    <w:p>
      <w:pPr>
        <w:snapToGrid w:val="0"/>
        <w:jc w:val="left"/>
        <w:rPr>
          <w:rFonts w:ascii="楷体_GB2312" w:eastAsia="楷体_GB2312" w:cs="楷体_GB2312" w:hAnsi="楷体_GB2312"/>
          <w:color w:val="000000"/>
          <w:kern w:val="0"/>
          <w:sz w:val="44"/>
          <w:szCs w:val="44"/>
          <w14:shadow w14:sx="100000" w14:sy="100000" w14:blurRad="38100" w14:dir="2700000" w14:dist="19050" w14:algn="tl">
            <w14:srgbClr w14:val="000000">
              <w14:alpha w14:val="60000"/>
            </w14:srgbClr>
          </w14:shadow>
          <w:lang w:val="en-US" w:eastAsia="zh-CN"/>
        </w:rPr>
        <w:sectPr>
          <w:footerReference w:type="default" r:id="rId4"/>
          <w:pgSz w:w="11906" w:h="16838"/>
          <w:pgMar w:top="1531" w:right="1984" w:bottom="1531" w:left="2098" w:header="851" w:footer="992" w:gutter="0"/>
          <w:pgNumType w:start="1"/>
          <w:docGrid w:type="lines" w:linePitch="312" w:charSpace="0"/>
        </w:sectPr>
      </w:pPr>
    </w:p>
    <w:p>
      <w:pPr>
        <w:widowControl/>
        <w:spacing w:line="600" w:lineRule="exact"/>
        <w:jc w:val="left"/>
        <w:rPr>
          <w:rFonts w:ascii="黑体" w:eastAsia="黑体" w:cs="黑体" w:hAnsi="黑体"/>
          <w:bCs/>
          <w:sz w:val="32"/>
          <w:szCs w:val="32"/>
        </w:rPr>
      </w:pPr>
    </w:p>
    <w:p>
      <w:pPr>
        <w:tabs>
          <w:tab w:val="left" w:pos="2728"/>
        </w:tabs>
        <w:jc w:val="center"/>
        <w:rPr>
          <w:rFonts w:ascii="黑体" w:eastAsia="黑体" w:cs="Times New Roman" w:hAnsi="Times New Roman"/>
          <w:sz w:val="48"/>
          <w:szCs w:val="48"/>
        </w:r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目    录</w:t>
      </w:r>
    </w:p>
    <w:p>
      <w:pPr>
        <w:widowControl/>
        <w:spacing w:after="160" w:line="580" w:lineRule="exact"/>
        <w:ind w:firstLineChars="200" w:firstLine="640"/>
        <w:rPr>
          <w:rFonts w:ascii="Times New Roman" w:eastAsia="黑体" w:cs="Times New Roman" w:hAnsi="Times New Roman"/>
          <w:sz w:val="32"/>
          <w:szCs w:val="32"/>
        </w:rPr>
      </w:pP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第一部分   单位概况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一、单位职责</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二、机构设置</w:t>
      </w:r>
    </w:p>
    <w:p>
      <w:pPr>
        <w:widowControl/>
        <w:spacing w:before="0" w:beforeAutospacing="0" w:after="0" w:afterAutospacing="0" w:line="360" w:lineRule="auto"/>
        <w:jc w:val="left"/>
        <w:outlineLvl w:val="0"/>
        <w:rPr>
          <w:rFonts w:ascii="Times New Roman" w:eastAsia="黑体" w:hAnsi="Times New Roman"/>
          <w:sz w:val="32"/>
          <w:szCs w:val="32"/>
        </w:rPr>
      </w:pPr>
      <w:r>
        <w:rPr>
          <w:rFonts w:ascii="Times New Roman" w:eastAsia="黑体" w:hAnsi="Times New Roman"/>
          <w:b w:val="0"/>
          <w:sz w:val="32"/>
          <w:szCs w:val="32"/>
        </w:rPr>
        <w:t>第二部分   2024年度部门决算报表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一、收入支出决算总表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二、收入决算表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三、支出决算表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四、财政拨款收入支出决算总表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五、一般公共预算财政拨款支出决算表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六、一般公共预算财政拨款基本支出决算明细表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七、政府性基金预算财政拨款收入支出决算表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八、国有资本经营预算财政拨款支出决算表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九、财政拨款“三公”经费支出决算表</w:t>
      </w: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第三部分   2024年度部门决算情况说明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二、收入决算情况说明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三、支出决算情况说明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四、财政拨款收入支出决算总体情况说明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五、财政拨款“三公”经费支出决算情况说明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六、机关运行经费支出说明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七、政府采购支出说明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八、国有资产占用情况说明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九、关于2024年度绩效评价情况的说明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十、其他需要说明的情况</w:t>
      </w: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第四部分   名词解释</w:t>
      </w:r>
    </w:p>
    <w:p>
      <w:pPr>
        <w:widowControl/>
        <w:spacing w:after="160" w:line="580" w:lineRule="exact"/>
        <w:rPr>
          <w:rFonts w:ascii="Times New Roman" w:eastAsia="黑体" w:cs="Times New Roman" w:hAnsi="Times New Roman" w:hint="eastAsia"/>
          <w:sz w:val="32"/>
          <w:szCs w:val="32"/>
          <w:lang w:val="en-US" w:eastAsia="zh-CN"/>
        </w:rPr>
        <w:sectPr>
          <w:headerReference w:type="default" r:id="rId5"/>
          <w:headerReference w:type="first" r:id="rId6"/>
          <w:footerReference w:type="default" r:id="rId7"/>
          <w:footerReference w:type="first" r:id="rId8"/>
          <w:pgSz w:w="11906" w:h="16838"/>
          <w:pgMar w:top="1474" w:right="1531" w:bottom="1474" w:left="1531" w:header="851" w:footer="992" w:gutter="0"/>
          <w:titlePg/>
          <w:docGrid w:type="lines" w:linePitch="312" w:charSpace="0"/>
        </w:sect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第一部分   单位概况</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一、单位职责</w:t>
      </w:r>
    </w:p>
    <w:p>
      <w:pPr>
        <w:autoSpaceDN w:val="0"/>
        <w:spacing w:line="560" w:lineRule="exact"/>
        <w:ind w:firstLineChars="200" w:firstLine="640"/>
        <w:rPr>
          <w:rFonts w:ascii="等线" w:eastAsia="等线" w:cs="Arial" w:hint="eastAsia"/>
          <w:szCs w:val="22"/>
        </w:rPr>
      </w:pPr>
      <w:r>
        <w:rPr>
          <w:rFonts w:ascii="仿宋_GB2312" w:eastAsia="仿宋_GB2312" w:cs="仿宋_GB2312" w:hint="eastAsia"/>
          <w:color w:val="000000"/>
          <w:sz w:val="32"/>
          <w:szCs w:val="32"/>
        </w:rPr>
        <w:t>谋划、实施全县重点项目建设计划，制定县级领导和责任部门分包方案；申报争列省、市重点项目，掌握重点项目进展情况，做好日常统计月报工作；组织做好项目集中开工和项目观摩拉练活动；做好与统计部门的联系沟通，掌握日常产业项目入统情况</w:t>
      </w:r>
      <w:r>
        <w:rPr>
          <w:rFonts w:ascii="仿宋_GB2312" w:eastAsia="仿宋_GB2312" w:cs="仿宋_GB2312"/>
          <w:color w:val="000000"/>
          <w:sz w:val="32"/>
          <w:szCs w:val="32"/>
        </w:rPr>
        <w:t>，</w:t>
      </w:r>
      <w:r>
        <w:rPr>
          <w:rFonts w:ascii="仿宋_GB2312" w:eastAsia="仿宋_GB2312" w:cs="仿宋_GB2312" w:hint="eastAsia"/>
          <w:color w:val="000000"/>
          <w:sz w:val="32"/>
          <w:szCs w:val="32"/>
        </w:rPr>
        <w:t>培育</w:t>
      </w:r>
      <w:r>
        <w:rPr>
          <w:rFonts w:ascii="仿宋_GB2312" w:eastAsia="仿宋_GB2312" w:cs="仿宋_GB2312" w:hint="eastAsia"/>
          <w:sz w:val="32"/>
          <w:szCs w:val="32"/>
        </w:rPr>
        <w:t>新建规上工业企业入统</w:t>
      </w:r>
      <w:r>
        <w:rPr>
          <w:rFonts w:ascii="仿宋_GB2312" w:eastAsia="仿宋_GB2312" w:cs="仿宋_GB2312"/>
          <w:sz w:val="32"/>
          <w:szCs w:val="32"/>
        </w:rPr>
        <w:t>；</w:t>
      </w:r>
      <w:r>
        <w:rPr>
          <w:rFonts w:ascii="仿宋_GB2312" w:eastAsia="仿宋_GB2312" w:cs="仿宋_GB2312" w:hint="eastAsia"/>
          <w:sz w:val="32"/>
          <w:szCs w:val="32"/>
        </w:rPr>
        <w:t>推进“20项民生工程”。</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二、机构设置</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从决算编报单位构成看，纳入2024年度本部门决算汇编范围的独立核算单位（以下简称“单位”）共1个，具体情况如下：</w:t>
      </w:r>
    </w:p>
    <w:tbl>
      <w:tblPr>
        <w:tblpPr w:leftFromText="180" w:rightFromText="180" w:vertAnchor="text" w:horzAnchor="page" w:tblpXSpec="center" w:tblpY="10"/>
        <w:tblOverlap w:val="never"/>
        <w:tblW w:w="8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1"/>
        <w:gridCol w:w="3619"/>
        <w:gridCol w:w="2751"/>
        <w:gridCol w:w="1315"/>
      </w:tblGrid>
      <w:tr>
        <w:trPr>
          <w:trHeight w:val="811"/>
        </w:trPr>
        <w:tc>
          <w:tcPr>
            <w:tcW w:w="851"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序号</w:t>
            </w:r>
          </w:p>
        </w:tc>
        <w:tc>
          <w:tcPr>
            <w:tcW w:w="3619"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单位名称</w:t>
            </w:r>
          </w:p>
        </w:tc>
        <w:tc>
          <w:tcPr>
            <w:tcW w:w="2751"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单位基本性质</w:t>
            </w:r>
          </w:p>
        </w:tc>
        <w:tc>
          <w:tcPr>
            <w:tcW w:w="1315"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经费形式</w:t>
            </w:r>
          </w:p>
        </w:tc>
      </w:tr>
      <w:tr>
        <w:trPr>
          <w:trHeight w:val="596"/>
        </w:trPr>
        <w:tc>
          <w:tcPr>
            <w:tcW w:w="851"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1</w:t>
            </w:r>
          </w:p>
        </w:tc>
        <w:tc>
          <w:tcPr>
            <w:tcW w:w="3619"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行唐县重点项目服务中心</w:t>
            </w:r>
          </w:p>
        </w:tc>
        <w:tc>
          <w:tcPr>
            <w:tcW w:w="2751"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sz w:val="28"/>
                <w:szCs w:val="28"/>
              </w:rPr>
              <w:t>财政补助事业单位</w:t>
            </w:r>
          </w:p>
        </w:tc>
        <w:tc>
          <w:tcPr>
            <w:tcW w:w="131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全额</w:t>
            </w:r>
          </w:p>
        </w:tc>
      </w:tr>
    </w:tbl>
    <w:p>
      <w:pPr>
        <w:rPr>
          <w:rFonts w:ascii="Times New Roman" w:eastAsia="黑体" w:cs="Times New Roman" w:hAnsi="Times New Roman" w:hint="eastAsia"/>
          <w:sz w:val="32"/>
          <w:szCs w:val="32"/>
        </w:rPr>
      </w:pPr>
      <w:r>
        <w:rPr>
          <w:rFonts w:ascii="Times New Roman" w:eastAsia="黑体" w:cs="Times New Roman" w:hAnsi="Times New Roman" w:hint="eastAsia"/>
          <w:sz w:val="32"/>
          <w:szCs w:val="32"/>
        </w:rPr>
        <w:br w:type="page"/>
      </w: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第二部分   </w:t>
      </w:r>
      <w:r>
        <w:rPr>
          <w:rFonts w:ascii="Times New Roman" w:eastAsia="仿宋_GB2312" w:hAnsi="Times New Roman"/>
          <w:b w:val="0"/>
          <w:sz w:val="44"/>
          <w:szCs w:val="44"/>
        </w:rPr>
        <w:t>2024</w:t>
      </w:r>
      <w:r>
        <w:rPr>
          <w:rFonts w:ascii="Times New Roman" w:eastAsia="黑体" w:hAnsi="Times New Roman"/>
          <w:b w:val="0"/>
          <w:sz w:val="44"/>
          <w:szCs w:val="44"/>
        </w:rPr>
        <w:t>年度部门决算表</w:t>
      </w:r>
    </w:p>
    <w:tbl>
      <w:tblPr>
        <w:jc w:val="left"/>
        <w:tblInd w:w="-1817" w:type="dxa"/>
        <w:tblW w:w="7250"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3345"/>
        <w:gridCol w:w="623"/>
        <w:gridCol w:w="613"/>
        <w:gridCol w:w="1318"/>
        <w:gridCol w:w="1626"/>
        <w:gridCol w:w="1549"/>
        <w:gridCol w:w="623"/>
        <w:gridCol w:w="1931"/>
        <w:gridCol w:w="35"/>
      </w:tblGrid>
      <w:tr>
        <w:trPr>
          <w:trHeight w:val="361"/>
          <w:gridAfter w:val="1"/>
          <w:wAfter w:w="35" w:type="dxa"/>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收入支出决算总表</w:t>
            </w:r>
          </w:p>
        </w:tc>
      </w:tr>
      <w:tr>
        <w:trPr>
          <w:trHeight w:val="357"/>
          <w:gridAfter w:val="1"/>
          <w:wAfter w:w="35" w:type="dxa"/>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公开</w:t>
            </w:r>
            <w:r>
              <w:rPr>
                <w:rFonts w:ascii="Times New Roman" w:eastAsia="宋体" w:cs="Times New Roman" w:hAnsi="Times New Roman" w:hint="eastAsia"/>
                <w:i w:val="0"/>
                <w:iCs w:val="0"/>
                <w:color w:val="000000"/>
                <w:sz w:val="20"/>
                <w:szCs w:val="20"/>
                <w:u w:val="none"/>
                <w:lang w:val="en-US" w:eastAsia="zh-CN"/>
                <w:highlight w:val="auto"/>
              </w:rPr>
              <w:t>01</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51"/>
          <w:gridAfter w:val="1"/>
          <w:wAfter w:w="35" w:type="dxa"/>
        </w:trPr>
        <w:tc>
          <w:tcPr>
            <w:tcW w:w="1964" w:type="pct"/>
            <w:gridSpan w:val="3"/>
            <w:tcBorders>
              <w:top w:val="nil"/>
              <w:left w:val="nil"/>
              <w:bottom w:val="single" w:sz="4" w:space="0" w:color="auto"/>
              <w:right w:val="nil"/>
            </w:tcBorders>
            <w:noWrap/>
            <w:vAlign w:val="bottom"/>
          </w:tcPr>
          <w:p>
            <w:pPr>
              <w:jc w:val="both"/>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部门（单位）：行唐县重点项目服务中心</w:t>
            </w:r>
          </w:p>
        </w:tc>
        <w:tc>
          <w:tcPr>
            <w:tcW w:w="1262" w:type="pct"/>
            <w:gridSpan w:val="2"/>
            <w:tcBorders>
              <w:top w:val="nil"/>
              <w:left w:val="nil"/>
              <w:bottom w:val="single" w:sz="4" w:space="0" w:color="auto"/>
              <w:right w:val="nil"/>
            </w:tcBorders>
            <w:noWrap/>
            <w:vAlign w:val="bottom"/>
          </w:tcPr>
          <w:p>
            <w:pPr>
              <w:jc w:val="center"/>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hint="eastAsia"/>
                <w:i w:val="0"/>
                <w:iCs w:val="0"/>
                <w:color w:val="000000"/>
                <w:sz w:val="20"/>
                <w:szCs w:val="20"/>
                <w:u w:val="none"/>
                <w:lang w:val="en-US" w:eastAsia="zh-CN"/>
                <w:highlight w:val="auto"/>
              </w:rPr>
              <w:t>2024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757" w:type="pct"/>
            <w:gridSpan w:val="3"/>
            <w:tcBorders>
              <w:top w:val="nil"/>
              <w:left w:val="nil"/>
              <w:bottom w:val="single" w:sz="4" w:space="0" w:color="auto"/>
              <w:right w:val="nil"/>
            </w:tcBorders>
            <w:noWrap/>
            <w:vAlign w:val="bottom"/>
          </w:tcPr>
          <w:p>
            <w:pPr>
              <w:jc w:val="right"/>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44"/>
          <w:gridAfter w:val="1"/>
          <w:wAfter w:w="35" w:type="dxa"/>
        </w:trPr>
        <w:tc>
          <w:tcPr>
            <w:tcW w:w="2529" w:type="pct"/>
            <w:gridSpan w:val="4"/>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收入</w:t>
            </w:r>
          </w:p>
        </w:tc>
        <w:tc>
          <w:tcPr>
            <w:tcW w:w="2456" w:type="pct"/>
            <w:gridSpan w:val="4"/>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支出</w:t>
            </w:r>
          </w:p>
        </w:tc>
      </w:tr>
      <w:tr>
        <w:trPr>
          <w:trHeight w:val="308"/>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82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决算数</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82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决算数</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267"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82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Times New Roman" w:eastAsia="宋体" w:cs="Times New Roman" w:hAnsi="Times New Roman" w:hint="eastAsia"/>
                <w:i w:val="0"/>
                <w:iCs w:val="0"/>
                <w:color w:val="000000"/>
                <w:sz w:val="20"/>
                <w:szCs w:val="20"/>
                <w:u w:val="none"/>
                <w:lang w:val="en-US" w:eastAsia="zh-CN"/>
                <w:highlight w:val="auto"/>
              </w:rPr>
              <w:t>1</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267"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82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Times New Roman" w:eastAsia="宋体" w:cs="Times New Roman" w:hAnsi="Times New Roman" w:hint="eastAsia"/>
                <w:i w:val="0"/>
                <w:iCs w:val="0"/>
                <w:color w:val="000000"/>
                <w:sz w:val="20"/>
                <w:szCs w:val="20"/>
                <w:u w:val="none"/>
                <w:lang w:val="en-US" w:eastAsia="zh-CN"/>
                <w:highlight w:val="auto"/>
              </w:rPr>
              <w:t>2</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宋体" w:eastAsia="宋体" w:cs="宋体" w:hAnsi="宋体"/>
                <w:i w:val="0"/>
                <w:iCs w:val="0"/>
                <w:color w:val="000000"/>
                <w:sz w:val="20"/>
                <w:szCs w:val="20"/>
                <w:u w:val="none"/>
                <w:lang w:val="en-US" w:eastAsia="zh-CN"/>
                <w:highlight w:val="auto"/>
              </w:rPr>
              <w:t>1</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一、一般公共服务支出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32</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71.85</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二、外交支出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33</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三、国防支出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34</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四、上级补助收入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四、公共安全支出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35</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五、事业收入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五、教育支出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36</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六、经营收入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六、科学技术支出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37</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139.02</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七、附属单位上缴收入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7</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七、文化旅游体育与传媒支出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38</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八、其他收入</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8</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八、社会保障和就业支出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39</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5.59</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9</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九、卫生健康支出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40</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2.66</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10</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十、节能环保支出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41</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11</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十一、城乡社区支出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42</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12</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十二、农林水支出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43</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13</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十三、交通运输支出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44</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auto"/>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14</w:t>
            </w:r>
          </w:p>
        </w:tc>
        <w:tc>
          <w:tcPr>
            <w:tcW w:w="826" w:type="pct"/>
            <w:gridSpan w:val="2"/>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auto"/>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十四、资源勘探工业信息等支出</w:t>
            </w:r>
          </w:p>
        </w:tc>
        <w:tc>
          <w:tcPr>
            <w:tcW w:w="267"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45</w:t>
            </w:r>
          </w:p>
        </w:tc>
        <w:tc>
          <w:tcPr>
            <w:tcW w:w="826"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15</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十五、商业服务业等支出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46</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16</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十六、金融支出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47</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17</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十七、援助其他地区支出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48</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18</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十八、自然资源海洋气象等支出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49</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19</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十九、住房保障支出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50</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4.30</w:t>
            </w:r>
          </w:p>
        </w:tc>
      </w:tr>
      <w:tr>
        <w:trPr>
          <w:trHeight w:val="476"/>
          <w:gridAfter w:val="1"/>
          <w:wAfter w:w="35" w:type="dxa"/>
        </w:trPr>
        <w:tc>
          <w:tcPr>
            <w:tcW w:w="1434"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20</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二十、粮油物资储备支出</w:t>
            </w:r>
          </w:p>
        </w:tc>
        <w:tc>
          <w:tcPr>
            <w:tcW w:w="267"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51</w:t>
            </w:r>
          </w:p>
        </w:tc>
        <w:tc>
          <w:tcPr>
            <w:tcW w:w="826"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single" w:sz="4" w:space="0" w:color="auto"/>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21</w:t>
            </w:r>
          </w:p>
        </w:tc>
        <w:tc>
          <w:tcPr>
            <w:tcW w:w="826" w:type="pct"/>
            <w:gridSpan w:val="2"/>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二十一、国有资本经营预算支出</w:t>
            </w:r>
          </w:p>
        </w:tc>
        <w:tc>
          <w:tcPr>
            <w:tcW w:w="267"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52</w:t>
            </w:r>
          </w:p>
        </w:tc>
        <w:tc>
          <w:tcPr>
            <w:tcW w:w="826"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22</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二十二、灾害防治及应急管理支出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53</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23</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二十三、其他支出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54</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24</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二十四、债务还本支出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55</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25</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二十五、债务付息支出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56</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26</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二十六、抗疫特别国债安排的支出</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57</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本年收入合计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27</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本年支出合计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58</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使用非财政拨款结余（含专用结余）</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28</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结余分配</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59</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年初结转和结余</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29</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年末结转和结余</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60</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30</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pP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61</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gridAfter w:val="1"/>
          <w:wAfter w:w="35" w:type="dxa"/>
        </w:trPr>
        <w:tc>
          <w:tcPr>
            <w:tcW w:w="143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31</w:t>
            </w:r>
          </w:p>
        </w:tc>
        <w:tc>
          <w:tcPr>
            <w:tcW w:w="82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136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62</w:t>
            </w:r>
          </w:p>
        </w:tc>
        <w:tc>
          <w:tcPr>
            <w:tcW w:w="82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r>
      <w:tr>
        <w:trPr>
          <w:trHeight w:val="308"/>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注：1.本表反映部门本年度的总收支和年末结转结余情况。</w:t>
            </w:r>
          </w:p>
          <w:p>
            <w:pPr>
              <w:keepNext w:val="0"/>
              <w:keepLines w:val="0"/>
              <w:widowControl/>
              <w:suppressLineNumbers w:val="0"/>
              <w:ind w:firstLineChars="200" w:firstLine="40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center"/>
        <w:tblW w:w="9230"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rPr>
          <w:trHeight w:val="550"/>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收入决算表</w:t>
            </w:r>
          </w:p>
        </w:tc>
      </w:tr>
      <w:tr>
        <w:trPr>
          <w:trHeight w:val="300"/>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hint="eastAsia"/>
                <w:i w:val="0"/>
                <w:iCs w:val="0"/>
                <w:color w:val="000000"/>
                <w:sz w:val="20"/>
                <w:szCs w:val="20"/>
                <w:u w:val="none"/>
                <w:lang w:val="en-US" w:eastAsia="zh-CN"/>
                <w:highlight w:val="auto"/>
              </w:rPr>
              <w:t>02</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3237" w:type="dxa"/>
            <w:gridSpan w:val="3"/>
            <w:tcBorders>
              <w:top w:val="nil"/>
              <w:left w:val="nil"/>
              <w:bottom w:val="single" w:sz="4" w:space="0" w:color="auto"/>
              <w:right w:val="nil"/>
            </w:tcBorders>
            <w:noWrap/>
            <w:vAlign w:val="bottom"/>
          </w:tcPr>
          <w:p>
            <w:pP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部门（单位）：行唐县重点项目服务中心                                                                                                         </w:t>
            </w:r>
          </w:p>
        </w:tc>
        <w:tc>
          <w:tcPr>
            <w:tcW w:w="3405" w:type="dxa"/>
            <w:gridSpan w:val="4"/>
            <w:tcBorders>
              <w:top w:val="nil"/>
              <w:left w:val="nil"/>
              <w:bottom w:val="single" w:sz="4" w:space="0" w:color="auto"/>
              <w:right w:val="nil"/>
            </w:tcBorders>
            <w:noWrap/>
            <w:vAlign w:val="bottom"/>
          </w:tcPr>
          <w:p>
            <w:pPr>
              <w:jc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Times New Roman" w:eastAsia="方正仿宋_GB2312" w:cs="Times New Roman" w:hAnsi="Times New Roman"/>
                <w:i w:val="0"/>
                <w:iCs w:val="0"/>
                <w:color w:val="000000"/>
                <w:sz w:val="20"/>
                <w:szCs w:val="20"/>
                <w:u w:val="none"/>
                <w:lang w:val="en-US" w:eastAsia="zh-CN"/>
                <w:highlight w:val="auto"/>
              </w:rPr>
              <w:t>202</w:t>
            </w:r>
            <w:r>
              <w:rPr>
                <w:rFonts w:ascii="Times New Roman" w:eastAsia="方正仿宋_GB2312" w:cs="Times New Roman" w:hAnsi="Times New Roman" w:hint="eastAsia"/>
                <w:i w:val="0"/>
                <w:iCs w:val="0"/>
                <w:color w:val="00000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2588" w:type="dxa"/>
            <w:gridSpan w:val="3"/>
            <w:tcBorders>
              <w:top w:val="nil"/>
              <w:left w:val="nil"/>
              <w:bottom w:val="single" w:sz="4" w:space="0" w:color="auto"/>
              <w:right w:val="nil"/>
            </w:tcBorders>
            <w:noWrap/>
            <w:vAlign w:val="bottom"/>
          </w:tcPr>
          <w:p>
            <w:pPr>
              <w:jc w:val="right"/>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10"/>
        </w:trPr>
        <w:tc>
          <w:tcPr>
            <w:tcW w:w="2200" w:type="dxa"/>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103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本年收入合计</w:t>
            </w:r>
          </w:p>
        </w:tc>
        <w:tc>
          <w:tcPr>
            <w:tcW w:w="103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财政拨款收入</w:t>
            </w:r>
          </w:p>
        </w:tc>
        <w:tc>
          <w:tcPr>
            <w:tcW w:w="103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上级补助收入</w:t>
            </w:r>
          </w:p>
        </w:tc>
        <w:tc>
          <w:tcPr>
            <w:tcW w:w="964" w:type="dxa"/>
            <w:vMerge w:val="restart"/>
            <w:tcBorders>
              <w:top w:val="single" w:sz="4" w:space="0" w:color="auto"/>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事业收入</w:t>
            </w:r>
          </w:p>
        </w:tc>
        <w:tc>
          <w:tcPr>
            <w:tcW w:w="964" w:type="dxa"/>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经营收入</w:t>
            </w:r>
          </w:p>
        </w:tc>
        <w:tc>
          <w:tcPr>
            <w:tcW w:w="1027"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附属单位上缴收入</w:t>
            </w:r>
          </w:p>
        </w:tc>
        <w:tc>
          <w:tcPr>
            <w:tcW w:w="964" w:type="dxa"/>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其他收入</w:t>
            </w:r>
          </w:p>
        </w:tc>
      </w:tr>
      <w:tr>
        <w:trPr>
          <w:trHeight w:val="312"/>
        </w:trPr>
        <w:tc>
          <w:tcPr>
            <w:tcW w:w="1040" w:type="dxa"/>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1160" w:type="dxa"/>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964" w:type="dxa"/>
            <w:vMerge/>
            <w:tcBorders>
              <w:left w:val="nil"/>
              <w:right w:val="single" w:sz="4" w:space="0" w:color="000000"/>
            </w:tcBorders>
            <w:noWrap/>
            <w:vAlign w:val="center"/>
          </w:tcPr>
          <w:p/>
        </w:tc>
        <w:tc>
          <w:tcPr>
            <w:tcW w:w="964" w:type="dxa"/>
            <w:gridSpan w:val="2"/>
            <w:vMerge/>
            <w:tcBorders>
              <w:top w:val="single" w:sz="4" w:space="0" w:color="000000"/>
              <w:left w:val="nil"/>
              <w:bottom w:val="single" w:sz="4" w:space="0" w:color="000000"/>
              <w:right w:val="single" w:sz="4" w:space="0" w:color="000000"/>
            </w:tcBorders>
            <w:noWrap/>
            <w:vAlign w:val="center"/>
          </w:tcPr>
          <w:p/>
        </w:tc>
        <w:tc>
          <w:tcPr>
            <w:tcW w:w="1027" w:type="dxa"/>
            <w:vMerge/>
            <w:tcBorders>
              <w:top w:val="single" w:sz="4" w:space="0" w:color="000000"/>
              <w:left w:val="nil"/>
              <w:bottom w:val="single" w:sz="4" w:space="0" w:color="000000"/>
              <w:right w:val="single" w:sz="4" w:space="0" w:color="000000"/>
            </w:tcBorders>
            <w:noWrap/>
            <w:vAlign w:val="center"/>
          </w:tcPr>
          <w:p/>
        </w:tc>
        <w:tc>
          <w:tcPr>
            <w:tcW w:w="964" w:type="dxa"/>
            <w:vMerge/>
            <w:tcBorders>
              <w:top w:val="single" w:sz="4" w:space="0" w:color="000000"/>
              <w:left w:val="nil"/>
              <w:bottom w:val="single" w:sz="4" w:space="0" w:color="000000"/>
              <w:right w:val="single" w:sz="4" w:space="0" w:color="000000"/>
            </w:tcBorders>
            <w:noWrap/>
            <w:vAlign w:val="center"/>
          </w:tcPr>
          <w:p/>
        </w:tc>
      </w:tr>
      <w:tr>
        <w:trPr>
          <w:trHeight w:val="312"/>
        </w:trPr>
        <w:tc>
          <w:tcPr>
            <w:tcW w:w="1040" w:type="dxa"/>
            <w:vMerge/>
            <w:tcBorders>
              <w:top w:val="nil"/>
              <w:left w:val="single" w:sz="4" w:space="0" w:color="000000"/>
              <w:bottom w:val="single" w:sz="4" w:space="0" w:color="000000"/>
              <w:right w:val="single" w:sz="4" w:space="0" w:color="000000"/>
            </w:tcBorders>
            <w:noWrap/>
            <w:vAlign w:val="center"/>
          </w:tcPr>
          <w:p/>
        </w:tc>
        <w:tc>
          <w:tcPr>
            <w:tcW w:w="1160" w:type="dxa"/>
            <w:vMerge/>
            <w:tcBorders>
              <w:top w:val="nil"/>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964" w:type="dxa"/>
            <w:vMerge/>
            <w:tcBorders>
              <w:left w:val="nil"/>
              <w:right w:val="single" w:sz="4" w:space="0" w:color="000000"/>
            </w:tcBorders>
            <w:noWrap/>
            <w:vAlign w:val="center"/>
          </w:tcPr>
          <w:p/>
        </w:tc>
        <w:tc>
          <w:tcPr>
            <w:tcW w:w="964" w:type="dxa"/>
            <w:gridSpan w:val="2"/>
            <w:vMerge/>
            <w:tcBorders>
              <w:top w:val="single" w:sz="4" w:space="0" w:color="000000"/>
              <w:left w:val="nil"/>
              <w:bottom w:val="single" w:sz="4" w:space="0" w:color="000000"/>
              <w:right w:val="single" w:sz="4" w:space="0" w:color="000000"/>
            </w:tcBorders>
            <w:noWrap/>
            <w:vAlign w:val="center"/>
          </w:tcPr>
          <w:p/>
        </w:tc>
        <w:tc>
          <w:tcPr>
            <w:tcW w:w="1027" w:type="dxa"/>
            <w:vMerge/>
            <w:tcBorders>
              <w:top w:val="single" w:sz="4" w:space="0" w:color="000000"/>
              <w:left w:val="nil"/>
              <w:bottom w:val="single" w:sz="4" w:space="0" w:color="000000"/>
              <w:right w:val="single" w:sz="4" w:space="0" w:color="000000"/>
            </w:tcBorders>
            <w:noWrap/>
            <w:vAlign w:val="center"/>
          </w:tcPr>
          <w:p/>
        </w:tc>
        <w:tc>
          <w:tcPr>
            <w:tcW w:w="964" w:type="dxa"/>
            <w:vMerge/>
            <w:tcBorders>
              <w:top w:val="single" w:sz="4" w:space="0" w:color="000000"/>
              <w:left w:val="nil"/>
              <w:bottom w:val="single" w:sz="4" w:space="0" w:color="000000"/>
              <w:right w:val="single" w:sz="4" w:space="0" w:color="000000"/>
            </w:tcBorders>
            <w:noWrap/>
            <w:vAlign w:val="center"/>
          </w:tcPr>
          <w:p/>
        </w:tc>
      </w:tr>
      <w:tr>
        <w:trPr>
          <w:trHeight w:val="312"/>
        </w:trPr>
        <w:tc>
          <w:tcPr>
            <w:tcW w:w="1040" w:type="dxa"/>
            <w:vMerge/>
            <w:tcBorders>
              <w:top w:val="nil"/>
              <w:left w:val="single" w:sz="4" w:space="0" w:color="000000"/>
              <w:bottom w:val="single" w:sz="4" w:space="0" w:color="000000"/>
              <w:right w:val="single" w:sz="4" w:space="0" w:color="000000"/>
            </w:tcBorders>
            <w:noWrap/>
            <w:vAlign w:val="center"/>
          </w:tcPr>
          <w:p/>
        </w:tc>
        <w:tc>
          <w:tcPr>
            <w:tcW w:w="1160" w:type="dxa"/>
            <w:vMerge/>
            <w:tcBorders>
              <w:top w:val="nil"/>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1037" w:type="dxa"/>
            <w:vMerge/>
            <w:tcBorders>
              <w:top w:val="single" w:sz="4" w:space="0" w:color="000000"/>
              <w:left w:val="nil"/>
              <w:bottom w:val="single" w:sz="4" w:space="0" w:color="000000"/>
              <w:right w:val="single" w:sz="4" w:space="0" w:color="000000"/>
            </w:tcBorders>
            <w:noWrap/>
            <w:vAlign w:val="center"/>
          </w:tcPr>
          <w:p/>
        </w:tc>
        <w:tc>
          <w:tcPr>
            <w:tcW w:w="964" w:type="dxa"/>
            <w:vMerge/>
            <w:tcBorders>
              <w:left w:val="nil"/>
              <w:bottom w:val="single" w:sz="4" w:space="0" w:color="000000"/>
              <w:right w:val="single" w:sz="4" w:space="0" w:color="000000"/>
            </w:tcBorders>
            <w:noWrap/>
            <w:vAlign w:val="center"/>
          </w:tcPr>
          <w:p/>
        </w:tc>
        <w:tc>
          <w:tcPr>
            <w:tcW w:w="964" w:type="dxa"/>
            <w:gridSpan w:val="2"/>
            <w:vMerge/>
            <w:tcBorders>
              <w:top w:val="single" w:sz="4" w:space="0" w:color="000000"/>
              <w:left w:val="nil"/>
              <w:bottom w:val="single" w:sz="4" w:space="0" w:color="000000"/>
              <w:right w:val="single" w:sz="4" w:space="0" w:color="000000"/>
            </w:tcBorders>
            <w:noWrap/>
            <w:vAlign w:val="center"/>
          </w:tcPr>
          <w:p/>
        </w:tc>
        <w:tc>
          <w:tcPr>
            <w:tcW w:w="1027" w:type="dxa"/>
            <w:vMerge/>
            <w:tcBorders>
              <w:top w:val="single" w:sz="4" w:space="0" w:color="000000"/>
              <w:left w:val="nil"/>
              <w:bottom w:val="single" w:sz="4" w:space="0" w:color="000000"/>
              <w:right w:val="single" w:sz="4" w:space="0" w:color="000000"/>
            </w:tcBorders>
            <w:noWrap/>
            <w:vAlign w:val="center"/>
          </w:tcPr>
          <w:p/>
        </w:tc>
        <w:tc>
          <w:tcPr>
            <w:tcW w:w="964" w:type="dxa"/>
            <w:vMerge/>
            <w:tcBorders>
              <w:top w:val="single" w:sz="4" w:space="0" w:color="000000"/>
              <w:left w:val="nil"/>
              <w:bottom w:val="single" w:sz="4" w:space="0" w:color="000000"/>
              <w:right w:val="single" w:sz="4" w:space="0" w:color="000000"/>
            </w:tcBorders>
            <w:noWrap/>
            <w:vAlign w:val="center"/>
          </w:tcPr>
          <w:p/>
        </w:tc>
      </w:tr>
      <w:tr>
        <w:trPr>
          <w:trHeight w:val="454"/>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103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1</w:t>
            </w:r>
          </w:p>
        </w:tc>
        <w:tc>
          <w:tcPr>
            <w:tcW w:w="103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2</w:t>
            </w:r>
          </w:p>
        </w:tc>
        <w:tc>
          <w:tcPr>
            <w:tcW w:w="103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3</w:t>
            </w:r>
          </w:p>
        </w:tc>
        <w:tc>
          <w:tcPr>
            <w:tcW w:w="9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4</w:t>
            </w:r>
          </w:p>
        </w:tc>
        <w:tc>
          <w:tcPr>
            <w:tcW w:w="964" w:type="dxa"/>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5</w:t>
            </w:r>
          </w:p>
        </w:tc>
        <w:tc>
          <w:tcPr>
            <w:tcW w:w="1027"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6</w:t>
            </w:r>
          </w:p>
        </w:tc>
        <w:tc>
          <w:tcPr>
            <w:tcW w:w="9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7</w:t>
            </w:r>
          </w:p>
        </w:tc>
      </w:tr>
      <w:tr>
        <w:trPr>
          <w:trHeight w:val="567"/>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223.42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223.42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一般公共服务支出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71.85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71.85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发展与改革事务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71.85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71.85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一般行政管理事务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31.82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31.82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2010450</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事业运行</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40.03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40.03</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科学技术支出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139.02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139.02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科学技术管理事务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139.02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139.02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2060102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一般行政管理事务</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139.02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139.02</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社会保障和就业支出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5.59</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20805</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行政事业单位养老支出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2080505</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机关事业单位基本养老保险缴费支出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5.34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财政对其他社会保险基金的补助</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0.25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0.25</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财政对失业保险基金的补助</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0.11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0.11</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财政对工伤保险基金的补助</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0.14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0.14</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卫生健康支出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2.66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2.66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行政事业单位医疗</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2.66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2.66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事业单位医疗</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2.66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2.66</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住房保障支出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4.30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4.30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22102</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住房改革支出</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4.30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4.30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1040" w:type="dxa"/>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2210201</w:t>
            </w:r>
          </w:p>
        </w:tc>
        <w:tc>
          <w:tcPr>
            <w:tcW w:w="1160" w:type="dxa"/>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住房公积金</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4.30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4.30</w:t>
            </w:r>
          </w:p>
        </w:tc>
        <w:tc>
          <w:tcPr>
            <w:tcW w:w="103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1027"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96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黑体" w:eastAsia="黑体" w:cs="宋体" w:hAnsi="黑体" w:hint="eastAsia"/>
          <w:bCs/>
          <w:kern w:val="0"/>
          <w:sz w:val="32"/>
          <w:szCs w:val="32"/>
          <w:highlight w:val="auto"/>
        </w:rPr>
      </w:pPr>
      <w:r>
        <w:rPr>
          <w:rFonts w:ascii="仿宋_GB2312" w:eastAsia="仿宋_GB2312" w:hAnsi="宋体" w:hint="eastAsia"/>
          <w:b/>
          <w:color w:val="auto"/>
          <w:kern w:val="0"/>
          <w:sz w:val="32"/>
          <w:szCs w:val="32"/>
          <w:highlight w:val="auto"/>
        </w:rPr>
        <w:br w:type="page"/>
      </w:r>
    </w:p>
    <w:tbl>
      <w:tblPr>
        <w:jc w:val="center"/>
        <w:tblW w:w="5812"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039"/>
        <w:gridCol w:w="1187"/>
        <w:gridCol w:w="1127"/>
        <w:gridCol w:w="127"/>
        <w:gridCol w:w="998"/>
        <w:gridCol w:w="1125"/>
        <w:gridCol w:w="499"/>
        <w:gridCol w:w="626"/>
        <w:gridCol w:w="1125"/>
        <w:gridCol w:w="1492"/>
      </w:tblGrid>
      <w:tr>
        <w:trPr>
          <w:trHeight w:val="550"/>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br w:type="page"/>
              <w:t>支出决算表</w:t>
            </w:r>
          </w:p>
        </w:tc>
      </w:tr>
      <w:tr>
        <w:trPr>
          <w:trHeight w:val="300"/>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i w:val="0"/>
                <w:iCs w:val="0"/>
                <w:color w:val="000000"/>
                <w:kern w:val="0"/>
                <w:sz w:val="20"/>
                <w:szCs w:val="20"/>
                <w:u w:val="none"/>
                <w:lang w:val="en-US" w:eastAsia="zh-CN"/>
                <w:highlight w:val="auto"/>
              </w:rPr>
              <w:t>03</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862" w:type="pct"/>
            <w:gridSpan w:val="4"/>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部门（单位）：行唐县重点项目服务中心 </w:t>
            </w:r>
            <w:r>
              <w:rPr>
                <w:rFonts w:ascii="宋体" w:eastAsia="宋体" w:cs="宋体" w:hint="eastAsia"/>
                <w:i w:val="0"/>
                <w:iCs w:val="0"/>
                <w:color w:val="000000"/>
                <w:kern w:val="0"/>
                <w:sz w:val="20"/>
                <w:szCs w:val="20"/>
                <w:u w:val="none"/>
                <w:lang w:val="en-US" w:eastAsia="zh-CN"/>
                <w:highlight w:val="auto"/>
              </w:rPr>
              <w:t xml:space="preserve">                                                                                                         </w:t>
            </w:r>
          </w:p>
        </w:tc>
        <w:tc>
          <w:tcPr>
            <w:tcW w:w="1403"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int="eastAsia"/>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734"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金额单位：万元</w:t>
            </w:r>
          </w:p>
        </w:tc>
      </w:tr>
      <w:tr>
        <w:trPr>
          <w:trHeight w:val="510"/>
        </w:trPr>
        <w:tc>
          <w:tcPr>
            <w:tcW w:w="1191" w:type="pct"/>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603"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本年支出合计</w:t>
            </w:r>
          </w:p>
        </w:tc>
        <w:tc>
          <w:tcPr>
            <w:tcW w:w="602" w:type="pct"/>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602"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c>
          <w:tcPr>
            <w:tcW w:w="602" w:type="pct"/>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上缴上级支出</w:t>
            </w:r>
          </w:p>
        </w:tc>
        <w:tc>
          <w:tcPr>
            <w:tcW w:w="602"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经营支出</w:t>
            </w:r>
          </w:p>
        </w:tc>
        <w:tc>
          <w:tcPr>
            <w:tcW w:w="795"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对附属单位补助支出</w:t>
            </w:r>
          </w:p>
        </w:tc>
      </w:tr>
      <w:tr>
        <w:trPr>
          <w:trHeight w:val="308"/>
        </w:trPr>
        <w:tc>
          <w:tcPr>
            <w:tcW w:w="556"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635"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603"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795" w:type="pct"/>
            <w:vMerge/>
            <w:tcBorders>
              <w:top w:val="single" w:sz="4" w:space="0" w:color="000000"/>
              <w:left w:val="nil"/>
              <w:bottom w:val="single" w:sz="4" w:space="0" w:color="000000"/>
              <w:right w:val="single" w:sz="4" w:space="0" w:color="000000"/>
            </w:tcBorders>
            <w:noWrap/>
            <w:vAlign w:val="center"/>
          </w:tcPr>
          <w:p/>
        </w:tc>
      </w:tr>
      <w:tr>
        <w:trPr>
          <w:trHeight w:val="308"/>
        </w:trPr>
        <w:tc>
          <w:tcPr>
            <w:tcW w:w="556" w:type="pct"/>
            <w:vMerge/>
            <w:tcBorders>
              <w:top w:val="nil"/>
              <w:left w:val="single" w:sz="4" w:space="0" w:color="000000"/>
              <w:bottom w:val="single" w:sz="4" w:space="0" w:color="000000"/>
              <w:right w:val="single" w:sz="4" w:space="0" w:color="000000"/>
            </w:tcBorders>
            <w:noWrap/>
            <w:vAlign w:val="center"/>
          </w:tcPr>
          <w:p/>
        </w:tc>
        <w:tc>
          <w:tcPr>
            <w:tcW w:w="635" w:type="pct"/>
            <w:vMerge/>
            <w:tcBorders>
              <w:top w:val="nil"/>
              <w:left w:val="nil"/>
              <w:bottom w:val="single" w:sz="4" w:space="0" w:color="000000"/>
              <w:right w:val="single" w:sz="4" w:space="0" w:color="000000"/>
            </w:tcBorders>
            <w:noWrap/>
            <w:vAlign w:val="center"/>
          </w:tcPr>
          <w:p/>
        </w:tc>
        <w:tc>
          <w:tcPr>
            <w:tcW w:w="603"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795" w:type="pct"/>
            <w:vMerge/>
            <w:tcBorders>
              <w:top w:val="single" w:sz="4" w:space="0" w:color="000000"/>
              <w:left w:val="nil"/>
              <w:bottom w:val="single" w:sz="4" w:space="0" w:color="000000"/>
              <w:right w:val="single" w:sz="4" w:space="0" w:color="000000"/>
            </w:tcBorders>
            <w:noWrap/>
            <w:vAlign w:val="center"/>
          </w:tcPr>
          <w:p/>
        </w:tc>
      </w:tr>
      <w:tr>
        <w:trPr>
          <w:trHeight w:val="308"/>
        </w:trPr>
        <w:tc>
          <w:tcPr>
            <w:tcW w:w="556" w:type="pct"/>
            <w:vMerge/>
            <w:tcBorders>
              <w:top w:val="nil"/>
              <w:left w:val="single" w:sz="4" w:space="0" w:color="000000"/>
              <w:bottom w:val="single" w:sz="4" w:space="0" w:color="000000"/>
              <w:right w:val="single" w:sz="4" w:space="0" w:color="000000"/>
            </w:tcBorders>
            <w:noWrap/>
            <w:vAlign w:val="center"/>
          </w:tcPr>
          <w:p/>
        </w:tc>
        <w:tc>
          <w:tcPr>
            <w:tcW w:w="635" w:type="pct"/>
            <w:vMerge/>
            <w:tcBorders>
              <w:top w:val="nil"/>
              <w:left w:val="nil"/>
              <w:bottom w:val="single" w:sz="4" w:space="0" w:color="000000"/>
              <w:right w:val="single" w:sz="4" w:space="0" w:color="000000"/>
            </w:tcBorders>
            <w:noWrap/>
            <w:vAlign w:val="center"/>
          </w:tcPr>
          <w:p/>
        </w:tc>
        <w:tc>
          <w:tcPr>
            <w:tcW w:w="603"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602" w:type="pct"/>
            <w:gridSpan w:val="2"/>
            <w:vMerge/>
            <w:tcBorders>
              <w:top w:val="single" w:sz="4" w:space="0" w:color="000000"/>
              <w:left w:val="nil"/>
              <w:bottom w:val="single" w:sz="4" w:space="0" w:color="000000"/>
              <w:right w:val="single" w:sz="4" w:space="0" w:color="000000"/>
            </w:tcBorders>
            <w:noWrap/>
            <w:vAlign w:val="center"/>
          </w:tcPr>
          <w:p/>
        </w:tc>
        <w:tc>
          <w:tcPr>
            <w:tcW w:w="602" w:type="pct"/>
            <w:vMerge/>
            <w:tcBorders>
              <w:top w:val="single" w:sz="4" w:space="0" w:color="000000"/>
              <w:left w:val="nil"/>
              <w:bottom w:val="single" w:sz="4" w:space="0" w:color="000000"/>
              <w:right w:val="single" w:sz="4" w:space="0" w:color="000000"/>
            </w:tcBorders>
            <w:noWrap/>
            <w:vAlign w:val="center"/>
          </w:tcPr>
          <w:p/>
        </w:tc>
        <w:tc>
          <w:tcPr>
            <w:tcW w:w="795" w:type="pct"/>
            <w:vMerge/>
            <w:tcBorders>
              <w:top w:val="single" w:sz="4" w:space="0" w:color="000000"/>
              <w:left w:val="nil"/>
              <w:bottom w:val="single" w:sz="4" w:space="0" w:color="000000"/>
              <w:right w:val="single" w:sz="4" w:space="0" w:color="000000"/>
            </w:tcBorders>
            <w:noWrap/>
            <w:vAlign w:val="center"/>
          </w:tcPr>
          <w:p/>
        </w:tc>
      </w:tr>
      <w:tr>
        <w:trPr>
          <w:trHeight w:val="454"/>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60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w:t>
            </w:r>
          </w:p>
        </w:tc>
        <w:tc>
          <w:tcPr>
            <w:tcW w:w="602"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60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602"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60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79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r>
      <w:tr>
        <w:trPr>
          <w:trHeight w:val="308"/>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52.58</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170.84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一般公共服务支出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71.85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40.03</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31.82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发展与改革事务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71.85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40.03</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31.82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31.82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31.82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2010450</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事业运行</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40.03</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40.03</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科学技术管理事务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社会保障和就业支出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5.59</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5.59</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行政事业单位养老支出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5.34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5.34</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2080505</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机关事业单位基本养老保险缴费支出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5.34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5.34</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财政对其他社会保险基金的补助</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0.25</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0.25</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财政对失业保险基金的补助</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0.11</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0.11</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财政对工伤保险基金的补助</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0.14</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0.14</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卫生健康支出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行政事业单位医疗</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事业单位医疗</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住房保障支出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住房改革支出</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6"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2210201</w:t>
            </w:r>
          </w:p>
        </w:tc>
        <w:tc>
          <w:tcPr>
            <w:tcW w:w="635"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住房公积金</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02"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1857" w:type="dxa"/>
        <w:tblW w:w="7281"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983"/>
        <w:gridCol w:w="623"/>
        <w:gridCol w:w="1428"/>
        <w:gridCol w:w="1658"/>
        <w:gridCol w:w="438"/>
        <w:gridCol w:w="623"/>
        <w:gridCol w:w="459"/>
        <w:gridCol w:w="834"/>
        <w:gridCol w:w="1218"/>
        <w:gridCol w:w="1218"/>
        <w:gridCol w:w="1227"/>
      </w:tblGrid>
      <w:tr>
        <w:trPr>
          <w:trHeight w:val="550"/>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财政拨款收入支出决算总表</w:t>
            </w:r>
          </w:p>
        </w:tc>
      </w:tr>
      <w:tr>
        <w:trPr>
          <w:trHeight w:val="300"/>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公开04表</w:t>
            </w:r>
          </w:p>
        </w:tc>
      </w:tr>
      <w:tr>
        <w:trPr>
          <w:trHeight w:val="300"/>
        </w:trPr>
        <w:tc>
          <w:tcPr>
            <w:tcW w:w="2431" w:type="pct"/>
            <w:gridSpan w:val="4"/>
            <w:tcBorders>
              <w:top w:val="nil"/>
              <w:left w:val="nil"/>
              <w:bottom w:val="single" w:sz="4" w:space="0" w:color="auto"/>
              <w:right w:val="nil"/>
            </w:tcBorders>
            <w:noWrap/>
            <w:vAlign w:val="bottom"/>
          </w:tcPr>
          <w:p>
            <w:pPr>
              <w:rPr>
                <w:rFonts w:ascii="仿宋" w:eastAsia="仿宋" w:cs="仿宋" w:hAnsi="仿宋"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部门（单位）：行唐县重点项目服务中心 </w:t>
            </w:r>
            <w:r>
              <w:rPr>
                <w:rFonts w:ascii="宋体" w:eastAsia="宋体" w:cs="宋体" w:hint="eastAsia"/>
                <w:i w:val="0"/>
                <w:iCs w:val="0"/>
                <w:color w:val="000000"/>
                <w:kern w:val="0"/>
                <w:sz w:val="20"/>
                <w:szCs w:val="20"/>
                <w:u w:val="none"/>
                <w:lang w:val="en-US" w:eastAsia="zh-CN"/>
                <w:highlight w:val="auto"/>
              </w:rPr>
              <w:t xml:space="preserve">                                                                                                   </w:t>
            </w:r>
          </w:p>
        </w:tc>
        <w:tc>
          <w:tcPr>
            <w:tcW w:w="649" w:type="pct"/>
            <w:gridSpan w:val="3"/>
            <w:tcBorders>
              <w:top w:val="nil"/>
              <w:left w:val="nil"/>
              <w:bottom w:val="single" w:sz="4" w:space="0" w:color="auto"/>
              <w:right w:val="nil"/>
            </w:tcBorders>
            <w:noWrap/>
            <w:vAlign w:val="bottom"/>
          </w:tcPr>
          <w:p>
            <w:pPr>
              <w:jc w:val="center"/>
              <w:rPr>
                <w:rFonts w:ascii="宋体" w:eastAsia="宋体" w:cs="宋体"/>
                <w:i w:val="0"/>
                <w:iCs w:val="0"/>
                <w:color w:val="000000"/>
                <w:kern w:val="0"/>
                <w:sz w:val="20"/>
                <w:szCs w:val="20"/>
                <w:u w:val="none"/>
                <w:lang w:val="en-US" w:eastAsia="zh-CN"/>
                <w:highlight w:val="auto"/>
              </w:rPr>
            </w:pPr>
            <w:r>
              <w:rPr>
                <w:rFonts w:ascii="Times New Roman"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919" w:type="pct"/>
            <w:gridSpan w:val="4"/>
            <w:tcBorders>
              <w:top w:val="nil"/>
              <w:left w:val="nil"/>
              <w:bottom w:val="single" w:sz="4" w:space="0" w:color="auto"/>
              <w:right w:val="nil"/>
            </w:tcBorders>
            <w:noWrap/>
            <w:vAlign w:val="bottom"/>
          </w:tcPr>
          <w:p>
            <w:pPr>
              <w:jc w:val="right"/>
              <w:rPr>
                <w:rFonts w:ascii="宋体" w:eastAsia="宋体" w:cs="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08"/>
        </w:trPr>
        <w:tc>
          <w:tcPr>
            <w:tcW w:w="1723" w:type="pct"/>
            <w:gridSpan w:val="3"/>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收入</w:t>
            </w:r>
          </w:p>
        </w:tc>
        <w:tc>
          <w:tcPr>
            <w:tcW w:w="3276" w:type="pct"/>
            <w:gridSpan w:val="8"/>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支出</w:t>
            </w:r>
          </w:p>
        </w:tc>
      </w:tr>
      <w:tr>
        <w:trPr>
          <w:trHeight w:val="312"/>
        </w:trPr>
        <w:tc>
          <w:tcPr>
            <w:tcW w:w="847"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    目</w:t>
            </w:r>
          </w:p>
        </w:tc>
        <w:tc>
          <w:tcPr>
            <w:tcW w:w="26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609"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金额</w:t>
            </w:r>
          </w:p>
        </w:tc>
        <w:tc>
          <w:tcPr>
            <w:tcW w:w="895"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26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552" w:type="pct"/>
            <w:gridSpan w:val="2"/>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合计</w:t>
            </w:r>
          </w:p>
        </w:tc>
        <w:tc>
          <w:tcPr>
            <w:tcW w:w="520"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一般公共预算财政拨款</w:t>
            </w:r>
          </w:p>
        </w:tc>
        <w:tc>
          <w:tcPr>
            <w:tcW w:w="520"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政府性基金预算财政拨款</w:t>
            </w:r>
          </w:p>
        </w:tc>
        <w:tc>
          <w:tcPr>
            <w:tcW w:w="520"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国有资本经营预算财政拨款</w:t>
            </w:r>
          </w:p>
        </w:tc>
      </w:tr>
      <w:tr>
        <w:trPr>
          <w:trHeight w:val="312"/>
        </w:trPr>
        <w:tc>
          <w:tcPr>
            <w:tcW w:w="847" w:type="pct"/>
            <w:vMerge/>
            <w:tcBorders>
              <w:top w:val="nil"/>
              <w:left w:val="single" w:sz="4" w:space="0" w:color="000000"/>
              <w:bottom w:val="single" w:sz="4" w:space="0" w:color="000000"/>
              <w:right w:val="single" w:sz="4" w:space="0" w:color="000000"/>
            </w:tcBorders>
            <w:noWrap/>
            <w:vAlign w:val="center"/>
          </w:tcPr>
          <w:p/>
        </w:tc>
        <w:tc>
          <w:tcPr>
            <w:tcW w:w="266" w:type="pct"/>
            <w:vMerge/>
            <w:tcBorders>
              <w:top w:val="nil"/>
              <w:left w:val="nil"/>
              <w:bottom w:val="single" w:sz="4" w:space="0" w:color="000000"/>
              <w:right w:val="single" w:sz="4" w:space="0" w:color="000000"/>
            </w:tcBorders>
            <w:noWrap/>
            <w:vAlign w:val="center"/>
          </w:tcPr>
          <w:p/>
        </w:tc>
        <w:tc>
          <w:tcPr>
            <w:tcW w:w="609" w:type="pct"/>
            <w:vMerge/>
            <w:tcBorders>
              <w:top w:val="nil"/>
              <w:left w:val="nil"/>
              <w:bottom w:val="single" w:sz="4" w:space="0" w:color="000000"/>
              <w:right w:val="single" w:sz="4" w:space="0" w:color="000000"/>
            </w:tcBorders>
            <w:noWrap/>
            <w:vAlign w:val="center"/>
          </w:tcPr>
          <w:p/>
        </w:tc>
        <w:tc>
          <w:tcPr>
            <w:tcW w:w="895" w:type="pct"/>
            <w:gridSpan w:val="2"/>
            <w:vMerge/>
            <w:tcBorders>
              <w:top w:val="nil"/>
              <w:left w:val="nil"/>
              <w:bottom w:val="single" w:sz="4" w:space="0" w:color="000000"/>
              <w:right w:val="single" w:sz="4" w:space="0" w:color="000000"/>
            </w:tcBorders>
            <w:noWrap/>
            <w:vAlign w:val="center"/>
          </w:tcPr>
          <w:p/>
        </w:tc>
        <w:tc>
          <w:tcPr>
            <w:tcW w:w="266" w:type="pct"/>
            <w:vMerge/>
            <w:tcBorders>
              <w:top w:val="nil"/>
              <w:left w:val="nil"/>
              <w:bottom w:val="single" w:sz="4" w:space="0" w:color="000000"/>
              <w:right w:val="single" w:sz="4" w:space="0" w:color="000000"/>
            </w:tcBorders>
            <w:noWrap/>
            <w:vAlign w:val="center"/>
          </w:tcPr>
          <w:p/>
        </w:tc>
        <w:tc>
          <w:tcPr>
            <w:tcW w:w="552" w:type="pct"/>
            <w:gridSpan w:val="2"/>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    次</w:t>
            </w:r>
          </w:p>
        </w:tc>
        <w:tc>
          <w:tcPr>
            <w:tcW w:w="266"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60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1</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    次</w:t>
            </w:r>
          </w:p>
        </w:tc>
        <w:tc>
          <w:tcPr>
            <w:tcW w:w="266"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552"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2</w:t>
            </w:r>
          </w:p>
        </w:tc>
        <w:tc>
          <w:tcPr>
            <w:tcW w:w="52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3</w:t>
            </w:r>
          </w:p>
        </w:tc>
        <w:tc>
          <w:tcPr>
            <w:tcW w:w="52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4</w:t>
            </w:r>
          </w:p>
        </w:tc>
        <w:tc>
          <w:tcPr>
            <w:tcW w:w="520" w:type="pct"/>
            <w:tcBorders>
              <w:top w:val="nil"/>
              <w:left w:val="nil"/>
              <w:bottom w:val="single" w:sz="4" w:space="0" w:color="000000"/>
              <w:right w:val="single" w:sz="8"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5</w:t>
            </w: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一、一般公共服务支出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33</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71.85</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71.85</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二、外交支出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34</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三、国防支出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35</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四、公共安全支出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36</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五、教育支出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37</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六、科学技术支出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38</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139.02</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139.02</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7</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七、文化旅游体育与传媒支出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39</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8</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八、社会保障和就业支出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40</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5.59</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5.59</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9</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九、卫生健康支出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41</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2.66</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2.66</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10</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十、节能环保支出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42</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11</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十一、城乡社区支出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43</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auto"/>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12</w:t>
            </w:r>
          </w:p>
        </w:tc>
        <w:tc>
          <w:tcPr>
            <w:tcW w:w="609"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auto"/>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十二、农林水支出</w:t>
            </w:r>
          </w:p>
        </w:tc>
        <w:tc>
          <w:tcPr>
            <w:tcW w:w="266"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44</w:t>
            </w:r>
          </w:p>
        </w:tc>
        <w:tc>
          <w:tcPr>
            <w:tcW w:w="552" w:type="pct"/>
            <w:gridSpan w:val="2"/>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auto"/>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13</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十三、交通运输支出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14</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十四、资源勘探工业信息等支出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46</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15</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十五、商业服务业等支出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47</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16</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十六、金融支出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48</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17</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十七、援助其他地区支出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49</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18</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十八、自然资源海洋气象等支出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50</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19</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十九、住房保障支出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51</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4.30</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4.30</w:t>
            </w: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20</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二十、粮油物资储备支出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52</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21</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二十一、国有资本经营预算支出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53</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22</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二十二、灾害防治及应急管理支出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54</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23</w:t>
            </w:r>
          </w:p>
        </w:tc>
        <w:tc>
          <w:tcPr>
            <w:tcW w:w="60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二十三、其他支出</w:t>
            </w:r>
          </w:p>
        </w:tc>
        <w:tc>
          <w:tcPr>
            <w:tcW w:w="266"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6"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24</w:t>
            </w:r>
          </w:p>
        </w:tc>
        <w:tc>
          <w:tcPr>
            <w:tcW w:w="609"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二十四、债务还本支出</w:t>
            </w:r>
          </w:p>
        </w:tc>
        <w:tc>
          <w:tcPr>
            <w:tcW w:w="266"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56</w:t>
            </w:r>
          </w:p>
        </w:tc>
        <w:tc>
          <w:tcPr>
            <w:tcW w:w="552" w:type="pct"/>
            <w:gridSpan w:val="2"/>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single" w:sz="4" w:space="0" w:color="auto"/>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center"/>
              <w:rPr>
                <w:rFonts w:ascii="宋体" w:eastAsia="宋体" w:cs="宋体" w:hAnsi="宋体" w:hint="eastAsia"/>
                <w:b/>
                <w:bCs/>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25</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二十五、债务付息支出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57</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26</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二十六、抗疫特别国债安排的支出</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58</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本年收入合计</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27</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本年支出合计</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59</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年初财政拨款结转和结余</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28</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年末财政拨款结转和结余</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60</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both"/>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both"/>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29</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61</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30</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62</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w:t>
            </w: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31</w:t>
            </w:r>
          </w:p>
        </w:tc>
        <w:tc>
          <w:tcPr>
            <w:tcW w:w="60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895"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26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63</w:t>
            </w:r>
          </w:p>
        </w:tc>
        <w:tc>
          <w:tcPr>
            <w:tcW w:w="552"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8"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6" w:type="pct"/>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32</w:t>
            </w:r>
          </w:p>
        </w:tc>
        <w:tc>
          <w:tcPr>
            <w:tcW w:w="609" w:type="pct"/>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895" w:type="pct"/>
            <w:gridSpan w:val="2"/>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6" w:type="pct"/>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64</w:t>
            </w:r>
          </w:p>
        </w:tc>
        <w:tc>
          <w:tcPr>
            <w:tcW w:w="552" w:type="pct"/>
            <w:gridSpan w:val="2"/>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520" w:type="pct"/>
            <w:tcBorders>
              <w:top w:val="nil"/>
              <w:left w:val="nil"/>
              <w:bottom w:val="single" w:sz="8" w:space="0" w:color="000000"/>
              <w:right w:val="single" w:sz="4" w:space="0" w:color="000000"/>
            </w:tcBorders>
            <w:noWrap/>
            <w:vAlign w:val="center"/>
          </w:tcPr>
          <w:p>
            <w:pPr>
              <w:jc w:val="right"/>
              <w:rPr>
                <w:rFonts w:ascii="Times New Roman" w:cs="Times New Roman" w:hAnsi="Times New Roman"/>
                <w:sz w:val="20"/>
                <w:szCs w:val="20"/>
                <w:highlight w:val="auto"/>
              </w:rPr>
            </w:pPr>
          </w:p>
          <w:p>
            <w:pPr>
              <w:jc w:val="right"/>
              <w:rPr>
                <w:rFonts w:ascii="Times New Roman" w:cs="Times New Roman" w:hAnsi="Times New Roman"/>
                <w:sz w:val="20"/>
                <w:szCs w:val="20"/>
                <w:highlight w:val="auto"/>
              </w:rPr>
            </w:pPr>
            <w:r>
              <w:rPr>
                <w:rFonts w:ascii="Times New Roman" w:cs="Times New Roman" w:hAnsi="Times New Roman"/>
                <w:sz w:val="20"/>
                <w:szCs w:val="20"/>
                <w:highlight w:val="auto"/>
              </w:rPr>
              <w:t>223.42</w:t>
            </w:r>
          </w:p>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0" w:type="pct"/>
            <w:tcBorders>
              <w:top w:val="nil"/>
              <w:left w:val="nil"/>
              <w:bottom w:val="single" w:sz="8"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657" w:type="dxa"/>
        <w:tblW w:w="5348" w:type="pct"/>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1211"/>
        <w:gridCol w:w="1302"/>
        <w:gridCol w:w="700"/>
        <w:gridCol w:w="1295"/>
        <w:gridCol w:w="1355"/>
        <w:gridCol w:w="640"/>
        <w:gridCol w:w="2097"/>
      </w:tblGrid>
      <w:tr>
        <w:trPr>
          <w:trHeight w:val="657"/>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一般公共预算财政拨款支出决算表</w:t>
            </w:r>
          </w:p>
        </w:tc>
      </w:tr>
      <w:tr>
        <w:trPr>
          <w:trHeight w:val="329"/>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方正仿宋_GB2312" w:cs="Times New Roman" w:hAnsi="Times New Roman"/>
                <w:i w:val="0"/>
                <w:iCs w:val="0"/>
                <w:color w:val="000000"/>
                <w:kern w:val="0"/>
                <w:sz w:val="20"/>
                <w:szCs w:val="20"/>
                <w:u w:val="none"/>
                <w:lang w:val="en-US" w:eastAsia="zh-CN"/>
                <w:highlight w:val="auto"/>
              </w:rPr>
              <w:t>05</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29"/>
        </w:trPr>
        <w:tc>
          <w:tcPr>
            <w:tcW w:w="1868" w:type="pct"/>
            <w:gridSpan w:val="3"/>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编制部门（单位）：行唐县重点项目服务中心</w:t>
            </w:r>
          </w:p>
        </w:tc>
        <w:tc>
          <w:tcPr>
            <w:tcW w:w="1541" w:type="pct"/>
            <w:gridSpan w:val="2"/>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i w:val="0"/>
                <w:iCs w:val="0"/>
                <w:color w:val="000000"/>
                <w:kern w:val="0"/>
                <w:sz w:val="20"/>
                <w:szCs w:val="20"/>
                <w:u w:val="none"/>
                <w:lang w:val="en-US" w:eastAsia="zh-CN"/>
                <w:highlight w:val="auto"/>
              </w:rPr>
            </w:pPr>
            <w:r>
              <w:rPr>
                <w:rFonts w:ascii="Times New Roman"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590" w:type="pct"/>
            <w:gridSpan w:val="2"/>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10"/>
        </w:trPr>
        <w:tc>
          <w:tcPr>
            <w:tcW w:w="14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3538" w:type="pct"/>
            <w:gridSpan w:val="5"/>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w:t>
            </w:r>
          </w:p>
        </w:tc>
      </w:tr>
      <w:tr>
        <w:trPr>
          <w:trHeight w:val="369"/>
        </w:trPr>
        <w:tc>
          <w:tcPr>
            <w:tcW w:w="704"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科目代码</w:t>
            </w:r>
          </w:p>
        </w:tc>
        <w:tc>
          <w:tcPr>
            <w:tcW w:w="756"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1160" w:type="pct"/>
            <w:gridSpan w:val="2"/>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小计</w:t>
            </w:r>
          </w:p>
        </w:tc>
        <w:tc>
          <w:tcPr>
            <w:tcW w:w="1160" w:type="pct"/>
            <w:gridSpan w:val="2"/>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1218"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r>
      <w:tr>
        <w:trPr>
          <w:trHeight w:val="346"/>
        </w:trPr>
        <w:tc>
          <w:tcPr>
            <w:tcW w:w="704" w:type="pct"/>
            <w:vMerge/>
            <w:tcBorders>
              <w:top w:val="single" w:sz="4" w:space="0" w:color="auto"/>
              <w:left w:val="single" w:sz="4" w:space="0" w:color="auto"/>
              <w:bottom w:val="single" w:sz="4" w:space="0" w:color="auto"/>
              <w:right w:val="single" w:sz="4" w:space="0" w:color="auto"/>
            </w:tcBorders>
            <w:noWrap/>
            <w:vAlign w:val="center"/>
          </w:tcPr>
          <w:p/>
        </w:tc>
        <w:tc>
          <w:tcPr>
            <w:tcW w:w="756" w:type="pct"/>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218" w:type="pct"/>
            <w:vMerge/>
            <w:tcBorders>
              <w:top w:val="single" w:sz="4" w:space="0" w:color="auto"/>
              <w:left w:val="single" w:sz="4" w:space="0" w:color="auto"/>
              <w:bottom w:val="single" w:sz="4" w:space="0" w:color="auto"/>
              <w:right w:val="single" w:sz="4" w:space="0" w:color="auto"/>
            </w:tcBorders>
            <w:noWrap/>
            <w:vAlign w:val="center"/>
          </w:tcPr>
          <w:p/>
        </w:tc>
      </w:tr>
      <w:tr>
        <w:trPr>
          <w:trHeight w:val="369"/>
        </w:trPr>
        <w:tc>
          <w:tcPr>
            <w:tcW w:w="704" w:type="pct"/>
            <w:vMerge/>
            <w:tcBorders>
              <w:top w:val="single" w:sz="4" w:space="0" w:color="auto"/>
              <w:left w:val="single" w:sz="4" w:space="0" w:color="auto"/>
              <w:bottom w:val="single" w:sz="4" w:space="0" w:color="auto"/>
              <w:right w:val="single" w:sz="4" w:space="0" w:color="auto"/>
            </w:tcBorders>
            <w:noWrap/>
            <w:vAlign w:val="center"/>
          </w:tcPr>
          <w:p/>
        </w:tc>
        <w:tc>
          <w:tcPr>
            <w:tcW w:w="756" w:type="pct"/>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218" w:type="pct"/>
            <w:vMerge/>
            <w:tcBorders>
              <w:top w:val="single" w:sz="4" w:space="0" w:color="auto"/>
              <w:left w:val="single" w:sz="4" w:space="0" w:color="auto"/>
              <w:bottom w:val="single" w:sz="4" w:space="0" w:color="auto"/>
              <w:right w:val="single" w:sz="4" w:space="0" w:color="auto"/>
            </w:tcBorders>
            <w:noWrap/>
            <w:vAlign w:val="center"/>
          </w:tcPr>
          <w:p/>
        </w:tc>
      </w:tr>
      <w:tr>
        <w:trPr>
          <w:trHeight w:val="369"/>
        </w:trPr>
        <w:tc>
          <w:tcPr>
            <w:tcW w:w="14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2</w:t>
            </w:r>
          </w:p>
        </w:tc>
        <w:tc>
          <w:tcPr>
            <w:tcW w:w="121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3</w:t>
            </w:r>
          </w:p>
        </w:tc>
      </w:tr>
      <w:tr>
        <w:trPr>
          <w:trHeight w:val="369"/>
        </w:trPr>
        <w:tc>
          <w:tcPr>
            <w:tcW w:w="146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223.42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52.58</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170.84</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71.85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40.03</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31.82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发展与改革事务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71.85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40.03</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31.82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31.82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31.82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2010450</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事业运行</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40.03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40.03</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科学技术管理事务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139.02</w:t>
            </w: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5.59</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5.59</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行政事业单位养老支出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5.34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5.34</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2080505</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机关事业单位基本养老保险缴费支出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5.34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5.34</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财政对其他社会保险基金的补助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0.25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0.25</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财政对失业保险基金的补助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0.11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0.11</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财政对工伤保险基金的补助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0.14</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0.14</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卫生健康支出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2.66</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住房保障支出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住房改革支出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2210201</w:t>
            </w:r>
          </w:p>
        </w:tc>
        <w:tc>
          <w:tcPr>
            <w:tcW w:w="756"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住房公积金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4.30</w:t>
            </w:r>
          </w:p>
        </w:tc>
        <w:tc>
          <w:tcPr>
            <w:tcW w:w="1218"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5000" w:type="pct"/>
            <w:gridSpan w:val="7"/>
            <w:tcBorders>
              <w:top w:val="single" w:sz="4" w:space="0" w:color="auto"/>
              <w:left w:val="nil"/>
              <w:bottom w:val="nil"/>
              <w:right w:val="nil"/>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1617" w:type="dxa"/>
        <w:tblW w:w="7050"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964"/>
        <w:gridCol w:w="1814"/>
        <w:gridCol w:w="1018"/>
        <w:gridCol w:w="964"/>
        <w:gridCol w:w="440"/>
        <w:gridCol w:w="1372"/>
        <w:gridCol w:w="589"/>
        <w:gridCol w:w="374"/>
        <w:gridCol w:w="964"/>
        <w:gridCol w:w="1816"/>
        <w:gridCol w:w="1023"/>
      </w:tblGrid>
      <w:tr>
        <w:trPr>
          <w:trHeight w:val="624"/>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一般公共预算财政拨款基本支出决算明细表</w:t>
            </w:r>
          </w:p>
        </w:tc>
      </w:tr>
      <w:tr>
        <w:trPr>
          <w:trHeight w:val="300"/>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公开</w:t>
            </w:r>
            <w:r>
              <w:rPr>
                <w:rFonts w:ascii="Times New Roman" w:eastAsia="方正仿宋_GB2312" w:cs="Times New Roman" w:hAnsi="Times New Roman"/>
                <w:i w:val="0"/>
                <w:iCs w:val="0"/>
                <w:color w:val="000000"/>
                <w:kern w:val="0"/>
                <w:sz w:val="18"/>
                <w:szCs w:val="18"/>
                <w:u w:val="none"/>
                <w:lang w:val="en-US" w:eastAsia="zh-CN"/>
                <w:highlight w:val="auto"/>
              </w:rPr>
              <w:t>06</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表</w:t>
            </w:r>
          </w:p>
        </w:tc>
      </w:tr>
      <w:tr>
        <w:trPr>
          <w:trHeight w:val="90"/>
        </w:trPr>
        <w:tc>
          <w:tcPr>
            <w:tcW w:w="2293" w:type="pct"/>
            <w:gridSpan w:val="5"/>
            <w:tcBorders>
              <w:top w:val="nil"/>
              <w:left w:val="nil"/>
              <w:bottom w:val="single" w:sz="4" w:space="0" w:color="auto"/>
              <w:right w:val="nil"/>
            </w:tcBorders>
            <w:noWrap/>
            <w:vAlign w:val="bottom"/>
          </w:tcPr>
          <w:p>
            <w:pP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部门（单位）：行唐县重点项目服务中心 </w:t>
            </w:r>
            <w:r>
              <w:rPr>
                <w:rFonts w:ascii="宋体" w:cs="宋体" w:hint="eastAsia"/>
                <w:i w:val="0"/>
                <w:iCs w:val="0"/>
                <w:color w:val="000000"/>
                <w:kern w:val="0"/>
                <w:sz w:val="18"/>
                <w:szCs w:val="18"/>
                <w:u w:val="none"/>
                <w:lang w:val="en-US" w:eastAsia="zh-CN"/>
                <w:highlight w:val="auto"/>
              </w:rPr>
              <w:t xml:space="preserve">                                                                   </w:t>
            </w:r>
          </w:p>
        </w:tc>
        <w:tc>
          <w:tcPr>
            <w:tcW w:w="865" w:type="pct"/>
            <w:gridSpan w:val="2"/>
            <w:tcBorders>
              <w:top w:val="nil"/>
              <w:left w:val="nil"/>
              <w:bottom w:val="single" w:sz="4" w:space="0" w:color="auto"/>
              <w:right w:val="nil"/>
            </w:tcBorders>
            <w:noWrap/>
            <w:vAlign w:val="bottom"/>
          </w:tcPr>
          <w:p>
            <w:pPr>
              <w:jc w:val="center"/>
              <w:rPr>
                <w:rFonts w:ascii="宋体" w:eastAsia="宋体" w:cs="宋体"/>
                <w:i w:val="0"/>
                <w:iCs w:val="0"/>
                <w:color w:val="000000"/>
                <w:kern w:val="0"/>
                <w:sz w:val="18"/>
                <w:szCs w:val="18"/>
                <w:u w:val="none"/>
                <w:lang w:val="en-US" w:eastAsia="zh-CN"/>
                <w:highlight w:val="auto"/>
              </w:rPr>
            </w:pPr>
            <w:r>
              <w:rPr>
                <w:rFonts w:ascii="宋体" w:cs="宋体" w:hint="eastAsia"/>
                <w:i w:val="0"/>
                <w:iCs w:val="0"/>
                <w:color w:val="000000"/>
                <w:kern w:val="0"/>
                <w:sz w:val="18"/>
                <w:szCs w:val="18"/>
                <w:u w:val="none"/>
                <w:lang w:val="en-US" w:eastAsia="zh-CN"/>
                <w:highlight w:val="auto"/>
              </w:rPr>
              <w:t>2024</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年度</w:t>
            </w:r>
          </w:p>
        </w:tc>
        <w:tc>
          <w:tcPr>
            <w:tcW w:w="1841" w:type="pct"/>
            <w:gridSpan w:val="4"/>
            <w:tcBorders>
              <w:top w:val="nil"/>
              <w:left w:val="nil"/>
              <w:bottom w:val="single" w:sz="4" w:space="0" w:color="auto"/>
              <w:right w:val="nil"/>
            </w:tcBorders>
            <w:noWrap/>
            <w:vAlign w:val="bottom"/>
          </w:tcPr>
          <w:p>
            <w:pPr>
              <w:jc w:val="right"/>
              <w:rPr>
                <w:rFonts w:ascii="宋体" w:eastAsia="宋体" w:cs="宋体"/>
                <w:i w:val="0"/>
                <w:iCs w:val="0"/>
                <w:color w:val="000000"/>
                <w:kern w:val="0"/>
                <w:sz w:val="18"/>
                <w:szCs w:val="18"/>
                <w:u w:val="none"/>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金额单位：万元</w:t>
            </w:r>
          </w:p>
        </w:tc>
      </w:tr>
      <w:tr>
        <w:trPr>
          <w:trHeight w:val="510"/>
        </w:trPr>
        <w:tc>
          <w:tcPr>
            <w:tcW w:w="1674" w:type="pct"/>
            <w:gridSpan w:val="3"/>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人员经费</w:t>
            </w:r>
          </w:p>
        </w:tc>
        <w:tc>
          <w:tcPr>
            <w:tcW w:w="3325" w:type="pct"/>
            <w:gridSpan w:val="8"/>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公用经费</w:t>
            </w: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eastAsia="zh-CN"/>
                <w:highlight w:val="auto"/>
              </w:rPr>
            </w:pPr>
            <w:r>
              <w:rPr>
                <w:rFonts w:ascii="方正仿宋_GB2312" w:eastAsia="方正仿宋_GB2312" w:cs="方正仿宋_GB2312" w:hAnsi="方正仿宋_GB2312" w:hint="eastAsia"/>
                <w:i w:val="0"/>
                <w:iCs w:val="0"/>
                <w:color w:val="000000"/>
                <w:sz w:val="18"/>
                <w:szCs w:val="18"/>
                <w:u w:val="none"/>
                <w:lang w:val="en-US" w:eastAsia="zh-CN"/>
                <w:highlight w:val="auto"/>
              </w:rPr>
              <w:t>科目代码</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eastAsia="zh-CN"/>
                <w:highlight w:val="auto"/>
              </w:rPr>
            </w:pPr>
            <w:r>
              <w:rPr>
                <w:rFonts w:ascii="方正仿宋_GB2312" w:eastAsia="方正仿宋_GB2312" w:cs="方正仿宋_GB2312" w:hAnsi="方正仿宋_GB2312" w:hint="eastAsia"/>
                <w:i w:val="0"/>
                <w:iCs w:val="0"/>
                <w:color w:val="000000"/>
                <w:sz w:val="18"/>
                <w:szCs w:val="18"/>
                <w:u w:val="none"/>
                <w:lang w:val="en-US" w:eastAsia="zh-CN"/>
                <w:highlight w:val="auto"/>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50.39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2.19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债务利息及费用支出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基本工资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19.64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办公费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国内债务付息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津贴补贴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2.76</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印刷费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国外债务付息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奖金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9.13</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咨询费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30106</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伙食补助费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手续费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房屋建筑物购建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绩效工资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5.85</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水费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办公设备购置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机关事业单位基本养老保险缴费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5.34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职业年金缴费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0.46</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邮电费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0.77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31005</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基础设施建设</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职工基本医疗保险缴费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2.66</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取暖费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31006</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大型修缮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公务员医疗补助缴费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物业管理费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信息网络及软件购置更新</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其他社会保障缴费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0.25</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差旅费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物资储备</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住房公积金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4.30</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土地补偿</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30114</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医疗费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维修（护）费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0.29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安置补助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租赁费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地上附着物和青苗补偿</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会议费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拆迁补偿</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离休费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培训费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退休费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其他交通工具购置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退职（役）费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专用材料费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31021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文物和陈列品购置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30304</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抚恤金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被装购置费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31022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无形资产购置</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30305</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生活补助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专用燃料费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30306</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救济费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劳务费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医疗费补助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委托业务费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资本金注入</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助学金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工会经费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31203</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政府投资基金股权投资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奖励金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福利费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31204</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费用补贴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个人农业生产补贴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30231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31205</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利息补贴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30311</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代缴社会保险费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30239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其他交通费用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1.13</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30240</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税金及附加费用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30299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39907</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国家赔偿费用支出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39908</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对民间非营利组织和群众性自治组织补贴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经常性赠与</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39910</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资本性赠与</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79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39999</w:t>
            </w:r>
          </w:p>
        </w:tc>
        <w:tc>
          <w:tcPr>
            <w:tcW w:w="79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1225" w:type="pct"/>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宋体" w:cs="Times New Roman" w:hAnsi="Times New Roman"/>
                <w:sz w:val="18"/>
                <w:szCs w:val="18"/>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人员经费合计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sz w:val="18"/>
                <w:szCs w:val="18"/>
                <w:highlight w:val="auto"/>
              </w:rPr>
            </w:pPr>
            <w:r>
              <w:rPr>
                <w:rFonts w:ascii="Times New Roman" w:eastAsia="宋体" w:cs="Times New Roman" w:hAnsi="Times New Roman"/>
                <w:sz w:val="18"/>
                <w:szCs w:val="18"/>
                <w:highlight w:val="auto"/>
              </w:rPr>
              <w:t>50.39</w:t>
            </w:r>
          </w:p>
        </w:tc>
        <w:tc>
          <w:tcPr>
            <w:tcW w:w="2875" w:type="pct"/>
            <w:gridSpan w:val="7"/>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公用经费合计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eastAsia="宋体" w:cs="Times New Roman" w:hAnsi="Times New Roman"/>
                <w:sz w:val="18"/>
                <w:szCs w:val="18"/>
                <w:highlight w:val="auto"/>
              </w:rPr>
              <w:t>2.19</w:t>
            </w:r>
          </w:p>
        </w:tc>
      </w:tr>
      <w:tr>
        <w:trPr>
          <w:trHeight w:val="510"/>
        </w:trPr>
        <w:tc>
          <w:tcPr>
            <w:tcW w:w="5000" w:type="pct"/>
            <w:gridSpan w:val="11"/>
            <w:tcBorders>
              <w:top w:val="single" w:sz="4" w:space="0" w:color="auto"/>
              <w:left w:val="nil"/>
              <w:bottom w:val="nil"/>
              <w:right w:val="nil"/>
            </w:tcBorders>
            <w:noWrap/>
            <w:vAlign w:val="center"/>
          </w:tcPr>
          <w:p>
            <w:pPr>
              <w:keepNext w:val="0"/>
              <w:keepLines w:val="0"/>
              <w:widowControl/>
              <w:suppressLineNumbers w:val="0"/>
              <w:jc w:val="left"/>
              <w:textAlignment w:val="cente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1404" w:type="dxa"/>
        <w:tblW w:w="6517"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rPr>
          <w:trHeight w:val="550"/>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政府性基金预算财政拨款收入支出决算表</w:t>
            </w:r>
          </w:p>
        </w:tc>
      </w:tr>
      <w:tr>
        <w:trPr>
          <w:trHeight w:val="90"/>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i w:val="0"/>
                <w:iCs w:val="0"/>
                <w:color w:val="000000"/>
                <w:kern w:val="0"/>
                <w:sz w:val="20"/>
                <w:szCs w:val="20"/>
                <w:u w:val="none"/>
                <w:lang w:val="en-US" w:eastAsia="zh-CN"/>
                <w:highlight w:val="auto"/>
              </w:rPr>
              <w:t>07</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927" w:type="pct"/>
            <w:gridSpan w:val="3"/>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部门（单位）：行唐县重点项目服务中心 </w:t>
            </w:r>
            <w:r>
              <w:rPr>
                <w:rFonts w:ascii="宋体" w:eastAsia="宋体" w:cs="宋体" w:hAnsi="宋体" w:hint="eastAsia"/>
                <w:i w:val="0"/>
                <w:iCs w:val="0"/>
                <w:color w:val="000000"/>
                <w:kern w:val="0"/>
                <w:sz w:val="20"/>
                <w:szCs w:val="20"/>
                <w:u w:val="none"/>
                <w:lang w:val="en-US" w:eastAsia="zh-CN"/>
                <w:highlight w:val="auto"/>
              </w:rPr>
              <w:t xml:space="preserve">                                                                                     </w:t>
            </w:r>
          </w:p>
        </w:tc>
        <w:tc>
          <w:tcPr>
            <w:tcW w:w="1217"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eastAsia="宋体"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854"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08"/>
        </w:trPr>
        <w:tc>
          <w:tcPr>
            <w:tcW w:w="1304" w:type="pct"/>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623"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年初结转和结余</w:t>
            </w:r>
          </w:p>
        </w:tc>
        <w:tc>
          <w:tcPr>
            <w:tcW w:w="489"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本年收入</w:t>
            </w:r>
          </w:p>
        </w:tc>
        <w:tc>
          <w:tcPr>
            <w:tcW w:w="1609" w:type="pct"/>
            <w:gridSpan w:val="4"/>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w:t>
            </w:r>
          </w:p>
        </w:tc>
        <w:tc>
          <w:tcPr>
            <w:tcW w:w="973" w:type="pct"/>
            <w:vMerge w:val="restart"/>
            <w:tcBorders>
              <w:top w:val="single" w:sz="4" w:space="0" w:color="auto"/>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年末结转和结余</w:t>
            </w:r>
          </w:p>
        </w:tc>
      </w:tr>
      <w:tr>
        <w:trPr>
          <w:trHeight w:val="312"/>
        </w:trPr>
        <w:tc>
          <w:tcPr>
            <w:tcW w:w="601"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703"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623" w:type="pct"/>
            <w:vMerge/>
            <w:tcBorders>
              <w:top w:val="single" w:sz="4" w:space="0" w:color="000000"/>
              <w:left w:val="nil"/>
              <w:bottom w:val="single" w:sz="4" w:space="0" w:color="000000"/>
              <w:right w:val="single" w:sz="4" w:space="0" w:color="000000"/>
            </w:tcBorders>
            <w:noWrap/>
            <w:vAlign w:val="center"/>
          </w:tcPr>
          <w:p/>
        </w:tc>
        <w:tc>
          <w:tcPr>
            <w:tcW w:w="489" w:type="pct"/>
            <w:vMerge/>
            <w:tcBorders>
              <w:top w:val="single" w:sz="4" w:space="0" w:color="000000"/>
              <w:left w:val="nil"/>
              <w:bottom w:val="single" w:sz="4" w:space="0" w:color="000000"/>
              <w:right w:val="single" w:sz="4" w:space="0" w:color="000000"/>
            </w:tcBorders>
            <w:noWrap/>
            <w:vAlign w:val="center"/>
          </w:tcPr>
          <w:p/>
        </w:tc>
        <w:tc>
          <w:tcPr>
            <w:tcW w:w="52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小计</w:t>
            </w:r>
          </w:p>
        </w:tc>
        <w:tc>
          <w:tcPr>
            <w:tcW w:w="534"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54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c>
          <w:tcPr>
            <w:tcW w:w="973" w:type="pct"/>
            <w:vMerge/>
            <w:tcBorders>
              <w:left w:val="nil"/>
              <w:right w:val="single" w:sz="4" w:space="0" w:color="000000"/>
            </w:tcBorders>
            <w:noWrap/>
            <w:vAlign w:val="center"/>
          </w:tcPr>
          <w:p/>
        </w:tc>
      </w:tr>
      <w:tr>
        <w:trPr>
          <w:trHeight w:val="312"/>
        </w:trPr>
        <w:tc>
          <w:tcPr>
            <w:tcW w:w="601" w:type="pct"/>
            <w:vMerge/>
            <w:tcBorders>
              <w:top w:val="nil"/>
              <w:left w:val="single" w:sz="4" w:space="0" w:color="000000"/>
              <w:bottom w:val="single" w:sz="4" w:space="0" w:color="000000"/>
              <w:right w:val="single" w:sz="4" w:space="0" w:color="000000"/>
            </w:tcBorders>
            <w:noWrap/>
            <w:vAlign w:val="center"/>
          </w:tcPr>
          <w:p/>
        </w:tc>
        <w:tc>
          <w:tcPr>
            <w:tcW w:w="703" w:type="pct"/>
            <w:vMerge/>
            <w:tcBorders>
              <w:top w:val="nil"/>
              <w:left w:val="nil"/>
              <w:bottom w:val="single" w:sz="4" w:space="0" w:color="000000"/>
              <w:right w:val="single" w:sz="4" w:space="0" w:color="000000"/>
            </w:tcBorders>
            <w:noWrap/>
            <w:vAlign w:val="center"/>
          </w:tcPr>
          <w:p/>
        </w:tc>
        <w:tc>
          <w:tcPr>
            <w:tcW w:w="623" w:type="pct"/>
            <w:vMerge/>
            <w:tcBorders>
              <w:top w:val="single" w:sz="4" w:space="0" w:color="000000"/>
              <w:left w:val="nil"/>
              <w:bottom w:val="single" w:sz="4" w:space="0" w:color="000000"/>
              <w:right w:val="single" w:sz="4" w:space="0" w:color="000000"/>
            </w:tcBorders>
            <w:noWrap/>
            <w:vAlign w:val="center"/>
          </w:tcPr>
          <w:p/>
        </w:tc>
        <w:tc>
          <w:tcPr>
            <w:tcW w:w="489" w:type="pct"/>
            <w:vMerge/>
            <w:tcBorders>
              <w:top w:val="single" w:sz="4" w:space="0" w:color="000000"/>
              <w:left w:val="nil"/>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534" w:type="pct"/>
            <w:gridSpan w:val="2"/>
            <w:vMerge/>
            <w:tcBorders>
              <w:top w:val="nil"/>
              <w:left w:val="nil"/>
              <w:bottom w:val="single" w:sz="4" w:space="0" w:color="000000"/>
              <w:right w:val="single" w:sz="4" w:space="0" w:color="000000"/>
            </w:tcBorders>
            <w:noWrap/>
            <w:vAlign w:val="center"/>
          </w:tcPr>
          <w:p/>
        </w:tc>
        <w:tc>
          <w:tcPr>
            <w:tcW w:w="546" w:type="pct"/>
            <w:vMerge/>
            <w:tcBorders>
              <w:top w:val="nil"/>
              <w:left w:val="nil"/>
              <w:bottom w:val="single" w:sz="4" w:space="0" w:color="000000"/>
              <w:right w:val="single" w:sz="4" w:space="0" w:color="000000"/>
            </w:tcBorders>
            <w:noWrap/>
            <w:vAlign w:val="center"/>
          </w:tcPr>
          <w:p/>
        </w:tc>
        <w:tc>
          <w:tcPr>
            <w:tcW w:w="973" w:type="pct"/>
            <w:vMerge/>
            <w:tcBorders>
              <w:left w:val="nil"/>
              <w:right w:val="single" w:sz="4" w:space="0" w:color="000000"/>
            </w:tcBorders>
            <w:noWrap/>
            <w:vAlign w:val="center"/>
          </w:tcPr>
          <w:p/>
        </w:tc>
      </w:tr>
      <w:tr>
        <w:trPr>
          <w:trHeight w:val="312"/>
        </w:trPr>
        <w:tc>
          <w:tcPr>
            <w:tcW w:w="601" w:type="pct"/>
            <w:vMerge/>
            <w:tcBorders>
              <w:top w:val="nil"/>
              <w:left w:val="single" w:sz="4" w:space="0" w:color="000000"/>
              <w:bottom w:val="single" w:sz="4" w:space="0" w:color="auto"/>
              <w:right w:val="single" w:sz="4" w:space="0" w:color="000000"/>
            </w:tcBorders>
            <w:noWrap/>
            <w:vAlign w:val="center"/>
          </w:tcPr>
          <w:p/>
        </w:tc>
        <w:tc>
          <w:tcPr>
            <w:tcW w:w="703" w:type="pct"/>
            <w:vMerge/>
            <w:tcBorders>
              <w:top w:val="nil"/>
              <w:left w:val="nil"/>
              <w:bottom w:val="single" w:sz="4" w:space="0" w:color="auto"/>
              <w:right w:val="single" w:sz="4" w:space="0" w:color="000000"/>
            </w:tcBorders>
            <w:noWrap/>
            <w:vAlign w:val="center"/>
          </w:tcPr>
          <w:p/>
        </w:tc>
        <w:tc>
          <w:tcPr>
            <w:tcW w:w="623" w:type="pct"/>
            <w:vMerge/>
            <w:tcBorders>
              <w:top w:val="single" w:sz="4" w:space="0" w:color="000000"/>
              <w:left w:val="nil"/>
              <w:bottom w:val="single" w:sz="4" w:space="0" w:color="000000"/>
              <w:right w:val="single" w:sz="4" w:space="0" w:color="000000"/>
            </w:tcBorders>
            <w:noWrap/>
            <w:vAlign w:val="center"/>
          </w:tcPr>
          <w:p/>
        </w:tc>
        <w:tc>
          <w:tcPr>
            <w:tcW w:w="489" w:type="pct"/>
            <w:vMerge/>
            <w:tcBorders>
              <w:top w:val="single" w:sz="4" w:space="0" w:color="000000"/>
              <w:left w:val="nil"/>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534" w:type="pct"/>
            <w:gridSpan w:val="2"/>
            <w:vMerge/>
            <w:tcBorders>
              <w:top w:val="nil"/>
              <w:left w:val="nil"/>
              <w:bottom w:val="single" w:sz="4" w:space="0" w:color="000000"/>
              <w:right w:val="single" w:sz="4" w:space="0" w:color="000000"/>
            </w:tcBorders>
            <w:noWrap/>
            <w:vAlign w:val="center"/>
          </w:tcPr>
          <w:p/>
        </w:tc>
        <w:tc>
          <w:tcPr>
            <w:tcW w:w="546" w:type="pct"/>
            <w:vMerge/>
            <w:tcBorders>
              <w:top w:val="nil"/>
              <w:left w:val="nil"/>
              <w:bottom w:val="single" w:sz="4" w:space="0" w:color="000000"/>
              <w:right w:val="single" w:sz="4" w:space="0" w:color="000000"/>
            </w:tcBorders>
            <w:noWrap/>
            <w:vAlign w:val="center"/>
          </w:tcPr>
          <w:p/>
        </w:tc>
        <w:tc>
          <w:tcPr>
            <w:tcW w:w="973" w:type="pct"/>
            <w:vMerge/>
            <w:tcBorders>
              <w:left w:val="nil"/>
              <w:bottom w:val="single" w:sz="4" w:space="0" w:color="000000"/>
              <w:right w:val="single" w:sz="4" w:space="0" w:color="000000"/>
            </w:tcBorders>
            <w:noWrap/>
            <w:vAlign w:val="center"/>
          </w:tcPr>
          <w:p/>
        </w:tc>
      </w:tr>
      <w:tr>
        <w:trPr>
          <w:trHeight w:val="308"/>
        </w:trPr>
        <w:tc>
          <w:tcPr>
            <w:tcW w:w="1304"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623" w:type="pct"/>
            <w:tcBorders>
              <w:top w:val="nil"/>
              <w:left w:val="single" w:sz="4" w:space="0" w:color="auto"/>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1</w:t>
            </w:r>
          </w:p>
        </w:tc>
        <w:tc>
          <w:tcPr>
            <w:tcW w:w="48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2</w:t>
            </w:r>
          </w:p>
        </w:tc>
        <w:tc>
          <w:tcPr>
            <w:tcW w:w="52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3</w:t>
            </w:r>
          </w:p>
        </w:tc>
        <w:tc>
          <w:tcPr>
            <w:tcW w:w="534"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4</w:t>
            </w:r>
          </w:p>
        </w:tc>
        <w:tc>
          <w:tcPr>
            <w:tcW w:w="54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5</w:t>
            </w:r>
          </w:p>
        </w:tc>
        <w:tc>
          <w:tcPr>
            <w:tcW w:w="97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lang w:val="en-US" w:eastAsia="zh-CN"/>
                <w:highlight w:val="auto"/>
              </w:rPr>
            </w:pPr>
            <w:r>
              <w:rPr>
                <w:rFonts w:ascii="Times New Roman" w:eastAsia="方正仿宋_GB2312" w:cs="Times New Roman" w:hAnsi="Times New Roman"/>
                <w:i w:val="0"/>
                <w:iCs w:val="0"/>
                <w:color w:val="000000"/>
                <w:sz w:val="20"/>
                <w:szCs w:val="20"/>
                <w:u w:val="none"/>
                <w:lang w:val="en-US" w:eastAsia="zh-CN"/>
                <w:highlight w:val="auto"/>
              </w:rPr>
              <w:t>6</w:t>
            </w:r>
          </w:p>
        </w:tc>
      </w:tr>
      <w:tr>
        <w:trPr>
          <w:trHeight w:val="869"/>
        </w:trPr>
        <w:tc>
          <w:tcPr>
            <w:tcW w:w="1304"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623" w:type="pct"/>
            <w:tcBorders>
              <w:top w:val="nil"/>
              <w:left w:val="single" w:sz="4" w:space="0" w:color="auto"/>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2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34"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4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9"/>
            <w:tcBorders>
              <w:top w:val="nil"/>
              <w:left w:val="nil"/>
              <w:bottom w:val="nil"/>
              <w:right w:val="nil"/>
            </w:tcBorders>
            <w:noWrap/>
            <w:vAlign w:val="center"/>
          </w:tcPr>
          <w:p>
            <w:pPr>
              <w:rPr>
                <w:rFonts w:ascii="方正仿宋_GB2312" w:eastAsia="方正仿宋_GB2312" w:cs="方正仿宋_GB2312" w:hAnsi="方正仿宋_GB2312" w:hint="eastAsia"/>
                <w:color w:val="000000"/>
                <w:sz w:val="20"/>
                <w:szCs w:val="20"/>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注：本表反映部门本年度政府性基金预算财政拨款收入、支出及结转和结余情况。</w:t>
            </w:r>
            <w:r>
              <w:rPr>
                <w:rFonts w:ascii="方正仿宋_GB2312" w:eastAsia="方正仿宋_GB2312" w:cs="方正仿宋_GB2312" w:hAnsi="方正仿宋_GB2312" w:hint="eastAsia"/>
                <w:color w:val="000000"/>
                <w:sz w:val="20"/>
                <w:szCs w:val="20"/>
              </w:rPr>
              <w:t>本单位本年度无</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政府性基金预算财政拨款</w:t>
            </w:r>
            <w:r>
              <w:rPr>
                <w:rFonts w:ascii="方正仿宋_GB2312" w:eastAsia="方正仿宋_GB2312" w:cs="方正仿宋_GB2312" w:hAnsi="方正仿宋_GB2312" w:hint="eastAsia"/>
                <w:color w:val="000000"/>
                <w:sz w:val="20"/>
                <w:szCs w:val="20"/>
              </w:rPr>
              <w:t>收支及结转</w:t>
            </w:r>
            <w:r>
              <w:rPr>
                <w:rFonts w:ascii="方正仿宋_GB2312" w:eastAsia="方正仿宋_GB2312" w:cs="方正仿宋_GB2312" w:hAnsi="方正仿宋_GB2312"/>
                <w:color w:val="000000"/>
                <w:sz w:val="20"/>
                <w:szCs w:val="20"/>
              </w:rPr>
              <w:t>和</w:t>
            </w:r>
            <w:r>
              <w:rPr>
                <w:rFonts w:ascii="方正仿宋_GB2312" w:eastAsia="方正仿宋_GB2312" w:cs="方正仿宋_GB2312" w:hAnsi="方正仿宋_GB2312" w:hint="eastAsia"/>
                <w:color w:val="000000"/>
                <w:sz w:val="20"/>
                <w:szCs w:val="20"/>
              </w:rPr>
              <w:t>结余情况，按要求以空表列式。</w:t>
            </w:r>
          </w:p>
          <w:p>
            <w:pPr>
              <w:rPr>
                <w:rFonts w:ascii="宋体" w:eastAsia="宋体" w:cs="宋体" w:hAnsi="宋体" w:hint="eastAsia"/>
                <w:i w:val="0"/>
                <w:iCs w:val="0"/>
                <w:color w:val="000000"/>
                <w:sz w:val="20"/>
                <w:szCs w:val="20"/>
                <w:u w:val="none"/>
                <w:highlight w:val="auto"/>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976" w:type="dxa"/>
        <w:tblW w:w="5863"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2992"/>
        <w:gridCol w:w="730"/>
        <w:gridCol w:w="1297"/>
        <w:gridCol w:w="1331"/>
        <w:gridCol w:w="6"/>
        <w:gridCol w:w="45"/>
        <w:gridCol w:w="1280"/>
        <w:gridCol w:w="11"/>
        <w:gridCol w:w="1735"/>
      </w:tblGrid>
      <w:tr>
        <w:trPr>
          <w:trHeight w:val="550"/>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国有资本经营预算财政拨款支出决算表</w:t>
            </w:r>
          </w:p>
        </w:tc>
      </w:tr>
      <w:tr>
        <w:trPr>
          <w:trHeight w:val="300"/>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方正仿宋_GB2312" w:cs="Times New Roman" w:hAnsi="Times New Roman"/>
                <w:i w:val="0"/>
                <w:iCs w:val="0"/>
                <w:color w:val="000000"/>
                <w:kern w:val="0"/>
                <w:sz w:val="20"/>
                <w:szCs w:val="20"/>
                <w:u w:val="none"/>
                <w:lang w:val="en-US" w:eastAsia="zh-CN"/>
                <w:highlight w:val="auto"/>
              </w:rPr>
              <w:t>08</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974" w:type="pct"/>
            <w:gridSpan w:val="2"/>
            <w:tcBorders>
              <w:top w:val="nil"/>
              <w:left w:val="nil"/>
              <w:bottom w:val="single" w:sz="4" w:space="0" w:color="auto"/>
              <w:right w:val="nil"/>
            </w:tcBorders>
            <w:noWrap/>
            <w:vAlign w:val="bottom"/>
          </w:tcPr>
          <w:p>
            <w:pPr>
              <w:keepNext w:val="0"/>
              <w:keepLines w:val="0"/>
              <w:widowControl/>
              <w:suppressLineNumbers w:val="0"/>
              <w:jc w:val="both"/>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部门（单位）：行唐县重点项目服务中心</w:t>
            </w:r>
          </w:p>
        </w:tc>
        <w:tc>
          <w:tcPr>
            <w:tcW w:w="1421" w:type="pct"/>
            <w:gridSpan w:val="4"/>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eastAsia="宋体"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603"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12"/>
        </w:trPr>
        <w:tc>
          <w:tcPr>
            <w:tcW w:w="2662" w:type="pct"/>
            <w:gridSpan w:val="3"/>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项目</w:t>
            </w:r>
          </w:p>
        </w:tc>
        <w:tc>
          <w:tcPr>
            <w:tcW w:w="2337" w:type="pct"/>
            <w:gridSpan w:val="6"/>
            <w:vMerge w:val="restart"/>
            <w:tcBorders>
              <w:top w:val="single" w:sz="4" w:space="0" w:color="auto"/>
              <w:left w:val="single" w:sz="4" w:space="0" w:color="auto"/>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本年支出</w:t>
            </w:r>
          </w:p>
        </w:tc>
      </w:tr>
      <w:tr>
        <w:trPr>
          <w:trHeight w:val="312"/>
        </w:trPr>
        <w:tc>
          <w:tcPr>
            <w:tcW w:w="2662" w:type="pct"/>
            <w:gridSpan w:val="3"/>
            <w:vMerge/>
            <w:tcBorders>
              <w:top w:val="single" w:sz="4" w:space="0" w:color="auto"/>
              <w:left w:val="single" w:sz="4" w:space="0" w:color="auto"/>
              <w:bottom w:val="single" w:sz="4" w:space="0" w:color="auto"/>
              <w:right w:val="single" w:sz="4" w:space="0" w:color="auto"/>
            </w:tcBorders>
            <w:noWrap/>
            <w:vAlign w:val="center"/>
          </w:tcPr>
          <w:p/>
        </w:tc>
        <w:tc>
          <w:tcPr>
            <w:tcW w:w="2337" w:type="pct"/>
            <w:gridSpan w:val="6"/>
            <w:vMerge/>
            <w:tcBorders>
              <w:left w:val="single" w:sz="4" w:space="0" w:color="auto"/>
              <w:bottom w:val="single" w:sz="4" w:space="0" w:color="000000"/>
              <w:right w:val="single" w:sz="4" w:space="0" w:color="000000"/>
            </w:tcBorders>
            <w:noWrap/>
            <w:vAlign w:val="center"/>
          </w:tcPr>
          <w:p/>
        </w:tc>
      </w:tr>
      <w:tr>
        <w:trPr>
          <w:trHeight w:val="312"/>
        </w:trPr>
        <w:tc>
          <w:tcPr>
            <w:tcW w:w="1587" w:type="pct"/>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1074" w:type="pct"/>
            <w:gridSpan w:val="2"/>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科目名称</w:t>
            </w:r>
          </w:p>
        </w:tc>
        <w:tc>
          <w:tcPr>
            <w:tcW w:w="709" w:type="pct"/>
            <w:gridSpan w:val="2"/>
            <w:vMerge w:val="restart"/>
            <w:tcBorders>
              <w:top w:val="nil"/>
              <w:left w:val="single" w:sz="4" w:space="0" w:color="auto"/>
              <w:right w:val="single" w:sz="4" w:space="0" w:color="000000"/>
            </w:tcBorders>
            <w:noWrap/>
            <w:vAlign w:val="center"/>
          </w:tcPr>
          <w:p>
            <w:pPr>
              <w:jc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合计</w:t>
            </w:r>
          </w:p>
        </w:tc>
        <w:tc>
          <w:tcPr>
            <w:tcW w:w="709" w:type="pct"/>
            <w:gridSpan w:val="3"/>
            <w:vMerge w:val="restart"/>
            <w:tcBorders>
              <w:top w:val="nil"/>
              <w:left w:val="nil"/>
              <w:right w:val="single" w:sz="4" w:space="0" w:color="000000"/>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基本支出</w:t>
            </w:r>
          </w:p>
        </w:tc>
        <w:tc>
          <w:tcPr>
            <w:tcW w:w="919" w:type="pct"/>
            <w:vMerge w:val="restart"/>
            <w:tcBorders>
              <w:top w:val="nil"/>
              <w:left w:val="nil"/>
              <w:right w:val="single" w:sz="4" w:space="0" w:color="000000"/>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项目支出</w:t>
            </w:r>
          </w:p>
        </w:tc>
      </w:tr>
      <w:tr>
        <w:trPr>
          <w:trHeight w:val="312"/>
        </w:trPr>
        <w:tc>
          <w:tcPr>
            <w:tcW w:w="1587" w:type="pct"/>
            <w:vMerge/>
            <w:tcBorders>
              <w:top w:val="single" w:sz="4" w:space="0" w:color="auto"/>
              <w:left w:val="single" w:sz="4" w:space="0" w:color="auto"/>
              <w:bottom w:val="single" w:sz="4" w:space="0" w:color="auto"/>
              <w:right w:val="single" w:sz="4" w:space="0" w:color="000000"/>
            </w:tcBorders>
            <w:noWrap/>
            <w:vAlign w:val="center"/>
          </w:tcPr>
          <w:p/>
        </w:tc>
        <w:tc>
          <w:tcPr>
            <w:tcW w:w="1074" w:type="pct"/>
            <w:gridSpan w:val="2"/>
            <w:vMerge/>
            <w:tcBorders>
              <w:top w:val="single" w:sz="4" w:space="0" w:color="auto"/>
              <w:left w:val="nil"/>
              <w:bottom w:val="single" w:sz="4" w:space="0" w:color="auto"/>
              <w:right w:val="single" w:sz="4" w:space="0" w:color="auto"/>
            </w:tcBorders>
            <w:noWrap/>
            <w:vAlign w:val="center"/>
          </w:tcPr>
          <w:p/>
        </w:tc>
        <w:tc>
          <w:tcPr>
            <w:tcW w:w="709" w:type="pct"/>
            <w:gridSpan w:val="2"/>
            <w:vMerge/>
            <w:tcBorders>
              <w:left w:val="single" w:sz="4" w:space="0" w:color="auto"/>
              <w:bottom w:val="single" w:sz="4" w:space="0" w:color="000000"/>
              <w:right w:val="single" w:sz="4" w:space="0" w:color="000000"/>
            </w:tcBorders>
            <w:noWrap/>
            <w:vAlign w:val="center"/>
          </w:tcPr>
          <w:p/>
        </w:tc>
        <w:tc>
          <w:tcPr>
            <w:tcW w:w="709" w:type="pct"/>
            <w:gridSpan w:val="3"/>
            <w:vMerge/>
            <w:tcBorders>
              <w:left w:val="nil"/>
              <w:bottom w:val="single" w:sz="4" w:space="0" w:color="000000"/>
              <w:right w:val="single" w:sz="4" w:space="0" w:color="000000"/>
            </w:tcBorders>
            <w:noWrap/>
            <w:vAlign w:val="center"/>
          </w:tcPr>
          <w:p/>
        </w:tc>
        <w:tc>
          <w:tcPr>
            <w:tcW w:w="919" w:type="pct"/>
            <w:vMerge/>
            <w:tcBorders>
              <w:left w:val="nil"/>
              <w:bottom w:val="single" w:sz="4" w:space="0" w:color="000000"/>
              <w:right w:val="single" w:sz="4" w:space="0" w:color="000000"/>
            </w:tcBorders>
            <w:noWrap/>
            <w:vAlign w:val="center"/>
          </w:tcPr>
          <w:p/>
        </w:tc>
      </w:tr>
      <w:tr>
        <w:trPr>
          <w:trHeight w:val="308"/>
        </w:trPr>
        <w:tc>
          <w:tcPr>
            <w:tcW w:w="2662" w:type="pct"/>
            <w:gridSpan w:val="3"/>
            <w:tcBorders>
              <w:top w:val="single" w:sz="4" w:space="0" w:color="auto"/>
              <w:left w:val="single" w:sz="4" w:space="0" w:color="auto"/>
              <w:bottom w:val="single" w:sz="4" w:space="0" w:color="000000"/>
              <w:right w:val="single" w:sz="4" w:space="0" w:color="auto"/>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栏次</w:t>
            </w:r>
          </w:p>
        </w:tc>
        <w:tc>
          <w:tcPr>
            <w:tcW w:w="706" w:type="pct"/>
            <w:tcBorders>
              <w:top w:val="nil"/>
              <w:left w:val="single" w:sz="4" w:space="0" w:color="auto"/>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1</w:t>
            </w:r>
          </w:p>
        </w:tc>
        <w:tc>
          <w:tcPr>
            <w:tcW w:w="706" w:type="pct"/>
            <w:gridSpan w:val="3"/>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2</w:t>
            </w:r>
          </w:p>
        </w:tc>
        <w:tc>
          <w:tcPr>
            <w:tcW w:w="924"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3</w:t>
            </w:r>
          </w:p>
        </w:tc>
      </w:tr>
      <w:tr>
        <w:trPr>
          <w:trHeight w:val="308"/>
        </w:trPr>
        <w:tc>
          <w:tcPr>
            <w:tcW w:w="2662" w:type="pct"/>
            <w:gridSpan w:val="3"/>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合计</w:t>
            </w:r>
          </w:p>
        </w:tc>
        <w:tc>
          <w:tcPr>
            <w:tcW w:w="706" w:type="pct"/>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06" w:type="pct"/>
            <w:gridSpan w:val="3"/>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24" w:type="pct"/>
            <w:gridSpan w:val="2"/>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9"/>
            <w:tcBorders>
              <w:top w:val="nil"/>
              <w:left w:val="nil"/>
              <w:bottom w:val="nil"/>
              <w:right w:val="nil"/>
            </w:tcBorders>
            <w:noWrap/>
            <w:vAlign w:val="center"/>
          </w:tcPr>
          <w:p>
            <w:pPr>
              <w:rPr>
                <w:rFonts w:ascii="方正仿宋_GB2312" w:eastAsia="方正仿宋_GB2312" w:cs="方正仿宋_GB2312" w:hAnsi="方正仿宋_GB2312" w:hint="eastAsia"/>
                <w:color w:val="000000"/>
                <w:sz w:val="20"/>
                <w:szCs w:val="20"/>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注：本表反映部门本年度国有资本经营预算财政拨款支出情况。</w:t>
            </w:r>
            <w:r>
              <w:rPr>
                <w:rFonts w:ascii="方正仿宋_GB2312" w:eastAsia="方正仿宋_GB2312" w:cs="方正仿宋_GB2312" w:hint="eastAsia"/>
                <w:color w:val="000000"/>
                <w:sz w:val="20"/>
                <w:szCs w:val="20"/>
              </w:rPr>
              <w:t>本单位本年度无国有资本经营预算财政拨款支出情况，按要求空表列示。</w:t>
            </w:r>
          </w:p>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tblpPr w:leftFromText="180" w:rightFromText="180" w:vertAnchor="text" w:horzAnchor="page" w:tblpX="282" w:tblpY="39"/>
        <w:tblOverlap w:val="never"/>
        <w:tblW w:w="7211"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986"/>
        <w:gridCol w:w="1224"/>
        <w:gridCol w:w="812"/>
        <w:gridCol w:w="944"/>
        <w:gridCol w:w="524"/>
        <w:gridCol w:w="543"/>
        <w:gridCol w:w="779"/>
        <w:gridCol w:w="842"/>
        <w:gridCol w:w="7"/>
        <w:gridCol w:w="1132"/>
        <w:gridCol w:w="638"/>
        <w:gridCol w:w="1025"/>
        <w:gridCol w:w="948"/>
        <w:gridCol w:w="1192"/>
      </w:tblGrid>
      <w:tr>
        <w:trPr>
          <w:trHeight w:val="550"/>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财政拨款“三公”经费支出决算表</w:t>
            </w:r>
          </w:p>
        </w:tc>
      </w:tr>
      <w:tr>
        <w:trPr>
          <w:trHeight w:val="260"/>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公开</w:t>
            </w:r>
            <w:r>
              <w:rPr>
                <w:rFonts w:ascii="Times New Roman" w:eastAsia="方正仿宋_GB2312" w:cs="Times New Roman" w:hAnsi="Times New Roman"/>
                <w:i w:val="0"/>
                <w:iCs w:val="0"/>
                <w:color w:val="000000"/>
                <w:kern w:val="0"/>
                <w:sz w:val="18"/>
                <w:szCs w:val="18"/>
                <w:u w:val="none"/>
                <w:lang w:val="en-US" w:eastAsia="zh-CN"/>
                <w:highlight w:val="auto"/>
              </w:rPr>
              <w:t>09</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表</w:t>
            </w:r>
          </w:p>
        </w:tc>
      </w:tr>
      <w:tr>
        <w:trPr>
          <w:trHeight w:val="260"/>
        </w:trPr>
        <w:tc>
          <w:tcPr>
            <w:tcW w:w="1936" w:type="pct"/>
            <w:gridSpan w:val="5"/>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部门（单位）：行唐县重点项目服务中心</w:t>
            </w:r>
          </w:p>
        </w:tc>
        <w:tc>
          <w:tcPr>
            <w:tcW w:w="933"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18"/>
                <w:szCs w:val="18"/>
                <w:u w:val="none"/>
                <w:lang w:val="en-US" w:eastAsia="zh-CN"/>
                <w:highlight w:val="auto"/>
              </w:rPr>
            </w:pPr>
            <w:r>
              <w:rPr>
                <w:rFonts w:ascii="Times New Roman" w:eastAsia="宋体" w:cs="Times New Roman" w:hAnsi="Times New Roman"/>
                <w:i w:val="0"/>
                <w:iCs w:val="0"/>
                <w:color w:val="000000"/>
                <w:kern w:val="0"/>
                <w:sz w:val="18"/>
                <w:szCs w:val="18"/>
                <w:u w:val="none"/>
                <w:lang w:val="en-US" w:eastAsia="zh-CN"/>
                <w:highlight w:val="auto"/>
              </w:rPr>
              <w:t>202</w:t>
            </w:r>
            <w:r>
              <w:rPr>
                <w:rFonts w:ascii="Times New Roman" w:eastAsia="宋体" w:cs="Times New Roman" w:hAnsi="Times New Roman" w:hint="eastAsia"/>
                <w:i w:val="0"/>
                <w:iCs w:val="0"/>
                <w:color w:val="000000"/>
                <w:kern w:val="0"/>
                <w:sz w:val="18"/>
                <w:szCs w:val="18"/>
                <w:u w:val="none"/>
                <w:lang w:val="en-US" w:eastAsia="zh-CN"/>
                <w:highlight w:val="auto"/>
              </w:rPr>
              <w:t>4</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年度</w:t>
            </w:r>
          </w:p>
        </w:tc>
        <w:tc>
          <w:tcPr>
            <w:tcW w:w="2129" w:type="pct"/>
            <w:gridSpan w:val="6"/>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18"/>
                <w:szCs w:val="18"/>
                <w:u w:val="none"/>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金额单位：万元</w:t>
            </w:r>
          </w:p>
        </w:tc>
      </w:tr>
      <w:tr>
        <w:trPr>
          <w:trHeight w:val="431"/>
        </w:trPr>
        <w:tc>
          <w:tcPr>
            <w:tcW w:w="2506" w:type="pct"/>
            <w:gridSpan w:val="7"/>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预算数</w:t>
            </w:r>
          </w:p>
        </w:tc>
        <w:tc>
          <w:tcPr>
            <w:tcW w:w="2493" w:type="pct"/>
            <w:gridSpan w:val="7"/>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决算数</w:t>
            </w:r>
          </w:p>
        </w:tc>
      </w:tr>
      <w:tr>
        <w:trPr>
          <w:trHeight w:val="431"/>
        </w:trPr>
        <w:tc>
          <w:tcPr>
            <w:tcW w:w="425"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合计</w:t>
            </w:r>
          </w:p>
        </w:tc>
        <w:tc>
          <w:tcPr>
            <w:tcW w:w="52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w:t>
            </w:r>
          </w:p>
        </w:tc>
        <w:tc>
          <w:tcPr>
            <w:tcW w:w="1217" w:type="pct"/>
            <w:gridSpan w:val="4"/>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公务用车购置及运行维护费</w:t>
            </w:r>
          </w:p>
        </w:tc>
        <w:tc>
          <w:tcPr>
            <w:tcW w:w="335"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c>
          <w:tcPr>
            <w:tcW w:w="366"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合计</w:t>
            </w:r>
          </w:p>
        </w:tc>
        <w:tc>
          <w:tcPr>
            <w:tcW w:w="48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w:t>
            </w:r>
          </w:p>
        </w:tc>
        <w:tc>
          <w:tcPr>
            <w:tcW w:w="1126" w:type="pct"/>
            <w:gridSpan w:val="3"/>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公务用车购置及运行维护费</w:t>
            </w:r>
          </w:p>
        </w:tc>
        <w:tc>
          <w:tcPr>
            <w:tcW w:w="511"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r>
      <w:tr>
        <w:trPr>
          <w:trHeight w:val="431"/>
        </w:trPr>
        <w:tc>
          <w:tcPr>
            <w:tcW w:w="425" w:type="pct"/>
            <w:vMerge/>
            <w:tcBorders>
              <w:top w:val="nil"/>
              <w:left w:val="single" w:sz="4" w:space="0" w:color="000000"/>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35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小计</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公务用车购置费</w:t>
            </w:r>
          </w:p>
        </w:tc>
        <w:tc>
          <w:tcPr>
            <w:tcW w:w="458"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335" w:type="pct"/>
            <w:vMerge/>
            <w:tcBorders>
              <w:top w:val="nil"/>
              <w:left w:val="nil"/>
              <w:bottom w:val="single" w:sz="4" w:space="0" w:color="000000"/>
              <w:right w:val="single" w:sz="4" w:space="0" w:color="000000"/>
            </w:tcBorders>
            <w:noWrap/>
            <w:vAlign w:val="center"/>
          </w:tcPr>
          <w:p/>
        </w:tc>
        <w:tc>
          <w:tcPr>
            <w:tcW w:w="366" w:type="pct"/>
            <w:gridSpan w:val="2"/>
            <w:vMerge/>
            <w:tcBorders>
              <w:top w:val="nil"/>
              <w:left w:val="nil"/>
              <w:bottom w:val="single" w:sz="4" w:space="0" w:color="000000"/>
              <w:right w:val="single" w:sz="4" w:space="0" w:color="000000"/>
            </w:tcBorders>
            <w:noWrap/>
            <w:vAlign w:val="center"/>
          </w:tcPr>
          <w:p/>
        </w:tc>
        <w:tc>
          <w:tcPr>
            <w:tcW w:w="488" w:type="pct"/>
            <w:vMerge/>
            <w:tcBorders>
              <w:top w:val="nil"/>
              <w:left w:val="nil"/>
              <w:bottom w:val="single" w:sz="4" w:space="0" w:color="000000"/>
              <w:right w:val="single" w:sz="4" w:space="0" w:color="000000"/>
            </w:tcBorders>
            <w:noWrap/>
            <w:vAlign w:val="center"/>
          </w:tcPr>
          <w:p/>
        </w:tc>
        <w:tc>
          <w:tcPr>
            <w:tcW w:w="27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小计</w:t>
            </w:r>
          </w:p>
        </w:tc>
        <w:tc>
          <w:tcPr>
            <w:tcW w:w="44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公务用车购置费</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511" w:type="pct"/>
            <w:vMerge/>
            <w:tcBorders>
              <w:top w:val="nil"/>
              <w:left w:val="nil"/>
              <w:bottom w:val="single" w:sz="4" w:space="0" w:color="000000"/>
              <w:right w:val="single" w:sz="4" w:space="0" w:color="000000"/>
            </w:tcBorders>
            <w:noWrap/>
            <w:vAlign w:val="center"/>
          </w:tcPr>
          <w:p/>
        </w:tc>
      </w:tr>
      <w:tr>
        <w:trPr>
          <w:trHeight w:val="431"/>
        </w:trPr>
        <w:tc>
          <w:tcPr>
            <w:tcW w:w="425"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w:t>
            </w:r>
          </w:p>
        </w:tc>
        <w:tc>
          <w:tcPr>
            <w:tcW w:w="52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2</w:t>
            </w:r>
          </w:p>
        </w:tc>
        <w:tc>
          <w:tcPr>
            <w:tcW w:w="35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3</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4</w:t>
            </w:r>
          </w:p>
        </w:tc>
        <w:tc>
          <w:tcPr>
            <w:tcW w:w="458"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5</w:t>
            </w:r>
          </w:p>
        </w:tc>
        <w:tc>
          <w:tcPr>
            <w:tcW w:w="33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6</w:t>
            </w:r>
          </w:p>
        </w:tc>
        <w:tc>
          <w:tcPr>
            <w:tcW w:w="36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7</w:t>
            </w:r>
          </w:p>
        </w:tc>
        <w:tc>
          <w:tcPr>
            <w:tcW w:w="48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8</w:t>
            </w:r>
          </w:p>
        </w:tc>
        <w:tc>
          <w:tcPr>
            <w:tcW w:w="27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9</w:t>
            </w:r>
          </w:p>
        </w:tc>
        <w:tc>
          <w:tcPr>
            <w:tcW w:w="44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10</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11</w:t>
            </w:r>
          </w:p>
        </w:tc>
        <w:tc>
          <w:tcPr>
            <w:tcW w:w="511"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12</w:t>
            </w:r>
          </w:p>
        </w:tc>
      </w:tr>
      <w:tr>
        <w:trPr>
          <w:trHeight w:val="431"/>
        </w:trPr>
        <w:tc>
          <w:tcPr>
            <w:tcW w:w="425" w:type="pct"/>
            <w:tcBorders>
              <w:top w:val="nil"/>
              <w:left w:val="single" w:sz="4" w:space="0" w:color="000000"/>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528"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350"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07"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58" w:type="pct"/>
            <w:gridSpan w:val="2"/>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335"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366" w:type="pct"/>
            <w:gridSpan w:val="2"/>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88"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275"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42"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07"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511"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r>
      <w:tr>
        <w:trPr>
          <w:trHeight w:val="431"/>
        </w:trPr>
        <w:tc>
          <w:tcPr>
            <w:tcW w:w="5000" w:type="pct"/>
            <w:gridSpan w:val="14"/>
            <w:tcBorders>
              <w:top w:val="nil"/>
              <w:left w:val="nil"/>
              <w:bottom w:val="nil"/>
              <w:right w:val="nil"/>
            </w:tcBorders>
            <w:noWrap/>
            <w:vAlign w:val="center"/>
          </w:tcPr>
          <w:p>
            <w:pPr>
              <w:rPr>
                <w:rFonts w:ascii="方正仿宋_GB2312" w:eastAsia="方正仿宋_GB2312" w:cs="方正仿宋_GB2312" w:hAnsi="方正仿宋_GB2312" w:hint="eastAsia"/>
                <w:color w:val="000000"/>
                <w:sz w:val="20"/>
                <w:szCs w:val="20"/>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注：本表反映部门本年度财政拨款“三公”经费支出预决算情况。其中：预算数为“三公”经费全年预算数，反映按规定程序调整后的预算数；决算数是包括当年财政拨款和以前年度结转资金安排的实际支出。</w:t>
            </w:r>
            <w:r>
              <w:rPr>
                <w:rFonts w:ascii="方正仿宋_GB2312" w:eastAsia="方正仿宋_GB2312" w:cs="方正仿宋_GB2312" w:hAnsi="方正仿宋_GB2312" w:hint="eastAsia"/>
                <w:color w:val="000000"/>
                <w:sz w:val="20"/>
                <w:szCs w:val="20"/>
              </w:rPr>
              <w:t>本单位本年度无</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财政拨款“三公”经费支出</w:t>
            </w:r>
            <w:r>
              <w:rPr>
                <w:rFonts w:ascii="方正仿宋_GB2312" w:eastAsia="方正仿宋_GB2312" w:cs="方正仿宋_GB2312" w:hAnsi="方正仿宋_GB2312" w:hint="eastAsia"/>
                <w:color w:val="000000"/>
                <w:sz w:val="20"/>
                <w:szCs w:val="20"/>
              </w:rPr>
              <w:t>情况，按要求以空表列式。</w:t>
            </w:r>
          </w:p>
          <w:p>
            <w:pPr>
              <w:keepNext w:val="0"/>
              <w:keepLines w:val="0"/>
              <w:widowControl/>
              <w:suppressLineNumbers w:val="0"/>
              <w:jc w:val="left"/>
              <w:textAlignment w:val="center"/>
              <w:rPr>
                <w:rFonts w:ascii="宋体" w:eastAsia="宋体" w:cs="宋体" w:hAnsi="宋体" w:hint="eastAsia"/>
                <w:i w:val="0"/>
                <w:iCs w:val="0"/>
                <w:color w:val="000000"/>
                <w:sz w:val="18"/>
                <w:szCs w:val="18"/>
                <w:u w:val="none"/>
                <w:highlight w:val="auto"/>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sectPr>
          <w:headerReference w:type="default" r:id="rId9"/>
          <w:footerReference w:type="default" r:id="rId10"/>
          <w:pgSz w:w="11906" w:h="16838"/>
          <w:pgMar w:top="1531" w:right="1984" w:bottom="1531" w:left="2098" w:header="851" w:footer="992" w:gutter="0"/>
          <w:docGrid w:type="lines" w:linePitch="312" w:charSpace="0"/>
        </w:sect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第三部分   </w:t>
      </w:r>
      <w:r>
        <w:rPr>
          <w:rFonts w:ascii="Times New Roman" w:eastAsia="仿宋_GB2312" w:hAnsi="Times New Roman"/>
          <w:b w:val="0"/>
          <w:sz w:val="44"/>
          <w:szCs w:val="44"/>
        </w:rPr>
        <w:t>2024</w:t>
      </w:r>
      <w:r>
        <w:rPr>
          <w:rFonts w:ascii="Times New Roman" w:eastAsia="黑体" w:hAnsi="Times New Roman"/>
          <w:b w:val="0"/>
          <w:sz w:val="44"/>
          <w:szCs w:val="44"/>
        </w:rPr>
        <w:t>年度部门决算情况说明</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一、收入支出决算总体情况说明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本单位2024年度收、支总计（含结转和结余）均为223.42万元。与2023年度决算相比，收支各减少2,835.64万元，下降92.7%，主要原因是科学技术支出减少。</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Arial" w:cs="Times New Roman" w:hAnsi="Times New Roman"/>
          <w:highlight w:val="auto"/>
        </w:rPr>
      </w:pPr>
      <w:r>
        <w:rPr>
          <w:rFonts w:ascii="Times New Roman" w:eastAsia="宋体" w:hAnsi="Times New Roman" w:hint="eastAsia"/>
        </w:rPr>
        <w:drawing>
          <wp:inline distT="0" distB="0" distL="114300" distR="114300">
            <wp:extent cx="5256530" cy="2988310"/>
            <wp:effectExtent l="0" t="0" r="0" b="0"/>
            <wp:docPr id="7" name="图表 5"/>
            <wp:cNvGraphicFramePr>
              <a:graphicFrameLocks noChangeAspect="0"/>
            </wp:cNvGraphicFramePr>
            <a:graphic>
              <a:graphicData uri="http://schemas.openxmlformats.org/drawingml/2006/chart">
                <c:chart xmlns:c="http://schemas.openxmlformats.org/drawingml/2006/chart" r:id="rId11"/>
              </a:graphicData>
            </a:graphic>
          </wp:inline>
        </w:drawing>
      </w:r>
      <w:r>
        <w:rPr>
          <w:rFonts w:ascii="Times New Roman" w:eastAsia="Arial" w:cs="Times New Roman" w:hAnsi="Times New Roman"/>
          <w:i w:val="0"/>
          <w:iCs w:val="0"/>
          <w:caps w:val="0"/>
          <w:smallCaps w:val="0"/>
          <w:color w:val="000000"/>
          <w:spacing w:val="0"/>
          <w:sz w:val="18"/>
          <w:szCs w:val="18"/>
          <w:shd w:val="clear" w:color="auto" w:fill="FFFFFF"/>
          <w:highlight w:val="auto"/>
        </w:rPr>
        <w:t> </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二、收入决算情况说明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本单位2024年度本年收入合计223.42万元，其中：财政拨款收入223.42万元，占100%​；上级补助收入0万元，占0%；事业收入0万元，占0%；经营收入0万元，占0%；附属单位上缴收入0万元，占0%；其他收入0万元，占0%。</w:t>
      </w:r>
    </w:p>
    <w:p>
      <w:pPr>
        <w:adjustRightInd w:val="0"/>
        <w:snapToGrid w:val="0"/>
        <w:spacing w:line="580" w:lineRule="exact"/>
        <w:rPr>
          <w:rFonts w:ascii="Times New Roman" w:eastAsia="黑体" w:hAnsi="Times New Roman"/>
          <w:sz w:val="32"/>
          <w:szCs w:val="32"/>
        </w:rPr>
      </w:pPr>
      <w:r>
        <w:rPr>
          <w:rFonts w:ascii="Times New Roman" w:eastAsia="仿宋_GB2312" w:hAnsi="Times New Roman"/>
          <w:kern w:val="2"/>
          <w:sz w:val="32"/>
          <w:szCs w:val="32"/>
          <w:lang w:val="zh-CN"/>
          <w:highlight w:val="yellow"/>
        </w:rPr>
        <w:drawing>
          <wp:anchor distT="0" distB="0" distL="114300" distR="114300" simplePos="0" relativeHeight="48" behindDoc="0" locked="0" layoutInCell="1" hidden="0" allowOverlap="1">
            <wp:simplePos x="0" y="0"/>
            <wp:positionH relativeFrom="column">
              <wp:posOffset>335909</wp:posOffset>
            </wp:positionH>
            <wp:positionV relativeFrom="paragraph">
              <wp:posOffset>240029</wp:posOffset>
            </wp:positionV>
            <wp:extent cx="5256530" cy="2856804"/>
            <wp:effectExtent l="0" t="0" r="0" b="0"/>
            <wp:wrapTopAndBottom/>
            <wp:docPr id="8" name="图表 9"/>
            <wp:cNvGraphicFramePr>
              <a:graphicFrameLocks noChangeAspect="0"/>
            </wp:cNvGraphicFramePr>
            <a:graphic>
              <a:graphicData uri="http://schemas.openxmlformats.org/drawingml/2006/chart">
                <c:chart xmlns:c="http://schemas.openxmlformats.org/drawingml/2006/chart" r:id="rId12"/>
              </a:graphicData>
            </a:graphic>
          </wp:anchor>
        </w:drawing>
      </w:r>
      <w:r>
        <w:rPr>
          <w:rFonts w:ascii="Times New Roman" w:eastAsia="黑体" w:hAnsi="Times New Roman"/>
          <w:b w:val="0"/>
          <w:sz w:val="32"/>
          <w:szCs w:val="32"/>
        </w:rPr>
        <w:t>三、支出决算情况说明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本单位2024年度本年支出合计223.42万元，其中：基本支出52.58万元，占23.5%；项目支出170.84万元，占76.5%；上缴上级支出0万元，占0%；经营支出0万元，占0%；对附属单位补助支出0万元，占0%。</w:t>
      </w:r>
    </w:p>
    <w:p>
      <w:pPr>
        <w:autoSpaceDE w:val="0"/>
        <w:autoSpaceDN w:val="0"/>
        <w:adjustRightInd w:val="0"/>
        <w:jc w:val="center"/>
        <w:rPr>
          <w:rFonts w:ascii="Times New Roman" w:eastAsia="仿宋_GB2312" w:cs="Times New Roman" w:hAnsi="Times New Roman"/>
          <w:color w:val="auto"/>
          <w:kern w:val="0"/>
          <w:sz w:val="32"/>
          <w:szCs w:val="32"/>
          <w:lang w:val="en-US" w:eastAsia="zh-CN" w:bidi="ar-SA"/>
          <w:highlight w:val="auto"/>
        </w:rPr>
      </w:pPr>
      <w:r>
        <w:rPr>
          <w:rFonts w:ascii="Times New Roman" w:eastAsia="仿宋_GB2312" w:cs="Times New Roman" w:hAnsi="Times New Roman"/>
          <w:sz w:val="32"/>
          <w:szCs w:val="32"/>
          <w:highlight w:val="auto"/>
        </w:rPr>
        <w:drawing>
          <wp:inline distT="0" distB="0" distL="114300" distR="114300">
            <wp:extent cx="5256530" cy="2738376"/>
            <wp:effectExtent l="0" t="0" r="0" b="0"/>
            <wp:docPr id="9" name="图表 7"/>
            <wp:cNvGraphicFramePr>
              <a:graphicFrameLocks noChangeAspect="0"/>
            </wp:cNvGraphicFramePr>
            <a:graphic>
              <a:graphicData uri="http://schemas.openxmlformats.org/drawingml/2006/chart">
                <c:chart xmlns:c="http://schemas.openxmlformats.org/drawingml/2006/chart" r:id="rId13"/>
              </a:graphicData>
            </a:graphic>
          </wp:inline>
        </w:drawing>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四、财政拨款收入支出决算总体情况说明</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（一）财政拨款收支与</w:t>
      </w:r>
      <w:r>
        <w:rPr>
          <w:rFonts w:ascii="Times New Roman" w:eastAsia="仿宋_GB2312" w:hAnsi="Times New Roman"/>
          <w:b/>
          <w:sz w:val="32"/>
          <w:szCs w:val="32"/>
        </w:rPr>
        <w:t>2023</w:t>
      </w:r>
      <w:r>
        <w:rPr>
          <w:rFonts w:ascii="Times New Roman" w:eastAsia="楷体_GB2312" w:hAnsi="Times New Roman"/>
          <w:b/>
          <w:sz w:val="32"/>
          <w:szCs w:val="32"/>
        </w:rPr>
        <w:t>年度决算对比情况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本单位2024年度财政拨款收、支总计（含结转和结余）均为223.42万元。与2023年度相比，财政拨款收支各减少2,835.64万元，降低92.7%，主要原因是科学技术支出减少。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财政拨款本年收入223.42万元,比上年减少2,835.64万元，降低92.7%，主要原因是科学技术支出减少；本年支出223.42万元，比上年减少2,835.64万元，降低92.7%，主要原因是科学技术支出减少。具体情况如下：</w:t>
      </w:r>
    </w:p>
    <w:p>
      <w:pPr>
        <w:widowControl/>
        <w:spacing w:before="0" w:beforeAutospacing="0" w:after="0" w:afterAutospacing="0" w:line="360" w:lineRule="auto"/>
        <w:ind w:firstLineChars="200" w:firstLine="640"/>
        <w:jc w:val="left"/>
        <w:outlineLvl w:val="1"/>
        <w:rPr>
          <w:rFonts w:ascii="Times New Roman" w:eastAsia="仿宋_GB2312" w:hAnsi="Times New Roman"/>
          <w:sz w:val="32"/>
          <w:szCs w:val="32"/>
        </w:rPr>
      </w:pPr>
      <w:r>
        <w:rPr>
          <w:rFonts w:ascii="Times New Roman" w:eastAsia="仿宋_GB2312" w:hAnsi="Times New Roman"/>
          <w:b w:val="0"/>
          <w:sz w:val="32"/>
          <w:szCs w:val="32"/>
        </w:rPr>
        <w:t>1. 一般公共预算财政拨款本年收入223.42​​万元,比上年减少2,835.64万元，降低92.7%，主要原因是科学技术支出减少；本年支出223.42​​ 万元，比上年减少2,835.64万元，降低92.7%，主要原因是科学技术支出减少。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政府性基金预算财政拨款本年收入0万元，与上年持平；本年支出0万元，与上年持平。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3. 国有资本经营预算财政拨款本年收入0万元，与上年持平；本年支出0万元，比上年增加0万元，与上年持平。</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仿宋_GB2312" w:cs="Times New Roman" w:hAnsi="Times New Roman"/>
          <w:sz w:val="32"/>
          <w:szCs w:val="32"/>
          <w:lang w:val="en-US" w:eastAsia="zh-CN"/>
          <w:highlight w:val="auto"/>
        </w:rPr>
      </w:pPr>
      <w:r>
        <w:rPr>
          <w:rFonts w:ascii="Times New Roman" w:eastAsia="仿宋_GB2312" w:hAnsi="Times New Roman"/>
          <w:sz w:val="32"/>
          <w:szCs w:val="32"/>
        </w:rPr>
        <w:drawing>
          <wp:inline distT="0" distB="0" distL="114300" distR="114300">
            <wp:extent cx="5256530" cy="2988310"/>
            <wp:effectExtent l="0" t="0" r="0" b="0"/>
            <wp:docPr id="10" name="图表 3"/>
            <wp:cNvGraphicFramePr>
              <a:graphicFrameLocks noChangeAspect="0"/>
            </wp:cNvGraphicFramePr>
            <a:graphic>
              <a:graphicData uri="http://schemas.openxmlformats.org/drawingml/2006/chart">
                <c:chart xmlns:c="http://schemas.openxmlformats.org/drawingml/2006/chart" r:id="rId14"/>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（二）财政拨款收支与年初预算数对比情况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本单位2024年度财政拨款本年收入223.42万元，完成年初预算的567.8%，比年初预算增加184.07万元，决算数大于预算数主要原因是科学技术类支出和一般公共服务支出大于预算数 ；本年支出223.42万元，完成年初预算的567.8%，比年初预算增加184.07万元，决算数大于预算数主要原因是科学技术类支出和一般公共服务支出大于预算数 。具体情况如下：</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1. 一般公共预算财政拨款本年收入完成年初预算的567.8%，比年初预算增加184.07万元，主要原因是科学技术类支出和一般公共服务支出大于预算数；支出完成年初预算的567.8%，比年初预算增加184.07万元，主要原因是科学技术类支出和一般公共服务支出大于预算数。</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政府性基金预算财政拨款本年收入完成年初预算的0%，比年初预算增加0万元，与年初预算持平；支出完成年初预算的0%，比年初预算增加0万元，与年初预算持平。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3. 国有资本经营预算财政拨款本年收入完成年初预算的0%，比年初预算增加0万元，与年初预算持平；支出完成年初预算的0%，比年初预算增加0万元，与年初预算持平。</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rPr>
          <w:rFonts w:ascii="Times New Roman" w:eastAsia="Arial" w:cs="Times New Roman" w:hAnsi="Times New Roman"/>
          <w:highlight w:val="auto"/>
        </w:rPr>
      </w:pP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仿宋_GB2312" w:cs="Times New Roman" w:hAnsi="Times New Roman"/>
          <w:color w:val="auto"/>
          <w:kern w:val="0"/>
          <w:sz w:val="32"/>
          <w:szCs w:val="32"/>
          <w:lang w:val="en-US" w:eastAsia="zh-CN" w:bidi="ar-SA"/>
          <w:highlight w:val="auto"/>
        </w:rPr>
      </w:pPr>
      <w:r>
        <w:rPr>
          <w:rFonts w:ascii="Times New Roman" w:eastAsia="仿宋_GB2312" w:hAnsi="Times New Roman"/>
          <w:sz w:val="32"/>
          <w:szCs w:val="32"/>
          <w:highlight w:val="auto"/>
        </w:rPr>
        <w:drawing>
          <wp:inline distT="0" distB="0" distL="114300" distR="114300">
            <wp:extent cx="5256530" cy="2988310"/>
            <wp:effectExtent l="0" t="0" r="0" b="0"/>
            <wp:docPr id="11" name="图表 11"/>
            <wp:cNvGraphicFramePr>
              <a:graphicFrameLocks noChangeAspect="0"/>
            </wp:cNvGraphicFramePr>
            <a:graphic>
              <a:graphicData uri="http://schemas.openxmlformats.org/drawingml/2006/chart">
                <c:chart xmlns:c="http://schemas.openxmlformats.org/drawingml/2006/chart" r:id="rId15"/>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（三）财政拨款支出决算结构情况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  2024年度财政拨款支出223.42万元，主要用于以下方面：</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一般公共预算财政拨款支出：</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一般公共服务（类）支出​71.85万元，占​32.2​%，主要用于全市重点项目集中开工活动和观摩活动等支出；科学技术（类）支出​​139.02万元，占​​62.2​%，主要用于新建规上工业企业入统奖补资金等支出；社会保障和就业 （类）支出5.59​​​万元，占​​2.5​%，主要用于单位养老保险、工伤保险等支出；卫生健康（类）支出​​2.66万元，占​​1.2%，主要用于单位医疗保险等支出；住房保障（类）支出4.30​​​万元，占1.9​​​%，主要用于单位住房公积金等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政府性基金预算财政拨款支出：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sz w:val="32"/>
          <w:szCs w:val="32"/>
        </w:rPr>
        <w:t>无支出。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国有资本经营预算财政拨款支出：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sz w:val="32"/>
          <w:szCs w:val="32"/>
        </w:rPr>
        <w:t>无支出。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p>
    <w:p>
      <w:pPr>
        <w:pStyle w:val="19"/>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overflowPunct/>
        <w:topLinePunct w:val="0"/>
        <w:autoSpaceDE/>
        <w:autoSpaceDN/>
        <w:bidi w:val="0"/>
        <w:spacing w:before="0" w:beforeAutospacing="0" w:after="0" w:afterAutospacing="0"/>
        <w:ind w:left="0" w:right="0"/>
        <w:jc w:val="left"/>
        <w:textAlignment w:val="auto"/>
        <w:rPr>
          <w:rFonts w:ascii="Times New Roman" w:eastAsia="仿宋_GB2312" w:cs="Times New Roman" w:hAnsi="Times New Roman"/>
          <w:color w:val="auto"/>
          <w:kern w:val="2"/>
          <w:sz w:val="32"/>
          <w:szCs w:val="32"/>
          <w:lang w:val="zh-CN" w:eastAsia="zh-CN" w:bidi="ar-SA"/>
        </w:rPr>
      </w:pPr>
      <w:r>
        <w:rPr>
          <w:rFonts w:ascii="Times New Roman" w:eastAsia="仿宋_GB2312" w:hAnsi="Times New Roman"/>
          <w:kern w:val="2"/>
          <w:sz w:val="32"/>
          <w:szCs w:val="32"/>
          <w:lang w:val="zh-CN"/>
        </w:rPr>
        <w:drawing>
          <wp:inline distT="0" distB="0" distL="114300" distR="114300">
            <wp:extent cx="5859145" cy="2988310"/>
            <wp:effectExtent l="0" t="0" r="0" b="0"/>
            <wp:docPr id="12" name="图表 13"/>
            <wp:cNvGraphicFramePr>
              <a:graphicFrameLocks noChangeAspect="0"/>
            </wp:cNvGraphicFramePr>
            <a:graphic>
              <a:graphicData uri="http://schemas.openxmlformats.org/drawingml/2006/chart">
                <c:chart xmlns:c="http://schemas.openxmlformats.org/drawingml/2006/chart" r:id="rId16"/>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（四）一般公共预算基本支出决算情况说明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  2024年度财政拨款基本支出52.58万元，其中：</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人员经费​50.39​万元，主要包括基本工资、津贴补贴、奖金、绩效工资、机关事业部门基本养老保险缴费、职业年金缴费、职工基本医疗保险缴费、住房公积金、医疗费、其他社会保障缴费、其他工资福利支出、离休费、 退休费、 抚恤金、生活补助、医疗费补助、奖励金、其他对个人和家庭的补助支出。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公用经费​​2.19​万元，主要包括办公费、印刷费、咨询费、手续费、水费、电费、邮电费、取暖费、差旅费、因公出国（境）费用、维修（护）费、租赁费、会议费、培训费、公务接待费、专用材料费、劳务费、委托业务费、工会经费、福利费、其他交通费用、税金及附加费用、其他商品和服务支出、其他资本性支出。</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五、财政拨款“三公” 经费支出决算情况说明</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（一）“三公”经费财政拨款支出决算总体情况说明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本单位2024年度“三公”经费财政拨款支出预算为0万元，支出决算为0万元，决算与预算持平；较2023年度决算增加0万元，与2023年度决算持平。</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（二）“三公”经费财政拨款支出决算具体情况说明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 1.因公出国（境）费支出情况。</w:t>
      </w:r>
      <w:r>
        <w:rPr>
          <w:rFonts w:ascii="Times New Roman" w:eastAsia="仿宋_GB2312" w:hAnsi="Times New Roman"/>
          <w:b w:val="0"/>
          <w:sz w:val="32"/>
          <w:szCs w:val="32"/>
        </w:rPr>
        <w:t>本单位2024年度因公出国（境）费支出预算为0万元,支出决算0万元。完成预算的0%。因公出国（境）费支出与预算持平；较上年增加0万元，增长0%,与上年持平。因公出国（境）团组0个、共0人，无本单位组织的出国（境）团组。</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 2.公务用车购置及运行维护费支出情况。</w:t>
      </w:r>
      <w:r>
        <w:rPr>
          <w:rFonts w:ascii="Times New Roman" w:eastAsia="仿宋_GB2312" w:hAnsi="Times New Roman"/>
          <w:b w:val="0"/>
          <w:sz w:val="32"/>
          <w:szCs w:val="32"/>
        </w:rPr>
        <w:t>本单位2024年度公务用车购置及运行维护费预算为0万元，支出决算0万元，与预算持平；较上年增加0万元，与上年持平。其中：</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公务用车购置费支出0万元：</w:t>
      </w:r>
      <w:r>
        <w:rPr>
          <w:rFonts w:ascii="Times New Roman" w:eastAsia="仿宋_GB2312" w:hAnsi="Times New Roman"/>
          <w:b w:val="0"/>
          <w:sz w:val="32"/>
          <w:szCs w:val="32"/>
        </w:rPr>
        <w:t>本单位2024年度公务用车购置量0辆，发生“公务用车购置”经费支出0 万元。公务用车购置费支出较预算增加0万元，与预算持平；较上年增加0万元，与上年持平。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公务用车运行维护费支出0万元：</w:t>
      </w:r>
      <w:r>
        <w:rPr>
          <w:rFonts w:ascii="Times New Roman" w:eastAsia="仿宋_GB2312" w:hAnsi="Times New Roman"/>
          <w:b w:val="0"/>
          <w:sz w:val="32"/>
          <w:szCs w:val="32"/>
        </w:rPr>
        <w:t>本单位2024年度单位公务用车保有量0辆，发生运行维护费支出0万元。公车运行维护费支出较预算增加0万元，与预算持平；较上年增加0万元，与上年持平。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3.公务接待费支出情况。</w:t>
      </w:r>
      <w:r>
        <w:rPr>
          <w:rFonts w:ascii="Times New Roman" w:eastAsia="仿宋_GB2312" w:hAnsi="Times New Roman"/>
          <w:b w:val="0"/>
          <w:sz w:val="32"/>
          <w:szCs w:val="32"/>
        </w:rPr>
        <w:t>本单位2024年度公务接待费支出预算为0万元，支出决算0万元，完成预算的0%。公务接待费支出较预算增加0万元，与预算持平；较上年度增加0万元，与上年持平。本年度共发生公务接待0批次、0人次。</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六、机关运行经费支出说明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本单位2024年度机关运行经费支出0万元，较2023年度增加0万元，与上年持平。</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七、政府采购支出说明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2024年度政府采购支出总额0万元，从采购类型来看，政府采购货物支出0万元、政府采购工程支出0万元、政府采购服务支出0万元。授予中小企业合同金额0万元，占政府采购支出总额的0%，其中授予小微企业合同金额0万元，占政府采购支出总额的0%。</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八、国有资产占用情况说明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九、关于2024年度绩效评价情况的说明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（一）绩效评价工作开展情况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根据预算绩效管理要求，本单位组织对2024年度本级预算项目支出全面开展绩效自评，共涉及资金</w:t>
      </w:r>
      <w:r>
        <w:rPr>
          <w:rFonts w:ascii="Times New Roman" w:eastAsia="仿宋_GB2312" w:hAnsi="Times New Roman" w:hint="eastAsia"/>
          <w:b w:val="0"/>
          <w:sz w:val="32"/>
          <w:szCs w:val="32"/>
          <w:lang w:val="en-US" w:eastAsia="zh-CN"/>
        </w:rPr>
        <w:t>170.84</w:t>
      </w:r>
      <w:r>
        <w:rPr>
          <w:rFonts w:ascii="Times New Roman" w:eastAsia="仿宋_GB2312" w:hAnsi="Times New Roman"/>
          <w:b w:val="0"/>
          <w:sz w:val="32"/>
          <w:szCs w:val="32"/>
        </w:rPr>
        <w:t>万元（决算金额）。其中，一般公共预算项目</w:t>
      </w:r>
      <w:r>
        <w:rPr>
          <w:rFonts w:ascii="Times New Roman" w:eastAsia="仿宋_GB2312" w:hAnsi="Times New Roman" w:hint="eastAsia"/>
          <w:b w:val="0"/>
          <w:sz w:val="32"/>
          <w:szCs w:val="32"/>
          <w:lang w:val="en-US" w:eastAsia="zh-CN"/>
        </w:rPr>
        <w:t>5</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170.84</w:t>
      </w:r>
      <w:r>
        <w:rPr>
          <w:rFonts w:ascii="Times New Roman" w:eastAsia="仿宋_GB2312" w:hAnsi="Times New Roman"/>
          <w:b w:val="0"/>
          <w:sz w:val="32"/>
          <w:szCs w:val="32"/>
        </w:rPr>
        <w:t>万元，占一般公共预算项目支出总额的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%；政府性基金预算项目</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万元，占政府性基金预算项目支出总额的</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%；国有资本经营预算项目</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万元，占国有资本经营预算项目支出总额的</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hint="eastAsia"/>
          <w:b w:val="0"/>
          <w:sz w:val="32"/>
          <w:szCs w:val="32"/>
          <w:lang w:eastAsia="zh-CN"/>
        </w:rPr>
        <w:t>未开展</w:t>
      </w:r>
      <w:r>
        <w:rPr>
          <w:rFonts w:ascii="Times New Roman" w:eastAsia="仿宋_GB2312" w:hAnsi="Times New Roman"/>
          <w:b w:val="0"/>
          <w:sz w:val="32"/>
          <w:szCs w:val="32"/>
        </w:rPr>
        <w:t>部门重点评价，涉及一般公共预算支出</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万元，政府性基金预算支出</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万元，国有资本经营预算支出</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（二）部门决算中项目绩效自评结果</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本单位在今年部门决算公开中反映</w:t>
      </w:r>
      <w:r>
        <w:rPr>
          <w:rFonts w:ascii="Times New Roman" w:eastAsia="仿宋_GB2312" w:hAnsi="Times New Roman" w:hint="eastAsia"/>
          <w:b w:val="0"/>
          <w:sz w:val="32"/>
          <w:szCs w:val="32"/>
        </w:rPr>
        <w:t>全市重点项目集中开工活动筹备资金</w:t>
      </w:r>
      <w:r>
        <w:rPr>
          <w:rFonts w:ascii="Times New Roman" w:eastAsia="仿宋_GB2312" w:hAnsi="Times New Roman"/>
          <w:b w:val="0"/>
          <w:sz w:val="32"/>
          <w:szCs w:val="32"/>
        </w:rPr>
        <w:t>、</w:t>
      </w:r>
      <w:r>
        <w:rPr>
          <w:rFonts w:ascii="Times New Roman" w:eastAsia="仿宋_GB2312" w:hAnsi="Times New Roman"/>
          <w:b w:val="0"/>
          <w:sz w:val="32"/>
          <w:szCs w:val="32"/>
          <w:lang w:val="en-US" w:eastAsia="zh-CN"/>
        </w:rPr>
        <w:t>石财建[2024]34号新建规上工业企业入统奖补资金</w:t>
      </w:r>
      <w:r>
        <w:rPr>
          <w:rFonts w:ascii="Times New Roman" w:eastAsia="仿宋_GB2312" w:hAnsi="Times New Roman"/>
          <w:b w:val="0"/>
          <w:sz w:val="32"/>
          <w:szCs w:val="32"/>
        </w:rPr>
        <w:t>等</w:t>
      </w:r>
      <w:r>
        <w:rPr>
          <w:rFonts w:ascii="Times New Roman" w:eastAsia="仿宋_GB2312" w:hAnsi="Times New Roman"/>
          <w:b w:val="0"/>
          <w:sz w:val="32"/>
          <w:szCs w:val="32"/>
          <w:lang w:val="en-US" w:eastAsia="zh-CN"/>
        </w:rPr>
        <w:t>5</w:t>
      </w:r>
      <w:r>
        <w:rPr>
          <w:rFonts w:ascii="Times New Roman" w:eastAsia="仿宋_GB2312" w:hAnsi="Times New Roman"/>
          <w:b w:val="0"/>
          <w:sz w:val="32"/>
          <w:szCs w:val="32"/>
        </w:rPr>
        <w:t>个项目绩效自评结果。</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1、</w:t>
      </w:r>
      <w:r>
        <w:rPr>
          <w:rFonts w:ascii="Times New Roman" w:eastAsia="仿宋_GB2312" w:hAnsi="Times New Roman" w:hint="eastAsia"/>
          <w:b w:val="0"/>
          <w:sz w:val="32"/>
          <w:szCs w:val="32"/>
        </w:rPr>
        <w:t>全市重点项目集中开工活动筹备资金</w:t>
      </w:r>
    </w:p>
    <w:p>
      <w:pPr>
        <w:widowControl/>
        <w:spacing w:before="0" w:after="0" w:line="360" w:lineRule="auto"/>
        <w:ind w:left="0" w:firstLineChars="200" w:firstLine="640"/>
        <w:jc w:val="left"/>
        <w:rPr>
          <w:rFonts w:ascii="Times New Roman" w:eastAsia="仿宋_GB2312" w:hAnsi="Times New Roman"/>
          <w:b w:val="0"/>
          <w:sz w:val="32"/>
          <w:szCs w:val="32"/>
          <w:lang w:eastAsia="zh-CN"/>
        </w:rPr>
      </w:pPr>
      <w:r>
        <w:rPr>
          <w:rFonts w:ascii="Times New Roman" w:eastAsia="仿宋_GB2312" w:hAnsi="Times New Roman"/>
          <w:b w:val="0"/>
          <w:sz w:val="32"/>
          <w:szCs w:val="32"/>
        </w:rPr>
        <w:t>项目绩效自评得分为</w:t>
      </w:r>
      <w:r>
        <w:rPr>
          <w:rFonts w:ascii="Times New Roman" w:eastAsia="仿宋_GB2312" w:hAnsi="Times New Roman"/>
          <w:b w:val="0"/>
          <w:sz w:val="32"/>
          <w:szCs w:val="32"/>
          <w:lang w:val="en-US" w:eastAsia="zh-CN"/>
        </w:rPr>
        <w:t>98</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9.85</w:t>
      </w:r>
      <w:r>
        <w:rPr>
          <w:rFonts w:ascii="Times New Roman" w:eastAsia="仿宋_GB2312" w:hAnsi="Times New Roman"/>
          <w:b w:val="0"/>
          <w:sz w:val="32"/>
          <w:szCs w:val="32"/>
        </w:rPr>
        <w:t>万元，执行项目绩效目标完成情况：一是</w:t>
      </w:r>
      <w:r>
        <w:rPr>
          <w:rFonts w:ascii="Times New Roman" w:eastAsia="仿宋_GB2312" w:hAnsi="Times New Roman" w:hint="eastAsia"/>
          <w:b w:val="0"/>
          <w:sz w:val="32"/>
          <w:szCs w:val="32"/>
          <w:lang w:eastAsia="zh-CN"/>
        </w:rPr>
        <w:t>促进我县经济发展</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扶持企业发展</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after="0" w:line="360" w:lineRule="auto"/>
        <w:jc w:val="left"/>
        <w:rPr>
          <w:rFonts w:ascii="Times New Roman" w:eastAsia="仿宋_GB2312" w:hAnsi="Times New Roman"/>
          <w:b w:val="0"/>
          <w:sz w:val="32"/>
          <w:szCs w:val="32"/>
        </w:rPr>
      </w:pPr>
      <w:r>
        <w:rPr>
          <w:rFonts w:ascii="Times New Roman" w:eastAsia="仿宋_GB2312" w:hAnsi="Times New Roman"/>
          <w:b w:val="0"/>
          <w:sz w:val="32"/>
          <w:szCs w:val="32"/>
        </w:rPr>
        <w:drawing>
          <wp:inline distT="0" distB="0" distL="85723" distR="85723">
            <wp:extent cx="5640605" cy="3685602"/>
            <wp:effectExtent l="0" t="0" r="14" b="40"/>
            <wp:docPr id="13" name="图片"/>
            <wp:cNvGraphicFramePr>
              <a:graphicFrameLocks noChangeAspect="1"/>
            </wp:cNvGraphicFramePr>
            <a:graphic>
              <a:graphicData uri="http://schemas.openxmlformats.org/drawingml/2006/picture">
                <pic:pic>
                  <pic:nvPicPr>
                    <pic:cNvPr id="15" name="图片 15"/>
                    <pic:cNvPicPr/>
                  </pic:nvPicPr>
                  <pic:blipFill>
                    <a:blip r:embed="rId17"/>
                    <a:stretch>
                      <a:fillRect/>
                    </a:stretch>
                  </pic:blipFill>
                  <pic:spPr>
                    <a:xfrm rot="0">
                      <a:off x="0" y="0"/>
                      <a:ext cx="5640605" cy="3685602"/>
                    </a:xfrm>
                    <a:prstGeom prst="rect"/>
                    <a:noFill/>
                    <a:ln w="9525" cmpd="sng" cap="flat">
                      <a:noFill/>
                      <a:prstDash val="solid"/>
                      <a:miter/>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r>
        <w:rPr>
          <w:rFonts w:ascii="Times New Roman" w:eastAsia="仿宋_GB2312" w:hAnsi="Times New Roman"/>
          <w:b w:val="0"/>
          <w:sz w:val="32"/>
          <w:szCs w:val="32"/>
        </w:rPr>
        <w:t>2、第三季度全市重点项目观摩活动视频片费用</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r>
        <w:rPr>
          <w:rFonts w:ascii="Times New Roman" w:eastAsia="仿宋_GB2312" w:hAnsi="Times New Roman" w:hint="eastAsia"/>
          <w:b w:val="0"/>
          <w:sz w:val="32"/>
          <w:szCs w:val="32"/>
          <w:lang w:val="en-US" w:eastAsia="zh-CN"/>
        </w:rPr>
        <w:t>绩效自评得分为100分（绩效自评表附后）。全年预算数为9.97万元，执行数为9.97万元，完成预算的100%。项目绩效目标完成情况：一是促进我县经济发展；二是扶持企业发展。发现的主要问题及原因是：无。下一步改进措施：无。</w:t>
      </w:r>
    </w:p>
    <w:p>
      <w:pPr>
        <w:widowControl/>
        <w:spacing w:before="0" w:beforeAutospacing="0" w:after="0" w:afterAutospacing="0" w:line="360" w:lineRule="auto"/>
        <w:ind w:firstLineChars="200" w:firstLine="440"/>
        <w:jc w:val="left"/>
        <w:rPr>
          <w:rFonts w:ascii="Times New Roman" w:eastAsia="仿宋_GB2312" w:hAnsi="Times New Roman"/>
          <w:sz w:val="22"/>
          <w:szCs w:val="32"/>
        </w:rPr>
      </w:pPr>
    </w:p>
    <w:p>
      <w:pPr>
        <w:widowControl/>
        <w:spacing w:before="0" w:beforeAutospacing="0" w:after="0" w:afterAutospacing="0" w:line="360" w:lineRule="auto"/>
        <w:ind w:left="0"/>
        <w:jc w:val="center"/>
      </w:pPr>
      <w:r>
        <w:drawing>
          <wp:inline distT="0" distB="0" distL="85723" distR="85723">
            <wp:extent cx="5555178" cy="3565251"/>
            <wp:effectExtent l="0" t="0" r="3" b="3"/>
            <wp:docPr id="16" name="图片"/>
            <wp:cNvGraphicFramePr>
              <a:graphicFrameLocks noChangeAspect="1"/>
            </wp:cNvGraphicFramePr>
            <a:graphic>
              <a:graphicData uri="http://schemas.openxmlformats.org/drawingml/2006/picture">
                <pic:pic>
                  <pic:nvPicPr>
                    <pic:cNvPr id="18" name="图片 18"/>
                    <pic:cNvPicPr/>
                  </pic:nvPicPr>
                  <pic:blipFill>
                    <a:blip r:embed="rId18"/>
                    <a:stretch>
                      <a:fillRect/>
                    </a:stretch>
                  </pic:blipFill>
                  <pic:spPr>
                    <a:xfrm rot="0">
                      <a:off x="0" y="0"/>
                      <a:ext cx="5555178" cy="3565251"/>
                    </a:xfrm>
                    <a:prstGeom prst="rect"/>
                    <a:noFill/>
                    <a:ln w="9525" cmpd="sng" cap="flat">
                      <a:noFill/>
                      <a:prstDash val="solid"/>
                      <a:miter/>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r>
        <w:rPr>
          <w:rFonts w:ascii="Times New Roman" w:eastAsia="仿宋_GB2312" w:hAnsi="Times New Roman"/>
          <w:b w:val="0"/>
          <w:sz w:val="32"/>
          <w:szCs w:val="32"/>
          <w:lang w:val="en-US" w:eastAsia="zh-CN"/>
        </w:rPr>
        <w:t>3、石财建[2024]34号新建规上工业企业入统奖补资金</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r>
        <w:rPr>
          <w:rFonts w:ascii="Times New Roman" w:eastAsia="仿宋_GB2312" w:hAnsi="Times New Roman" w:hint="eastAsia"/>
          <w:b w:val="0"/>
          <w:sz w:val="32"/>
          <w:szCs w:val="32"/>
          <w:lang w:val="en-US" w:eastAsia="zh-CN"/>
        </w:rPr>
        <w:t>绩效自评得分为</w:t>
      </w:r>
      <w:r>
        <w:rPr>
          <w:rFonts w:ascii="Times New Roman" w:eastAsia="仿宋_GB2312" w:hAnsi="Times New Roman"/>
          <w:b w:val="0"/>
          <w:sz w:val="32"/>
          <w:szCs w:val="32"/>
          <w:lang w:val="en-US" w:eastAsia="zh-CN"/>
        </w:rPr>
        <w:t>98</w:t>
      </w:r>
      <w:r>
        <w:rPr>
          <w:rFonts w:ascii="Times New Roman" w:eastAsia="仿宋_GB2312" w:hAnsi="Times New Roman" w:hint="eastAsia"/>
          <w:b w:val="0"/>
          <w:sz w:val="32"/>
          <w:szCs w:val="32"/>
          <w:lang w:val="en-US" w:eastAsia="zh-CN"/>
        </w:rPr>
        <w:t>分（绩效自评表附后）。全年预算数为139.02万元，执行数为139.02万元，完成预算的100%。项目绩效目标完成情况：一是促进我县经济发展；二是扶持企业发展。发现的主要问题及原因是：无。下一步改进措施：无。</w:t>
      </w:r>
    </w:p>
    <w:p>
      <w:pPr>
        <w:widowControl/>
        <w:spacing w:before="0" w:beforeAutospacing="0" w:after="0" w:afterAutospacing="0" w:line="360" w:lineRule="auto"/>
        <w:ind w:firstLineChars="200" w:firstLine="480"/>
        <w:jc w:val="left"/>
        <w:rPr>
          <w:rFonts w:ascii="Times New Roman" w:eastAsia="仿宋_GB2312" w:hAnsi="Times New Roman" w:hint="eastAsia"/>
          <w:szCs w:val="32"/>
        </w:rPr>
      </w:pPr>
    </w:p>
    <w:p>
      <w:pPr>
        <w:widowControl/>
        <w:spacing w:before="0" w:beforeAutospacing="0" w:after="0" w:afterAutospacing="0" w:line="360" w:lineRule="auto"/>
        <w:ind w:left="0"/>
        <w:jc w:val="left"/>
        <w:rPr>
          <w:rFonts w:ascii="Times New Roman" w:eastAsia="仿宋_GB2312" w:hAnsi="Times New Roman" w:hint="eastAsia"/>
          <w:b w:val="0"/>
          <w:sz w:val="32"/>
          <w:szCs w:val="32"/>
          <w:lang w:val="en-US" w:eastAsia="zh-CN"/>
        </w:rPr>
      </w:pPr>
      <w:r>
        <w:rPr>
          <w:rFonts w:ascii="Times New Roman" w:eastAsia="仿宋_GB2312" w:hAnsi="Times New Roman" w:hint="eastAsia"/>
          <w:b w:val="0"/>
          <w:sz w:val="32"/>
          <w:szCs w:val="32"/>
          <w:lang w:val="en-US" w:eastAsia="zh-CN"/>
        </w:rPr>
        <w:drawing>
          <wp:inline distT="0" distB="0" distL="85723" distR="85723">
            <wp:extent cx="5760720" cy="3635980"/>
            <wp:effectExtent l="0" t="0" r="7" b="38"/>
            <wp:docPr id="19" name="图片"/>
            <wp:cNvGraphicFramePr>
              <a:graphicFrameLocks noChangeAspect="1"/>
            </wp:cNvGraphicFramePr>
            <a:graphic>
              <a:graphicData uri="http://schemas.openxmlformats.org/drawingml/2006/picture">
                <pic:pic>
                  <pic:nvPicPr>
                    <pic:cNvPr id="21" name="图片 21"/>
                    <pic:cNvPicPr/>
                  </pic:nvPicPr>
                  <pic:blipFill>
                    <a:blip r:embed="rId19"/>
                    <a:stretch>
                      <a:fillRect/>
                    </a:stretch>
                  </pic:blipFill>
                  <pic:spPr>
                    <a:xfrm rot="0">
                      <a:off x="0" y="0"/>
                      <a:ext cx="5760720" cy="3635980"/>
                    </a:xfrm>
                    <a:prstGeom prst="rect"/>
                    <a:noFill/>
                    <a:ln w="9525" cmpd="sng" cap="flat">
                      <a:noFill/>
                      <a:prstDash val="solid"/>
                      <a:miter/>
                    </a:ln>
                  </pic:spPr>
                </pic:pic>
              </a:graphicData>
            </a:graphic>
          </wp:inline>
        </w:drawing>
      </w:r>
    </w:p>
    <w:p>
      <w:pPr>
        <w:widowControl/>
        <w:spacing w:before="0" w:beforeAutospacing="0" w:after="0" w:afterAutospacing="0" w:line="360" w:lineRule="auto"/>
        <w:ind w:firstLineChars="200" w:firstLine="480"/>
        <w:jc w:val="left"/>
        <w:rPr>
          <w:rFonts w:hint="eastAsia"/>
          <w:lang w:val="en-US" w:eastAsia="zh-CN"/>
        </w:rPr>
      </w:pP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r>
        <w:rPr>
          <w:rFonts w:ascii="Times New Roman" w:eastAsia="仿宋_GB2312" w:hAnsi="Times New Roman"/>
          <w:b w:val="0"/>
          <w:sz w:val="32"/>
          <w:szCs w:val="32"/>
          <w:lang w:val="en-US" w:eastAsia="zh-CN"/>
        </w:rPr>
        <w:t>4、相关工作经费</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r>
        <w:rPr>
          <w:rFonts w:ascii="Times New Roman" w:eastAsia="仿宋_GB2312" w:hAnsi="Times New Roman" w:hint="eastAsia"/>
          <w:b w:val="0"/>
          <w:sz w:val="32"/>
          <w:szCs w:val="32"/>
          <w:lang w:val="en-US" w:eastAsia="zh-CN"/>
        </w:rPr>
        <w:t>项目绩效自评得分为100分（绩效自评表附后）。全年预算数为9万元，执行数为9万元，完成预算的100%。项目绩效目标完成情况：一是促进我县经济发展；二是扶持企业发展。发现的主要问题及原因是：无。下一步改进措施：无。</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lang w:val="en-US" w:eastAsia="zh-CN"/>
        </w:rPr>
      </w:pPr>
    </w:p>
    <w:p>
      <w:pPr>
        <w:widowControl/>
        <w:spacing w:before="0" w:beforeAutospacing="0" w:after="0" w:afterAutospacing="0" w:line="360" w:lineRule="auto"/>
        <w:ind w:left="0"/>
        <w:jc w:val="left"/>
      </w:pPr>
      <w:r>
        <w:drawing>
          <wp:inline distT="0" distB="0" distL="85723" distR="85723">
            <wp:extent cx="5760720" cy="3738445"/>
            <wp:effectExtent l="0" t="0" r="7" b="35"/>
            <wp:docPr id="22" name="图片"/>
            <wp:cNvGraphicFramePr>
              <a:graphicFrameLocks noChangeAspect="1"/>
            </wp:cNvGraphicFramePr>
            <a:graphic>
              <a:graphicData uri="http://schemas.openxmlformats.org/drawingml/2006/picture">
                <pic:pic>
                  <pic:nvPicPr>
                    <pic:cNvPr id="24" name="图片 24"/>
                    <pic:cNvPicPr/>
                  </pic:nvPicPr>
                  <pic:blipFill>
                    <a:blip r:embed="rId20"/>
                    <a:stretch>
                      <a:fillRect/>
                    </a:stretch>
                  </pic:blipFill>
                  <pic:spPr>
                    <a:xfrm rot="0">
                      <a:off x="0" y="0"/>
                      <a:ext cx="5760720" cy="3738445"/>
                    </a:xfrm>
                    <a:prstGeom prst="rect"/>
                    <a:noFill/>
                    <a:ln w="9525" cmpd="sng" cap="flat">
                      <a:noFill/>
                      <a:prstDash val="solid"/>
                      <a:miter/>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bookmarkStart w:id="0" w:name="_GoBack"/>
      <w:bookmarkEnd w:id="0"/>
      <w:r>
        <w:rPr>
          <w:rFonts w:ascii="Times New Roman" w:eastAsia="仿宋_GB2312" w:hAnsi="Times New Roman"/>
          <w:b w:val="0"/>
          <w:sz w:val="32"/>
          <w:szCs w:val="32"/>
          <w:lang w:val="en-US" w:eastAsia="zh-CN"/>
        </w:rPr>
        <w:t>5、项目办第二季度全市项目观摩活动和县重点产业项目观摩等费用</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lang w:val="en-US" w:eastAsia="zh-CN"/>
        </w:rPr>
      </w:pPr>
      <w:r>
        <w:rPr>
          <w:rFonts w:ascii="Times New Roman" w:eastAsia="仿宋_GB2312" w:hAnsi="Times New Roman" w:hint="eastAsia"/>
          <w:b w:val="0"/>
          <w:sz w:val="32"/>
          <w:szCs w:val="32"/>
          <w:lang w:val="en-US" w:eastAsia="zh-CN"/>
        </w:rPr>
        <w:t>项目绩效自评得分为</w:t>
      </w:r>
      <w:r>
        <w:rPr>
          <w:rFonts w:ascii="Times New Roman" w:eastAsia="仿宋_GB2312" w:hAnsi="Times New Roman"/>
          <w:b w:val="0"/>
          <w:sz w:val="32"/>
          <w:szCs w:val="32"/>
          <w:lang w:val="en-US" w:eastAsia="zh-CN"/>
        </w:rPr>
        <w:t>98</w:t>
      </w:r>
      <w:r>
        <w:rPr>
          <w:rFonts w:ascii="Times New Roman" w:eastAsia="仿宋_GB2312" w:hAnsi="Times New Roman" w:hint="eastAsia"/>
          <w:b w:val="0"/>
          <w:sz w:val="32"/>
          <w:szCs w:val="32"/>
          <w:lang w:val="en-US" w:eastAsia="zh-CN"/>
        </w:rPr>
        <w:t>分（绩效自评表附后）。全年预算数为3万元，执行数为3万元，完成预算的100%。项目绩效目标完成情况：一是促进我县经济发展；二是扶持企业发展。发现的主要问题及原因是：无。下一步改进措施：无。</w:t>
      </w:r>
    </w:p>
    <w:p>
      <w:pPr>
        <w:widowControl/>
        <w:spacing w:before="0" w:beforeAutospacing="0" w:after="0" w:afterAutospacing="0" w:line="360" w:lineRule="auto"/>
        <w:ind w:left="0"/>
        <w:jc w:val="left"/>
        <w:rPr>
          <w:rFonts w:ascii="Times New Roman" w:eastAsia="仿宋_GB2312" w:hAnsi="Times New Roman" w:hint="eastAsia"/>
          <w:b w:val="0"/>
          <w:sz w:val="32"/>
          <w:szCs w:val="32"/>
          <w:lang w:val="en-US" w:eastAsia="zh-CN"/>
        </w:rPr>
      </w:pPr>
      <w:r>
        <w:rPr>
          <w:rFonts w:ascii="Times New Roman" w:eastAsia="仿宋_GB2312" w:hAnsi="Times New Roman" w:hint="eastAsia"/>
          <w:b w:val="0"/>
          <w:sz w:val="32"/>
          <w:szCs w:val="32"/>
          <w:lang w:val="en-US" w:eastAsia="zh-CN"/>
        </w:rPr>
        <w:drawing>
          <wp:inline distT="0" distB="0" distL="85723" distR="85723">
            <wp:extent cx="5760720" cy="3514559"/>
            <wp:effectExtent l="0" t="0" r="7" b="17"/>
            <wp:docPr id="25" name="图片"/>
            <wp:cNvGraphicFramePr>
              <a:graphicFrameLocks noChangeAspect="1"/>
            </wp:cNvGraphicFramePr>
            <a:graphic>
              <a:graphicData uri="http://schemas.openxmlformats.org/drawingml/2006/picture">
                <pic:pic>
                  <pic:nvPicPr>
                    <pic:cNvPr id="27" name="图片 27"/>
                    <pic:cNvPicPr/>
                  </pic:nvPicPr>
                  <pic:blipFill>
                    <a:blip r:embed="rId21"/>
                    <a:stretch>
                      <a:fillRect/>
                    </a:stretch>
                  </pic:blipFill>
                  <pic:spPr>
                    <a:xfrm rot="0">
                      <a:off x="0" y="0"/>
                      <a:ext cx="5760720" cy="3514559"/>
                    </a:xfrm>
                    <a:prstGeom prst="rect"/>
                    <a:noFill/>
                    <a:ln w="9525" cmpd="sng" cap="flat">
                      <a:noFill/>
                      <a:prstDash val="solid"/>
                      <a:miter/>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sz w:val="32"/>
          <w:szCs w:val="32"/>
        </w:rPr>
      </w:pPr>
    </w:p>
    <w:p>
      <w:pPr>
        <w:widowControl/>
        <w:numPr>
          <w:ilvl w:val="0"/>
          <w:numId w:val="1"/>
        </w:numPr>
        <w:spacing w:before="0" w:beforeAutospacing="0" w:after="0" w:afterAutospacing="0" w:line="360" w:lineRule="auto"/>
        <w:ind w:left="0" w:firstLineChars="200" w:firstLine="640"/>
        <w:jc w:val="left"/>
        <w:rPr>
          <w:rFonts w:ascii="Times New Roman" w:eastAsia="仿宋_GB2312" w:hAnsi="Times New Roman"/>
          <w:b/>
          <w:sz w:val="32"/>
          <w:szCs w:val="32"/>
        </w:rPr>
      </w:pPr>
      <w:r>
        <w:rPr>
          <w:rFonts w:ascii="Times New Roman" w:eastAsia="仿宋_GB2312" w:hAnsi="Times New Roman"/>
          <w:b/>
          <w:sz w:val="32"/>
          <w:szCs w:val="32"/>
        </w:rPr>
        <w:t>部门评价项目绩效评价结果（如有）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sz w:val="32"/>
          <w:szCs w:val="32"/>
        </w:rPr>
        <w:t>无。</w:t>
      </w:r>
    </w:p>
    <w:p>
      <w:pPr>
        <w:widowControl/>
        <w:spacing w:before="0" w:beforeAutospacing="0" w:after="0" w:afterAutospacing="0" w:line="360" w:lineRule="auto"/>
        <w:ind w:firstLineChars="200" w:firstLine="640"/>
        <w:jc w:val="left"/>
        <w:rPr>
          <w:rFonts w:ascii="Times New Roman" w:eastAsia="黑体" w:hAnsi="Times New Roman"/>
          <w:sz w:val="32"/>
          <w:szCs w:val="32"/>
        </w:rPr>
      </w:pPr>
      <w:r>
        <w:rPr>
          <w:rFonts w:ascii="Times New Roman" w:eastAsia="黑体" w:hAnsi="Times New Roman"/>
          <w:b w:val="0"/>
          <w:sz w:val="32"/>
          <w:szCs w:val="32"/>
        </w:rPr>
        <w:t>十、其他需要说明的情况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由于决算公开表格中金额数值应当保留两位小数，公开数据为四舍五入计算结果，个别数据合计项与分项之和存在小数点后差额，特此说明。</w:t>
      </w:r>
    </w:p>
    <w:p>
      <w:pPr>
        <w:rPr>
          <w:rFonts w:ascii="Times New Roman" w:eastAsia="仿宋_GB2312" w:cs="Times New Roman" w:hAnsi="Times New Roman"/>
          <w:sz w:val="32"/>
          <w:szCs w:val="32"/>
        </w:rPr>
      </w:pPr>
      <w:r>
        <w:rPr>
          <w:rFonts w:ascii="Times New Roman" w:eastAsia="仿宋_GB2312" w:cs="Times New Roman" w:hAnsi="Times New Roman"/>
          <w:sz w:val="32"/>
          <w:szCs w:val="32"/>
        </w:rPr>
        <w:br w:type="page"/>
      </w: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第四部分   名词解释</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一、财政拨款收入：</w:t>
      </w:r>
      <w:r>
        <w:rPr>
          <w:rFonts w:ascii="Times New Roman" w:eastAsia="仿宋_GB2312" w:hAnsi="Times New Roman"/>
          <w:b w:val="0"/>
          <w:sz w:val="32"/>
          <w:szCs w:val="32"/>
        </w:rPr>
        <w:t>指单位从同级财政部门取得的财政预算资金。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二、事业收入：</w:t>
      </w:r>
      <w:r>
        <w:rPr>
          <w:rFonts w:ascii="Times New Roman" w:eastAsia="仿宋_GB2312" w:hAnsi="Times New Roman"/>
          <w:b w:val="0"/>
          <w:sz w:val="32"/>
          <w:szCs w:val="32"/>
        </w:rPr>
        <w:t>指事业单位开展专业业务活动及辅助活动取得的收入。</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三、经营收入：</w:t>
      </w:r>
      <w:r>
        <w:rPr>
          <w:rFonts w:ascii="Times New Roman" w:eastAsia="仿宋_GB2312" w:hAnsi="Times New Roman"/>
          <w:b w:val="0"/>
          <w:sz w:val="32"/>
          <w:szCs w:val="32"/>
        </w:rPr>
        <w:t>指事业单位在专业业务活动及其辅助活动之外开展非独立核算经营活动取得的收入。</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四、其他收入：</w:t>
      </w:r>
      <w:r>
        <w:rPr>
          <w:rFonts w:ascii="Times New Roman" w:eastAsia="仿宋_GB2312" w:hAnsi="Times New Roman"/>
          <w:b w:val="0"/>
          <w:sz w:val="32"/>
          <w:szCs w:val="32"/>
        </w:rPr>
        <w:t>指单位取得的除上述收入以外的各项收入。主要是事业单位固定资产出租收入、存款利息收入等。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五、使用非财政拨款结余（含专用结余）：</w:t>
      </w:r>
      <w:r>
        <w:rPr>
          <w:rFonts w:ascii="Times New Roman" w:eastAsia="仿宋_GB2312" w:hAnsi="Times New Roman"/>
          <w:b w:val="0"/>
          <w:sz w:val="32"/>
          <w:szCs w:val="32"/>
        </w:rPr>
        <w:t>指事业单位按照预算管理要求使用非财政拨款结余弥补收支差额的金额，以及使用专用结余安排支出的金额。</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六、年初结转和结余：</w:t>
      </w:r>
      <w:r>
        <w:rPr>
          <w:rFonts w:ascii="Times New Roman" w:eastAsia="仿宋_GB2312" w:hAnsi="Times New Roman"/>
          <w:b w:val="0"/>
          <w:sz w:val="32"/>
          <w:szCs w:val="32"/>
        </w:rPr>
        <w:t>指单位以前年度尚未完成、结转到本年仍按原规定用途继续使用的资金，或项目已完成等产生的结余资金。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七、结余分配：</w:t>
      </w:r>
      <w:r>
        <w:rPr>
          <w:rFonts w:ascii="Times New Roman" w:eastAsia="仿宋_GB2312" w:hAnsi="Times New Roman"/>
          <w:b w:val="0"/>
          <w:sz w:val="32"/>
          <w:szCs w:val="32"/>
        </w:rPr>
        <w:t>指事业单位按照会计制度规定缴纳的所得税、提取的专用结余以及转入非财政拨款结余的金额等。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八、年末结转和结余：</w:t>
      </w:r>
      <w:r>
        <w:rPr>
          <w:rFonts w:ascii="Times New Roman" w:eastAsia="仿宋_GB2312" w:hAnsi="Times New Roman"/>
          <w:b w:val="0"/>
          <w:sz w:val="32"/>
          <w:szCs w:val="32"/>
        </w:rPr>
        <w:t>指单位按有关规定结转到下年或以后年度继续使用的资金，或项目已完成等产生的结余资金。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九、基本支出：</w:t>
      </w:r>
      <w:r>
        <w:rPr>
          <w:rFonts w:ascii="Times New Roman" w:eastAsia="仿宋_GB2312" w:hAnsi="Times New Roman"/>
          <w:b w:val="0"/>
          <w:sz w:val="32"/>
          <w:szCs w:val="32"/>
        </w:rPr>
        <w:t>指为保障机构正常运转、完成日常工作任务而发生的人员支出和公用支出。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十、项目支出：</w:t>
      </w:r>
      <w:r>
        <w:rPr>
          <w:rFonts w:ascii="Times New Roman" w:eastAsia="仿宋_GB2312" w:hAnsi="Times New Roman"/>
          <w:b w:val="0"/>
          <w:sz w:val="32"/>
          <w:szCs w:val="32"/>
        </w:rPr>
        <w:t>指在基本支出之外为完成特定行政任务和事业发展目标所发生的支出。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十一、经营支出 ：</w:t>
      </w:r>
      <w:r>
        <w:rPr>
          <w:rFonts w:ascii="Times New Roman" w:eastAsia="仿宋_GB2312" w:hAnsi="Times New Roman"/>
          <w:b w:val="0"/>
          <w:sz w:val="32"/>
          <w:szCs w:val="32"/>
        </w:rPr>
        <w:t>指事业单位在专业业务活动及其辅助活动之外开展非独立核算经营活动发生的支出。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十二、基本建设支出：</w:t>
      </w:r>
      <w:r>
        <w:rPr>
          <w:rFonts w:ascii="Times New Roman" w:eastAsia="仿宋_GB2312" w:hAnsi="Times New Roman"/>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十三、其他资本性支出：</w:t>
      </w:r>
      <w:r>
        <w:rPr>
          <w:rFonts w:ascii="Times New Roman" w:eastAsia="仿宋_GB2312" w:hAnsi="Times New Roman"/>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十四、“三公”经费：</w:t>
      </w:r>
      <w:r>
        <w:rPr>
          <w:rFonts w:ascii="Times New Roman" w:eastAsia="仿宋_GB2312" w:hAnsi="Times New Roman"/>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十五、其他交通费用：</w:t>
      </w:r>
      <w:r>
        <w:rPr>
          <w:rFonts w:ascii="Times New Roman" w:eastAsia="仿宋_GB2312" w:hAnsi="Times New Roman"/>
          <w:b w:val="0"/>
          <w:sz w:val="32"/>
          <w:szCs w:val="32"/>
        </w:rPr>
        <w:t>填列单位除公务用车运行维护费以外的其他交通费用。如公务交通补贴、租车费用、出租车费用，飞机、船舶等燃料费、维修费、保险费等。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十六、公务用车购置：</w:t>
      </w:r>
      <w:r>
        <w:rPr>
          <w:rFonts w:ascii="Times New Roman" w:eastAsia="仿宋_GB2312" w:hAnsi="Times New Roman"/>
          <w:b w:val="0"/>
          <w:sz w:val="32"/>
          <w:szCs w:val="32"/>
        </w:rPr>
        <w:t>填列单位公务用车车辆购置支出（含车辆购置税、牌照费）。</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十七、其他交通工具购置：</w:t>
      </w:r>
      <w:r>
        <w:rPr>
          <w:rFonts w:ascii="Times New Roman" w:eastAsia="仿宋_GB2312" w:hAnsi="Times New Roman"/>
          <w:b w:val="0"/>
          <w:sz w:val="32"/>
          <w:szCs w:val="32"/>
        </w:rPr>
        <w:t>填列单位除公务用车外的其他各类交通工具（如船舶、飞机等）购置支出（含车辆购置税、牌照费）。</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十八、机关运行经费：</w:t>
      </w:r>
      <w:r>
        <w:rPr>
          <w:rFonts w:ascii="Times New Roman" w:eastAsia="仿宋_GB2312" w:hAnsi="Times New Roman"/>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rtlGutter/>
      <w:docGrid w:type="lines" w:linePitch="329" w:charSpace="0"/>
    </w:sectPr>
  </w:body>
</w:document>
</file>

<file path=word/fontTable.xml><?xml version="1.0" encoding="utf-8"?>
<w:fonts xmlns:w="http://schemas.openxmlformats.org/wordprocessingml/2006/main" xmlns:r="http://schemas.openxmlformats.org/officeDocument/2006/relationships">
  <w:font w:name="方正小标宋_GBK">
    <w:altName w:val="微软雅黑"/>
    <w:panose1 w:val="02000000000000000000"/>
    <w:charset w:val="86"/>
    <w:family w:val="script"/>
    <w:pitch w:val="variable"/>
    <w:sig w:usb0="00000000" w:usb1="00000000" w:usb2="00082016" w:usb3="00000000" w:csb0="00040001" w:csb1="00000000"/>
  </w:font>
  <w:font w:name="楷体_GB2312">
    <w:altName w:val="楷体"/>
    <w:panose1 w:val="02010609030101010101"/>
    <w:charset w:val="86"/>
    <w:family w:val="auto"/>
    <w:pitch w:val="variable"/>
    <w:sig w:usb0="00000001" w:usb1="080E0000" w:usb2="00000000" w:usb3="00000000" w:csb0="00040000" w:csb1="00000000"/>
  </w:font>
  <w:font w:name="黑体">
    <w:panose1 w:val="02010609060101010101"/>
    <w:charset w:val="86"/>
    <w:family w:val="auto"/>
    <w:pitch w:val="variable"/>
    <w:sig w:usb0="800002BF" w:usb1="38CF7CFA" w:usb2="00000016" w:usb3="00000000" w:csb0="00040001" w:csb1="00000000"/>
  </w:font>
  <w:font w:name="Times New Roman">
    <w:panose1 w:val="02020603050405020304"/>
    <w:charset w:val="01"/>
    <w:family w:val="auto"/>
    <w:pitch w:val="variable"/>
    <w:sig w:usb0="E0002AFF" w:usb1="C0007841" w:usb2="00000009" w:usb3="00000000" w:csb0="400001FF" w:csb1="FFFF0000"/>
  </w:font>
  <w:font w:name="仿宋_GB2312">
    <w:altName w:val="仿宋"/>
    <w:panose1 w:val="02010609030101010101"/>
    <w:charset w:val="86"/>
    <w:family w:val="auto"/>
    <w:pitch w:val="variable"/>
    <w:sig w:usb0="00000001" w:usb1="080E0000" w:usb2="00000000" w:usb3="00000000" w:csb0="00040000" w:csb1="00000000"/>
  </w:font>
  <w:font w:name="等线">
    <w:altName w:val="微软雅黑"/>
    <w:panose1 w:val="02010600030101010101"/>
    <w:charset w:val="86"/>
    <w:family w:val="auto"/>
    <w:pitch w:val="variable"/>
    <w:sig w:usb0="00000000" w:usb1="00000000" w:usb2="00000016" w:usb3="00000000" w:csb0="0004000F" w:csb1="00000000"/>
  </w:font>
  <w:font w:name="Arial">
    <w:panose1 w:val="020B0604020202020204"/>
    <w:charset w:val="01"/>
    <w:family w:val="swiss"/>
    <w:pitch w:val="variable"/>
    <w:sig w:usb0="E0002AFF" w:usb1="C0007843" w:usb2="00000009" w:usb3="00000000" w:csb0="400001FF" w:csb1="FFFF0000"/>
  </w:font>
  <w:font w:name="ArialUnicodeMS">
    <w:altName w:val="Malgun Gothic"/>
    <w:panose1 w:val="00000000000000000000"/>
    <w:charset w:val="81"/>
    <w:family w:val="auto"/>
    <w:pitch w:val="variable"/>
    <w:sig w:usb0="00000000" w:usb1="00000000" w:usb2="00000010" w:usb3="00000000" w:csb0="00080001" w:csb1="00000000"/>
  </w:font>
  <w:font w:name="Calibri">
    <w:panose1 w:val="020F0502020204030204"/>
    <w:charset w:val="00"/>
    <w:family w:val="swiss"/>
    <w:pitch w:val="variable"/>
    <w:sig w:usb0="E00002FF" w:usb1="4000ACFF" w:usb2="00000001" w:usb3="00000000" w:csb0="2000019F" w:csb1="00000000"/>
  </w:font>
  <w:font w:name="方正仿宋_GB2312">
    <w:altName w:val="仿宋"/>
    <w:panose1 w:val="02000000000000000000"/>
    <w:charset w:val="86"/>
    <w:family w:val="auto"/>
    <w:pitch w:val="variable"/>
    <w:sig w:usb0="00000000" w:usb1="00000000" w:usb2="00000012" w:usb3="00000000" w:csb0="00040001" w:csb1="00000000"/>
  </w:font>
  <w:font w:name="宋体">
    <w:panose1 w:val="02010600030101010101"/>
    <w:charset w:val="50"/>
    <w:family w:val="auto"/>
    <w:pitch w:val="variable"/>
    <w:sig w:usb0="00000003" w:usb1="288F0000" w:usb2="00000006" w:usb3="00000000" w:csb0="00040001" w:csb1="00000000"/>
  </w:font>
  <w:font w:name="仿宋">
    <w:panose1 w:val="02010609060101010101"/>
    <w:charset w:val="86"/>
    <w:family w:val="modern"/>
    <w:pitch w:val="variable"/>
    <w:sig w:usb0="800002BF" w:usb1="38CF7CFA" w:usb2="00000016" w:usb3="00000000" w:csb0="00040001" w:csb1="00000000"/>
  </w:font>
  <w:font w:name="Calibri Light">
    <w:panose1 w:val="020F0302020204030204"/>
    <w:charset w:val="00"/>
    <w:family w:val="auto"/>
    <w:pitch w:val="variable"/>
    <w:sig w:usb0="A00002EF" w:usb1="4000207B" w:usb2="00000000" w:usb3="00000000" w:csb0="2000019F" w:csb1="00000000"/>
  </w:font>
  <w:font w:name="华文中宋">
    <w:altName w:val="宋体"/>
    <w:panose1 w:val="02010600040101010101"/>
    <w:charset w:val="86"/>
    <w:family w:val="auto"/>
    <w:pitch w:val="variable"/>
    <w:sig w:usb0="00000000" w:usb1="00000000" w:usb2="00000000" w:usb3="00000000" w:csb0="000400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jc w:val="center"/>
    </w:pPr>
  </w:p>
  <w:p>
    <w:pPr>
      <w:pStyle w:val="17"/>
      <w:tabs>
        <w:tab w:val="center" w:pos="4153"/>
        <w:tab w:val="right" w:pos="8306"/>
      </w:tabs>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ftr>
</file>

<file path=word/footer5.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80639A08"/>
    <w:multiLevelType w:val="singleLevel"/>
    <w:tmpl w:val="80639A08"/>
    <w:lvl w:ilvl="0">
      <w:start w:val="3"/>
      <w:numFmt w:val="chineseCounting"/>
      <w:lvlRestart w:val="0"/>
      <w:suff w:val="nothing"/>
      <w:lvlText w:val="（%1）"/>
      <w:lvlJc w:val="left"/>
      <w:pPr>
        <w:ind w:left="0" w:hanging="0"/>
      </w:pPr>
      <w:rPr>
        <w:rFonts w:hint="eastAsia"/>
      </w:rPr>
    </w:lvl>
  </w:abstractNum>
  <w:abstractNum w:abstractNumId="1">
    <w:nsid w:val="CC5CDD01"/>
    <w:multiLevelType w:val="multilevel"/>
    <w:tmpl w:val="8020F685"/>
    <w:lvl w:ilvl="0">
      <w:start w:val="1"/>
      <w:numFmt w:val="decimal"/>
      <w:lvlRestart w:val="0"/>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displayBackgroundShape/>
  <w:bordersDoNotSurroundHeader w:val="0"/>
  <w:bordersDoNotSurroundFooter w:val="0"/>
  <w:documentProtection w:edit="readOnly" w:enforcement="0"/>
  <w:defaultTabStop w:val="420"/>
  <w:drawingGridHorizontalSpacing w:val="120"/>
  <w:drawingGridVerticalSpacing w:val="165"/>
  <w:displayHorizontalDrawingGridEvery w:val="1"/>
  <w:displayVerticalDrawingGridEvery w:val="1"/>
  <w:noPunctuationKerning/>
  <w:characterSpacingControl w:val="compressPunctuation"/>
  <w:compat>
    <w:spaceForUL/>
    <w:balanceSingleByteDoubleByteWidth/>
    <w:ulTrailSpace/>
    <w:doNotExpandShiftReturn/>
    <w:adjustLineHeightInTable/>
    <w:doNotUseIndentAsNumberingTabStop/>
    <w:useAltKinsokuLineBreakRules/>
    <w:compatSetting w:name="compatibilityMode" w:uri="http://schemas.microsoft.com/office/word" w:val="14"/>
  </w:compat>
  <w:docVars>
    <w:docVar w:name="commondata" w:val="eyJjb3VudCI6NjksImhkaWQiOiJiMzk2N2EzZjUyYWViODRjZjJhMDZjM2YyYjk4MTExMiIsInVzZXJDb3VudCI6MX0="/>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宋体" w:hAnsi="Times New Roman"/>
      <w:color w:val="auto"/>
      <w:kern w:val="0"/>
      <w:sz w:val="24"/>
      <w:szCs w:val="24"/>
      <w:lang w:val="en-US" w:eastAsia="zh-CN" w:bidi="ar-SA"/>
    </w:rPr>
  </w:style>
  <w:style w:type="paragraph" w:styleId="1">
    <w:name w:val="heading 1"/>
    <w:basedOn w:val="0"/>
    <w:next w:val="0"/>
    <w:pPr>
      <w:keepNext/>
      <w:keepLines/>
      <w:widowControl w:val="0"/>
      <w:numPr>
        <w:ilvl w:val="0"/>
        <w:numId w:val="2"/>
      </w:numPr>
      <w:adjustRightInd w:val="0"/>
      <w:snapToGrid w:val="0"/>
      <w:spacing w:before="340" w:afterLines="50" w:after="50" w:line="578" w:lineRule="auto"/>
      <w:ind w:left="425" w:hanging="425"/>
      <w:jc w:val="left"/>
      <w:outlineLvl w:val="0"/>
    </w:pPr>
    <w:rPr>
      <w:rFonts w:ascii="Times New Roman" w:eastAsia="仿宋" w:cs="Times New Roman" w:hAnsi="Times New Roman"/>
      <w:b/>
      <w:bCs/>
      <w:kern w:val="44"/>
      <w:sz w:val="36"/>
      <w:szCs w:val="44"/>
    </w:rPr>
  </w:style>
  <w:style w:type="paragraph" w:styleId="2">
    <w:name w:val="heading 2"/>
    <w:basedOn w:val="0"/>
    <w:next w:val="0"/>
    <w:pPr>
      <w:widowControl w:val="0"/>
      <w:numPr>
        <w:ilvl w:val="1"/>
        <w:numId w:val="2"/>
      </w:numPr>
      <w:spacing w:line="415" w:lineRule="auto"/>
      <w:ind w:left="567" w:hanging="567"/>
      <w:outlineLvl w:val="1"/>
    </w:pPr>
    <w:rPr>
      <w:rFonts w:ascii="Calibri Light" w:eastAsia="宋体" w:cs="Times New Roman" w:hAnsi="Calibri Light"/>
      <w:b/>
      <w:bCs/>
      <w:sz w:val="28"/>
      <w:szCs w:val="32"/>
    </w:rPr>
  </w:style>
  <w:style w:type="paragraph" w:styleId="3">
    <w:name w:val="heading 3"/>
    <w:basedOn w:val="0"/>
    <w:next w:val="0"/>
    <w:pPr>
      <w:keepNext/>
      <w:keepLines/>
      <w:widowControl w:val="0"/>
      <w:numPr>
        <w:ilvl w:val="2"/>
        <w:numId w:val="2"/>
      </w:numPr>
      <w:spacing w:beforeLines="50" w:before="50" w:afterLines="50" w:after="50" w:line="415" w:lineRule="auto"/>
      <w:outlineLvl w:val="2"/>
    </w:pPr>
    <w:rPr>
      <w:rFonts w:ascii="宋体" w:eastAsia="宋体" w:cs="宋体" w:hAnsi="宋体"/>
      <w:b/>
      <w:bCs/>
      <w:sz w:val="32"/>
    </w:rPr>
  </w:style>
  <w:style w:type="paragraph" w:styleId="4">
    <w:name w:val="heading 4"/>
    <w:basedOn w:val="0"/>
    <w:next w:val="0"/>
    <w:pPr>
      <w:keepNext/>
      <w:keepLines/>
      <w:widowControl w:val="0"/>
      <w:numPr>
        <w:ilvl w:val="3"/>
        <w:numId w:val="2"/>
      </w:numPr>
      <w:spacing w:before="120" w:after="120"/>
      <w:outlineLvl w:val="3"/>
    </w:pPr>
    <w:rPr>
      <w:rFonts w:ascii="Calibri Light" w:eastAsia="宋体" w:cs="Times New Roman" w:hAnsi="Calibri Light"/>
      <w:b/>
      <w:bCs/>
      <w:sz w:val="28"/>
      <w:szCs w:val="28"/>
    </w:rPr>
  </w:style>
  <w:style w:type="character" w:default="1" w:styleId="10">
    <w:name w:val="Default Paragraph Font"/>
  </w:style>
  <w:style w:type="paragraph" w:styleId="15">
    <w:name w:val="annotation text"/>
    <w:basedOn w:val="0"/>
    <w:pPr>
      <w:jc w:val="left"/>
    </w:pPr>
  </w:style>
  <w:style w:type="paragraph" w:styleId="16">
    <w:name w:val="Balloon Text"/>
    <w:basedOn w:val="0"/>
    <w:rPr>
      <w:rFonts w:cs="Arial"/>
      <w:kern w:val="2"/>
      <w:sz w:val="18"/>
      <w:szCs w:val="18"/>
    </w:rPr>
  </w:style>
  <w:style w:type="paragraph" w:styleId="17">
    <w:name w:val="footer"/>
    <w:basedOn w:val="0"/>
    <w:pPr>
      <w:tabs>
        <w:tab w:val="center" w:pos="4153"/>
        <w:tab w:val="right" w:pos="8306"/>
      </w:tabs>
      <w:snapToGrid w:val="0"/>
      <w:jc w:val="left"/>
    </w:pPr>
    <w:rPr>
      <w:rFonts w:cs="Arial"/>
      <w:kern w:val="2"/>
      <w:sz w:val="18"/>
      <w:szCs w:val="18"/>
    </w:rPr>
  </w:style>
  <w:style w:type="paragraph" w:styleId="18">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jc w:val="center"/>
    </w:pPr>
    <w:rPr>
      <w:rFonts w:cs="Arial"/>
      <w:kern w:val="2"/>
      <w:sz w:val="18"/>
      <w:szCs w:val="18"/>
    </w:rPr>
  </w:style>
  <w:style w:type="paragraph" w:styleId="19">
    <w:name w:val="Normal (Web)"/>
    <w:basedOn w:val="0"/>
    <w:pPr>
      <w:spacing w:before="0" w:beforeAutospacing="1" w:after="0" w:afterAutospacing="1"/>
      <w:ind w:left="0" w:right="0"/>
      <w:jc w:val="left"/>
    </w:pPr>
    <w:rPr>
      <w:kern w:val="0"/>
      <w:sz w:val="24"/>
      <w:lang w:val="en-US" w:eastAsia="zh-CN"/>
    </w:rPr>
  </w:style>
  <w:style w:type="character" w:styleId="20">
    <w:name w:val="Strong"/>
    <w:basedOn w:val="10"/>
    <w:rPr>
      <w:b/>
    </w:rPr>
  </w:style>
  <w:style w:type="character" w:customStyle="1" w:styleId="21">
    <w:name w:val="font11"/>
    <w:basedOn w:val="10"/>
    <w:rPr>
      <w:rFonts w:ascii="宋体" w:eastAsia="宋体" w:cs="宋体" w:hAnsi="宋体"/>
      <w:color w:val="000000"/>
      <w:sz w:val="20"/>
      <w:szCs w:val="20"/>
      <w:u w:val="none"/>
      <w:lang w:val="en-US" w:eastAsia="zh-CN" w:bidi="ar-SA"/>
    </w:rPr>
  </w:style>
  <w:style w:type="character" w:customStyle="1" w:styleId="22">
    <w:name w:val="font01"/>
    <w:basedOn w:val="10"/>
    <w:rPr>
      <w:rFonts w:ascii="宋体" w:eastAsia="宋体" w:cs="宋体" w:hAnsi="宋体"/>
      <w:color w:val="000000"/>
      <w:sz w:val="22"/>
      <w:szCs w:val="22"/>
      <w:u w:val="none"/>
      <w:lang w:val="en-US" w:eastAsia="zh-CN" w:bidi="ar-SA"/>
    </w:rPr>
  </w:style>
  <w:style w:type="character" w:customStyle="1" w:styleId="23">
    <w:name w:val="font41"/>
    <w:basedOn w:val="10"/>
    <w:rPr>
      <w:rFonts w:ascii="宋体" w:eastAsia="宋体" w:cs="宋体" w:hAnsi="宋体"/>
      <w:color w:val="000000"/>
      <w:sz w:val="24"/>
      <w:szCs w:val="24"/>
      <w:u w:val="none"/>
      <w:lang w:val="en-US" w:eastAsia="zh-CN" w:bidi="ar-SA"/>
    </w:rPr>
  </w:style>
  <w:style w:type="character" w:customStyle="1" w:styleId="24">
    <w:name w:val="font31"/>
    <w:basedOn w:val="10"/>
    <w:rPr>
      <w:rFonts w:ascii="华文中宋" w:eastAsia="华文中宋" w:cs="华文中宋" w:hAnsi="华文中宋"/>
      <w:color w:val="000000"/>
      <w:sz w:val="32"/>
      <w:szCs w:val="32"/>
      <w:u w:val="none"/>
      <w:lang w:val="en-US" w:eastAsia="zh-CN" w:bidi="ar-SA"/>
    </w:rPr>
  </w:style>
  <w:style w:type="character" w:customStyle="1" w:styleId="25">
    <w:name w:val="font91"/>
    <w:basedOn w:val="10"/>
    <w:rPr>
      <w:rFonts w:ascii="华文中宋" w:eastAsia="华文中宋" w:cs="华文中宋" w:hAnsi="华文中宋"/>
      <w:color w:val="000000"/>
      <w:sz w:val="32"/>
      <w:szCs w:val="32"/>
      <w:u w:val="none"/>
      <w:lang w:val="en-US" w:eastAsia="zh-CN" w:bidi="ar-SA"/>
    </w:rPr>
  </w:style>
  <w:style w:type="character" w:customStyle="1" w:styleId="26">
    <w:name w:val="font51"/>
    <w:basedOn w:val="10"/>
    <w:rPr>
      <w:rFonts w:ascii="宋体" w:eastAsia="宋体" w:cs="宋体" w:hAnsi="宋体"/>
      <w:color w:val="000000"/>
      <w:sz w:val="24"/>
      <w:szCs w:val="24"/>
      <w:u w:val="none"/>
      <w:lang w:val="en-US" w:eastAsia="zh-CN" w:bidi="ar-SA"/>
    </w:rPr>
  </w:style>
  <w:style w:type="paragraph" w:styleId="27">
    <w:name w:val="Body Text"/>
    <w:basedOn w:val="0"/>
    <w:pPr>
      <w:spacing w:after="120"/>
    </w:pPr>
  </w:style>
  <w:style w:type="paragraph" w:styleId="28">
    <w:name w:val="Body Text First Indent"/>
    <w:basedOn w:val="27"/>
    <w:pPr>
      <w:ind w:firstLine="42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image" Target="media/2.jpeg"/><Relationship Id="rId4" Type="http://schemas.openxmlformats.org/officeDocument/2006/relationships/footer" Target="footer2.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header" Target="header3.xml"/><Relationship Id="rId10" Type="http://schemas.openxmlformats.org/officeDocument/2006/relationships/footer" Target="footer5.xml"/><Relationship Id="rId11" Type="http://schemas.openxmlformats.org/officeDocument/2006/relationships/chart" Target="charts/chart1.xml"/><Relationship Id="rId12" Type="http://schemas.openxmlformats.org/officeDocument/2006/relationships/chart" Target="charts/chart2.xml"/><Relationship Id="rId13" Type="http://schemas.openxmlformats.org/officeDocument/2006/relationships/chart" Target="charts/chart3.xml"/><Relationship Id="rId14" Type="http://schemas.openxmlformats.org/officeDocument/2006/relationships/chart" Target="charts/chart4.xml"/><Relationship Id="rId15" Type="http://schemas.openxmlformats.org/officeDocument/2006/relationships/chart" Target="charts/chart5.xml"/><Relationship Id="rId16" Type="http://schemas.openxmlformats.org/officeDocument/2006/relationships/chart" Target="charts/chart6.xml"/><Relationship Id="rId17" Type="http://schemas.openxmlformats.org/officeDocument/2006/relationships/image" Target="media/14.png"/><Relationship Id="rId18" Type="http://schemas.openxmlformats.org/officeDocument/2006/relationships/image" Target="media/17.png"/><Relationship Id="rId19" Type="http://schemas.openxmlformats.org/officeDocument/2006/relationships/image" Target="media/20.png"/><Relationship Id="rId20" Type="http://schemas.openxmlformats.org/officeDocument/2006/relationships/image" Target="media/23.png"/><Relationship Id="rId21" Type="http://schemas.openxmlformats.org/officeDocument/2006/relationships/image" Target="media/26.png"/><Relationship Id="rId22" Type="http://schemas.openxmlformats.org/officeDocument/2006/relationships/styles" Target="styles.xml"/><Relationship Id="rId23" Type="http://schemas.openxmlformats.org/officeDocument/2006/relationships/numbering" Target="numbering.xml"/><Relationship Id="rId24" Type="http://schemas.openxmlformats.org/officeDocument/2006/relationships/fontTable" Target="fontTable.xml"/><Relationship Id="rId25" Type="http://schemas.openxmlformats.org/officeDocument/2006/relationships/customXml" Target="../customXml/item1.xml"/></Relationships>
</file>

<file path=word/charts/_rels/chart1.xml.rels><?xml version="1.0" encoding="UTF-8" standalone="yes"?>
<Relationships xmlns="http://schemas.openxmlformats.org/package/2006/relationships"><Relationship Id="rId1" Type="http://schemas.openxmlformats.org/officeDocument/2006/relationships/package" Target="../embeddings/char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char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char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char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char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char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1 ： 2023-2024年收支总计对比图（万元）</a:t>
            </a:r>
          </a:p>
        </c:rich>
      </c:tx>
      <c:layout/>
      <c:overlay val="0"/>
      <c:spPr>
        <a:noFill/>
        <a:ln>
          <a:noFill/>
        </a:ln>
      </c:spPr>
    </c:title>
    <c:autoTitleDeleted val="1"/>
    <c:plotArea>
      <c:layout/>
      <c:barChart>
        <c:barDir val="col"/>
        <c:grouping val="clustered"/>
        <c:varyColors val="0"/>
        <c:ser>
          <c:idx val="0"/>
          <c:order val="0"/>
          <c:tx>
            <c:strRef>
              <c:f>'Sheet1'!$B$1</c:f>
              <c:strCache>
                <c:ptCount val="1"/>
                <c:pt idx="0">
                  <c:v>收支总计</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'Sheet1'!$A$2:$A$3</c:f>
              <c:strCache>
                <c:ptCount val="2"/>
                <c:pt idx="0">
                  <c:v>2023年</c:v>
                </c:pt>
                <c:pt idx="1">
                  <c:v>2024年</c:v>
                </c:pt>
              </c:strCache>
            </c:strRef>
          </c:cat>
          <c:val>
            <c:numRef>
              <c:f>'Sheet1'!$B$2:$B$3</c:f>
              <c:numCache>
                <c:formatCode>General</c:formatCode>
                <c:ptCount val="2"/>
                <c:pt idx="0">
                  <c:v>3059.05</c:v>
                </c:pt>
                <c:pt idx="1">
                  <c:v>223.42</c:v>
                </c:pt>
              </c:numCache>
            </c:numRef>
          </c:val>
        </c:ser>
        <c:overlap val="-28"/>
        <c:gapWidth val="246"/>
        <c:axId val="0"/>
        <c:axId val="1"/>
      </c:barChart>
      <c:catAx>
        <c:axId val="0"/>
        <c:scaling>
          <c:orientation val="minMax"/>
        </c:scaling>
        <c:delete val="0"/>
        <c:axPos val="b"/>
        <c:numFmt formatCode="General" sourceLinked="0"/>
        <c:majorTickMark val="none"/>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none"/>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spPr>
        <a:noFill/>
        <a:ln>
          <a:noFill/>
        </a:ln>
      </c:spPr>
    </c:plotArea>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2 ：收入决算构成情况图</a:t>
            </a:r>
          </a:p>
        </c:rich>
      </c:tx>
      <c:layout/>
      <c:overlay val="0"/>
      <c:spPr>
        <a:noFill/>
        <a:ln>
          <a:noFill/>
        </a:ln>
      </c:spPr>
    </c:title>
    <c:autoTitleDeleted val="1"/>
    <c:plotArea>
      <c:layout/>
      <c:pieChart>
        <c:varyColors val="1"/>
        <c:ser>
          <c:idx val="0"/>
          <c:order val="0"/>
          <c:tx>
            <c:strRef>
              <c:f>'Sheet1 (2)'!$B$1</c:f>
              <c:strCache>
                <c:ptCount val="1"/>
                <c:pt idx="0">
                  <c:v>金额</c:v>
                </c:pt>
              </c:strCache>
            </c:strRef>
          </c:tx>
          <c:spPr>
            <a:solidFill>
              <a:srgbClr val="4F81BD"/>
            </a:solidFill>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0.0%" sourceLinked="0"/>
            <c:dLbl>
              <c:idx val="0"/>
              <c:layout>
                <c:manualLayout>
                  <c:x val="0.32012555"/>
                  <c:y val="0.72690713"/>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1"/>
              <c:layout>
                <c:manualLayout>
                  <c:x val="-0.3080455"/>
                  <c:y val="0.6391468"/>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2"/>
              <c:layout>
                <c:manualLayout>
                  <c:x val="0.40541184"/>
                  <c:y val="0.17185508"/>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3"/>
              <c:layout>
                <c:manualLayout>
                  <c:x val="-0.28690514"/>
                  <c:y val="0.2702507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4"/>
              <c:layout>
                <c:manualLayout>
                  <c:x val="-0.29898536"/>
                  <c:y val="0.4491606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5"/>
              <c:layout>
                <c:manualLayout>
                  <c:x val="-0.28847557"/>
                  <c:y val="0.1241659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Pos val="ctr"/>
            <c:showLegendKey val="1"/>
            <c:showVal val="0"/>
            <c:showCatName val="1"/>
            <c:showSerName val="0"/>
            <c:showPercent val="1"/>
            <c:showBubbleSize val="0"/>
            <c:separator> </c:separator>
            <c:showLeaderLines val="1"/>
          </c:dLbls>
          <c:cat>
            <c:strRef>
              <c:f>'Sheet1 (2)'!$A$2:$A$7</c:f>
              <c:strCache>
                <c:ptCount val="6"/>
                <c:pt idx="0">
                  <c:v>财政拨款收入</c:v>
                </c:pt>
                <c:pt idx="1">
                  <c:v>上级补助收入</c:v>
                </c:pt>
                <c:pt idx="2">
                  <c:v>事业收入</c:v>
                </c:pt>
                <c:pt idx="3">
                  <c:v>经营收入</c:v>
                </c:pt>
                <c:pt idx="4">
                  <c:v>附属单位上缴收入</c:v>
                </c:pt>
                <c:pt idx="5">
                  <c:v>其他收入</c:v>
                </c:pt>
              </c:strCache>
            </c:strRef>
          </c:cat>
          <c:val>
            <c:numRef>
              <c:f>'Sheet1 (2)'!$B$2:$B$7</c:f>
              <c:numCache>
                <c:formatCode>0.00_);[Red](0.00)</c:formatCode>
                <c:ptCount val="6"/>
                <c:pt idx="0">
                  <c:v>2234156.82</c:v>
                </c:pt>
                <c:pt idx="1">
                  <c:v>0.0</c:v>
                </c:pt>
                <c:pt idx="2">
                  <c:v>0.0</c:v>
                </c:pt>
                <c:pt idx="3">
                  <c:v>0.0</c:v>
                </c:pt>
                <c:pt idx="4">
                  <c:v>0.0</c:v>
                </c:pt>
                <c:pt idx="5">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3 ：支出决算构成情况图</a:t>
            </a:r>
          </a:p>
        </c:rich>
      </c:tx>
      <c:layout/>
      <c:overlay val="0"/>
      <c:spPr>
        <a:noFill/>
        <a:ln>
          <a:noFill/>
        </a:ln>
      </c:spPr>
    </c:title>
    <c:autoTitleDeleted val="1"/>
    <c:plotArea>
      <c:layout/>
      <c:pieChart>
        <c:varyColors val="1"/>
        <c:ser>
          <c:idx val="0"/>
          <c:order val="0"/>
          <c:tx>
            <c:strRef>
              <c:f>'Sheet1 (3)'!$B$1</c:f>
              <c:strCache>
                <c:ptCount val="1"/>
                <c:pt idx="0">
                  <c:v>金额</c:v>
                </c:pt>
              </c:strCache>
            </c:strRef>
          </c:tx>
          <c:spPr>
            <a:solidFill>
              <a:srgbClr val="4F81BD"/>
            </a:solidFill>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0.0%" sourceLinked="0"/>
            <c:dLbl>
              <c:idx val="0"/>
              <c:layout>
                <c:manualLayout>
                  <c:x val="0.34621888"/>
                  <c:y val="0.715469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1"/>
              <c:layout>
                <c:manualLayout>
                  <c:x val="0.35709593"/>
                  <c:y val="0.09793837"/>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2"/>
              <c:layout>
                <c:manualLayout>
                  <c:x val="-0.29270354"/>
                  <c:y val="0.26689333"/>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3"/>
              <c:layout>
                <c:manualLayout>
                  <c:x val="-0.31523567"/>
                  <c:y val="0.468316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4"/>
              <c:layout>
                <c:manualLayout>
                  <c:x val="-0.27355897"/>
                  <c:y val="0.718210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showLegendKey val="1"/>
            <c:showVal val="0"/>
            <c:showCatName val="1"/>
            <c:showSerName val="0"/>
            <c:showPercent val="1"/>
            <c:showBubbleSize val="0"/>
            <c:showLeaderLines val="1"/>
          </c:dLbls>
          <c:cat>
            <c:strRef>
              <c:f>'Sheet1 (3)'!$A$2:$A$6</c:f>
              <c:strCache>
                <c:ptCount val="5"/>
                <c:pt idx="0">
                  <c:v>基本支出</c:v>
                </c:pt>
                <c:pt idx="1">
                  <c:v>项目支出</c:v>
                </c:pt>
                <c:pt idx="2">
                  <c:v>上缴上级支出</c:v>
                </c:pt>
                <c:pt idx="3">
                  <c:v>经营支出</c:v>
                </c:pt>
                <c:pt idx="4">
                  <c:v>对附属单位补助支出</c:v>
                </c:pt>
              </c:strCache>
            </c:strRef>
          </c:cat>
          <c:val>
            <c:numRef>
              <c:f>'Sheet1 (3)'!$B$2:$B$6</c:f>
              <c:numCache>
                <c:formatCode>General</c:formatCode>
                <c:ptCount val="5"/>
                <c:pt idx="0">
                  <c:v>525756.82</c:v>
                </c:pt>
                <c:pt idx="1">
                  <c:v>1708400.0</c:v>
                </c:pt>
                <c:pt idx="2">
                  <c:v>0.0</c:v>
                </c:pt>
                <c:pt idx="3">
                  <c:v>0.0</c:v>
                </c:pt>
                <c:pt idx="4">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4 ：2023-2024年财政拨款收支对比图（万元）</a:t>
            </a:r>
          </a:p>
        </c:rich>
      </c:tx>
      <c:layout/>
      <c:overlay val="0"/>
      <c:spPr>
        <a:noFill/>
        <a:ln>
          <a:noFill/>
        </a:ln>
      </c:spPr>
    </c:title>
    <c:autoTitleDeleted val="1"/>
    <c:plotArea>
      <c:layout/>
      <c:barChart>
        <c:barDir val="col"/>
        <c:grouping val="clustered"/>
        <c:varyColors val="0"/>
        <c:ser>
          <c:idx val="0"/>
          <c:order val="0"/>
          <c:tx>
            <c:strRef>
              <c:f>'Sheet1 (4)'!$B$1</c:f>
              <c:strCache>
                <c:ptCount val="1"/>
                <c:pt idx="0">
                  <c:v>2023年</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(4)'!$B$2:$B$9</c:f>
              <c:numCache>
                <c:formatCode>General</c:formatCode>
                <c:ptCount val="8"/>
                <c:pt idx="0">
                  <c:v>3059.05</c:v>
                </c:pt>
                <c:pt idx="1">
                  <c:v>3059.05</c:v>
                </c:pt>
                <c:pt idx="2">
                  <c:v>3059.05</c:v>
                </c:pt>
                <c:pt idx="3">
                  <c:v>3059.05</c:v>
                </c:pt>
                <c:pt idx="4">
                  <c:v>0.0</c:v>
                </c:pt>
                <c:pt idx="5">
                  <c:v>0.0</c:v>
                </c:pt>
                <c:pt idx="6">
                  <c:v>0.0</c:v>
                </c:pt>
                <c:pt idx="7">
                  <c:v>0.0</c:v>
                </c:pt>
              </c:numCache>
            </c:numRef>
          </c:val>
        </c:ser>
        <c:ser>
          <c:idx val="1"/>
          <c:order val="1"/>
          <c:tx>
            <c:strRef>
              <c:f>'Sheet1 (4)'!$C$1</c:f>
              <c:strCache>
                <c:ptCount val="1"/>
                <c:pt idx="0">
                  <c:v>2024年</c:v>
                </c:pt>
              </c:strCache>
            </c:strRef>
          </c:tx>
          <c:spPr>
            <a:solidFill>
              <a:srgbClr val="EE822F"/>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(4)'!$C$2:$C$9</c:f>
              <c:numCache>
                <c:formatCode>General</c:formatCode>
                <c:ptCount val="8"/>
                <c:pt idx="0">
                  <c:v>223.42</c:v>
                </c:pt>
                <c:pt idx="1">
                  <c:v>223.42</c:v>
                </c:pt>
                <c:pt idx="2">
                  <c:v>223.42</c:v>
                </c:pt>
                <c:pt idx="3">
                  <c:v>223.42</c:v>
                </c:pt>
                <c:pt idx="4">
                  <c:v>0.0</c:v>
                </c:pt>
                <c:pt idx="5">
                  <c:v>0.0</c:v>
                </c:pt>
                <c:pt idx="6">
                  <c:v>0.0</c:v>
                </c:pt>
                <c:pt idx="7">
                  <c:v>0.0</c:v>
                </c:pt>
              </c:numCache>
            </c:numRef>
          </c:val>
        </c:ser>
        <c:overlap val="-28"/>
        <c:gapWidth val="246"/>
        <c:axId val="0"/>
        <c:axId val="1"/>
      </c:barChart>
      <c:catAx>
        <c:axId val="0"/>
        <c:scaling>
          <c:orientation val="minMax"/>
        </c:scaling>
        <c:delete val="0"/>
        <c:axPos val="b"/>
        <c:numFmt formatCode="General" sourceLinked="0"/>
        <c:majorTickMark val="out"/>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out"/>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dTable>
        <c:showHorzBorder val="1"/>
        <c:showVertBorder val="1"/>
        <c:showOutline val="1"/>
        <c:showKeys val="1"/>
        <c:spPr>
          <a:ln w="6350">
            <a:solidFill>
              <a:srgbClr val="D9D9D9"/>
            </a:solidFill>
            <a:prstDash val="solid"/>
          </a:ln>
        </c:spPr>
        <c:txPr>
          <a:bodyPr/>
          <a:lstStyle/>
          <a:p>
            <a:pPr rtl="0">
              <a:defRPr sz="900" b="0" i="0" u="none" strike="noStrike" baseline="0">
                <a:solidFill>
                  <a:srgbClr val="595959"/>
                </a:solidFill>
                <a:latin typeface="Times New Roman"/>
                <a:ea typeface="宋体"/>
                <a:cs typeface="Arial"/>
              </a:defRPr>
            </a:pPr>
            <a:endParaRPr lang="zh-CN"/>
          </a:p>
        </c:txPr>
      </c:dTable>
      <c:spPr>
        <a:noFill/>
        <a:ln>
          <a:noFill/>
        </a:ln>
      </c:spPr>
    </c:plotArea>
    <c:legend>
      <c:legendPos val="b"/>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5 :财政拨款收支预算对比图（万元）</a:t>
            </a:r>
          </a:p>
        </c:rich>
      </c:tx>
      <c:layout/>
      <c:overlay val="0"/>
      <c:spPr>
        <a:noFill/>
        <a:ln>
          <a:noFill/>
        </a:ln>
      </c:spPr>
    </c:title>
    <c:autoTitleDeleted val="1"/>
    <c:plotArea>
      <c:layout>
        <c:manualLayout>
          <c:layoutTarget val="inner"/>
          <c:xMode val="edge"/>
          <c:yMode val="edge"/>
          <c:x val="0.17641942"/>
          <c:y val="0.16043349"/>
          <c:w val="0.7957961"/>
          <c:h val="0.47433063"/>
        </c:manualLayout>
      </c:layout>
      <c:barChart>
        <c:barDir val="col"/>
        <c:grouping val="clustered"/>
        <c:varyColors val="0"/>
        <c:ser>
          <c:idx val="0"/>
          <c:order val="0"/>
          <c:tx>
            <c:strRef>
              <c:f>'Sheet1 (5)'!$B$1</c:f>
              <c:strCache>
                <c:ptCount val="1"/>
                <c:pt idx="0">
                  <c:v>年初预算数</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(5)'!$B$2:$B$9</c:f>
              <c:numCache>
                <c:formatCode>General</c:formatCode>
                <c:ptCount val="8"/>
                <c:pt idx="0">
                  <c:v>39.35</c:v>
                </c:pt>
                <c:pt idx="1">
                  <c:v>39.35</c:v>
                </c:pt>
                <c:pt idx="2">
                  <c:v>39.35</c:v>
                </c:pt>
                <c:pt idx="3">
                  <c:v>39.35</c:v>
                </c:pt>
                <c:pt idx="4">
                  <c:v>0.0</c:v>
                </c:pt>
                <c:pt idx="5">
                  <c:v>0.0</c:v>
                </c:pt>
                <c:pt idx="6">
                  <c:v>0.0</c:v>
                </c:pt>
                <c:pt idx="7">
                  <c:v>0.0</c:v>
                </c:pt>
              </c:numCache>
            </c:numRef>
          </c:val>
        </c:ser>
        <c:ser>
          <c:idx val="1"/>
          <c:order val="1"/>
          <c:tx>
            <c:strRef>
              <c:f>'Sheet1 (5)'!$C$1</c:f>
              <c:strCache>
                <c:ptCount val="1"/>
                <c:pt idx="0">
                  <c:v>决算数</c:v>
                </c:pt>
              </c:strCache>
            </c:strRef>
          </c:tx>
          <c:spPr>
            <a:solidFill>
              <a:srgbClr val="EE822F"/>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(5)'!$C$2:$C$9</c:f>
              <c:numCache>
                <c:formatCode>General</c:formatCode>
                <c:ptCount val="8"/>
                <c:pt idx="0">
                  <c:v>223.42</c:v>
                </c:pt>
                <c:pt idx="1">
                  <c:v>223.42</c:v>
                </c:pt>
                <c:pt idx="2">
                  <c:v>223.42</c:v>
                </c:pt>
                <c:pt idx="3">
                  <c:v>223.42</c:v>
                </c:pt>
                <c:pt idx="4">
                  <c:v>0.0</c:v>
                </c:pt>
                <c:pt idx="5">
                  <c:v>0.0</c:v>
                </c:pt>
                <c:pt idx="6">
                  <c:v>0.0</c:v>
                </c:pt>
                <c:pt idx="7">
                  <c:v>0.0</c:v>
                </c:pt>
              </c:numCache>
            </c:numRef>
          </c:val>
        </c:ser>
        <c:gapWidth val="150"/>
        <c:axId val="0"/>
        <c:axId val="1"/>
      </c:barChart>
      <c:catAx>
        <c:axId val="0"/>
        <c:scaling>
          <c:orientation val="minMax"/>
        </c:scaling>
        <c:delete val="0"/>
        <c:axPos val="b"/>
        <c:numFmt formatCode="General" sourceLinked="0"/>
        <c:majorTickMark val="none"/>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none"/>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dTable>
        <c:showHorzBorder val="1"/>
        <c:showVertBorder val="1"/>
        <c:showOutline val="1"/>
        <c:showKeys val="1"/>
        <c:spPr>
          <a:ln w="6350">
            <a:solidFill>
              <a:srgbClr val="D9D9D9"/>
            </a:solidFill>
            <a:prstDash val="solid"/>
          </a:ln>
        </c:spPr>
        <c:txPr>
          <a:bodyPr/>
          <a:lstStyle/>
          <a:p>
            <a:pPr rtl="0">
              <a:defRPr sz="900" b="0" i="0" u="none" strike="noStrike" baseline="0">
                <a:solidFill>
                  <a:srgbClr val="595959"/>
                </a:solidFill>
                <a:latin typeface="Times New Roman"/>
                <a:ea typeface="宋体"/>
                <a:cs typeface="Arial"/>
              </a:defRPr>
            </a:pPr>
            <a:endParaRPr lang="zh-CN"/>
          </a:p>
        </c:txPr>
      </c:dTable>
      <c:spPr>
        <a:noFill/>
        <a:ln>
          <a:noFill/>
        </a:ln>
      </c:spPr>
    </c:plotArea>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图6  : 财政拨款支出决算构成情况图</a:t>
            </a:r>
          </a:p>
        </c:rich>
      </c:tx>
      <c:layout/>
      <c:overlay val="0"/>
      <c:spPr>
        <a:noFill/>
        <a:ln>
          <a:noFill/>
        </a:ln>
      </c:spPr>
    </c:title>
    <c:autoTitleDeleted val="1"/>
    <c:plotArea>
      <c:layout/>
      <c:pieChart>
        <c:varyColors val="1"/>
        <c:ser>
          <c:idx val="0"/>
          <c:order val="0"/>
          <c:tx>
            <c:strRef>
              <c:f>'Sheet1 (6)'!$B$1</c:f>
              <c:strCache>
                <c:ptCount val="1"/>
                <c:pt idx="0">
                  <c:v>金额</c:v>
                </c:pt>
              </c:strCache>
            </c:strRef>
          </c:tx>
          <c:spPr>
            <a:solidFill>
              <a:srgbClr val="4F81BD"/>
            </a:solidFill>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Pt>
            <c:idx val="6"/>
            <c:bubble3D val="0"/>
            <c:spPr>
              <a:solidFill>
                <a:srgbClr val="254380"/>
              </a:solidFill>
              <a:ln w="6350">
                <a:solidFill>
                  <a:srgbClr val="FFFFFF"/>
                </a:solidFill>
                <a:prstDash val="solid"/>
              </a:ln>
            </c:spPr>
          </c:dPt>
          <c:dPt>
            <c:idx val="7"/>
            <c:bubble3D val="0"/>
            <c:spPr>
              <a:solidFill>
                <a:srgbClr val="9E4C0D"/>
              </a:solidFill>
              <a:ln w="6350">
                <a:solidFill>
                  <a:srgbClr val="FFFFFF"/>
                </a:solidFill>
                <a:prstDash val="solid"/>
              </a:ln>
            </c:spPr>
          </c:dPt>
          <c:dPt>
            <c:idx val="8"/>
            <c:bubble3D val="0"/>
            <c:spPr>
              <a:solidFill>
                <a:srgbClr val="917001"/>
              </a:solidFill>
              <a:ln w="6350">
                <a:solidFill>
                  <a:srgbClr val="FFFFFF"/>
                </a:solidFill>
                <a:prstDash val="solid"/>
              </a:ln>
            </c:spPr>
          </c:dPt>
          <c:dPt>
            <c:idx val="9"/>
            <c:bubble3D val="0"/>
            <c:spPr>
              <a:solidFill>
                <a:srgbClr val="467128"/>
              </a:solidFill>
              <a:ln w="6350">
                <a:solidFill>
                  <a:srgbClr val="FFFFFF"/>
                </a:solidFill>
                <a:prstDash val="solid"/>
              </a:ln>
            </c:spPr>
          </c:dPt>
          <c:dPt>
            <c:idx val="10"/>
            <c:bubble3D val="0"/>
            <c:spPr>
              <a:solidFill>
                <a:srgbClr val="1D736C"/>
              </a:solidFill>
              <a:ln w="6350">
                <a:solidFill>
                  <a:srgbClr val="FFFFFF"/>
                </a:solidFill>
                <a:prstDash val="solid"/>
              </a:ln>
            </c:spPr>
          </c:dPt>
          <c:dPt>
            <c:idx val="11"/>
            <c:bubble3D val="0"/>
            <c:spPr>
              <a:solidFill>
                <a:srgbClr val="A01727"/>
              </a:solidFill>
              <a:ln w="6350">
                <a:solidFill>
                  <a:srgbClr val="FFFFFF"/>
                </a:solidFill>
                <a:prstDash val="solid"/>
              </a:ln>
            </c:spPr>
          </c:dPt>
          <c:dPt>
            <c:idx val="12"/>
            <c:bubble3D val="0"/>
            <c:spPr>
              <a:solidFill>
                <a:srgbClr val="6D90D5"/>
              </a:solidFill>
              <a:ln w="6350">
                <a:solidFill>
                  <a:srgbClr val="FFFFFF"/>
                </a:solidFill>
                <a:prstDash val="solid"/>
              </a:ln>
            </c:spPr>
          </c:dPt>
          <c:dPt>
            <c:idx val="13"/>
            <c:bubble3D val="0"/>
            <c:spPr>
              <a:solidFill>
                <a:srgbClr val="F19B59"/>
              </a:solidFill>
              <a:ln w="6350">
                <a:solidFill>
                  <a:srgbClr val="FFFFFF"/>
                </a:solidFill>
                <a:prstDash val="solid"/>
              </a:ln>
            </c:spPr>
          </c:dPt>
          <c:dPt>
            <c:idx val="14"/>
            <c:bubble3D val="0"/>
            <c:spPr>
              <a:solidFill>
                <a:srgbClr val="FDCC2C"/>
              </a:solidFill>
              <a:ln w="6350">
                <a:solidFill>
                  <a:srgbClr val="FFFFFF"/>
                </a:solidFill>
                <a:prstDash val="solid"/>
              </a:ln>
            </c:spPr>
          </c:dPt>
          <c:dPt>
            <c:idx val="15"/>
            <c:bubble3D val="0"/>
            <c:spPr>
              <a:solidFill>
                <a:srgbClr val="91CA68"/>
              </a:solidFill>
              <a:ln w="6350">
                <a:solidFill>
                  <a:srgbClr val="FFFFFF"/>
                </a:solidFill>
                <a:prstDash val="solid"/>
              </a:ln>
            </c:spPr>
          </c:dPt>
          <c:dPt>
            <c:idx val="16"/>
            <c:bubble3D val="0"/>
            <c:spPr>
              <a:solidFill>
                <a:srgbClr val="52D4C9"/>
              </a:solidFill>
              <a:ln w="6350">
                <a:solidFill>
                  <a:srgbClr val="FFFFFF"/>
                </a:solidFill>
                <a:prstDash val="solid"/>
              </a:ln>
            </c:spPr>
          </c:dPt>
          <c:dPt>
            <c:idx val="17"/>
            <c:bubble3D val="0"/>
            <c:spPr>
              <a:solidFill>
                <a:srgbClr val="EA707E"/>
              </a:solidFill>
              <a:ln w="6350">
                <a:solidFill>
                  <a:srgbClr val="FFFFFF"/>
                </a:solidFill>
                <a:prstDash val="solid"/>
              </a:ln>
            </c:spPr>
          </c:dPt>
          <c:dPt>
            <c:idx val="18"/>
            <c:bubble3D val="0"/>
            <c:spPr>
              <a:solidFill>
                <a:srgbClr val="315AAB"/>
              </a:solidFill>
              <a:ln w="6350">
                <a:solidFill>
                  <a:srgbClr val="FFFFFF"/>
                </a:solidFill>
                <a:prstDash val="solid"/>
              </a:ln>
            </c:spPr>
          </c:dPt>
          <c:dPt>
            <c:idx val="19"/>
            <c:bubble3D val="0"/>
            <c:spPr>
              <a:solidFill>
                <a:srgbClr val="D36511"/>
              </a:solidFill>
              <a:ln w="6350">
                <a:solidFill>
                  <a:srgbClr val="FFFFFF"/>
                </a:solidFill>
                <a:prstDash val="solid"/>
              </a:ln>
            </c:spPr>
          </c:dPt>
          <c:dPt>
            <c:idx val="20"/>
            <c:bubble3D val="0"/>
            <c:spPr>
              <a:solidFill>
                <a:srgbClr val="C29502"/>
              </a:solidFill>
              <a:ln w="6350">
                <a:solidFill>
                  <a:srgbClr val="FFFFFF"/>
                </a:solidFill>
                <a:prstDash val="solid"/>
              </a:ln>
            </c:spPr>
          </c:dPt>
          <c:dPt>
            <c:idx val="21"/>
            <c:bubble3D val="0"/>
            <c:spPr>
              <a:solidFill>
                <a:srgbClr val="5E9735"/>
              </a:solidFill>
              <a:ln w="6350">
                <a:solidFill>
                  <a:srgbClr val="FFFFFF"/>
                </a:solidFill>
                <a:prstDash val="solid"/>
              </a:ln>
            </c:spPr>
          </c:dPt>
          <c:dPt>
            <c:idx val="22"/>
            <c:bubble3D val="0"/>
            <c:spPr>
              <a:solidFill>
                <a:srgbClr val="269A90"/>
              </a:solidFill>
              <a:ln w="6350">
                <a:solidFill>
                  <a:srgbClr val="FFFFFF"/>
                </a:solidFill>
                <a:prstDash val="solid"/>
              </a:ln>
            </c:spPr>
          </c:dPt>
          <c:dPt>
            <c:idx val="23"/>
            <c:bubble3D val="0"/>
            <c:spPr>
              <a:solidFill>
                <a:srgbClr val="D51F34"/>
              </a:solidFill>
              <a:ln w="6350">
                <a:solidFill>
                  <a:srgbClr val="FFFFFF"/>
                </a:solidFill>
                <a:prstDash val="solid"/>
              </a:ln>
            </c:spPr>
          </c:dPt>
          <c:dPt>
            <c:idx val="24"/>
            <c:bubble3D val="0"/>
            <c:spPr>
              <a:solidFill>
                <a:srgbClr val="91ACE0"/>
              </a:solidFill>
              <a:ln w="6350">
                <a:solidFill>
                  <a:srgbClr val="FFFFFF"/>
                </a:solidFill>
                <a:prstDash val="solid"/>
              </a:ln>
            </c:spPr>
          </c:dPt>
          <c:dPt>
            <c:idx val="25"/>
            <c:bubble3D val="0"/>
            <c:spPr>
              <a:solidFill>
                <a:srgbClr val="F5B482"/>
              </a:solidFill>
              <a:ln w="6350">
                <a:solidFill>
                  <a:srgbClr val="FFFFFF"/>
                </a:solidFill>
                <a:prstDash val="solid"/>
              </a:ln>
            </c:spPr>
          </c:dPt>
          <c:dLbls>
            <c:dLbl>
              <c:idx val="0"/>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3"/>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4"/>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5"/>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6"/>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7"/>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8"/>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9"/>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0"/>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1"/>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2"/>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3"/>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4"/>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5"/>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6"/>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7"/>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8"/>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9"/>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0"/>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1"/>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2"/>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3"/>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4"/>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5"/>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showLegendKey val="0"/>
            <c:showVal val="0"/>
            <c:showCatName val="0"/>
            <c:showSerName val="0"/>
            <c:showPercent val="0"/>
            <c:showBubbleSize val="0"/>
            <c:showLeaderLines val="0"/>
          </c:dLbls>
          <c:cat>
            <c:strRef>
              <c:f>'Sheet1 (6)'!$A$2:$A$27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 (6)'!$B$2:$B$27</c:f>
              <c:numCache>
                <c:formatCode>General</c:formatCode>
                <c:ptCount val="26"/>
                <c:pt idx="0">
                  <c:v>71.85</c:v>
                </c:pt>
                <c:pt idx="1">
                  <c:v>0.0</c:v>
                </c:pt>
                <c:pt idx="2">
                  <c:v>0.0</c:v>
                </c:pt>
                <c:pt idx="3">
                  <c:v>0.0</c:v>
                </c:pt>
                <c:pt idx="4">
                  <c:v>0.0</c:v>
                </c:pt>
                <c:pt idx="5">
                  <c:v>139.02</c:v>
                </c:pt>
                <c:pt idx="6">
                  <c:v>0.0</c:v>
                </c:pt>
                <c:pt idx="7">
                  <c:v>5.59</c:v>
                </c:pt>
                <c:pt idx="8">
                  <c:v>2.66</c:v>
                </c:pt>
                <c:pt idx="9">
                  <c:v>0.0</c:v>
                </c:pt>
                <c:pt idx="10">
                  <c:v>0.0</c:v>
                </c:pt>
                <c:pt idx="11">
                  <c:v>0.0</c:v>
                </c:pt>
                <c:pt idx="12">
                  <c:v>0.0</c:v>
                </c:pt>
                <c:pt idx="13">
                  <c:v>0.0</c:v>
                </c:pt>
                <c:pt idx="14">
                  <c:v>0.0</c:v>
                </c:pt>
                <c:pt idx="15">
                  <c:v>0.0</c:v>
                </c:pt>
                <c:pt idx="16">
                  <c:v>0.0</c:v>
                </c:pt>
                <c:pt idx="17">
                  <c:v>0.0</c:v>
                </c:pt>
                <c:pt idx="18">
                  <c:v>4.3</c:v>
                </c:pt>
                <c:pt idx="19">
                  <c:v>0.0</c:v>
                </c:pt>
                <c:pt idx="20">
                  <c:v>0.0</c:v>
                </c:pt>
                <c:pt idx="21">
                  <c:v>0.0</c:v>
                </c:pt>
                <c:pt idx="22">
                  <c:v>0.0</c:v>
                </c:pt>
                <c:pt idx="23">
                  <c:v>0.0</c:v>
                </c:pt>
                <c:pt idx="24">
                  <c:v>0.0</c:v>
                </c:pt>
                <c:pt idx="25">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26C536E4-87D1-4ADB-9F9F-952C78193B47}">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113</TotalTime>
  <Application>Yozo_Office27021597764231179</Application>
  <Pages>38</Pages>
  <Words>0</Words>
  <Characters>9963</Characters>
  <Lines>0</Lines>
  <Paragraphs>202</Paragraphs>
  <CharactersWithSpaces>13284</CharactersWithSpaces>
  <Company>神州网信技术有限公司</Company>
</Properties>
</file>

<file path=docProps/core.xml><?xml version="1.0" encoding="utf-8"?>
<cp:coreProperties xmlns:cp="http://schemas.openxmlformats.org/package/2006/metadata/core-properties" xmlns:dc="http://purl.org/dc/elements/1.1/" xmlns:dcterms="http://purl.org/dc/terms/" xmlns:xsi="http://www.w3.org/2001/XMLSchema-instance">
  <dc:creator>王明新TIAD</dc:creator>
  <cp:lastModifiedBy>pc</cp:lastModifiedBy>
  <cp:revision>15</cp:revision>
  <cp:lastPrinted>2023-08-04T01:00:00Z</cp:lastPrinted>
  <dcterms:created xsi:type="dcterms:W3CDTF">2023-08-04T07:55:00Z</dcterms:created>
  <dcterms:modified xsi:type="dcterms:W3CDTF">2025-09-28T06:31:22Z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2052-12.1.0.22529</vt:lpwstr>
  </property>
  <property fmtid="{D5CDD505-2E9C-101B-9397-08002B2CF9AE}" pid="3" name="ICV">
    <vt:lpwstr>13B594DB2C574F69BFB7EA365916D11B_13</vt:lpwstr>
  </property>
  <property fmtid="{D5CDD505-2E9C-101B-9397-08002B2CF9AE}" pid="4" name="KSOTemplateUUID">
    <vt:lpwstr>v1.0_mb_S7ajbG3IpAnL1wSthNCxfw==</vt:lpwstr>
  </property>
  <property fmtid="{D5CDD505-2E9C-101B-9397-08002B2CF9AE}" pid="5" name="KSOTemplateDocerSaveRecord">
    <vt:lpwstr>eyJoZGlkIjoiMGQ0OWQ1ZTg4Nzg0YTExMjhjMTAzZjc5ZDZkNDU2NzUiLCJ1c2VySWQiOiI3MDk0Njk2MjEifQ==</vt:lpwstr>
  </property>
</Properties>
</file>