
<file path=[Content_Types].xml><?xml version="1.0" encoding="utf-8"?>
<Types xmlns="http://schemas.openxmlformats.org/package/2006/content-types">
  <Default ContentType="image/jpeg" Extension="jpeg"/>
  <Default ContentType="image/.jpg" Extension="jpg"/>
  <Default ContentType="application/vnd.openxmlformats-package.relationships+xml" Extension="rels"/>
  <Default ContentType="application/vnd.openxmlformats-officedocument.spreadsheetml.sheet" Extension="xlsx"/>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6.xml"/>
  <Override ContentType="application/vnd.ms-office.chartcolorstyle+xml" PartName="/word/charts/colors1.xml"/>
  <Override ContentType="application/vnd.ms-office.chartcolorstyle+xml" PartName="/word/charts/colors2.xml"/>
  <Override ContentType="application/vnd.ms-office.chartcolorstyle+xml" PartName="/word/charts/colors3.xml"/>
  <Override ContentType="application/vnd.ms-office.chartcolorstyle+xml" PartName="/word/charts/colors4.xml"/>
  <Override ContentType="application/vnd.ms-office.chartcolorstyle+xml" PartName="/word/charts/colors5.xml"/>
  <Override ContentType="application/vnd.ms-office.chartcolorstyle+xml" PartName="/word/charts/colors6.xml"/>
  <Override ContentType="application/vnd.ms-office.chartstyle+xml" PartName="/word/charts/style1.xml"/>
  <Override ContentType="application/vnd.ms-office.chartstyle+xml" PartName="/word/charts/style2.xml"/>
  <Override ContentType="application/vnd.ms-office.chartstyle+xml" PartName="/word/charts/style3.xml"/>
  <Override ContentType="application/vnd.ms-office.chartstyle+xml" PartName="/word/charts/style4.xml"/>
  <Override ContentType="application/vnd.ms-office.chartstyle+xml" PartName="/word/charts/style5.xml"/>
  <Override ContentType="application/vnd.ms-office.chartstyle+xml" PartName="/word/charts/style6.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wordprocessingml.fontTable+xml" PartName="/word/fontTable.xml"/>
  <Override ContentType="application/vnd.openxmlformats-officedocument.wordprocessingml.footer+xml" PartName="/word/footer.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w14 w15 wp14">
  <w:body>
    <!-- Created by docx4j 8.3.14 (Apache licensed) using REFERENCE JAXB in Oracle Java 1.8.0_211 on Linux -->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false" relativeHeight="251659264" behindDoc="true" locked="false" layoutInCell="true" allowOverlap="true">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noChangeAspect="true"/>
            </wp:cNvGraphicFramePr>
            <a:graphic>
              <a:graphicData uri="http://schemas.openxmlformats.org/drawingml/2006/picture">
                <pic:pic>
                  <pic:nvPicPr>
                    <pic:cNvPr id="15" name="图片 15" descr="7b0a202020202266696c746572223a202230220a7d0a"/>
                    <pic:cNvPicPr>
                      <a:picLocks noChangeAspect="true"/>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false" relativeHeight="251660288" behindDoc="false" locked="false" layoutInCell="true" allowOverlap="true">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a:ext uri="{7FBC4E63-A832-4D11-8238-D91031DB1400}">
                      <s:tag xmlns:s="http://www.wps.cn/officeDocument/2013/wpsCustomData" xmlns="http://www.wps.cn/officeDocument/2013/wpsCustomData" xmlns:wpi="http://schemas.microsoft.com/office/word/2010/wordprocessingInk" xmlns:wpsCustomData="http://www.wps.cn/officeDocument/2013/wpsCustomData">
                        <s:item wpsCustomData:name="KSO_DOCER_RESOURCE_TRACE_INFO" wpsCustomData:val="{&quot;id&quot;:&quot;&quot;,&quot;origin&quot;:0,&quot;type&quot;:&quot;wordart&quot;,&quot;user&quot;:&quot;292216292&quot;}"/>
                      </s:tag>
                    </a:ext>
                  </a:extLst>
                </wp:cNvGraphicFramePr>
                <a:graphic>
                  <a:graphicData uri="http://schemas.microsoft.com/office/word/2010/wordprocessingShape">
                    <wps:wsp>
                      <wps:cNvSpPr txBox="true"/>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true"/>
                    </wps:wsp>
                  </a:graphicData>
                </a:graphic>
              </wp:anchor>
            </w:drawing>
          </mc:Choice>
          <mc:Fallback>
            <w:pict>
              <v:shape o:gfxdata="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" type="#_x0000_t202" alt="7b0a2020202022776f7264617274223a20227b5c2269645c223a32353030323136362c5c227469645c223a5c225c227d220a7d0a" coordsize="21600,21600" style="position:absolute;left:0pt;margin-left:-43.05pt;margin-top:19.95pt;height:225.4pt;width:506.4pt;z-index:251660288;mso-width-relative:page;mso-height-relative:page;" id="_x0000_s1026" o:spid="_x0000_s1026" stroked="f" filled="f" o:spt="202.0">
                <v:fill on="f" focussize="0,0"/>
                <v:stroke on="f"/>
                <v:imagedata o:title=""/>
                <o:lock aspectratio="f" v:ext="edit"/>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
        <w:t>预算代码</w:t>
      </w:r>
      <w:r>
        <w:rPr>
          <w:rFonts w:hint="eastAsia" w:ascii="楷体_GB2312" w:hAnsi="楷体_GB2312" w:eastAsia="楷体_GB2312" w:cs="楷体_GB2312"/>
          <w:color w:val="000000"/>
          <w:sz w:val="40"/>
          <w:szCs w:val="40"/>
        </w:rPr>
        <w:t/>
        <w:t>：</w:t>
      </w:r>
      <w:r>
        <w:rPr>
          <w:rFonts w:hint="eastAsia" w:ascii="楷体_GB2312" w:hAnsi="楷体_GB2312" w:eastAsia="楷体_GB2312" w:cs="楷体_GB2312"/>
          <w:color w:val="000000"/>
          <w:sz w:val="40"/>
          <w:szCs w:val="40"/>
          <w:lang w:val="en-US" w:eastAsia="zh-CN"/>
        </w:rPr>
        <w:t/>
        <w:t>314</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
        <w:t>单位名称</w:t>
      </w:r>
      <w:r>
        <w:rPr>
          <w:rFonts w:hint="eastAsia" w:ascii="楷体_GB2312" w:hAnsi="楷体_GB2312" w:eastAsia="楷体_GB2312" w:cs="楷体_GB2312"/>
          <w:color w:val="000000"/>
          <w:sz w:val="40"/>
          <w:szCs w:val="40"/>
        </w:rPr>
        <w:t/>
        <w:t>：行唐县民政局</w:t>
      </w:r>
    </w:p>
    <w:p w14:paraId="2595C946">
      <w:pPr>
        <w:spacing w:line="600" w:lineRule="auto"/>
        <w:jc w:val="both"/>
        <w:rPr>
          <w:rFonts w:hint="eastAsia" w:ascii="楷体_GB2312" w:hAnsi="楷体_GB2312" w:eastAsia="楷体_GB2312" w:cs="楷体_GB2312"/>
          <w:color w:val="000000"/>
          <w:sz w:val="40"/>
          <w:szCs w:val="40"/>
        </w:rPr>
        <w:sectPr>
          <w:footerReference w:type="default" r:id="rId3"/>
          <w:footerReference w:type="default" r:id="rId21"/>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pPr>
        <w:widowControl w:val="true"/>
        <w:spacing w:before="0" w:beforeLines="0" w:beforeAutospacing="false" w:after="0" w:afterLines="0" w:afterAutospacing="false" w:line="360" w:lineRule="auto"/>
        <w:ind/>
        <w:jc w:val="center"/>
        <w:rPr>
          <w:rFonts w:ascii="Times New Roman" w:eastAsia="方正小标宋_GBK"/>
          <w:sz w:val="72"/>
          <w:szCs w:val="72"/>
        </w:rPr>
      </w:pPr>
      <w:r>
        <w:rPr>
          <w:rFonts w:ascii="Times New Roman" w:eastAsia="方正小标宋_GBK"/>
          <w:b w:val="false"/>
          <w:sz w:val="72"/>
          <w:szCs w:val="72"/>
        </w:rPr>
        <w:t>行唐县民政局</w:t>
      </w:r>
    </w:p>
    <w:p>
      <w:pPr>
        <w:widowControl w:val="true"/>
        <w:spacing w:before="0" w:beforeLines="0" w:beforeAutospacing="false" w:after="0" w:afterLines="0" w:afterAutospacing="false" w:line="360" w:lineRule="auto"/>
        <w:ind/>
        <w:jc w:val="center"/>
        <w:rPr>
          <w:rFonts w:ascii="Times New Roman" w:eastAsia="方正小标宋_GBK"/>
          <w:sz w:val="72"/>
          <w:szCs w:val="72"/>
        </w:rPr>
      </w:pPr>
      <w:r>
        <w:rPr>
          <w:rFonts w:ascii="Times New Roman" w:eastAsia="仿宋_GB2312"/>
          <w:b w:val="false"/>
          <w:sz w:val="72"/>
          <w:szCs w:val="72"/>
        </w:rPr>
        <w:t>2024</w:t>
      </w:r>
      <w:r>
        <w:rPr>
          <w:rFonts w:ascii="Times New Roman" w:eastAsia="方正小标宋_GBK"/>
          <w:b w:val="false"/>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pPr>
        <w:widowControl w:val="true"/>
        <w:spacing w:before="0" w:beforeLines="0" w:beforeAutospacing="false" w:after="0" w:afterLines="0" w:afterAutospacing="false" w:line="360" w:lineRule="auto"/>
        <w:ind/>
        <w:jc w:val="center"/>
        <w:rPr>
          <w:rFonts w:ascii="Times New Roman" w:eastAsia="楷体_GB2312"/>
          <w:sz w:val="44"/>
          <w:szCs w:val="44"/>
        </w:rPr>
      </w:pPr>
      <w:r>
        <w:rPr>
          <w:rFonts w:ascii="Times New Roman" w:eastAsia="楷体_GB2312"/>
          <w:b w:val="false"/>
          <w:sz w:val="44"/>
          <w:szCs w:val="44"/>
        </w:rPr>
        <w:t>行唐县民政局</w:t>
      </w:r>
      <w:r>
        <w:rPr>
          <w:rFonts w:ascii="Times New Roman" w:eastAsia="楷体_GB2312"/>
          <w:b w:val="false"/>
          <w:sz w:val="44"/>
          <w:szCs w:val="44"/>
        </w:rPr>
        <w:t>(单位名称，加盖公章）</w:t>
      </w:r>
    </w:p>
    <w:p>
      <w:pPr>
        <w:widowControl w:val="true"/>
        <w:spacing w:before="0" w:beforeLines="0" w:beforeAutospacing="false" w:after="0" w:afterLines="0" w:afterAutospacing="false" w:line="360" w:lineRule="auto"/>
        <w:ind/>
        <w:jc w:val="center"/>
        <w:rPr>
          <w:rFonts w:ascii="Times New Roman" w:eastAsia="楷体_GB2312"/>
          <w:sz w:val="44"/>
          <w:szCs w:val="44"/>
        </w:rPr>
      </w:pPr>
      <w:r>
        <w:rPr>
          <w:rFonts w:ascii="Times New Roman" w:eastAsia="楷体_GB2312"/>
          <w:b w:val="false"/>
          <w:sz w:val="44"/>
          <w:szCs w:val="44"/>
        </w:rPr>
        <w:t>二〇二五年</w:t>
      </w:r>
      <w:r>
        <w:rPr>
          <w:rFonts w:ascii="Times New Roman" w:eastAsia="楷体_GB2312"/>
          <w:b w:val="false"/>
          <w:sz w:val="44"/>
          <w:szCs w:val="44"/>
        </w:rPr>
        <w:t>八</w:t>
      </w:r>
      <w:r>
        <w:rPr>
          <w:rFonts w:ascii="Times New Roman" w:eastAsia="楷体_GB2312"/>
          <w:b w:val="false"/>
          <w:sz w:val="44"/>
          <w:szCs w:val="44"/>
        </w:rPr>
        <w:t>月</w:t>
      </w:r>
    </w:p>
    <w:p w14:paraId="0350B668">
      <w:pPr>
        <w:snapToGrid w:val="false"/>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false"/>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w:type="default" r:id="rId21"/>
          <w:pgSz w:w="11906" w:h="16838"/>
          <w:pgMar w:top="1531" w:right="1984" w:bottom="1531" w:left="2098" w:header="851" w:footer="992" w:gutter="0"/>
          <w:pgBorders>
            <w:top w:val="none" w:sz="0" w:space="0"/>
            <w:left w:val="none" w:sz="0" w:space="0"/>
            <w:bottom w:val="none" w:sz="0" w:space="0"/>
            <w:right w:val="none" w:sz="0" w:space="0"/>
          </w:pgBorders>
          <w:pgNumType/>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第一部分 </w:t>
      </w:r>
      <w:r>
        <w:rPr>
          <w:rFonts w:ascii="Times New Roman" w:eastAsia="黑体"/>
          <w:b w:val="false"/>
          <w:sz w:val="32"/>
          <w:szCs w:val="32"/>
        </w:rPr>
        <w:t>部门</w:t>
      </w:r>
      <w:r>
        <w:rPr>
          <w:rFonts w:ascii="Times New Roman" w:eastAsia="黑体"/>
          <w:b w:val="false"/>
          <w:sz w:val="32"/>
          <w:szCs w:val="32"/>
        </w:rPr>
        <w:t>概况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w:t>
      </w:r>
      <w:r>
        <w:rPr>
          <w:rFonts w:ascii="Times New Roman" w:eastAsia="仿宋_GB2312"/>
          <w:b w:val="false"/>
          <w:sz w:val="32"/>
          <w:szCs w:val="32"/>
        </w:rPr>
        <w:t>部门</w:t>
      </w:r>
      <w:r>
        <w:rPr>
          <w:rFonts w:ascii="Times New Roman" w:eastAsia="仿宋_GB2312"/>
          <w:b w:val="false"/>
          <w:sz w:val="32"/>
          <w:szCs w:val="32"/>
        </w:rPr>
        <w:t>职责</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二、机构设置</w:t>
      </w:r>
    </w:p>
    <w:p>
      <w:pPr>
        <w:widowControl w:val="true"/>
        <w:spacing w:before="0" w:beforeLines="0" w:beforeAutospacing="false" w:after="0" w:afterLines="0" w:afterAutospacing="false" w:line="360" w:lineRule="auto"/>
        <w:ind/>
        <w:jc w:val="left"/>
        <w:outlineLvl w:val="0"/>
        <w:rPr>
          <w:rFonts w:ascii="Times New Roman" w:eastAsia="黑体"/>
          <w:sz w:val="32"/>
          <w:szCs w:val="32"/>
        </w:rPr>
      </w:pPr>
      <w:r>
        <w:rPr>
          <w:rFonts w:ascii="Times New Roman" w:eastAsia="黑体"/>
          <w:b w:val="false"/>
          <w:sz w:val="32"/>
          <w:szCs w:val="32"/>
        </w:rPr>
        <w:t>第二部分 2024年度部门决算报表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一、收入支出决算总表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二、收入决算表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三、支出决算表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四、财政拨款收入支出决算总表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五、一般公共预算财政拨款支出决算表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六、一般公共预算财政拨款基本支出决算明细表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七、政府性基金预算财政拨款收入支出决算表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八、国有资本经营预算财政拨款支出决算表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九、财政拨款“三公”经费支出决算表</w:t>
      </w: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第三部分 2024年度部门决算情况说明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二、收入决算情况说明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三、支出决算情况说明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四、财政拨款收入支出决算总体情况说明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五、财政拨款“三公”经费支出决算情况说明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六、机关运行经费支出说明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七、政府采购支出说明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八、国有资产占用情况说明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九、关于</w:t>
      </w:r>
      <w:r>
        <w:rPr>
          <w:rFonts w:ascii="Times New Roman" w:eastAsia="仿宋_GB2312"/>
          <w:b w:val="false"/>
          <w:sz w:val="32"/>
          <w:szCs w:val="32"/>
        </w:rPr>
        <w:t>2024</w:t>
      </w:r>
      <w:r>
        <w:rPr>
          <w:rFonts w:ascii="Times New Roman" w:eastAsia="仿宋_GB2312"/>
          <w:b w:val="false"/>
          <w:sz w:val="32"/>
          <w:szCs w:val="32"/>
        </w:rPr>
        <w:t>年度绩效评价情况的说明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十、其他需要说明的情况</w:t>
      </w: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w:type="first" r:id="rId5"/>
          <w:footerReference w:type="first" r:id="rId7"/>
          <w:headerReference w:type="default" r:id="rId4"/>
          <w:footerReference w:type="default" r:id="rId6"/>
          <w:footerReference w:type="default" r:id="rId21"/>
          <w:pgSz w:w="11906" w:h="16838"/>
          <w:pgMar w:top="1474" w:right="1531" w:bottom="1474" w:left="1531" w:header="851" w:footer="992" w:gutter="0"/>
          <w:pgBorders>
            <w:top w:val="none" w:sz="0" w:space="0"/>
            <w:left w:val="none" w:sz="0" w:space="0"/>
            <w:bottom w:val="none" w:sz="0" w:space="0"/>
            <w:right w:val="none" w:sz="0" w:space="0"/>
          </w:pgBorders>
          <w:pgNumType/>
          <w:cols w:space="0" w:num="1"/>
          <w:titlePg/>
          <w:docGrid w:type="lines" w:linePitch="312" w:charSpace="0"/>
        </w:sect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第一部分 </w:t>
      </w:r>
      <w:r>
        <w:rPr>
          <w:rFonts w:ascii="Times New Roman" w:eastAsia="黑体"/>
          <w:b w:val="false"/>
          <w:sz w:val="44"/>
          <w:szCs w:val="44"/>
        </w:rPr>
        <w:t>部门</w:t>
      </w:r>
      <w:r>
        <w:rPr>
          <w:rFonts w:ascii="Times New Roman" w:eastAsia="黑体"/>
          <w:b w:val="false"/>
          <w:sz w:val="44"/>
          <w:szCs w:val="44"/>
        </w:rPr>
        <w:t>概况</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一、</w:t>
      </w:r>
      <w:r>
        <w:rPr>
          <w:rFonts w:ascii="Times New Roman" w:eastAsia="黑体"/>
          <w:b w:val="false"/>
          <w:sz w:val="32"/>
          <w:szCs w:val="32"/>
        </w:rPr>
        <w:t>部门</w:t>
      </w:r>
      <w:r>
        <w:rPr>
          <w:rFonts w:ascii="Times New Roman" w:eastAsia="黑体"/>
          <w:b w:val="false"/>
          <w:sz w:val="32"/>
          <w:szCs w:val="32"/>
        </w:rPr>
        <w:t>职责</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二、机构设置</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从决算编报单位构成看，纳入</w:t>
      </w:r>
      <w:r>
        <w:rPr>
          <w:rFonts w:ascii="Times New Roman" w:eastAsia="仿宋_GB2312"/>
          <w:b w:val="false"/>
          <w:sz w:val="32"/>
          <w:szCs w:val="32"/>
        </w:rPr>
        <w:t>2024</w:t>
      </w:r>
      <w:r>
        <w:rPr>
          <w:rFonts w:ascii="Times New Roman" w:eastAsia="仿宋_GB2312"/>
          <w:b w:val="false"/>
          <w:sz w:val="32"/>
          <w:szCs w:val="32"/>
        </w:rPr>
        <w:t>年度本部门决算汇编范围的独立核算单位（以下简称“单位”）共 </w:t>
      </w:r>
      <w:r>
        <w:rPr>
          <w:rFonts w:ascii="Times New Roman" w:eastAsia="仿宋_GB2312"/>
          <w:b w:val="false"/>
          <w:sz w:val="32"/>
          <w:szCs w:val="32"/>
        </w:rPr>
        <w:t/>
      </w:r>
      <w:r>
        <w:rPr>
          <w:rFonts w:ascii="Times New Roman" w:eastAsia="仿宋_GB2312"/>
          <w:b w:val="false"/>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行唐县民政局(本级)</w:t>
            </w:r>
          </w:p>
        </w:tc>
        <w:tc>
          <w:tcPr>
            <w:tcW w:w="2445" w:type="dxa"/>
          </w:tcPr>
          <w:p w14:paraId="2E443189">
            <w:pPr>
              <w:spacing w:line="560" w:lineRule="exact"/>
              <w:jc w:val="center"/>
              <w:rPr>
                <w:rFonts w:ascii="仿宋_GB2312" w:hAnsi="Calibri" w:eastAsia="仿宋_GB2312" w:cs="ArialUnicodeMS"/>
                <w:kern w:val="0"/>
                <w:sz w:val="28"/>
                <w:szCs w:val="28"/>
              </w:rPr>
            </w:pP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第二部分 </w:t>
      </w:r>
      <w:r>
        <w:rPr>
          <w:rFonts w:ascii="Times New Roman" w:eastAsia="仿宋_GB2312"/>
          <w:b w:val="false"/>
          <w:sz w:val="44"/>
          <w:szCs w:val="44"/>
        </w:rPr>
        <w:t>2024</w:t>
      </w:r>
      <w:r>
        <w:rPr>
          <w:rFonts w:ascii="Times New Roman" w:eastAsia="黑体"/>
          <w:b w:val="false"/>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公开</w:t>
            </w:r>
            <w:r>
              <w:rPr>
                <w:rFonts w:hint="eastAsia" w:ascii="Times New Roman" w:hAnsi="Times New Roman" w:eastAsia="宋体" w:cs="Times New Roman"/>
                <w:i w:val="false"/>
                <w:iCs w:val="false"/>
                <w:color w:val="000000"/>
                <w:sz w:val="20"/>
                <w:szCs w:val="20"/>
                <w:highlight w:val="none"/>
                <w:u w:val="none"/>
                <w:lang w:val="en-US" w:eastAsia="zh-CN"/>
              </w:rPr>
              <w:t/>
              <w:t>01</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部门（单位）：行唐县民政局</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false"/>
                <w:iCs w:val="false"/>
                <w:color w:val="000000"/>
                <w:kern w:val="0"/>
                <w:sz w:val="20"/>
                <w:szCs w:val="20"/>
                <w:highlight w:val="none"/>
                <w:u w:val="none"/>
                <w:lang w:val="en-US" w:eastAsia="zh-CN" w:bidi="ar"/>
              </w:rPr>
            </w:pPr>
            <w:r>
              <w:rPr>
                <w:rFonts w:hint="eastAsia" w:ascii="Times New Roman" w:hAnsi="Times New Roman" w:eastAsia="宋体" w:cs="Times New Roman"/>
                <w:i w:val="false"/>
                <w:iCs w:val="false"/>
                <w:color w:val="000000"/>
                <w:sz w:val="20"/>
                <w:szCs w:val="20"/>
                <w:highlight w:val="none"/>
                <w:u w:val="none"/>
                <w:lang w:val="en-US" w:eastAsia="zh-CN"/>
              </w:rPr>
              <w:t/>
              <w:t>2024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739721C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826" w:type="pct"/>
            <w:gridSpan w:val="2"/>
            <w:tcBorders>
              <w:top w:val="nil"/>
              <w:left w:val="nil"/>
              <w:bottom w:val="single" w:color="000000" w:sz="4" w:space="0"/>
              <w:right w:val="single" w:color="000000" w:sz="4" w:space="0"/>
            </w:tcBorders>
            <w:noWrap/>
            <w:vAlign w:val="center"/>
          </w:tcPr>
          <w:p w14:paraId="5A45BDE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0AB02734">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826" w:type="pct"/>
            <w:tcBorders>
              <w:top w:val="nil"/>
              <w:left w:val="nil"/>
              <w:bottom w:val="single" w:color="000000" w:sz="4" w:space="0"/>
              <w:right w:val="single" w:color="000000" w:sz="4" w:space="0"/>
            </w:tcBorders>
            <w:noWrap/>
            <w:vAlign w:val="center"/>
          </w:tcPr>
          <w:p w14:paraId="3D4173C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false"/>
                <w:iCs w:val="false"/>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Times New Roman" w:hAnsi="Times New Roman" w:eastAsia="宋体" w:cs="Times New Roman"/>
                <w:i w:val="false"/>
                <w:iCs w:val="false"/>
                <w:color w:val="000000"/>
                <w:sz w:val="20"/>
                <w:szCs w:val="20"/>
                <w:highlight w:val="none"/>
                <w:u w:val="none"/>
                <w:lang w:val="en-US" w:eastAsia="zh-CN"/>
              </w:rPr>
              <w:t/>
              <w:t>1</w:t>
            </w:r>
          </w:p>
        </w:tc>
        <w:tc>
          <w:tcPr>
            <w:tcW w:w="1361" w:type="pct"/>
            <w:gridSpan w:val="2"/>
            <w:tcBorders>
              <w:top w:val="nil"/>
              <w:left w:val="nil"/>
              <w:bottom w:val="single" w:color="000000" w:sz="4" w:space="0"/>
              <w:right w:val="single" w:color="000000" w:sz="4" w:space="0"/>
            </w:tcBorders>
            <w:noWrap/>
            <w:vAlign w:val="center"/>
          </w:tcPr>
          <w:p w14:paraId="4F12A300">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false"/>
                <w:iCs w:val="false"/>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Times New Roman" w:hAnsi="Times New Roman" w:eastAsia="宋体" w:cs="Times New Roman"/>
                <w:i w:val="false"/>
                <w:iCs w:val="false"/>
                <w:color w:val="000000"/>
                <w:sz w:val="20"/>
                <w:szCs w:val="20"/>
                <w:highlight w:val="none"/>
                <w:u w:val="none"/>
                <w:lang w:val="en-US" w:eastAsia="zh-CN"/>
              </w:rPr>
              <w:t/>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宋体" w:hAnsi="宋体" w:eastAsia="宋体" w:cs="宋体"/>
                <w:i w:val="false"/>
                <w:iCs w:val="false"/>
                <w:color w:val="000000"/>
                <w:sz w:val="20"/>
                <w:szCs w:val="20"/>
                <w:highlight w:val="none"/>
                <w:u w:val="none"/>
                <w:lang w:val="en-US" w:eastAsia="zh-CN"/>
              </w:rPr>
              <w:t/>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8,868.34</w:t>
            </w:r>
          </w:p>
        </w:tc>
        <w:tc>
          <w:tcPr>
            <w:tcW w:w="1361" w:type="pct"/>
            <w:gridSpan w:val="2"/>
            <w:tcBorders>
              <w:top w:val="nil"/>
              <w:left w:val="nil"/>
              <w:bottom w:val="single" w:color="000000" w:sz="4" w:space="0"/>
              <w:right w:val="single" w:color="000000" w:sz="4" w:space="0"/>
            </w:tcBorders>
            <w:noWrap/>
            <w:vAlign w:val="center"/>
          </w:tcPr>
          <w:p w14:paraId="6042D26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1361" w:type="pct"/>
            <w:gridSpan w:val="2"/>
            <w:tcBorders>
              <w:top w:val="nil"/>
              <w:left w:val="nil"/>
              <w:bottom w:val="single" w:color="000000" w:sz="4" w:space="0"/>
              <w:right w:val="single" w:color="000000" w:sz="4" w:space="0"/>
            </w:tcBorders>
            <w:noWrap/>
            <w:vAlign w:val="center"/>
          </w:tcPr>
          <w:p w14:paraId="3A8769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二、外交支出</w:t>
            </w:r>
          </w:p>
        </w:tc>
        <w:tc>
          <w:tcPr>
            <w:tcW w:w="267" w:type="pct"/>
            <w:tcBorders>
              <w:top w:val="nil"/>
              <w:left w:val="nil"/>
              <w:bottom w:val="single" w:color="000000" w:sz="4" w:space="0"/>
              <w:right w:val="single" w:color="000000" w:sz="4" w:space="0"/>
            </w:tcBorders>
            <w:noWrap/>
            <w:vAlign w:val="center"/>
          </w:tcPr>
          <w:p w14:paraId="3BFF2AE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21BBD0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三、国防支出</w:t>
            </w:r>
          </w:p>
        </w:tc>
        <w:tc>
          <w:tcPr>
            <w:tcW w:w="267" w:type="pct"/>
            <w:tcBorders>
              <w:top w:val="nil"/>
              <w:left w:val="nil"/>
              <w:bottom w:val="single" w:color="000000" w:sz="4" w:space="0"/>
              <w:right w:val="single" w:color="000000" w:sz="4" w:space="0"/>
            </w:tcBorders>
            <w:noWrap/>
            <w:vAlign w:val="center"/>
          </w:tcPr>
          <w:p w14:paraId="6EB6714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四、上级补助收入</w:t>
            </w:r>
          </w:p>
        </w:tc>
        <w:tc>
          <w:tcPr>
            <w:tcW w:w="267" w:type="pct"/>
            <w:tcBorders>
              <w:top w:val="nil"/>
              <w:left w:val="nil"/>
              <w:bottom w:val="single" w:color="000000" w:sz="4" w:space="0"/>
              <w:right w:val="single" w:color="000000" w:sz="4" w:space="0"/>
            </w:tcBorders>
            <w:noWrap/>
            <w:vAlign w:val="center"/>
          </w:tcPr>
          <w:p w14:paraId="6EF8423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08B84FE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四、公共安全支出</w:t>
            </w:r>
          </w:p>
        </w:tc>
        <w:tc>
          <w:tcPr>
            <w:tcW w:w="267" w:type="pct"/>
            <w:tcBorders>
              <w:top w:val="nil"/>
              <w:left w:val="nil"/>
              <w:bottom w:val="single" w:color="000000" w:sz="4" w:space="0"/>
              <w:right w:val="single" w:color="000000" w:sz="4" w:space="0"/>
            </w:tcBorders>
            <w:noWrap/>
            <w:vAlign w:val="center"/>
          </w:tcPr>
          <w:p w14:paraId="26C2E34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五、事业收入</w:t>
            </w:r>
          </w:p>
        </w:tc>
        <w:tc>
          <w:tcPr>
            <w:tcW w:w="267" w:type="pct"/>
            <w:tcBorders>
              <w:top w:val="nil"/>
              <w:left w:val="nil"/>
              <w:bottom w:val="single" w:color="000000" w:sz="4" w:space="0"/>
              <w:right w:val="single" w:color="000000" w:sz="4" w:space="0"/>
            </w:tcBorders>
            <w:noWrap/>
            <w:vAlign w:val="center"/>
          </w:tcPr>
          <w:p w14:paraId="47A2EFA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25C3AE7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五、教育支出</w:t>
            </w:r>
          </w:p>
        </w:tc>
        <w:tc>
          <w:tcPr>
            <w:tcW w:w="267" w:type="pct"/>
            <w:tcBorders>
              <w:top w:val="nil"/>
              <w:left w:val="nil"/>
              <w:bottom w:val="single" w:color="000000" w:sz="4" w:space="0"/>
              <w:right w:val="single" w:color="000000" w:sz="4" w:space="0"/>
            </w:tcBorders>
            <w:noWrap/>
            <w:vAlign w:val="center"/>
          </w:tcPr>
          <w:p w14:paraId="07D1CB6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六、经营收入</w:t>
            </w:r>
          </w:p>
        </w:tc>
        <w:tc>
          <w:tcPr>
            <w:tcW w:w="267" w:type="pct"/>
            <w:tcBorders>
              <w:top w:val="nil"/>
              <w:left w:val="nil"/>
              <w:bottom w:val="single" w:color="000000" w:sz="4" w:space="0"/>
              <w:right w:val="single" w:color="000000" w:sz="4" w:space="0"/>
            </w:tcBorders>
            <w:noWrap/>
            <w:vAlign w:val="center"/>
          </w:tcPr>
          <w:p w14:paraId="4471FA2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1FED7F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六、科学技术支出</w:t>
            </w:r>
          </w:p>
        </w:tc>
        <w:tc>
          <w:tcPr>
            <w:tcW w:w="267" w:type="pct"/>
            <w:tcBorders>
              <w:top w:val="nil"/>
              <w:left w:val="nil"/>
              <w:bottom w:val="single" w:color="000000" w:sz="4" w:space="0"/>
              <w:right w:val="single" w:color="000000" w:sz="4" w:space="0"/>
            </w:tcBorders>
            <w:noWrap/>
            <w:vAlign w:val="center"/>
          </w:tcPr>
          <w:p w14:paraId="2653EA1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30295DA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八、其他收入</w:t>
            </w:r>
          </w:p>
        </w:tc>
        <w:tc>
          <w:tcPr>
            <w:tcW w:w="267" w:type="pct"/>
            <w:tcBorders>
              <w:top w:val="nil"/>
              <w:left w:val="nil"/>
              <w:bottom w:val="single" w:color="000000" w:sz="4" w:space="0"/>
              <w:right w:val="single" w:color="000000" w:sz="4" w:space="0"/>
            </w:tcBorders>
            <w:noWrap/>
            <w:vAlign w:val="center"/>
          </w:tcPr>
          <w:p w14:paraId="2626214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9522E0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8,815.46</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九、卫生健康支出</w:t>
            </w:r>
          </w:p>
        </w:tc>
        <w:tc>
          <w:tcPr>
            <w:tcW w:w="267" w:type="pct"/>
            <w:tcBorders>
              <w:top w:val="nil"/>
              <w:left w:val="nil"/>
              <w:bottom w:val="single" w:color="000000" w:sz="4" w:space="0"/>
              <w:right w:val="single" w:color="000000" w:sz="4" w:space="0"/>
            </w:tcBorders>
            <w:noWrap/>
            <w:vAlign w:val="center"/>
          </w:tcPr>
          <w:p w14:paraId="08C11D7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20.93</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十、节能环保支出</w:t>
            </w:r>
          </w:p>
        </w:tc>
        <w:tc>
          <w:tcPr>
            <w:tcW w:w="267" w:type="pct"/>
            <w:tcBorders>
              <w:top w:val="nil"/>
              <w:left w:val="nil"/>
              <w:bottom w:val="single" w:color="000000" w:sz="4" w:space="0"/>
              <w:right w:val="single" w:color="000000" w:sz="4" w:space="0"/>
            </w:tcBorders>
            <w:noWrap/>
            <w:vAlign w:val="center"/>
          </w:tcPr>
          <w:p w14:paraId="35C25BC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十二、农林水支出</w:t>
            </w:r>
          </w:p>
        </w:tc>
        <w:tc>
          <w:tcPr>
            <w:tcW w:w="267" w:type="pct"/>
            <w:tcBorders>
              <w:top w:val="nil"/>
              <w:left w:val="nil"/>
              <w:bottom w:val="single" w:color="000000" w:sz="4" w:space="0"/>
              <w:right w:val="single" w:color="000000" w:sz="4" w:space="0"/>
            </w:tcBorders>
            <w:noWrap/>
            <w:vAlign w:val="center"/>
          </w:tcPr>
          <w:p w14:paraId="4D18D83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31.94</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二十三、其他支出</w:t>
            </w:r>
          </w:p>
        </w:tc>
        <w:tc>
          <w:tcPr>
            <w:tcW w:w="267" w:type="pct"/>
            <w:tcBorders>
              <w:top w:val="nil"/>
              <w:left w:val="nil"/>
              <w:bottom w:val="single" w:color="000000" w:sz="4" w:space="0"/>
              <w:right w:val="single" w:color="000000" w:sz="4" w:space="0"/>
            </w:tcBorders>
            <w:noWrap/>
            <w:vAlign w:val="center"/>
          </w:tcPr>
          <w:p w14:paraId="2191089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本年收入合计</w:t>
            </w:r>
          </w:p>
        </w:tc>
        <w:tc>
          <w:tcPr>
            <w:tcW w:w="267" w:type="pct"/>
            <w:tcBorders>
              <w:top w:val="nil"/>
              <w:left w:val="nil"/>
              <w:bottom w:val="single" w:color="000000" w:sz="4" w:space="0"/>
              <w:right w:val="single" w:color="000000" w:sz="4" w:space="0"/>
            </w:tcBorders>
            <w:noWrap/>
            <w:vAlign w:val="center"/>
          </w:tcPr>
          <w:p w14:paraId="5F7B49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1361" w:type="pct"/>
            <w:gridSpan w:val="2"/>
            <w:tcBorders>
              <w:top w:val="nil"/>
              <w:left w:val="nil"/>
              <w:bottom w:val="single" w:color="000000" w:sz="4" w:space="0"/>
              <w:right w:val="single" w:color="000000" w:sz="4" w:space="0"/>
            </w:tcBorders>
            <w:noWrap/>
            <w:vAlign w:val="center"/>
          </w:tcPr>
          <w:p w14:paraId="2FBF6DDF">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本年支出合计</w:t>
            </w:r>
          </w:p>
        </w:tc>
        <w:tc>
          <w:tcPr>
            <w:tcW w:w="267" w:type="pct"/>
            <w:tcBorders>
              <w:top w:val="nil"/>
              <w:left w:val="nil"/>
              <w:bottom w:val="single" w:color="000000" w:sz="4" w:space="0"/>
              <w:right w:val="single" w:color="000000" w:sz="4" w:space="0"/>
            </w:tcBorders>
            <w:noWrap/>
            <w:vAlign w:val="center"/>
          </w:tcPr>
          <w:p w14:paraId="2AA10C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5A3D6F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结余分配</w:t>
            </w:r>
          </w:p>
        </w:tc>
        <w:tc>
          <w:tcPr>
            <w:tcW w:w="267" w:type="pct"/>
            <w:tcBorders>
              <w:top w:val="nil"/>
              <w:left w:val="nil"/>
              <w:bottom w:val="single" w:color="000000" w:sz="4" w:space="0"/>
              <w:right w:val="single" w:color="000000" w:sz="4" w:space="0"/>
            </w:tcBorders>
            <w:noWrap/>
            <w:vAlign w:val="center"/>
          </w:tcPr>
          <w:p w14:paraId="3A5975D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年初结转和结余</w:t>
            </w:r>
          </w:p>
        </w:tc>
        <w:tc>
          <w:tcPr>
            <w:tcW w:w="267" w:type="pct"/>
            <w:tcBorders>
              <w:top w:val="nil"/>
              <w:left w:val="nil"/>
              <w:bottom w:val="single" w:color="000000" w:sz="4" w:space="0"/>
              <w:right w:val="single" w:color="000000" w:sz="4" w:space="0"/>
            </w:tcBorders>
            <w:noWrap/>
            <w:vAlign w:val="center"/>
          </w:tcPr>
          <w:p w14:paraId="3F69D3D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70533FB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年末结转和结余</w:t>
            </w:r>
          </w:p>
        </w:tc>
        <w:tc>
          <w:tcPr>
            <w:tcW w:w="267" w:type="pct"/>
            <w:tcBorders>
              <w:top w:val="nil"/>
              <w:left w:val="nil"/>
              <w:bottom w:val="single" w:color="000000" w:sz="4" w:space="0"/>
              <w:right w:val="single" w:color="000000" w:sz="4" w:space="0"/>
            </w:tcBorders>
            <w:noWrap/>
            <w:vAlign w:val="center"/>
          </w:tcPr>
          <w:p w14:paraId="484AA5E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false"/>
                <w:iCs w:val="false"/>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70E1E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1361" w:type="pct"/>
            <w:gridSpan w:val="2"/>
            <w:tcBorders>
              <w:top w:val="nil"/>
              <w:left w:val="nil"/>
              <w:bottom w:val="single" w:color="000000" w:sz="4" w:space="0"/>
              <w:right w:val="single" w:color="000000" w:sz="4" w:space="0"/>
            </w:tcBorders>
            <w:noWrap/>
            <w:vAlign w:val="center"/>
          </w:tcPr>
          <w:p w14:paraId="2B01AA3D">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9A5AF1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注：1.本表反映部门本年度的总收支和年末结转结余情况。</w:t>
            </w:r>
          </w:p>
          <w:p w14:paraId="50B55D94">
            <w:pPr>
              <w:keepNext w:val="false"/>
              <w:keepLines w:val="false"/>
              <w:widowControl/>
              <w:suppressLineNumbers w:val="false"/>
              <w:ind w:firstLine="400" w:firstLineChars="200"/>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2.本套报表金额转换时可能存在尾数误差。</w:t>
            </w:r>
          </w:p>
        </w:tc>
      </w:tr>
    </w:tbl>
    <w:p w14:paraId="477D721E">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eastAsia" w:ascii="Times New Roman" w:hAnsi="Times New Roman" w:eastAsia="宋体" w:cs="Times New Roman"/>
                <w:i w:val="false"/>
                <w:iCs w:val="false"/>
                <w:color w:val="000000"/>
                <w:sz w:val="20"/>
                <w:szCs w:val="20"/>
                <w:highlight w:val="none"/>
                <w:u w:val="none"/>
                <w:lang w:val="en-US" w:eastAsia="zh-CN"/>
              </w:rPr>
              <w:t/>
              <w:t>02</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部门（单位）：行唐县民政局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default" w:ascii="Times New Roman" w:hAnsi="Times New Roman" w:eastAsia="方正仿宋_GB2312" w:cs="Times New Roman"/>
                <w:i w:val="false"/>
                <w:iCs w:val="false"/>
                <w:color w:val="000000"/>
                <w:sz w:val="20"/>
                <w:szCs w:val="20"/>
                <w:highlight w:val="none"/>
                <w:u w:val="none"/>
                <w:lang w:val="en-US" w:eastAsia="zh-CN"/>
              </w:rPr>
              <w:t/>
              <w:t>202</w:t>
            </w:r>
            <w:r>
              <w:rPr>
                <w:rFonts w:hint="eastAsia" w:ascii="Times New Roman" w:hAnsi="Times New Roman" w:eastAsia="方正仿宋_GB2312" w:cs="Times New Roman"/>
                <w:i w:val="false"/>
                <w:iCs w:val="false"/>
                <w:color w:val="000000"/>
                <w:sz w:val="20"/>
                <w:szCs w:val="20"/>
                <w:highlight w:val="none"/>
                <w:u w:val="none"/>
                <w:lang w:val="en-US" w:eastAsia="zh-CN"/>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32435B0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本年收入合计</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28FE0E0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财政拨款收入</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519F8CE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上级补助收入</w:t>
            </w:r>
          </w:p>
        </w:tc>
        <w:tc>
          <w:tcPr>
            <w:tcW w:w="964" w:type="dxa"/>
            <w:vMerge w:val="restart"/>
            <w:tcBorders>
              <w:top w:val="single" w:color="auto" w:sz="4" w:space="0"/>
              <w:left w:val="nil"/>
              <w:right w:val="single" w:color="000000" w:sz="4" w:space="0"/>
            </w:tcBorders>
            <w:noWrap w:val="false"/>
            <w:vAlign w:val="center"/>
          </w:tcPr>
          <w:p w14:paraId="7CD2CD69">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事业收入</w:t>
            </w:r>
          </w:p>
        </w:tc>
        <w:tc>
          <w:tcPr>
            <w:tcW w:w="964" w:type="dxa"/>
            <w:gridSpan w:val="2"/>
            <w:vMerge w:val="restart"/>
            <w:tcBorders>
              <w:top w:val="single" w:color="auto" w:sz="4" w:space="0"/>
              <w:left w:val="nil"/>
              <w:bottom w:val="single" w:color="000000" w:sz="4" w:space="0"/>
              <w:right w:val="single" w:color="000000" w:sz="4" w:space="0"/>
            </w:tcBorders>
            <w:noWrap w:val="false"/>
            <w:vAlign w:val="center"/>
          </w:tcPr>
          <w:p w14:paraId="0CF8388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经营收入</w:t>
            </w:r>
          </w:p>
        </w:tc>
        <w:tc>
          <w:tcPr>
            <w:tcW w:w="1027" w:type="dxa"/>
            <w:vMerge w:val="restart"/>
            <w:tcBorders>
              <w:top w:val="single" w:color="auto" w:sz="4" w:space="0"/>
              <w:left w:val="nil"/>
              <w:bottom w:val="single" w:color="000000" w:sz="4" w:space="0"/>
              <w:right w:val="single" w:color="000000" w:sz="4" w:space="0"/>
            </w:tcBorders>
            <w:noWrap w:val="false"/>
            <w:vAlign w:val="center"/>
          </w:tcPr>
          <w:p w14:paraId="2EC5CA7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附属单位上缴收入</w:t>
            </w:r>
          </w:p>
        </w:tc>
        <w:tc>
          <w:tcPr>
            <w:tcW w:w="964" w:type="dxa"/>
            <w:vMerge w:val="restart"/>
            <w:tcBorders>
              <w:top w:val="single" w:color="auto" w:sz="4" w:space="0"/>
              <w:left w:val="nil"/>
              <w:bottom w:val="single" w:color="000000" w:sz="4" w:space="0"/>
              <w:right w:val="single" w:color="000000" w:sz="4" w:space="0"/>
            </w:tcBorders>
            <w:noWrap w:val="false"/>
            <w:vAlign w:val="center"/>
          </w:tcPr>
          <w:p w14:paraId="468DD8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false"/>
            <w:vAlign w:val="center"/>
          </w:tcPr>
          <w:p w14:paraId="311F531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4D40809E">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2F7A2E0A">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3800E84D">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right w:val="single" w:color="000000" w:sz="4" w:space="0"/>
            </w:tcBorders>
            <w:noWrap w:val="false"/>
            <w:vAlign w:val="center"/>
          </w:tcPr>
          <w:p w14:paraId="22E02862">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72C1BCFA">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70EBDB18">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4D5BB202">
            <w:pPr>
              <w:jc w:val="center"/>
              <w:rPr>
                <w:rFonts w:hint="eastAsia" w:ascii="宋体" w:hAnsi="宋体" w:eastAsia="宋体" w:cs="宋体"/>
                <w:i w:val="false"/>
                <w:iCs w:val="false"/>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false"/>
            <w:vAlign w:val="center"/>
          </w:tcPr>
          <w:p w14:paraId="642E5E0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0CB734D3">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4CEF5C4D">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70ECB154">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right w:val="single" w:color="000000" w:sz="4" w:space="0"/>
            </w:tcBorders>
            <w:noWrap w:val="false"/>
            <w:vAlign w:val="center"/>
          </w:tcPr>
          <w:p w14:paraId="21589FB5">
            <w:pPr>
              <w:jc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41299A01">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5E91B644">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3393016C">
            <w:pPr>
              <w:jc w:val="center"/>
              <w:rPr>
                <w:rFonts w:hint="eastAsia" w:ascii="宋体" w:hAnsi="宋体" w:eastAsia="宋体" w:cs="宋体"/>
                <w:i w:val="false"/>
                <w:iCs w:val="false"/>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false"/>
            <w:vAlign w:val="center"/>
          </w:tcPr>
          <w:p w14:paraId="4B02CA71">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583D536F">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6ED49946">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31A316C2">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false"/>
            <w:vAlign w:val="center"/>
          </w:tcPr>
          <w:p w14:paraId="1CD27F39">
            <w:pPr>
              <w:jc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5F10B017">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0626CD8F">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18973235">
            <w:pPr>
              <w:jc w:val="center"/>
              <w:rPr>
                <w:rFonts w:hint="eastAsia" w:ascii="宋体" w:hAnsi="宋体" w:eastAsia="宋体" w:cs="宋体"/>
                <w:i w:val="false"/>
                <w:iCs w:val="false"/>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1037" w:type="dxa"/>
            <w:tcBorders>
              <w:top w:val="nil"/>
              <w:left w:val="nil"/>
              <w:bottom w:val="single" w:color="000000" w:sz="4" w:space="0"/>
              <w:right w:val="single" w:color="000000" w:sz="4" w:space="0"/>
            </w:tcBorders>
            <w:noWrap w:val="false"/>
            <w:vAlign w:val="center"/>
          </w:tcPr>
          <w:p w14:paraId="6419938B">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1</w:t>
            </w:r>
          </w:p>
        </w:tc>
        <w:tc>
          <w:tcPr>
            <w:tcW w:w="1037" w:type="dxa"/>
            <w:tcBorders>
              <w:top w:val="nil"/>
              <w:left w:val="nil"/>
              <w:bottom w:val="single" w:color="000000" w:sz="4" w:space="0"/>
              <w:right w:val="single" w:color="000000" w:sz="4" w:space="0"/>
            </w:tcBorders>
            <w:noWrap w:val="false"/>
            <w:vAlign w:val="center"/>
          </w:tcPr>
          <w:p w14:paraId="2E6504A8">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2</w:t>
            </w:r>
          </w:p>
        </w:tc>
        <w:tc>
          <w:tcPr>
            <w:tcW w:w="1037" w:type="dxa"/>
            <w:tcBorders>
              <w:top w:val="nil"/>
              <w:left w:val="nil"/>
              <w:bottom w:val="single" w:color="000000" w:sz="4" w:space="0"/>
              <w:right w:val="single" w:color="000000" w:sz="4" w:space="0"/>
            </w:tcBorders>
            <w:noWrap w:val="false"/>
            <w:vAlign w:val="center"/>
          </w:tcPr>
          <w:p w14:paraId="13B73DE2">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3</w:t>
            </w:r>
          </w:p>
        </w:tc>
        <w:tc>
          <w:tcPr>
            <w:tcW w:w="964" w:type="dxa"/>
            <w:tcBorders>
              <w:top w:val="nil"/>
              <w:left w:val="nil"/>
              <w:bottom w:val="single" w:color="000000" w:sz="4" w:space="0"/>
              <w:right w:val="single" w:color="000000" w:sz="4" w:space="0"/>
            </w:tcBorders>
            <w:noWrap w:val="false"/>
            <w:vAlign w:val="center"/>
          </w:tcPr>
          <w:p w14:paraId="1AC19557">
            <w:pPr>
              <w:keepNext w:val="false"/>
              <w:keepLines w:val="false"/>
              <w:widowControl/>
              <w:suppressLineNumbers w:val="false"/>
              <w:jc w:val="center"/>
              <w:textAlignment w:val="center"/>
              <w:rPr>
                <w:rFonts w:hint="default"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4</w:t>
            </w:r>
          </w:p>
        </w:tc>
        <w:tc>
          <w:tcPr>
            <w:tcW w:w="964" w:type="dxa"/>
            <w:gridSpan w:val="2"/>
            <w:tcBorders>
              <w:top w:val="nil"/>
              <w:left w:val="nil"/>
              <w:bottom w:val="single" w:color="000000" w:sz="4" w:space="0"/>
              <w:right w:val="single" w:color="000000" w:sz="4" w:space="0"/>
            </w:tcBorders>
            <w:noWrap w:val="false"/>
            <w:vAlign w:val="center"/>
          </w:tcPr>
          <w:p w14:paraId="3ABCFDD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5</w:t>
            </w:r>
          </w:p>
        </w:tc>
        <w:tc>
          <w:tcPr>
            <w:tcW w:w="1027" w:type="dxa"/>
            <w:tcBorders>
              <w:top w:val="nil"/>
              <w:left w:val="nil"/>
              <w:bottom w:val="single" w:color="000000" w:sz="4" w:space="0"/>
              <w:right w:val="single" w:color="000000" w:sz="4" w:space="0"/>
            </w:tcBorders>
            <w:noWrap w:val="false"/>
            <w:vAlign w:val="center"/>
          </w:tcPr>
          <w:p w14:paraId="413571CC">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6</w:t>
            </w:r>
          </w:p>
        </w:tc>
        <w:tc>
          <w:tcPr>
            <w:tcW w:w="964" w:type="dxa"/>
            <w:tcBorders>
              <w:top w:val="nil"/>
              <w:left w:val="nil"/>
              <w:bottom w:val="single" w:color="000000" w:sz="4" w:space="0"/>
              <w:right w:val="single" w:color="000000" w:sz="4" w:space="0"/>
            </w:tcBorders>
            <w:noWrap w:val="false"/>
            <w:vAlign w:val="center"/>
          </w:tcPr>
          <w:p w14:paraId="0CA04C90">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9,223.75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9,223.75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
              <w:t>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
              <w:t>社会保障和就业支出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t>8,815.46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t>8,815.46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662.18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662.18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402.92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402.92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218.77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218.77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其他民政管理事务支出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社会福利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903.43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903.43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儿童福利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老年福利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278.50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278.50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2081006</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养老服务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200.93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200.93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残疾人事业</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999.30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999.30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残疾人生活和护理补贴</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999.30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999.30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最低生活保障</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3,570.92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3,570.92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城市最低生活保障金支出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农村最低生活保障金支出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3,360.92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3,360.92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流浪乞讨人员救助支出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特困人员救助供养</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2,099.00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2,099.00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城市特困人员救助供养支出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农村特困人员救助供养支出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2,062.00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2,062.00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其他生活救助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478.00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478.00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其他农村生活救助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478.00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478.00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彩票公益金安排的支出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用于社会福利的彩票公益金支出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355.41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注：本表反映部门本年度取得的各项收入情况。</w:t>
            </w:r>
          </w:p>
        </w:tc>
      </w:tr>
    </w:tbl>
    <w:p w14:paraId="68CDE5D3">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false"/>
              <w:keepLines w:val="false"/>
              <w:pageBreakBefore w:val="false"/>
              <w:widowControl w:val="false"/>
              <w:kinsoku/>
              <w:wordWrap/>
              <w:overflowPunct/>
              <w:topLinePunct w:val="false"/>
              <w:autoSpaceDE/>
              <w:autoSpaceDN/>
              <w:bidi w:val="false"/>
              <w:adjustRightInd/>
              <w:snapToGrid/>
              <w:spacing w:line="240" w:lineRule="auto"/>
              <w:jc w:val="center"/>
              <w:textAlignment w:val="auto"/>
              <w:outlineLvl w:val="1"/>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br w:type="page"/>
            </w:r>
            <w:r>
              <w:rPr>
                <w:rFonts w:hint="eastAsia" w:ascii="方正仿宋_GB2312" w:hAnsi="方正仿宋_GB2312" w:eastAsia="方正仿宋_GB2312" w:cs="方正仿宋_GB2312"/>
                <w:b w:val="false"/>
                <w:bCs/>
                <w:color w:val="auto"/>
                <w:kern w:val="0"/>
                <w:sz w:val="32"/>
                <w:szCs w:val="32"/>
                <w:highlight w:val="none"/>
                <w:lang w:val="en-US" w:eastAsia="zh-CN"/>
              </w:rPr>
              <w:t/>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宋体" w:cs="Times New Roman"/>
                <w:i w:val="false"/>
                <w:iCs w:val="false"/>
                <w:color w:val="000000"/>
                <w:kern w:val="0"/>
                <w:sz w:val="20"/>
                <w:szCs w:val="20"/>
                <w:highlight w:val="none"/>
                <w:u w:val="none"/>
                <w:lang w:val="en-US" w:eastAsia="zh-CN" w:bidi="ar"/>
              </w:rPr>
              <w:t/>
              <w:t>03</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部门（单位）：行唐县民政局 </w:t>
            </w:r>
            <w:r>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t xml:space="preserve"/>
              <w:t xml:space="preserve">                                                                                                         </w:t>
            </w:r>
          </w:p>
        </w:tc>
        <w:tc>
          <w:tcPr>
            <w:tcW w:w="1403" w:type="pct"/>
            <w:gridSpan w:val="3"/>
            <w:tcBorders>
              <w:top w:val="nil"/>
              <w:left w:val="nil"/>
              <w:bottom w:val="single" w:color="auto" w:sz="4" w:space="0"/>
              <w:right w:val="nil"/>
            </w:tcBorders>
            <w:noWrap/>
            <w:vAlign w:val="bottom"/>
          </w:tcPr>
          <w:p w14:paraId="216B9A48">
            <w:pPr>
              <w:keepNext w:val="false"/>
              <w:keepLines w:val="false"/>
              <w:widowControl/>
              <w:suppressLineNumbers w:val="false"/>
              <w:jc w:val="center"/>
              <w:textAlignment w:val="bottom"/>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eastAsiaTheme="minorEastAsia"/>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734" w:type="pct"/>
            <w:gridSpan w:val="3"/>
            <w:tcBorders>
              <w:top w:val="nil"/>
              <w:left w:val="nil"/>
              <w:bottom w:val="single" w:color="auto" w:sz="4" w:space="0"/>
              <w:right w:val="nil"/>
            </w:tcBorders>
            <w:noWrap/>
            <w:vAlign w:val="bottom"/>
          </w:tcPr>
          <w:p w14:paraId="272F664D">
            <w:pPr>
              <w:keepNext w:val="false"/>
              <w:keepLines w:val="false"/>
              <w:widowControl/>
              <w:suppressLineNumbers w:val="false"/>
              <w:jc w:val="right"/>
              <w:textAlignment w:val="bottom"/>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603" w:type="pct"/>
            <w:vMerge w:val="restart"/>
            <w:tcBorders>
              <w:top w:val="single" w:color="auto" w:sz="4" w:space="0"/>
              <w:left w:val="nil"/>
              <w:bottom w:val="single" w:color="000000" w:sz="4" w:space="0"/>
              <w:right w:val="single" w:color="000000" w:sz="4" w:space="0"/>
            </w:tcBorders>
            <w:noWrap w:val="false"/>
            <w:vAlign w:val="center"/>
          </w:tcPr>
          <w:p w14:paraId="217D4DD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本年支出合计</w:t>
            </w:r>
          </w:p>
        </w:tc>
        <w:tc>
          <w:tcPr>
            <w:tcW w:w="602" w:type="pct"/>
            <w:gridSpan w:val="2"/>
            <w:vMerge w:val="restart"/>
            <w:tcBorders>
              <w:top w:val="single" w:color="auto" w:sz="4" w:space="0"/>
              <w:left w:val="nil"/>
              <w:bottom w:val="single" w:color="000000" w:sz="4" w:space="0"/>
              <w:right w:val="single" w:color="000000" w:sz="4" w:space="0"/>
            </w:tcBorders>
            <w:noWrap w:val="false"/>
            <w:vAlign w:val="center"/>
          </w:tcPr>
          <w:p w14:paraId="28633EC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602" w:type="pct"/>
            <w:vMerge w:val="restart"/>
            <w:tcBorders>
              <w:top w:val="single" w:color="auto" w:sz="4" w:space="0"/>
              <w:left w:val="nil"/>
              <w:bottom w:val="single" w:color="000000" w:sz="4" w:space="0"/>
              <w:right w:val="single" w:color="000000" w:sz="4" w:space="0"/>
            </w:tcBorders>
            <w:noWrap w:val="false"/>
            <w:vAlign w:val="center"/>
          </w:tcPr>
          <w:p w14:paraId="523FC8B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c>
          <w:tcPr>
            <w:tcW w:w="602" w:type="pct"/>
            <w:gridSpan w:val="2"/>
            <w:vMerge w:val="restart"/>
            <w:tcBorders>
              <w:top w:val="single" w:color="auto" w:sz="4" w:space="0"/>
              <w:left w:val="nil"/>
              <w:bottom w:val="single" w:color="000000" w:sz="4" w:space="0"/>
              <w:right w:val="single" w:color="000000" w:sz="4" w:space="0"/>
            </w:tcBorders>
            <w:noWrap w:val="false"/>
            <w:vAlign w:val="center"/>
          </w:tcPr>
          <w:p w14:paraId="42DA50C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上缴上级支出</w:t>
            </w:r>
          </w:p>
        </w:tc>
        <w:tc>
          <w:tcPr>
            <w:tcW w:w="602" w:type="pct"/>
            <w:vMerge w:val="restart"/>
            <w:tcBorders>
              <w:top w:val="single" w:color="auto" w:sz="4" w:space="0"/>
              <w:left w:val="nil"/>
              <w:bottom w:val="single" w:color="000000" w:sz="4" w:space="0"/>
              <w:right w:val="single" w:color="000000" w:sz="4" w:space="0"/>
            </w:tcBorders>
            <w:noWrap w:val="false"/>
            <w:vAlign w:val="center"/>
          </w:tcPr>
          <w:p w14:paraId="1A8C99A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经营支出</w:t>
            </w:r>
          </w:p>
        </w:tc>
        <w:tc>
          <w:tcPr>
            <w:tcW w:w="795" w:type="pct"/>
            <w:vMerge w:val="restart"/>
            <w:tcBorders>
              <w:top w:val="single" w:color="auto" w:sz="4" w:space="0"/>
              <w:left w:val="nil"/>
              <w:bottom w:val="single" w:color="000000" w:sz="4" w:space="0"/>
              <w:right w:val="single" w:color="000000" w:sz="4" w:space="0"/>
            </w:tcBorders>
            <w:noWrap w:val="false"/>
            <w:vAlign w:val="center"/>
          </w:tcPr>
          <w:p w14:paraId="0E312A4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false"/>
            <w:vAlign w:val="center"/>
          </w:tcPr>
          <w:p w14:paraId="75D872E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7E377F0B">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4CF57704">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048D3FFE">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6A153672">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1A7CA1DC">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1E1B3486">
            <w:pPr>
              <w:jc w:val="center"/>
              <w:rPr>
                <w:rFonts w:hint="eastAsia" w:ascii="宋体" w:hAnsi="宋体" w:eastAsia="宋体" w:cs="宋体"/>
                <w:i w:val="false"/>
                <w:iCs w:val="false"/>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false"/>
            <w:vAlign w:val="center"/>
          </w:tcPr>
          <w:p w14:paraId="6C0E4539">
            <w:pPr>
              <w:jc w:val="center"/>
              <w:rPr>
                <w:rFonts w:hint="eastAsia" w:ascii="宋体" w:hAnsi="宋体" w:eastAsia="宋体" w:cs="宋体"/>
                <w:i w:val="false"/>
                <w:iCs w:val="false"/>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false"/>
                <w:iCs w:val="false"/>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3AD03000">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5B1E0842">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17865F90">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54493D37">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5DB3CC06">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28210C31">
            <w:pPr>
              <w:jc w:val="center"/>
              <w:rPr>
                <w:rFonts w:hint="eastAsia" w:ascii="宋体" w:hAnsi="宋体" w:eastAsia="宋体" w:cs="宋体"/>
                <w:i w:val="false"/>
                <w:iCs w:val="false"/>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false"/>
            <w:vAlign w:val="center"/>
          </w:tcPr>
          <w:p w14:paraId="00B67C9D">
            <w:pPr>
              <w:jc w:val="center"/>
              <w:rPr>
                <w:rFonts w:hint="eastAsia" w:ascii="宋体" w:hAnsi="宋体" w:eastAsia="宋体" w:cs="宋体"/>
                <w:i w:val="false"/>
                <w:iCs w:val="false"/>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false"/>
                <w:iCs w:val="false"/>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1CB0F352">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2C964F70">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6CD4E6CE">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190026C4">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2D591BDF">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2B174657">
            <w:pPr>
              <w:jc w:val="center"/>
              <w:rPr>
                <w:rFonts w:hint="eastAsia" w:ascii="宋体" w:hAnsi="宋体" w:eastAsia="宋体" w:cs="宋体"/>
                <w:i w:val="false"/>
                <w:iCs w:val="false"/>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603" w:type="pct"/>
            <w:tcBorders>
              <w:top w:val="nil"/>
              <w:left w:val="nil"/>
              <w:bottom w:val="single" w:color="000000" w:sz="4" w:space="0"/>
              <w:right w:val="single" w:color="000000" w:sz="4" w:space="0"/>
            </w:tcBorders>
            <w:noWrap w:val="false"/>
            <w:vAlign w:val="center"/>
          </w:tcPr>
          <w:p w14:paraId="35C3AC1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w:t>
            </w:r>
          </w:p>
        </w:tc>
        <w:tc>
          <w:tcPr>
            <w:tcW w:w="602" w:type="pct"/>
            <w:gridSpan w:val="2"/>
            <w:tcBorders>
              <w:top w:val="nil"/>
              <w:left w:val="nil"/>
              <w:bottom w:val="single" w:color="000000" w:sz="4" w:space="0"/>
              <w:right w:val="single" w:color="000000" w:sz="4" w:space="0"/>
            </w:tcBorders>
            <w:noWrap w:val="false"/>
            <w:vAlign w:val="center"/>
          </w:tcPr>
          <w:p w14:paraId="211B6A1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602" w:type="pct"/>
            <w:tcBorders>
              <w:top w:val="nil"/>
              <w:left w:val="nil"/>
              <w:bottom w:val="single" w:color="000000" w:sz="4" w:space="0"/>
              <w:right w:val="single" w:color="000000" w:sz="4" w:space="0"/>
            </w:tcBorders>
            <w:noWrap w:val="false"/>
            <w:vAlign w:val="center"/>
          </w:tcPr>
          <w:p w14:paraId="4F698D0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602" w:type="pct"/>
            <w:gridSpan w:val="2"/>
            <w:tcBorders>
              <w:top w:val="nil"/>
              <w:left w:val="nil"/>
              <w:bottom w:val="single" w:color="000000" w:sz="4" w:space="0"/>
              <w:right w:val="single" w:color="000000" w:sz="4" w:space="0"/>
            </w:tcBorders>
            <w:noWrap w:val="false"/>
            <w:vAlign w:val="center"/>
          </w:tcPr>
          <w:p w14:paraId="7D8E7F9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602" w:type="pct"/>
            <w:tcBorders>
              <w:top w:val="nil"/>
              <w:left w:val="nil"/>
              <w:bottom w:val="single" w:color="000000" w:sz="4" w:space="0"/>
              <w:right w:val="single" w:color="000000" w:sz="4" w:space="0"/>
            </w:tcBorders>
            <w:noWrap w:val="false"/>
            <w:vAlign w:val="center"/>
          </w:tcPr>
          <w:p w14:paraId="598353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795" w:type="pct"/>
            <w:tcBorders>
              <w:top w:val="nil"/>
              <w:left w:val="nil"/>
              <w:bottom w:val="single" w:color="000000" w:sz="4" w:space="0"/>
              <w:right w:val="single" w:color="000000" w:sz="4" w:space="0"/>
            </w:tcBorders>
            <w:noWrap w:val="false"/>
            <w:vAlign w:val="center"/>
          </w:tcPr>
          <w:p w14:paraId="571ECD0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497.84</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8,725.91</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社会保障和就业支出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8,815.46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444.96</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8,370.50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人力资源和社会保障管理事务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2080102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民政管理事务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662.18</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259.27</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218.77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218.77</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基层政权建设和社区治理</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15.50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15.50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2080299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其他民政管理事务支出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社会福利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903.43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903.43</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儿童福利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424.00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424.00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老年福利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278.50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278.50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2081006</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养老服务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200.93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200.93</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残疾人事业</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2081107</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残疾人生活和护理补贴</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最低生活保障</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3,570.92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3,570.92</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城市最低生活保障金支出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农村最低生活保障金支出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3,360.92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3,360.92</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临时救助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临时救助支出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45.00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45.00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流浪乞讨人员救助支出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特困人员救助供养</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2,099.00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2,099.00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城市特困人员救助供养支出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37.00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37.00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农村特困人员救助供养支出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2,062.00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2,062.00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其他生活救助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2082502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其他农村生活救助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2.42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2.42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1.22</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22960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彩票公益金安排的支出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2296002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用于社会福利的彩票公益金支出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355.41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注：本表反映部门本年度各项支出情况。</w:t>
            </w:r>
          </w:p>
        </w:tc>
      </w:tr>
    </w:tbl>
    <w:p w14:paraId="47632FCE">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部门（单位）：行唐县民政局 </w:t>
            </w:r>
            <w:r>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t xml:space="preserve"/>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false"/>
            <w:vAlign w:val="center"/>
          </w:tcPr>
          <w:p w14:paraId="4EF4967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    目</w:t>
            </w:r>
          </w:p>
        </w:tc>
        <w:tc>
          <w:tcPr>
            <w:tcW w:w="266" w:type="pct"/>
            <w:vMerge w:val="restart"/>
            <w:tcBorders>
              <w:top w:val="nil"/>
              <w:left w:val="nil"/>
              <w:bottom w:val="single" w:color="000000" w:sz="4" w:space="0"/>
              <w:right w:val="single" w:color="000000" w:sz="4" w:space="0"/>
            </w:tcBorders>
            <w:noWrap w:val="false"/>
            <w:vAlign w:val="center"/>
          </w:tcPr>
          <w:p w14:paraId="15E334B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609" w:type="pct"/>
            <w:vMerge w:val="restart"/>
            <w:tcBorders>
              <w:top w:val="nil"/>
              <w:left w:val="nil"/>
              <w:bottom w:val="single" w:color="000000" w:sz="4" w:space="0"/>
              <w:right w:val="single" w:color="000000" w:sz="4" w:space="0"/>
            </w:tcBorders>
            <w:noWrap w:val="false"/>
            <w:vAlign w:val="center"/>
          </w:tcPr>
          <w:p w14:paraId="673BC9FB">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金额</w:t>
            </w:r>
          </w:p>
        </w:tc>
        <w:tc>
          <w:tcPr>
            <w:tcW w:w="895" w:type="pct"/>
            <w:gridSpan w:val="2"/>
            <w:vMerge w:val="restart"/>
            <w:tcBorders>
              <w:top w:val="nil"/>
              <w:left w:val="nil"/>
              <w:bottom w:val="single" w:color="000000" w:sz="4" w:space="0"/>
              <w:right w:val="single" w:color="000000" w:sz="4" w:space="0"/>
            </w:tcBorders>
            <w:noWrap w:val="false"/>
            <w:vAlign w:val="center"/>
          </w:tcPr>
          <w:p w14:paraId="04810C8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6" w:type="pct"/>
            <w:vMerge w:val="restart"/>
            <w:tcBorders>
              <w:top w:val="nil"/>
              <w:left w:val="nil"/>
              <w:bottom w:val="single" w:color="000000" w:sz="4" w:space="0"/>
              <w:right w:val="single" w:color="000000" w:sz="4" w:space="0"/>
            </w:tcBorders>
            <w:noWrap w:val="false"/>
            <w:vAlign w:val="center"/>
          </w:tcPr>
          <w:p w14:paraId="5D3FEA5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552" w:type="pct"/>
            <w:gridSpan w:val="2"/>
            <w:vMerge w:val="restart"/>
            <w:tcBorders>
              <w:top w:val="nil"/>
              <w:left w:val="nil"/>
              <w:right w:val="single" w:color="000000" w:sz="4" w:space="0"/>
            </w:tcBorders>
            <w:noWrap/>
            <w:vAlign w:val="center"/>
          </w:tcPr>
          <w:p w14:paraId="1E95BBE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合计</w:t>
            </w:r>
          </w:p>
        </w:tc>
        <w:tc>
          <w:tcPr>
            <w:tcW w:w="520" w:type="pct"/>
            <w:vMerge w:val="restart"/>
            <w:tcBorders>
              <w:top w:val="nil"/>
              <w:left w:val="nil"/>
              <w:right w:val="single" w:color="000000" w:sz="4" w:space="0"/>
            </w:tcBorders>
            <w:noWrap/>
            <w:vAlign w:val="center"/>
          </w:tcPr>
          <w:p w14:paraId="08FA1D0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一般公共预算财政拨款</w:t>
            </w:r>
          </w:p>
        </w:tc>
        <w:tc>
          <w:tcPr>
            <w:tcW w:w="520" w:type="pct"/>
            <w:vMerge w:val="restart"/>
            <w:tcBorders>
              <w:top w:val="nil"/>
              <w:left w:val="nil"/>
              <w:right w:val="single" w:color="000000" w:sz="4" w:space="0"/>
            </w:tcBorders>
            <w:noWrap/>
            <w:vAlign w:val="center"/>
          </w:tcPr>
          <w:p w14:paraId="0D084329">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政府性基金预算财政拨款</w:t>
            </w:r>
          </w:p>
        </w:tc>
        <w:tc>
          <w:tcPr>
            <w:tcW w:w="520" w:type="pct"/>
            <w:vMerge w:val="restart"/>
            <w:tcBorders>
              <w:top w:val="nil"/>
              <w:left w:val="nil"/>
              <w:right w:val="single" w:color="000000" w:sz="4" w:space="0"/>
            </w:tcBorders>
            <w:noWrap/>
            <w:vAlign w:val="center"/>
          </w:tcPr>
          <w:p w14:paraId="59214C4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false"/>
            <w:vAlign w:val="center"/>
          </w:tcPr>
          <w:p w14:paraId="4FDFBC3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false"/>
            <w:vAlign w:val="center"/>
          </w:tcPr>
          <w:p w14:paraId="76C00BD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false"/>
            <w:vAlign w:val="center"/>
          </w:tcPr>
          <w:p w14:paraId="15F79558">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false"/>
            <w:vAlign w:val="center"/>
          </w:tcPr>
          <w:p w14:paraId="37C6BAF2">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false"/>
            <w:vAlign w:val="center"/>
          </w:tcPr>
          <w:p w14:paraId="06CE8889">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false"/>
            <w:vAlign w:val="center"/>
          </w:tcPr>
          <w:p w14:paraId="188A824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76CCBE1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56B8F57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32A6240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false"/>
                <w:iCs w:val="false"/>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1</w:t>
            </w:r>
          </w:p>
        </w:tc>
        <w:tc>
          <w:tcPr>
            <w:tcW w:w="895" w:type="pct"/>
            <w:gridSpan w:val="2"/>
            <w:tcBorders>
              <w:top w:val="nil"/>
              <w:left w:val="nil"/>
              <w:bottom w:val="single" w:color="000000" w:sz="4" w:space="0"/>
              <w:right w:val="single" w:color="000000" w:sz="4" w:space="0"/>
            </w:tcBorders>
            <w:noWrap/>
            <w:vAlign w:val="center"/>
          </w:tcPr>
          <w:p w14:paraId="3589499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false"/>
                <w:iCs w:val="false"/>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2</w:t>
            </w:r>
          </w:p>
        </w:tc>
        <w:tc>
          <w:tcPr>
            <w:tcW w:w="520" w:type="pct"/>
            <w:tcBorders>
              <w:top w:val="nil"/>
              <w:left w:val="nil"/>
              <w:bottom w:val="single" w:color="000000" w:sz="4" w:space="0"/>
              <w:right w:val="single" w:color="000000" w:sz="4" w:space="0"/>
            </w:tcBorders>
            <w:noWrap/>
            <w:vAlign w:val="center"/>
          </w:tcPr>
          <w:p w14:paraId="310FC79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3</w:t>
            </w:r>
          </w:p>
        </w:tc>
        <w:tc>
          <w:tcPr>
            <w:tcW w:w="520" w:type="pct"/>
            <w:tcBorders>
              <w:top w:val="nil"/>
              <w:left w:val="nil"/>
              <w:bottom w:val="single" w:color="000000" w:sz="4" w:space="0"/>
              <w:right w:val="single" w:color="000000" w:sz="4" w:space="0"/>
            </w:tcBorders>
            <w:noWrap/>
            <w:vAlign w:val="center"/>
          </w:tcPr>
          <w:p w14:paraId="5B611E1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4</w:t>
            </w:r>
          </w:p>
        </w:tc>
        <w:tc>
          <w:tcPr>
            <w:tcW w:w="520" w:type="pct"/>
            <w:tcBorders>
              <w:top w:val="nil"/>
              <w:left w:val="nil"/>
              <w:bottom w:val="single" w:color="000000" w:sz="4" w:space="0"/>
              <w:right w:val="single" w:color="000000" w:sz="8" w:space="0"/>
            </w:tcBorders>
            <w:noWrap/>
            <w:vAlign w:val="center"/>
          </w:tcPr>
          <w:p w14:paraId="180BD8AF">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8,868.34</w:t>
            </w:r>
          </w:p>
        </w:tc>
        <w:tc>
          <w:tcPr>
            <w:tcW w:w="895" w:type="pct"/>
            <w:gridSpan w:val="2"/>
            <w:tcBorders>
              <w:top w:val="nil"/>
              <w:left w:val="nil"/>
              <w:bottom w:val="single" w:color="000000" w:sz="4" w:space="0"/>
              <w:right w:val="single" w:color="000000" w:sz="4" w:space="0"/>
            </w:tcBorders>
            <w:noWrap/>
            <w:vAlign w:val="center"/>
          </w:tcPr>
          <w:p w14:paraId="488DC72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895" w:type="pct"/>
            <w:gridSpan w:val="2"/>
            <w:tcBorders>
              <w:top w:val="nil"/>
              <w:left w:val="nil"/>
              <w:bottom w:val="single" w:color="000000" w:sz="4" w:space="0"/>
              <w:right w:val="single" w:color="000000" w:sz="4" w:space="0"/>
            </w:tcBorders>
            <w:noWrap/>
            <w:vAlign w:val="center"/>
          </w:tcPr>
          <w:p w14:paraId="1F5D050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二、外交支出</w:t>
            </w:r>
          </w:p>
        </w:tc>
        <w:tc>
          <w:tcPr>
            <w:tcW w:w="266" w:type="pct"/>
            <w:tcBorders>
              <w:top w:val="nil"/>
              <w:left w:val="nil"/>
              <w:bottom w:val="single" w:color="000000" w:sz="4" w:space="0"/>
              <w:right w:val="single" w:color="000000" w:sz="4" w:space="0"/>
            </w:tcBorders>
            <w:noWrap/>
            <w:vAlign w:val="center"/>
          </w:tcPr>
          <w:p w14:paraId="4189280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3BDBF9A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三、国防支出</w:t>
            </w:r>
          </w:p>
        </w:tc>
        <w:tc>
          <w:tcPr>
            <w:tcW w:w="266" w:type="pct"/>
            <w:tcBorders>
              <w:top w:val="nil"/>
              <w:left w:val="nil"/>
              <w:bottom w:val="single" w:color="000000" w:sz="4" w:space="0"/>
              <w:right w:val="single" w:color="000000" w:sz="4" w:space="0"/>
            </w:tcBorders>
            <w:noWrap/>
            <w:vAlign w:val="center"/>
          </w:tcPr>
          <w:p w14:paraId="35BEBB4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四、公共安全支出</w:t>
            </w:r>
          </w:p>
        </w:tc>
        <w:tc>
          <w:tcPr>
            <w:tcW w:w="266" w:type="pct"/>
            <w:tcBorders>
              <w:top w:val="nil"/>
              <w:left w:val="nil"/>
              <w:bottom w:val="single" w:color="000000" w:sz="4" w:space="0"/>
              <w:right w:val="single" w:color="000000" w:sz="4" w:space="0"/>
            </w:tcBorders>
            <w:noWrap/>
            <w:vAlign w:val="center"/>
          </w:tcPr>
          <w:p w14:paraId="0C31DED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五、教育支出</w:t>
            </w:r>
          </w:p>
        </w:tc>
        <w:tc>
          <w:tcPr>
            <w:tcW w:w="266" w:type="pct"/>
            <w:tcBorders>
              <w:top w:val="nil"/>
              <w:left w:val="nil"/>
              <w:bottom w:val="single" w:color="000000" w:sz="4" w:space="0"/>
              <w:right w:val="single" w:color="000000" w:sz="4" w:space="0"/>
            </w:tcBorders>
            <w:noWrap/>
            <w:vAlign w:val="center"/>
          </w:tcPr>
          <w:p w14:paraId="5119B84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六、科学技术支出</w:t>
            </w:r>
          </w:p>
        </w:tc>
        <w:tc>
          <w:tcPr>
            <w:tcW w:w="266" w:type="pct"/>
            <w:tcBorders>
              <w:top w:val="nil"/>
              <w:left w:val="nil"/>
              <w:bottom w:val="single" w:color="000000" w:sz="4" w:space="0"/>
              <w:right w:val="single" w:color="000000" w:sz="4" w:space="0"/>
            </w:tcBorders>
            <w:noWrap/>
            <w:vAlign w:val="center"/>
          </w:tcPr>
          <w:p w14:paraId="63EF492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8,815.46</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8,815.46</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九、卫生健康支出</w:t>
            </w:r>
          </w:p>
        </w:tc>
        <w:tc>
          <w:tcPr>
            <w:tcW w:w="266" w:type="pct"/>
            <w:tcBorders>
              <w:top w:val="nil"/>
              <w:left w:val="nil"/>
              <w:bottom w:val="single" w:color="000000" w:sz="4" w:space="0"/>
              <w:right w:val="single" w:color="000000" w:sz="4" w:space="0"/>
            </w:tcBorders>
            <w:noWrap/>
            <w:vAlign w:val="center"/>
          </w:tcPr>
          <w:p w14:paraId="78294FC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20.93</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20.93</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十、节能环保支出</w:t>
            </w:r>
          </w:p>
        </w:tc>
        <w:tc>
          <w:tcPr>
            <w:tcW w:w="266" w:type="pct"/>
            <w:tcBorders>
              <w:top w:val="nil"/>
              <w:left w:val="nil"/>
              <w:bottom w:val="single" w:color="000000" w:sz="4" w:space="0"/>
              <w:right w:val="single" w:color="000000" w:sz="4" w:space="0"/>
            </w:tcBorders>
            <w:noWrap/>
            <w:vAlign w:val="center"/>
          </w:tcPr>
          <w:p w14:paraId="2595966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十二、农林水支出</w:t>
            </w:r>
          </w:p>
        </w:tc>
        <w:tc>
          <w:tcPr>
            <w:tcW w:w="266" w:type="pct"/>
            <w:tcBorders>
              <w:top w:val="nil"/>
              <w:left w:val="nil"/>
              <w:bottom w:val="single" w:color="auto" w:sz="4" w:space="0"/>
              <w:right w:val="single" w:color="000000" w:sz="4" w:space="0"/>
            </w:tcBorders>
            <w:noWrap/>
            <w:vAlign w:val="center"/>
          </w:tcPr>
          <w:p w14:paraId="1AFE1CB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31.94</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31.94</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本年收入合计</w:t>
            </w:r>
          </w:p>
        </w:tc>
        <w:tc>
          <w:tcPr>
            <w:tcW w:w="266" w:type="pct"/>
            <w:tcBorders>
              <w:top w:val="nil"/>
              <w:left w:val="nil"/>
              <w:bottom w:val="single" w:color="000000" w:sz="4" w:space="0"/>
              <w:right w:val="single" w:color="000000" w:sz="4" w:space="0"/>
            </w:tcBorders>
            <w:noWrap/>
            <w:vAlign w:val="center"/>
          </w:tcPr>
          <w:p w14:paraId="02A8AD7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895" w:type="pct"/>
            <w:gridSpan w:val="2"/>
            <w:tcBorders>
              <w:top w:val="nil"/>
              <w:left w:val="nil"/>
              <w:bottom w:val="single" w:color="000000" w:sz="4" w:space="0"/>
              <w:right w:val="single" w:color="000000" w:sz="4" w:space="0"/>
            </w:tcBorders>
            <w:noWrap/>
            <w:vAlign w:val="center"/>
          </w:tcPr>
          <w:p w14:paraId="2F9B6400">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本年支出合计</w:t>
            </w:r>
          </w:p>
        </w:tc>
        <w:tc>
          <w:tcPr>
            <w:tcW w:w="266" w:type="pct"/>
            <w:tcBorders>
              <w:top w:val="nil"/>
              <w:left w:val="nil"/>
              <w:bottom w:val="single" w:color="000000" w:sz="4" w:space="0"/>
              <w:right w:val="single" w:color="000000" w:sz="4" w:space="0"/>
            </w:tcBorders>
            <w:noWrap/>
            <w:vAlign w:val="center"/>
          </w:tcPr>
          <w:p w14:paraId="405805B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8,868.34</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38A4DE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false"/>
                <w:iCs w:val="false"/>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false"/>
                <w:iCs w:val="false"/>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false"/>
                <w:iCs w:val="false"/>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796E217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895" w:type="pct"/>
            <w:gridSpan w:val="2"/>
            <w:tcBorders>
              <w:top w:val="nil"/>
              <w:left w:val="nil"/>
              <w:bottom w:val="single" w:color="000000" w:sz="8" w:space="0"/>
              <w:right w:val="single" w:color="000000" w:sz="4" w:space="0"/>
            </w:tcBorders>
            <w:noWrap/>
            <w:vAlign w:val="center"/>
          </w:tcPr>
          <w:p w14:paraId="0E12E033">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606B87B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9,223.75</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
              <w:t>8,868.34</w:t>
            </w:r>
          </w:p>
          <w:p w14:paraId="46956FDA">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355.41</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注：本表反映部门本年度一般公共预算财政拨款、政府性基金预算财政拨款和国有资本经营预算财政拨款的总收支和年末结转结余情况。</w:t>
            </w:r>
          </w:p>
        </w:tc>
      </w:tr>
    </w:tbl>
    <w:p w14:paraId="25F95412">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39"/>
        <w:gridCol w:w="1329"/>
        <w:gridCol w:w="705"/>
        <w:gridCol w:w="1305"/>
        <w:gridCol w:w="1366"/>
        <w:gridCol w:w="645"/>
        <w:gridCol w:w="2108"/>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05</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编制部门（单位）：行唐县民政局</w:t>
            </w:r>
          </w:p>
        </w:tc>
        <w:tc>
          <w:tcPr>
            <w:tcW w:w="1541" w:type="pct"/>
            <w:gridSpan w:val="2"/>
            <w:tcBorders>
              <w:top w:val="nil"/>
              <w:left w:val="nil"/>
              <w:bottom w:val="single" w:color="auto" w:sz="4" w:space="0"/>
              <w:right w:val="nil"/>
            </w:tcBorders>
            <w:noWrap/>
            <w:vAlign w:val="bottom"/>
          </w:tcPr>
          <w:p w14:paraId="6F8D6BB1">
            <w:pPr>
              <w:keepNext w:val="false"/>
              <w:keepLines w:val="false"/>
              <w:widowControl/>
              <w:suppressLineNumbers w:val="false"/>
              <w:jc w:val="center"/>
              <w:textAlignment w:val="bottom"/>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590" w:type="pct"/>
            <w:gridSpan w:val="2"/>
            <w:tcBorders>
              <w:top w:val="nil"/>
              <w:left w:val="nil"/>
              <w:bottom w:val="single" w:color="auto" w:sz="4" w:space="0"/>
              <w:right w:val="nil"/>
            </w:tcBorders>
            <w:noWrap/>
            <w:vAlign w:val="bottom"/>
          </w:tcPr>
          <w:p w14:paraId="63AE8029">
            <w:pPr>
              <w:keepNext w:val="false"/>
              <w:keepLines w:val="false"/>
              <w:widowControl/>
              <w:suppressLineNumbers w:val="false"/>
              <w:jc w:val="right"/>
              <w:textAlignment w:val="bottom"/>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767FD3F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3538" w:type="pct"/>
            <w:gridSpan w:val="5"/>
            <w:tcBorders>
              <w:top w:val="single" w:color="auto" w:sz="4" w:space="0"/>
              <w:left w:val="single" w:color="auto" w:sz="4" w:space="0"/>
              <w:bottom w:val="single" w:color="auto" w:sz="4" w:space="0"/>
              <w:right w:val="single" w:color="auto" w:sz="4" w:space="0"/>
            </w:tcBorders>
            <w:noWrap w:val="false"/>
            <w:vAlign w:val="center"/>
          </w:tcPr>
          <w:p w14:paraId="1E35482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false"/>
            <w:vAlign w:val="center"/>
          </w:tcPr>
          <w:p w14:paraId="303F019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科目代码</w:t>
            </w:r>
          </w:p>
        </w:tc>
        <w:tc>
          <w:tcPr>
            <w:tcW w:w="756" w:type="pct"/>
            <w:vMerge w:val="restart"/>
            <w:tcBorders>
              <w:top w:val="single" w:color="auto" w:sz="4" w:space="0"/>
              <w:left w:val="single" w:color="auto" w:sz="4" w:space="0"/>
              <w:bottom w:val="single" w:color="auto" w:sz="4" w:space="0"/>
              <w:right w:val="single" w:color="auto" w:sz="4" w:space="0"/>
            </w:tcBorders>
            <w:noWrap w:val="false"/>
            <w:vAlign w:val="center"/>
          </w:tcPr>
          <w:p w14:paraId="743EB06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false"/>
            <w:vAlign w:val="center"/>
          </w:tcPr>
          <w:p w14:paraId="6B17A41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false"/>
            <w:vAlign w:val="center"/>
          </w:tcPr>
          <w:p w14:paraId="4755C0C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1218" w:type="pct"/>
            <w:vMerge w:val="restart"/>
            <w:tcBorders>
              <w:top w:val="single" w:color="auto" w:sz="4" w:space="0"/>
              <w:left w:val="single" w:color="auto" w:sz="4" w:space="0"/>
              <w:bottom w:val="single" w:color="auto" w:sz="4" w:space="0"/>
              <w:right w:val="single" w:color="auto" w:sz="4" w:space="0"/>
            </w:tcBorders>
            <w:noWrap w:val="false"/>
            <w:vAlign w:val="center"/>
          </w:tcPr>
          <w:p w14:paraId="35175C3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false"/>
            <w:vAlign w:val="center"/>
          </w:tcPr>
          <w:p w14:paraId="07BBA312">
            <w:pPr>
              <w:jc w:val="center"/>
              <w:rPr>
                <w:rFonts w:hint="eastAsia" w:ascii="宋体" w:hAnsi="宋体" w:eastAsia="宋体" w:cs="宋体"/>
                <w:i w:val="false"/>
                <w:iCs w:val="false"/>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false"/>
            <w:vAlign w:val="center"/>
          </w:tcPr>
          <w:p w14:paraId="24227AC3">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9084284">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39BF0FED">
            <w:pPr>
              <w:jc w:val="center"/>
              <w:rPr>
                <w:rFonts w:hint="eastAsia" w:ascii="宋体" w:hAnsi="宋体" w:eastAsia="宋体" w:cs="宋体"/>
                <w:i w:val="false"/>
                <w:iCs w:val="false"/>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false"/>
            <w:vAlign w:val="center"/>
          </w:tcPr>
          <w:p w14:paraId="517381C9">
            <w:pPr>
              <w:jc w:val="center"/>
              <w:rPr>
                <w:rFonts w:hint="eastAsia" w:ascii="宋体" w:hAnsi="宋体" w:eastAsia="宋体" w:cs="宋体"/>
                <w:i w:val="false"/>
                <w:iCs w:val="false"/>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false"/>
            <w:vAlign w:val="center"/>
          </w:tcPr>
          <w:p w14:paraId="2E32E979">
            <w:pPr>
              <w:jc w:val="center"/>
              <w:rPr>
                <w:rFonts w:hint="eastAsia" w:ascii="宋体" w:hAnsi="宋体" w:eastAsia="宋体" w:cs="宋体"/>
                <w:i w:val="false"/>
                <w:iCs w:val="false"/>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false"/>
            <w:vAlign w:val="center"/>
          </w:tcPr>
          <w:p w14:paraId="1337A1D9">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3715D87">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1512C71">
            <w:pPr>
              <w:jc w:val="center"/>
              <w:rPr>
                <w:rFonts w:hint="eastAsia" w:ascii="宋体" w:hAnsi="宋体" w:eastAsia="宋体" w:cs="宋体"/>
                <w:i w:val="false"/>
                <w:iCs w:val="false"/>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false"/>
            <w:vAlign w:val="center"/>
          </w:tcPr>
          <w:p w14:paraId="0C43699C">
            <w:pPr>
              <w:jc w:val="center"/>
              <w:rPr>
                <w:rFonts w:hint="eastAsia" w:ascii="宋体" w:hAnsi="宋体" w:eastAsia="宋体" w:cs="宋体"/>
                <w:i w:val="false"/>
                <w:iCs w:val="false"/>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3682F96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22A50BE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8,868.34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497.84</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8,370.50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8,815.46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444.96</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8,370.50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人力资源和社会保障管理事务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5.58</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民政管理事务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662.18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259.27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402.92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218.77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基层政权建设和社区治理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2080299</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其他民政管理事务支出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25.00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39.63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社会福利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903.43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903.43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儿童福利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424.00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424.00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老年福利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278.50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278.50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2081006</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养老服务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200.93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200.93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残疾人事业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2081107</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残疾人生活和护理补贴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999.30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最低生活保障</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3,570.92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3,570.92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城市最低生活保障金支出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2081902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农村最低生活保障金支出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3,360.92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3,360.92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临时救助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55.00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临时救助支出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45.00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2082002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流浪乞讨人员救助支出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特困人员救助供养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2,099.00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城市特困人员救助供养支出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37.00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农村特困人员救助供养支出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2,062.00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2,062.00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2082502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其他农村生活救助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478.00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20.93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31.94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注：本表反映部门本年度一般公共预算财政拨款支出情况。</w:t>
            </w:r>
          </w:p>
        </w:tc>
      </w:tr>
    </w:tbl>
    <w:p w14:paraId="7E3D288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24" w:hRule="atLeast"/>
        </w:trPr>
        <w:tc>
          <w:tcPr>
            <w:tcW w:w="5000" w:type="pct"/>
            <w:gridSpan w:val="11"/>
            <w:tcBorders>
              <w:top w:val="nil"/>
              <w:left w:val="nil"/>
              <w:bottom w:val="nil"/>
              <w:right w:val="nil"/>
            </w:tcBorders>
            <w:noWrap/>
            <w:vAlign w:val="bottom"/>
          </w:tcPr>
          <w:p w14:paraId="0E0604A3">
            <w:pPr>
              <w:keepNext w:val="false"/>
              <w:keepLines w:val="false"/>
              <w:widowControl/>
              <w:suppressLineNumbers w:val="false"/>
              <w:jc w:val="center"/>
              <w:textAlignment w:val="bottom"/>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false"/>
              <w:keepLines w:val="false"/>
              <w:widowControl/>
              <w:suppressLineNumbers w:val="false"/>
              <w:jc w:val="right"/>
              <w:textAlignment w:val="bottom"/>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公开</w:t>
            </w: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06</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部门（单位）：行唐县民政局 </w:t>
            </w:r>
            <w:r>
              <w:rPr>
                <w:rFonts w:hint="eastAsia" w:asciiTheme="minorEastAsia" w:hAnsiTheme="minorEastAsia" w:cstheme="minorEastAsia"/>
                <w:i w:val="false"/>
                <w:iCs w:val="false"/>
                <w:color w:val="000000"/>
                <w:kern w:val="0"/>
                <w:sz w:val="18"/>
                <w:szCs w:val="18"/>
                <w:highlight w:val="none"/>
                <w:u w:val="none"/>
                <w:lang w:val="en-US" w:eastAsia="zh-CN" w:bidi="ar"/>
              </w:rPr>
              <w:t xml:space="preserve"/>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false"/>
                <w:iCs w:val="false"/>
                <w:color w:val="000000"/>
                <w:kern w:val="0"/>
                <w:sz w:val="18"/>
                <w:szCs w:val="18"/>
                <w:highlight w:val="none"/>
                <w:u w:val="none"/>
                <w:lang w:val="en-US" w:eastAsia="zh-CN" w:bidi="ar"/>
              </w:rPr>
            </w:pPr>
            <w:r>
              <w:rPr>
                <w:rFonts w:hint="eastAsia" w:asciiTheme="minorEastAsia" w:hAnsiTheme="minorEastAsia" w:cstheme="minorEastAsia"/>
                <w:i w:val="false"/>
                <w:iCs w:val="false"/>
                <w:color w:val="000000"/>
                <w:kern w:val="0"/>
                <w:sz w:val="18"/>
                <w:szCs w:val="18"/>
                <w:highlight w:val="none"/>
                <w:u w:val="none"/>
                <w:lang w:val="en-US" w:eastAsia="zh-CN" w:bidi="ar"/>
              </w:rPr>
              <w:t/>
              <w:t>2024</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false"/>
                <w:iCs w:val="false"/>
                <w:color w:val="000000"/>
                <w:kern w:val="0"/>
                <w:sz w:val="18"/>
                <w:szCs w:val="18"/>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false"/>
            <w:vAlign w:val="center"/>
          </w:tcPr>
          <w:p w14:paraId="1B7004F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false"/>
            <w:vAlign w:val="center"/>
          </w:tcPr>
          <w:p w14:paraId="4727333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eastAsia="zh-CN"/>
              </w:rPr>
            </w:pPr>
            <w:r>
              <w:rPr>
                <w:rFonts w:hint="eastAsia" w:ascii="方正仿宋_GB2312" w:hAnsi="方正仿宋_GB2312" w:eastAsia="方正仿宋_GB2312" w:cs="方正仿宋_GB2312"/>
                <w:i w:val="false"/>
                <w:iCs w:val="false"/>
                <w:color w:val="000000"/>
                <w:sz w:val="18"/>
                <w:szCs w:val="18"/>
                <w:highlight w:val="none"/>
                <w:u w:val="none"/>
                <w:lang w:val="en-US" w:eastAsia="zh-CN"/>
              </w:rPr>
              <w:t/>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false"/>
            <w:vAlign w:val="center"/>
          </w:tcPr>
          <w:p w14:paraId="6FE3229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eastAsia="zh-CN"/>
              </w:rPr>
            </w:pPr>
            <w:r>
              <w:rPr>
                <w:rFonts w:hint="eastAsia" w:ascii="方正仿宋_GB2312" w:hAnsi="方正仿宋_GB2312" w:eastAsia="方正仿宋_GB2312" w:cs="方正仿宋_GB2312"/>
                <w:i w:val="false"/>
                <w:iCs w:val="false"/>
                <w:color w:val="000000"/>
                <w:sz w:val="18"/>
                <w:szCs w:val="18"/>
                <w:highlight w:val="none"/>
                <w:u w:val="none"/>
                <w:lang w:val="en-US" w:eastAsia="zh-CN"/>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428.18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15.76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229.48</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26.91</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31.77</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45.10</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0.95</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39.63</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2.73</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0.56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20.93</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2.42</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0.89</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31.94</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0.80</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53.90</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35.68</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7.89</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10.34</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0.51</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0.71</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1.74</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5.11</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1.19</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
              <w:t>482.08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15.76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false"/>
              <w:keepLines w:val="false"/>
              <w:widowControl/>
              <w:suppressLineNumbers w:val="false"/>
              <w:jc w:val="left"/>
              <w:textAlignment w:val="cente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注：本表反映部门本年度一般公共预算财政拨款基本支出明细情况。</w:t>
            </w:r>
          </w:p>
        </w:tc>
      </w:tr>
    </w:tbl>
    <w:p w14:paraId="6D9C2148">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宋体" w:cs="Times New Roman"/>
                <w:i w:val="false"/>
                <w:iCs w:val="false"/>
                <w:color w:val="000000"/>
                <w:kern w:val="0"/>
                <w:sz w:val="20"/>
                <w:szCs w:val="20"/>
                <w:highlight w:val="none"/>
                <w:u w:val="none"/>
                <w:lang w:val="en-US" w:eastAsia="zh-CN" w:bidi="ar"/>
              </w:rPr>
              <w:t/>
              <w:t>07</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部门（单位）：行唐县民政局 </w:t>
            </w:r>
            <w:r>
              <w:rPr>
                <w:rFonts w:hint="eastAsia" w:ascii="宋体" w:hAnsi="宋体" w:eastAsia="宋体" w:cs="宋体"/>
                <w:i w:val="false"/>
                <w:iCs w:val="false"/>
                <w:color w:val="000000"/>
                <w:kern w:val="0"/>
                <w:sz w:val="20"/>
                <w:szCs w:val="20"/>
                <w:highlight w:val="none"/>
                <w:u w:val="none"/>
                <w:lang w:val="en-US" w:eastAsia="zh-CN" w:bidi="ar"/>
              </w:rPr>
              <w:t xml:space="preserve"/>
              <w:t xml:space="preserve">                                                                                     </w:t>
            </w:r>
          </w:p>
        </w:tc>
        <w:tc>
          <w:tcPr>
            <w:tcW w:w="1217" w:type="pct"/>
            <w:gridSpan w:val="3"/>
            <w:tcBorders>
              <w:top w:val="nil"/>
              <w:left w:val="nil"/>
              <w:bottom w:val="single" w:color="auto" w:sz="4" w:space="0"/>
              <w:right w:val="nil"/>
            </w:tcBorders>
            <w:noWrap/>
            <w:vAlign w:val="bottom"/>
          </w:tcPr>
          <w:p w14:paraId="104C1B53">
            <w:pPr>
              <w:keepNext w:val="false"/>
              <w:keepLines w:val="false"/>
              <w:widowControl/>
              <w:suppressLineNumbers w:val="false"/>
              <w:jc w:val="center"/>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202</w:t>
            </w:r>
            <w:r>
              <w:rPr>
                <w:rFonts w:hint="eastAsia" w:ascii="Times New Roman" w:hAnsi="Times New Roman" w:eastAsia="宋体"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854" w:type="pct"/>
            <w:gridSpan w:val="3"/>
            <w:tcBorders>
              <w:top w:val="nil"/>
              <w:left w:val="nil"/>
              <w:bottom w:val="single" w:color="auto" w:sz="4" w:space="0"/>
              <w:right w:val="nil"/>
            </w:tcBorders>
            <w:noWrap/>
            <w:vAlign w:val="bottom"/>
          </w:tcPr>
          <w:p w14:paraId="14CFDBAD">
            <w:pPr>
              <w:keepNext w:val="false"/>
              <w:keepLines w:val="false"/>
              <w:widowControl/>
              <w:suppressLineNumbers w:val="false"/>
              <w:jc w:val="right"/>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false"/>
            <w:vAlign w:val="center"/>
          </w:tcPr>
          <w:p w14:paraId="0EE461A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623" w:type="pct"/>
            <w:vMerge w:val="restart"/>
            <w:tcBorders>
              <w:top w:val="single" w:color="auto" w:sz="4" w:space="0"/>
              <w:left w:val="nil"/>
              <w:bottom w:val="single" w:color="000000" w:sz="4" w:space="0"/>
              <w:right w:val="single" w:color="000000" w:sz="4" w:space="0"/>
            </w:tcBorders>
            <w:noWrap w:val="false"/>
            <w:vAlign w:val="center"/>
          </w:tcPr>
          <w:p w14:paraId="4F4F1DC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年初结转和结余</w:t>
            </w:r>
          </w:p>
        </w:tc>
        <w:tc>
          <w:tcPr>
            <w:tcW w:w="489" w:type="pct"/>
            <w:vMerge w:val="restart"/>
            <w:tcBorders>
              <w:top w:val="single" w:color="auto" w:sz="4" w:space="0"/>
              <w:left w:val="nil"/>
              <w:bottom w:val="single" w:color="000000" w:sz="4" w:space="0"/>
              <w:right w:val="single" w:color="000000" w:sz="4" w:space="0"/>
            </w:tcBorders>
            <w:noWrap w:val="false"/>
            <w:vAlign w:val="center"/>
          </w:tcPr>
          <w:p w14:paraId="169DCD5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本年收入</w:t>
            </w:r>
          </w:p>
        </w:tc>
        <w:tc>
          <w:tcPr>
            <w:tcW w:w="1609" w:type="pct"/>
            <w:gridSpan w:val="4"/>
            <w:tcBorders>
              <w:top w:val="single" w:color="auto" w:sz="4" w:space="0"/>
              <w:left w:val="nil"/>
              <w:bottom w:val="single" w:color="000000" w:sz="4" w:space="0"/>
              <w:right w:val="single" w:color="000000" w:sz="4" w:space="0"/>
            </w:tcBorders>
            <w:noWrap w:val="false"/>
            <w:vAlign w:val="center"/>
          </w:tcPr>
          <w:p w14:paraId="54F245A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w:t>
            </w:r>
          </w:p>
        </w:tc>
        <w:tc>
          <w:tcPr>
            <w:tcW w:w="973" w:type="pct"/>
            <w:vMerge w:val="restart"/>
            <w:tcBorders>
              <w:top w:val="single" w:color="auto" w:sz="4" w:space="0"/>
              <w:left w:val="nil"/>
              <w:right w:val="single" w:color="000000" w:sz="4" w:space="0"/>
            </w:tcBorders>
            <w:noWrap w:val="false"/>
            <w:vAlign w:val="center"/>
          </w:tcPr>
          <w:p w14:paraId="00EC97E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false"/>
            <w:vAlign w:val="center"/>
          </w:tcPr>
          <w:p w14:paraId="4751344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703" w:type="pct"/>
            <w:vMerge w:val="restart"/>
            <w:tcBorders>
              <w:top w:val="nil"/>
              <w:left w:val="nil"/>
              <w:bottom w:val="single" w:color="000000" w:sz="4" w:space="0"/>
              <w:right w:val="single" w:color="000000" w:sz="4" w:space="0"/>
            </w:tcBorders>
            <w:noWrap w:val="false"/>
            <w:vAlign w:val="center"/>
          </w:tcPr>
          <w:p w14:paraId="689BDC2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50124FB6">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2AE1EDB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false"/>
            <w:vAlign w:val="center"/>
          </w:tcPr>
          <w:p w14:paraId="707614A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小计</w:t>
            </w:r>
          </w:p>
        </w:tc>
        <w:tc>
          <w:tcPr>
            <w:tcW w:w="534" w:type="pct"/>
            <w:gridSpan w:val="2"/>
            <w:vMerge w:val="restart"/>
            <w:tcBorders>
              <w:top w:val="nil"/>
              <w:left w:val="nil"/>
              <w:bottom w:val="single" w:color="000000" w:sz="4" w:space="0"/>
              <w:right w:val="single" w:color="000000" w:sz="4" w:space="0"/>
            </w:tcBorders>
            <w:noWrap w:val="false"/>
            <w:vAlign w:val="center"/>
          </w:tcPr>
          <w:p w14:paraId="27FE875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546" w:type="pct"/>
            <w:vMerge w:val="restart"/>
            <w:tcBorders>
              <w:top w:val="nil"/>
              <w:left w:val="nil"/>
              <w:bottom w:val="single" w:color="000000" w:sz="4" w:space="0"/>
              <w:right w:val="single" w:color="000000" w:sz="4" w:space="0"/>
            </w:tcBorders>
            <w:noWrap w:val="false"/>
            <w:vAlign w:val="center"/>
          </w:tcPr>
          <w:p w14:paraId="62A4246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c>
          <w:tcPr>
            <w:tcW w:w="973" w:type="pct"/>
            <w:vMerge w:val="continue"/>
            <w:tcBorders>
              <w:left w:val="nil"/>
              <w:right w:val="single" w:color="000000" w:sz="4" w:space="0"/>
            </w:tcBorders>
            <w:noWrap w:val="false"/>
            <w:vAlign w:val="center"/>
          </w:tcPr>
          <w:p w14:paraId="08E01B2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p w14:paraId="259B30B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结转</w:t>
            </w:r>
          </w:p>
          <w:p w14:paraId="219C454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false"/>
            <w:vAlign w:val="center"/>
          </w:tcPr>
          <w:p w14:paraId="0FD2D9B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false"/>
            <w:vAlign w:val="center"/>
          </w:tcPr>
          <w:p w14:paraId="22D0721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4F7F6E63">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43B8F48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false"/>
            <w:vAlign w:val="center"/>
          </w:tcPr>
          <w:p w14:paraId="72C23BD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false"/>
            <w:vAlign w:val="center"/>
          </w:tcPr>
          <w:p w14:paraId="5058698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false"/>
            <w:vAlign w:val="center"/>
          </w:tcPr>
          <w:p w14:paraId="1413613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73" w:type="pct"/>
            <w:vMerge w:val="continue"/>
            <w:tcBorders>
              <w:left w:val="nil"/>
              <w:right w:val="single" w:color="000000" w:sz="4" w:space="0"/>
            </w:tcBorders>
            <w:noWrap w:val="false"/>
            <w:vAlign w:val="center"/>
          </w:tcPr>
          <w:p w14:paraId="23E14625">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false"/>
            <w:vAlign w:val="center"/>
          </w:tcPr>
          <w:p w14:paraId="53AC66D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false"/>
            <w:vAlign w:val="center"/>
          </w:tcPr>
          <w:p w14:paraId="04014D4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0C550A15">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561ECE8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false"/>
            <w:vAlign w:val="center"/>
          </w:tcPr>
          <w:p w14:paraId="2398154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false"/>
            <w:vAlign w:val="center"/>
          </w:tcPr>
          <w:p w14:paraId="4209B63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false"/>
            <w:vAlign w:val="center"/>
          </w:tcPr>
          <w:p w14:paraId="19BACD2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false"/>
            <w:vAlign w:val="center"/>
          </w:tcPr>
          <w:p w14:paraId="2085DE76">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false"/>
            <w:vAlign w:val="center"/>
          </w:tcPr>
          <w:p w14:paraId="3A176FE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1</w:t>
            </w:r>
          </w:p>
        </w:tc>
        <w:tc>
          <w:tcPr>
            <w:tcW w:w="489" w:type="pct"/>
            <w:tcBorders>
              <w:top w:val="nil"/>
              <w:left w:val="nil"/>
              <w:bottom w:val="single" w:color="000000" w:sz="4" w:space="0"/>
              <w:right w:val="single" w:color="000000" w:sz="4" w:space="0"/>
            </w:tcBorders>
            <w:noWrap/>
            <w:vAlign w:val="center"/>
          </w:tcPr>
          <w:p w14:paraId="22EE390F">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2</w:t>
            </w:r>
          </w:p>
        </w:tc>
        <w:tc>
          <w:tcPr>
            <w:tcW w:w="528" w:type="pct"/>
            <w:tcBorders>
              <w:top w:val="nil"/>
              <w:left w:val="nil"/>
              <w:bottom w:val="single" w:color="000000" w:sz="4" w:space="0"/>
              <w:right w:val="single" w:color="000000" w:sz="4" w:space="0"/>
            </w:tcBorders>
            <w:noWrap/>
            <w:vAlign w:val="center"/>
          </w:tcPr>
          <w:p w14:paraId="09179A7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3</w:t>
            </w:r>
          </w:p>
        </w:tc>
        <w:tc>
          <w:tcPr>
            <w:tcW w:w="534" w:type="pct"/>
            <w:gridSpan w:val="2"/>
            <w:tcBorders>
              <w:top w:val="nil"/>
              <w:left w:val="nil"/>
              <w:bottom w:val="single" w:color="000000" w:sz="4" w:space="0"/>
              <w:right w:val="single" w:color="000000" w:sz="4" w:space="0"/>
            </w:tcBorders>
            <w:noWrap/>
            <w:vAlign w:val="center"/>
          </w:tcPr>
          <w:p w14:paraId="516DBD8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4</w:t>
            </w:r>
          </w:p>
        </w:tc>
        <w:tc>
          <w:tcPr>
            <w:tcW w:w="546" w:type="pct"/>
            <w:tcBorders>
              <w:top w:val="nil"/>
              <w:left w:val="nil"/>
              <w:bottom w:val="single" w:color="000000" w:sz="4" w:space="0"/>
              <w:right w:val="single" w:color="000000" w:sz="4" w:space="0"/>
            </w:tcBorders>
            <w:noWrap/>
            <w:vAlign w:val="center"/>
          </w:tcPr>
          <w:p w14:paraId="35B4338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5</w:t>
            </w:r>
          </w:p>
        </w:tc>
        <w:tc>
          <w:tcPr>
            <w:tcW w:w="973" w:type="pct"/>
            <w:tcBorders>
              <w:top w:val="nil"/>
              <w:left w:val="nil"/>
              <w:bottom w:val="single" w:color="000000" w:sz="4" w:space="0"/>
              <w:right w:val="single" w:color="000000" w:sz="4" w:space="0"/>
            </w:tcBorders>
            <w:noWrap/>
            <w:vAlign w:val="center"/>
          </w:tcPr>
          <w:p w14:paraId="52B1AE72">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lang w:val="en-US" w:eastAsia="zh-CN"/>
              </w:rPr>
            </w:pPr>
            <w:r>
              <w:rPr>
                <w:rFonts w:hint="default" w:ascii="Times New Roman" w:hAnsi="Times New Roman" w:eastAsia="方正仿宋_GB2312" w:cs="Times New Roman"/>
                <w:i w:val="false"/>
                <w:iCs w:val="false"/>
                <w:color w:val="000000"/>
                <w:sz w:val="20"/>
                <w:szCs w:val="20"/>
                <w:highlight w:val="none"/>
                <w:u w:val="none"/>
                <w:lang w:val="en-US" w:eastAsia="zh-CN"/>
              </w:rPr>
              <w:t/>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false"/>
            <w:vAlign w:val="center"/>
          </w:tcPr>
          <w:p w14:paraId="53B6FC0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355.41</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355.41</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355.41</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229</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其他支出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t>355.41</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t>355.41</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t>355.41</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22960</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彩票公益金安排的支出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2296002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用于社会福利的彩票公益金支出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355.41</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
            </w: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注：本表反映部门本年度政府性基金预算财政拨款收入、支出及结转和结余情况。</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br w:type="page"/>
            </w:r>
          </w:p>
        </w:tc>
      </w:tr>
    </w:tbl>
    <w:p w14:paraId="390B949B">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5"/>
        <w:gridCol w:w="726"/>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6120D892">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tcBorders>
              <w:top w:val="nil"/>
              <w:left w:val="nil"/>
              <w:bottom w:val="nil"/>
              <w:right w:val="nil"/>
            </w:tcBorders>
            <w:noWrap/>
            <w:vAlign w:val="bottom"/>
          </w:tcPr>
          <w:p w14:paraId="70B9454C">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08</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3"/>
            <w:tcBorders>
              <w:top w:val="nil"/>
              <w:left w:val="nil"/>
              <w:bottom w:val="single" w:color="auto" w:sz="4" w:space="0"/>
              <w:right w:val="nil"/>
            </w:tcBorders>
            <w:noWrap/>
            <w:vAlign w:val="bottom"/>
          </w:tcPr>
          <w:p w14:paraId="26CB50F7">
            <w:pPr>
              <w:keepNext w:val="false"/>
              <w:keepLines w:val="false"/>
              <w:widowControl/>
              <w:suppressLineNumbers w:val="false"/>
              <w:jc w:val="both"/>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部门（单位）：行唐县民政局</w:t>
            </w:r>
          </w:p>
        </w:tc>
        <w:tc>
          <w:tcPr>
            <w:tcW w:w="1421" w:type="pct"/>
            <w:gridSpan w:val="4"/>
            <w:tcBorders>
              <w:top w:val="nil"/>
              <w:left w:val="nil"/>
              <w:bottom w:val="single" w:color="auto" w:sz="4" w:space="0"/>
              <w:right w:val="nil"/>
            </w:tcBorders>
            <w:noWrap/>
            <w:vAlign w:val="bottom"/>
          </w:tcPr>
          <w:p w14:paraId="616B6621">
            <w:pPr>
              <w:keepNext w:val="false"/>
              <w:keepLines w:val="false"/>
              <w:widowControl/>
              <w:suppressLineNumbers w:val="false"/>
              <w:jc w:val="center"/>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202</w:t>
            </w:r>
            <w:r>
              <w:rPr>
                <w:rFonts w:hint="eastAsia" w:ascii="Times New Roman" w:hAnsi="Times New Roman" w:eastAsia="宋体"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603" w:type="pct"/>
            <w:gridSpan w:val="3"/>
            <w:tcBorders>
              <w:top w:val="nil"/>
              <w:left w:val="nil"/>
              <w:bottom w:val="single" w:color="auto" w:sz="4" w:space="0"/>
              <w:right w:val="nil"/>
            </w:tcBorders>
            <w:noWrap/>
            <w:vAlign w:val="bottom"/>
          </w:tcPr>
          <w:p w14:paraId="7F819FFC">
            <w:pPr>
              <w:keepNext w:val="false"/>
              <w:keepLines w:val="false"/>
              <w:widowControl/>
              <w:suppressLineNumbers w:val="false"/>
              <w:jc w:val="right"/>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4"/>
            <w:vMerge w:val="restart"/>
            <w:tcBorders>
              <w:top w:val="single" w:color="auto" w:sz="4" w:space="0"/>
              <w:left w:val="single" w:color="auto" w:sz="4" w:space="0"/>
              <w:bottom w:val="single" w:color="auto" w:sz="4" w:space="0"/>
              <w:right w:val="single" w:color="auto" w:sz="4" w:space="0"/>
            </w:tcBorders>
            <w:noWrap w:val="false"/>
            <w:vAlign w:val="center"/>
          </w:tcPr>
          <w:p w14:paraId="5415D844">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项目</w:t>
            </w:r>
          </w:p>
        </w:tc>
        <w:tc>
          <w:tcPr>
            <w:tcW w:w="2337" w:type="pct"/>
            <w:gridSpan w:val="6"/>
            <w:vMerge w:val="restart"/>
            <w:tcBorders>
              <w:top w:val="single" w:color="auto" w:sz="4" w:space="0"/>
              <w:left w:val="single" w:color="auto" w:sz="4" w:space="0"/>
              <w:right w:val="single" w:color="000000" w:sz="4" w:space="0"/>
            </w:tcBorders>
            <w:noWrap w:val="false"/>
            <w:vAlign w:val="center"/>
          </w:tcPr>
          <w:p w14:paraId="2669862F">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4"/>
            <w:vMerge w:val="continue"/>
            <w:tcBorders>
              <w:top w:val="single" w:color="auto" w:sz="4" w:space="0"/>
              <w:left w:val="single" w:color="auto" w:sz="4" w:space="0"/>
              <w:bottom w:val="single" w:color="auto" w:sz="4" w:space="0"/>
              <w:right w:val="single" w:color="auto" w:sz="4" w:space="0"/>
            </w:tcBorders>
            <w:noWrap w:val="false"/>
            <w:vAlign w:val="center"/>
          </w:tcPr>
          <w:p w14:paraId="4640DBB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false"/>
            <w:vAlign w:val="center"/>
          </w:tcPr>
          <w:p w14:paraId="333C85B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false"/>
            <w:vAlign w:val="center"/>
          </w:tcPr>
          <w:p w14:paraId="30AF09EB">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1074" w:type="pct"/>
            <w:gridSpan w:val="3"/>
            <w:vMerge w:val="restart"/>
            <w:tcBorders>
              <w:top w:val="single" w:color="auto" w:sz="4" w:space="0"/>
              <w:left w:val="single" w:color="auto" w:sz="4" w:space="0"/>
              <w:bottom w:val="single" w:color="auto" w:sz="4" w:space="0"/>
              <w:right w:val="single" w:color="auto" w:sz="4" w:space="0"/>
            </w:tcBorders>
            <w:noWrap w:val="false"/>
            <w:vAlign w:val="center"/>
          </w:tcPr>
          <w:p w14:paraId="62D03734">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科目名称</w:t>
            </w:r>
          </w:p>
        </w:tc>
        <w:tc>
          <w:tcPr>
            <w:tcW w:w="709" w:type="pct"/>
            <w:gridSpan w:val="2"/>
            <w:vMerge w:val="restart"/>
            <w:tcBorders>
              <w:top w:val="nil"/>
              <w:left w:val="single" w:color="auto" w:sz="4" w:space="0"/>
              <w:right w:val="single" w:color="000000" w:sz="4" w:space="0"/>
            </w:tcBorders>
            <w:noWrap w:val="false"/>
            <w:vAlign w:val="center"/>
          </w:tcPr>
          <w:p w14:paraId="27C542AE">
            <w:pPr>
              <w:jc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合计</w:t>
            </w:r>
          </w:p>
        </w:tc>
        <w:tc>
          <w:tcPr>
            <w:tcW w:w="709" w:type="pct"/>
            <w:gridSpan w:val="3"/>
            <w:vMerge w:val="restart"/>
            <w:tcBorders>
              <w:top w:val="nil"/>
              <w:left w:val="nil"/>
              <w:right w:val="single" w:color="000000" w:sz="4" w:space="0"/>
            </w:tcBorders>
            <w:noWrap w:val="false"/>
            <w:vAlign w:val="center"/>
          </w:tcPr>
          <w:p w14:paraId="1DFC0105">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基本支出</w:t>
            </w:r>
          </w:p>
        </w:tc>
        <w:tc>
          <w:tcPr>
            <w:tcW w:w="919" w:type="pct"/>
            <w:vMerge w:val="restart"/>
            <w:tcBorders>
              <w:top w:val="nil"/>
              <w:left w:val="nil"/>
              <w:right w:val="single" w:color="000000" w:sz="4" w:space="0"/>
            </w:tcBorders>
            <w:noWrap w:val="false"/>
            <w:vAlign w:val="center"/>
          </w:tcPr>
          <w:p w14:paraId="3F171B63">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false"/>
            <w:vAlign w:val="center"/>
          </w:tcPr>
          <w:p w14:paraId="562E732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74" w:type="pct"/>
            <w:gridSpan w:val="3"/>
            <w:vMerge w:val="continue"/>
            <w:tcBorders>
              <w:top w:val="single" w:color="auto" w:sz="4" w:space="0"/>
              <w:left w:val="nil"/>
              <w:bottom w:val="single" w:color="auto" w:sz="4" w:space="0"/>
              <w:right w:val="single" w:color="auto" w:sz="4" w:space="0"/>
            </w:tcBorders>
            <w:noWrap w:val="false"/>
            <w:vAlign w:val="center"/>
          </w:tcPr>
          <w:p w14:paraId="6B03F0CB">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false"/>
            <w:vAlign w:val="center"/>
          </w:tcPr>
          <w:p w14:paraId="00919C0A">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false"/>
            <w:vAlign w:val="center"/>
          </w:tcPr>
          <w:p w14:paraId="7B4E4AF5">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false"/>
            <w:vAlign w:val="center"/>
          </w:tcPr>
          <w:p w14:paraId="6EFCB925">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4"/>
            <w:tcBorders>
              <w:top w:val="single" w:color="auto" w:sz="4" w:space="0"/>
              <w:left w:val="single" w:color="auto" w:sz="4" w:space="0"/>
              <w:bottom w:val="single" w:color="000000" w:sz="4" w:space="0"/>
              <w:right w:val="single" w:color="auto" w:sz="4" w:space="0"/>
            </w:tcBorders>
            <w:noWrap/>
            <w:vAlign w:val="center"/>
          </w:tcPr>
          <w:p w14:paraId="2C72D919">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1</w:t>
            </w:r>
          </w:p>
        </w:tc>
        <w:tc>
          <w:tcPr>
            <w:tcW w:w="706" w:type="pct"/>
            <w:gridSpan w:val="3"/>
            <w:tcBorders>
              <w:top w:val="nil"/>
              <w:left w:val="nil"/>
              <w:bottom w:val="single" w:color="000000" w:sz="4" w:space="0"/>
              <w:right w:val="single" w:color="000000" w:sz="4" w:space="0"/>
            </w:tcBorders>
            <w:noWrap/>
            <w:vAlign w:val="center"/>
          </w:tcPr>
          <w:p w14:paraId="605ACA55">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2</w:t>
            </w:r>
          </w:p>
        </w:tc>
        <w:tc>
          <w:tcPr>
            <w:tcW w:w="924" w:type="pct"/>
            <w:gridSpan w:val="2"/>
            <w:tcBorders>
              <w:top w:val="nil"/>
              <w:left w:val="nil"/>
              <w:bottom w:val="single" w:color="000000" w:sz="4" w:space="0"/>
              <w:right w:val="single" w:color="000000" w:sz="4" w:space="0"/>
            </w:tcBorders>
            <w:noWrap/>
            <w:vAlign w:val="center"/>
          </w:tcPr>
          <w:p w14:paraId="4F242353">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4"/>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01BC9E67">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注：本表反映部门本年度国有资本经营预算财政拨款支出情况。（如无相关数据，则需注明空表列示）</w:t>
            </w:r>
          </w:p>
        </w:tc>
      </w:tr>
    </w:tbl>
    <w:p w14:paraId="313A4E1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false"/>
              <w:keepLines w:val="false"/>
              <w:widowControl/>
              <w:suppressLineNumbers w:val="false"/>
              <w:jc w:val="center"/>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false"/>
              <w:keepLines w:val="false"/>
              <w:widowControl/>
              <w:suppressLineNumbers w:val="false"/>
              <w:jc w:val="right"/>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公开</w:t>
            </w: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09</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false"/>
              <w:keepLines w:val="false"/>
              <w:widowControl/>
              <w:suppressLineNumbers w:val="false"/>
              <w:jc w:val="left"/>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部门（单位）：行唐县民政局</w:t>
            </w:r>
          </w:p>
        </w:tc>
        <w:tc>
          <w:tcPr>
            <w:tcW w:w="933" w:type="pct"/>
            <w:gridSpan w:val="3"/>
            <w:tcBorders>
              <w:top w:val="nil"/>
              <w:left w:val="nil"/>
              <w:bottom w:val="single" w:color="auto" w:sz="4" w:space="0"/>
              <w:right w:val="nil"/>
            </w:tcBorders>
            <w:noWrap/>
            <w:vAlign w:val="bottom"/>
          </w:tcPr>
          <w:p w14:paraId="701DA5D1">
            <w:pPr>
              <w:keepNext w:val="false"/>
              <w:keepLines w:val="false"/>
              <w:widowControl/>
              <w:suppressLineNumbers w:val="false"/>
              <w:jc w:val="center"/>
              <w:textAlignment w:val="bottom"/>
              <w:rPr>
                <w:rFonts w:hint="default" w:ascii="宋体" w:hAnsi="宋体" w:eastAsia="宋体" w:cs="宋体"/>
                <w:i w:val="false"/>
                <w:iCs w:val="false"/>
                <w:color w:val="000000"/>
                <w:kern w:val="0"/>
                <w:sz w:val="18"/>
                <w:szCs w:val="18"/>
                <w:highlight w:val="none"/>
                <w:u w:val="none"/>
                <w:lang w:val="en-US" w:eastAsia="zh-CN" w:bidi="ar"/>
              </w:rPr>
            </w:pPr>
            <w:r>
              <w:rPr>
                <w:rFonts w:hint="default" w:ascii="Times New Roman" w:hAnsi="Times New Roman" w:eastAsia="宋体" w:cs="Times New Roman"/>
                <w:i w:val="false"/>
                <w:iCs w:val="false"/>
                <w:color w:val="000000"/>
                <w:kern w:val="0"/>
                <w:sz w:val="18"/>
                <w:szCs w:val="18"/>
                <w:highlight w:val="none"/>
                <w:u w:val="none"/>
                <w:lang w:val="en-US" w:eastAsia="zh-CN" w:bidi="ar"/>
              </w:rPr>
              <w:t/>
              <w:t>202</w:t>
            </w:r>
            <w:r>
              <w:rPr>
                <w:rFonts w:hint="eastAsia" w:ascii="Times New Roman" w:hAnsi="Times New Roman" w:eastAsia="宋体" w:cs="Times New Roman"/>
                <w:i w:val="false"/>
                <w:iCs w:val="false"/>
                <w:color w:val="000000"/>
                <w:kern w:val="0"/>
                <w:sz w:val="18"/>
                <w:szCs w:val="18"/>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年度</w:t>
            </w:r>
          </w:p>
        </w:tc>
        <w:tc>
          <w:tcPr>
            <w:tcW w:w="2129" w:type="pct"/>
            <w:gridSpan w:val="6"/>
            <w:tcBorders>
              <w:top w:val="nil"/>
              <w:left w:val="nil"/>
              <w:bottom w:val="single" w:color="auto" w:sz="4" w:space="0"/>
              <w:right w:val="nil"/>
            </w:tcBorders>
            <w:noWrap/>
            <w:vAlign w:val="bottom"/>
          </w:tcPr>
          <w:p w14:paraId="4C27C4B7">
            <w:pPr>
              <w:keepNext w:val="false"/>
              <w:keepLines w:val="false"/>
              <w:widowControl/>
              <w:suppressLineNumbers w:val="false"/>
              <w:jc w:val="right"/>
              <w:textAlignment w:val="bottom"/>
              <w:rPr>
                <w:rFonts w:hint="default" w:ascii="宋体" w:hAnsi="宋体" w:eastAsia="宋体" w:cs="宋体"/>
                <w:i w:val="false"/>
                <w:iCs w:val="false"/>
                <w:color w:val="000000"/>
                <w:kern w:val="0"/>
                <w:sz w:val="18"/>
                <w:szCs w:val="18"/>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小计</w:t>
            </w:r>
          </w:p>
        </w:tc>
        <w:tc>
          <w:tcPr>
            <w:tcW w:w="407" w:type="pct"/>
            <w:tcBorders>
              <w:top w:val="nil"/>
              <w:left w:val="nil"/>
              <w:bottom w:val="single" w:color="000000" w:sz="4" w:space="0"/>
              <w:right w:val="single" w:color="000000" w:sz="4" w:space="0"/>
            </w:tcBorders>
            <w:noWrap/>
            <w:vAlign w:val="center"/>
          </w:tcPr>
          <w:p w14:paraId="1DC6F5F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小计</w:t>
            </w:r>
          </w:p>
        </w:tc>
        <w:tc>
          <w:tcPr>
            <w:tcW w:w="442" w:type="pct"/>
            <w:tcBorders>
              <w:top w:val="nil"/>
              <w:left w:val="nil"/>
              <w:bottom w:val="single" w:color="000000" w:sz="4" w:space="0"/>
              <w:right w:val="single" w:color="000000" w:sz="4" w:space="0"/>
            </w:tcBorders>
            <w:noWrap/>
            <w:vAlign w:val="center"/>
          </w:tcPr>
          <w:p w14:paraId="352B57B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公务用车购置费</w:t>
            </w:r>
          </w:p>
        </w:tc>
        <w:tc>
          <w:tcPr>
            <w:tcW w:w="407" w:type="pct"/>
            <w:tcBorders>
              <w:top w:val="nil"/>
              <w:left w:val="nil"/>
              <w:bottom w:val="single" w:color="000000" w:sz="4" w:space="0"/>
              <w:right w:val="single" w:color="000000" w:sz="4" w:space="0"/>
            </w:tcBorders>
            <w:noWrap/>
            <w:vAlign w:val="center"/>
          </w:tcPr>
          <w:p w14:paraId="725924B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false"/>
                <w:iCs w:val="false"/>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w:t>
            </w:r>
          </w:p>
        </w:tc>
        <w:tc>
          <w:tcPr>
            <w:tcW w:w="528" w:type="pct"/>
            <w:tcBorders>
              <w:top w:val="nil"/>
              <w:left w:val="nil"/>
              <w:bottom w:val="single" w:color="000000" w:sz="4" w:space="0"/>
              <w:right w:val="single" w:color="000000" w:sz="4" w:space="0"/>
            </w:tcBorders>
            <w:noWrap/>
            <w:vAlign w:val="center"/>
          </w:tcPr>
          <w:p w14:paraId="2986BC07">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2</w:t>
            </w:r>
          </w:p>
        </w:tc>
        <w:tc>
          <w:tcPr>
            <w:tcW w:w="350" w:type="pct"/>
            <w:tcBorders>
              <w:top w:val="nil"/>
              <w:left w:val="nil"/>
              <w:bottom w:val="single" w:color="000000" w:sz="4" w:space="0"/>
              <w:right w:val="single" w:color="000000" w:sz="4" w:space="0"/>
            </w:tcBorders>
            <w:noWrap/>
            <w:vAlign w:val="center"/>
          </w:tcPr>
          <w:p w14:paraId="2C2E8200">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3</w:t>
            </w:r>
          </w:p>
        </w:tc>
        <w:tc>
          <w:tcPr>
            <w:tcW w:w="407" w:type="pct"/>
            <w:tcBorders>
              <w:top w:val="nil"/>
              <w:left w:val="nil"/>
              <w:bottom w:val="single" w:color="000000" w:sz="4" w:space="0"/>
              <w:right w:val="single" w:color="000000" w:sz="4" w:space="0"/>
            </w:tcBorders>
            <w:noWrap/>
            <w:vAlign w:val="center"/>
          </w:tcPr>
          <w:p w14:paraId="70BF42D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4</w:t>
            </w:r>
          </w:p>
        </w:tc>
        <w:tc>
          <w:tcPr>
            <w:tcW w:w="458" w:type="pct"/>
            <w:gridSpan w:val="2"/>
            <w:tcBorders>
              <w:top w:val="nil"/>
              <w:left w:val="nil"/>
              <w:bottom w:val="single" w:color="000000" w:sz="4" w:space="0"/>
              <w:right w:val="single" w:color="000000" w:sz="4" w:space="0"/>
            </w:tcBorders>
            <w:noWrap/>
            <w:vAlign w:val="center"/>
          </w:tcPr>
          <w:p w14:paraId="4C03B62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5</w:t>
            </w:r>
          </w:p>
        </w:tc>
        <w:tc>
          <w:tcPr>
            <w:tcW w:w="335" w:type="pct"/>
            <w:tcBorders>
              <w:top w:val="nil"/>
              <w:left w:val="nil"/>
              <w:bottom w:val="single" w:color="000000" w:sz="4" w:space="0"/>
              <w:right w:val="single" w:color="000000" w:sz="4" w:space="0"/>
            </w:tcBorders>
            <w:noWrap/>
            <w:vAlign w:val="center"/>
          </w:tcPr>
          <w:p w14:paraId="47A5FB8A">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6</w:t>
            </w:r>
          </w:p>
        </w:tc>
        <w:tc>
          <w:tcPr>
            <w:tcW w:w="366" w:type="pct"/>
            <w:gridSpan w:val="2"/>
            <w:tcBorders>
              <w:top w:val="nil"/>
              <w:left w:val="nil"/>
              <w:bottom w:val="single" w:color="000000" w:sz="4" w:space="0"/>
              <w:right w:val="single" w:color="000000" w:sz="4" w:space="0"/>
            </w:tcBorders>
            <w:noWrap/>
            <w:vAlign w:val="center"/>
          </w:tcPr>
          <w:p w14:paraId="3A93ED48">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7</w:t>
            </w:r>
          </w:p>
        </w:tc>
        <w:tc>
          <w:tcPr>
            <w:tcW w:w="488" w:type="pct"/>
            <w:tcBorders>
              <w:top w:val="nil"/>
              <w:left w:val="nil"/>
              <w:bottom w:val="single" w:color="000000" w:sz="4" w:space="0"/>
              <w:right w:val="single" w:color="000000" w:sz="4" w:space="0"/>
            </w:tcBorders>
            <w:noWrap/>
            <w:vAlign w:val="center"/>
          </w:tcPr>
          <w:p w14:paraId="53F97F3B">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8</w:t>
            </w:r>
          </w:p>
        </w:tc>
        <w:tc>
          <w:tcPr>
            <w:tcW w:w="275" w:type="pct"/>
            <w:tcBorders>
              <w:top w:val="nil"/>
              <w:left w:val="nil"/>
              <w:bottom w:val="single" w:color="000000" w:sz="4" w:space="0"/>
              <w:right w:val="single" w:color="000000" w:sz="4" w:space="0"/>
            </w:tcBorders>
            <w:noWrap/>
            <w:vAlign w:val="center"/>
          </w:tcPr>
          <w:p w14:paraId="6D82C27A">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9</w:t>
            </w:r>
          </w:p>
        </w:tc>
        <w:tc>
          <w:tcPr>
            <w:tcW w:w="442" w:type="pct"/>
            <w:tcBorders>
              <w:top w:val="nil"/>
              <w:left w:val="nil"/>
              <w:bottom w:val="single" w:color="000000" w:sz="4" w:space="0"/>
              <w:right w:val="single" w:color="000000" w:sz="4" w:space="0"/>
            </w:tcBorders>
            <w:noWrap/>
            <w:vAlign w:val="center"/>
          </w:tcPr>
          <w:p w14:paraId="0C7ACD5F">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10</w:t>
            </w:r>
          </w:p>
        </w:tc>
        <w:tc>
          <w:tcPr>
            <w:tcW w:w="407" w:type="pct"/>
            <w:tcBorders>
              <w:top w:val="nil"/>
              <w:left w:val="nil"/>
              <w:bottom w:val="single" w:color="000000" w:sz="4" w:space="0"/>
              <w:right w:val="single" w:color="000000" w:sz="4" w:space="0"/>
            </w:tcBorders>
            <w:noWrap/>
            <w:vAlign w:val="center"/>
          </w:tcPr>
          <w:p w14:paraId="21B8D2D0">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11</w:t>
            </w:r>
          </w:p>
        </w:tc>
        <w:tc>
          <w:tcPr>
            <w:tcW w:w="511" w:type="pct"/>
            <w:tcBorders>
              <w:top w:val="nil"/>
              <w:left w:val="nil"/>
              <w:bottom w:val="single" w:color="000000" w:sz="4" w:space="0"/>
              <w:right w:val="single" w:color="000000" w:sz="4" w:space="0"/>
            </w:tcBorders>
            <w:noWrap/>
            <w:vAlign w:val="center"/>
          </w:tcPr>
          <w:p w14:paraId="58EBCB0B">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2.88</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2.60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2.60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0.28</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1.74</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1.74</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1.74</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false"/>
              <w:keepLines w:val="false"/>
              <w:widowControl/>
              <w:suppressLineNumbers w:val="false"/>
              <w:jc w:val="left"/>
              <w:textAlignment w:val="center"/>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w:type="default" r:id="rId8"/>
          <w:footerReference w:type="default" r:id="rId21"/>
          <w:pgSz w:w="11906" w:h="16838"/>
          <w:pgMar w:top="1531" w:right="1984" w:bottom="1531" w:left="2098" w:header="851" w:footer="992" w:gutter="0"/>
          <w:pgBorders>
            <w:top w:val="none" w:sz="0" w:space="0"/>
            <w:left w:val="none" w:sz="0" w:space="0"/>
            <w:bottom w:val="none" w:sz="0" w:space="0"/>
            <w:right w:val="none" w:sz="0" w:space="0"/>
          </w:pgBorders>
          <w:pgNumType/>
          <w:cols w:space="720" w:num="1"/>
          <w:docGrid w:type="lines" w:linePitch="312" w:charSpace="0"/>
        </w:sect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第三部分 </w:t>
      </w:r>
      <w:r>
        <w:rPr>
          <w:rFonts w:ascii="Times New Roman" w:eastAsia="仿宋_GB2312"/>
          <w:b w:val="false"/>
          <w:sz w:val="44"/>
          <w:szCs w:val="44"/>
        </w:rPr>
        <w:t>2024</w:t>
      </w:r>
      <w:r>
        <w:rPr>
          <w:rFonts w:ascii="Times New Roman" w:eastAsia="黑体"/>
          <w:b w:val="false"/>
          <w:sz w:val="44"/>
          <w:szCs w:val="44"/>
        </w:rPr>
        <w:t>年度部门决算情况说明</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一、收入支出决算总体情况说明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w:t>
      </w:r>
      <w:r>
        <w:rPr>
          <w:rFonts w:ascii="Times New Roman" w:eastAsia="仿宋_GB2312"/>
          <w:b w:val="false"/>
          <w:sz w:val="32"/>
          <w:szCs w:val="32"/>
        </w:rPr>
        <w:t>年度收、支总计（含结转和结余）均为</w:t>
      </w:r>
      <w:r>
        <w:rPr>
          <w:rFonts w:ascii="Times New Roman" w:eastAsia="仿宋_GB2312"/>
          <w:b w:val="false"/>
          <w:sz w:val="32"/>
          <w:szCs w:val="32"/>
        </w:rPr>
        <w:t>9,223.75</w:t>
      </w:r>
      <w:r>
        <w:rPr>
          <w:rFonts w:ascii="Times New Roman" w:eastAsia="仿宋_GB2312"/>
          <w:b w:val="false"/>
          <w:sz w:val="32"/>
          <w:szCs w:val="32"/>
        </w:rPr>
        <w:t>万元。与</w:t>
      </w:r>
      <w:r>
        <w:rPr>
          <w:rFonts w:ascii="Times New Roman" w:eastAsia="仿宋_GB2312"/>
          <w:b w:val="false"/>
          <w:sz w:val="32"/>
          <w:szCs w:val="32"/>
        </w:rPr>
        <w:t>2023</w:t>
      </w:r>
      <w:r>
        <w:rPr>
          <w:rFonts w:ascii="Times New Roman" w:eastAsia="仿宋_GB2312"/>
          <w:b w:val="false"/>
          <w:sz w:val="32"/>
          <w:szCs w:val="32"/>
        </w:rPr>
        <w:t>年度决算相比，收支各</w:t>
      </w:r>
      <w:r>
        <w:rPr>
          <w:rFonts w:ascii="Times New Roman" w:eastAsia="仿宋_GB2312"/>
          <w:b w:val="false"/>
          <w:sz w:val="32"/>
          <w:szCs w:val="32"/>
        </w:rPr>
        <w:t>增加</w:t>
      </w:r>
      <w:r>
        <w:rPr>
          <w:rFonts w:ascii="Times New Roman" w:eastAsia="仿宋_GB2312"/>
          <w:b w:val="false"/>
          <w:sz w:val="32"/>
          <w:szCs w:val="32"/>
        </w:rPr>
        <w:t>668.50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7.8</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14:paraId="55CC107B">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a:graphicData uri="http://schemas.openxmlformats.org/drawingml/2006/chart">
                <c:chart r:id="rId11"/>
              </a:graphicData>
            </a:graphic>
          </wp:inline>
        </w:drawing>
      </w:r>
      <w:r>
        <w:rPr>
          <w:rFonts w:hint="default" w:ascii="Times New Roman" w:hAnsi="Times New Roman" w:eastAsia="Arial" w:cs="Times New Roman"/>
          <w:i w:val="false"/>
          <w:iCs w:val="false"/>
          <w:caps w:val="false"/>
          <w:color w:val="000000"/>
          <w:spacing w:val="0"/>
          <w:sz w:val="18"/>
          <w:szCs w:val="18"/>
          <w:highlight w:val="none"/>
          <w:shd w:val="clear" w:fill="FFFFFF"/>
        </w:rPr>
        <w:t/>
        <w:t> </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二、收入决算情况说明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w:t>
      </w:r>
      <w:r>
        <w:rPr>
          <w:rFonts w:ascii="Times New Roman" w:eastAsia="仿宋_GB2312"/>
          <w:b w:val="false"/>
          <w:sz w:val="32"/>
          <w:szCs w:val="32"/>
        </w:rPr>
        <w:t>年度本年收入合计</w:t>
      </w:r>
      <w:r>
        <w:rPr>
          <w:rFonts w:ascii="Times New Roman" w:eastAsia="仿宋_GB2312"/>
          <w:b w:val="false"/>
          <w:sz w:val="32"/>
          <w:szCs w:val="32"/>
        </w:rPr>
        <w:t>9,223.75</w:t>
      </w:r>
      <w:r>
        <w:rPr>
          <w:rFonts w:ascii="Times New Roman" w:eastAsia="仿宋_GB2312"/>
          <w:b w:val="false"/>
          <w:sz w:val="32"/>
          <w:szCs w:val="32"/>
        </w:rPr>
        <w:t>万元，其中：财政拨款收入</w:t>
      </w:r>
      <w:r>
        <w:rPr>
          <w:rFonts w:ascii="Times New Roman" w:eastAsia="仿宋_GB2312"/>
          <w:b w:val="false"/>
          <w:sz w:val="32"/>
          <w:szCs w:val="32"/>
        </w:rPr>
        <w:t>9,223.75</w:t>
      </w:r>
      <w:r>
        <w:rPr>
          <w:rFonts w:ascii="Times New Roman" w:eastAsia="仿宋_GB2312"/>
          <w:b w:val="false"/>
          <w:sz w:val="32"/>
          <w:szCs w:val="32"/>
        </w:rPr>
        <w:t>万元，占</w:t>
      </w:r>
      <w:r>
        <w:rPr>
          <w:rFonts w:ascii="Times New Roman" w:eastAsia="仿宋_GB2312"/>
          <w:b w:val="false"/>
          <w:sz w:val="32"/>
          <w:szCs w:val="32"/>
        </w:rPr>
        <w:t>100.0</w:t>
      </w:r>
      <w:r>
        <w:rPr>
          <w:rFonts w:ascii="Times New Roman" w:eastAsia="仿宋_GB2312"/>
          <w:b w:val="false"/>
          <w:sz w:val="32"/>
          <w:szCs w:val="32"/>
        </w:rPr>
        <w:t>%；上级补助收入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%；事业收入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%；经营收入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%；附属单位上缴收入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%；其他收入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w:t>
      </w:r>
    </w:p>
    <w:p w14:paraId="3EDA1CE7">
      <w:pPr>
        <w:adjustRightInd w:val="false"/>
        <w:snapToGrid w:val="false"/>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false" relativeHeight="251661312" behindDoc="false" locked="false" layoutInCell="true" allowOverlap="true">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a:graphicData uri="http://schemas.openxmlformats.org/drawingml/2006/chart">
                <c:chart r:id="rId12"/>
              </a:graphicData>
            </a:graphic>
          </wp:anchor>
        </w:drawing>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三、支出决算情况说明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2024年度本年支出合计</w:t>
      </w:r>
      <w:r>
        <w:rPr>
          <w:rFonts w:ascii="Times New Roman" w:eastAsia="仿宋_GB2312"/>
          <w:b w:val="false"/>
          <w:sz w:val="32"/>
          <w:szCs w:val="32"/>
        </w:rPr>
        <w:t>9,223.75</w:t>
      </w:r>
      <w:r>
        <w:rPr>
          <w:rFonts w:ascii="Times New Roman" w:eastAsia="仿宋_GB2312"/>
          <w:b w:val="false"/>
          <w:sz w:val="32"/>
          <w:szCs w:val="32"/>
        </w:rPr>
        <w:t>万元，其中：基本支出</w:t>
      </w:r>
      <w:r>
        <w:rPr>
          <w:rFonts w:ascii="Times New Roman" w:eastAsia="仿宋_GB2312"/>
          <w:b w:val="false"/>
          <w:sz w:val="32"/>
          <w:szCs w:val="32"/>
        </w:rPr>
        <w:t>497.84</w:t>
      </w:r>
      <w:r>
        <w:rPr>
          <w:rFonts w:ascii="Times New Roman" w:eastAsia="仿宋_GB2312"/>
          <w:b w:val="false"/>
          <w:sz w:val="32"/>
          <w:szCs w:val="32"/>
        </w:rPr>
        <w:t>万元，占</w:t>
      </w:r>
      <w:r>
        <w:rPr>
          <w:rFonts w:ascii="Times New Roman" w:eastAsia="仿宋_GB2312"/>
          <w:b w:val="false"/>
          <w:sz w:val="32"/>
          <w:szCs w:val="32"/>
        </w:rPr>
        <w:t>5.4</w:t>
      </w:r>
      <w:r>
        <w:rPr>
          <w:rFonts w:ascii="Times New Roman" w:eastAsia="仿宋_GB2312"/>
          <w:b w:val="false"/>
          <w:sz w:val="32"/>
          <w:szCs w:val="32"/>
        </w:rPr>
        <w:t>%；项目支出</w:t>
      </w:r>
      <w:r>
        <w:rPr>
          <w:rFonts w:ascii="Times New Roman" w:eastAsia="仿宋_GB2312"/>
          <w:b w:val="false"/>
          <w:sz w:val="32"/>
          <w:szCs w:val="32"/>
        </w:rPr>
        <w:t>8,725.91</w:t>
      </w:r>
      <w:r>
        <w:rPr>
          <w:rFonts w:ascii="Times New Roman" w:eastAsia="仿宋_GB2312"/>
          <w:b w:val="false"/>
          <w:sz w:val="32"/>
          <w:szCs w:val="32"/>
        </w:rPr>
        <w:t>万元，占</w:t>
      </w:r>
      <w:r>
        <w:rPr>
          <w:rFonts w:ascii="Times New Roman" w:eastAsia="仿宋_GB2312"/>
          <w:b w:val="false"/>
          <w:sz w:val="32"/>
          <w:szCs w:val="32"/>
        </w:rPr>
        <w:t>94.6</w:t>
      </w:r>
      <w:r>
        <w:rPr>
          <w:rFonts w:ascii="Times New Roman" w:eastAsia="仿宋_GB2312"/>
          <w:b w:val="false"/>
          <w:sz w:val="32"/>
          <w:szCs w:val="32"/>
        </w:rPr>
        <w:t>%；上缴上级支出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%；经营支出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%；对附属单位补助支出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w:t>
      </w:r>
    </w:p>
    <w:p w14:paraId="1EDB8620">
      <w:pPr>
        <w:autoSpaceDE w:val="false"/>
        <w:autoSpaceDN w:val="false"/>
        <w:adjustRightInd w:val="false"/>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a:graphicData uri="http://schemas.openxmlformats.org/drawingml/2006/chart">
                <c:chart r:id="rId13"/>
              </a:graphicData>
            </a:graphic>
          </wp:inline>
        </w:drawing>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四、财政拨款收入支出决算总体情况说明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（一）财政拨款收支与</w:t>
      </w:r>
      <w:r>
        <w:rPr>
          <w:rFonts w:ascii="Times New Roman" w:eastAsia="仿宋_GB2312"/>
          <w:b w:val="true"/>
          <w:sz w:val="32"/>
          <w:szCs w:val="32"/>
        </w:rPr>
        <w:t>2023</w:t>
      </w:r>
      <w:r>
        <w:rPr>
          <w:rFonts w:ascii="Times New Roman" w:eastAsia="楷体_GB2312"/>
          <w:b w:val="true"/>
          <w:sz w:val="32"/>
          <w:szCs w:val="32"/>
        </w:rPr>
        <w:t>年度决算对比情况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2024年度财政拨款收、支总计（含结转和结余）均为</w:t>
      </w:r>
      <w:r>
        <w:rPr>
          <w:rFonts w:ascii="Times New Roman" w:eastAsia="仿宋_GB2312"/>
          <w:b w:val="false"/>
          <w:sz w:val="32"/>
          <w:szCs w:val="32"/>
        </w:rPr>
        <w:t>9,223.75</w:t>
      </w:r>
      <w:r>
        <w:rPr>
          <w:rFonts w:ascii="Times New Roman" w:eastAsia="仿宋_GB2312"/>
          <w:b w:val="false"/>
          <w:sz w:val="32"/>
          <w:szCs w:val="32"/>
        </w:rPr>
        <w:t>万元。与2023年度相比，财政拨款收支各</w:t>
      </w:r>
      <w:r>
        <w:rPr>
          <w:rFonts w:ascii="Times New Roman" w:eastAsia="仿宋_GB2312"/>
          <w:b w:val="false"/>
          <w:sz w:val="32"/>
          <w:szCs w:val="32"/>
        </w:rPr>
        <w:t>增加</w:t>
      </w:r>
      <w:r>
        <w:rPr>
          <w:rFonts w:ascii="Times New Roman" w:eastAsia="仿宋_GB2312"/>
          <w:b w:val="false"/>
          <w:sz w:val="32"/>
          <w:szCs w:val="32"/>
        </w:rPr>
        <w:t>668.50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7.8</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2024年度财政拨款本年收入</w:t>
      </w:r>
      <w:r>
        <w:rPr>
          <w:rFonts w:ascii="Times New Roman" w:eastAsia="仿宋_GB2312"/>
          <w:b w:val="false"/>
          <w:sz w:val="32"/>
          <w:szCs w:val="32"/>
        </w:rPr>
        <w:t>9,223.75</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668.50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7.8</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 </w:t>
      </w:r>
      <w:r>
        <w:rPr>
          <w:rFonts w:ascii="Times New Roman" w:eastAsia="仿宋_GB2312"/>
          <w:b w:val="false"/>
          <w:sz w:val="32"/>
          <w:szCs w:val="32"/>
        </w:rPr>
        <w:t>9,223.75</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668.50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7.8</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。具体情况如下：</w:t>
      </w:r>
    </w:p>
    <w:p>
      <w:pPr>
        <w:widowControl w:val="true"/>
        <w:spacing w:before="0" w:beforeLines="0" w:beforeAutospacing="false" w:after="0" w:afterLines="0" w:afterAutospacing="false" w:line="360" w:lineRule="auto"/>
        <w:ind w:firstLine="200" w:firstLineChars="200"/>
        <w:jc w:val="left"/>
        <w:outlineLvl w:val="1"/>
        <w:rPr>
          <w:rFonts w:ascii="Times New Roman" w:eastAsia="仿宋_GB2312"/>
          <w:sz w:val="32"/>
          <w:szCs w:val="32"/>
        </w:rPr>
      </w:pPr>
      <w:r>
        <w:rPr>
          <w:rFonts w:ascii="Times New Roman" w:eastAsia="仿宋_GB2312"/>
          <w:b w:val="false"/>
          <w:sz w:val="32"/>
          <w:szCs w:val="32"/>
        </w:rPr>
        <w:t>1. 一般公共预算财政拨款本年收入</w:t>
      </w:r>
      <w:r>
        <w:rPr>
          <w:rFonts w:ascii="Times New Roman" w:eastAsia="仿宋_GB2312"/>
          <w:b w:val="false"/>
          <w:sz w:val="32"/>
          <w:szCs w:val="32"/>
        </w:rPr>
        <w:t>8,868.34</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802.79</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10.0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8,868.34</w:t>
      </w:r>
      <w:r>
        <w:rPr>
          <w:rFonts w:ascii="Times New Roman" w:eastAsia="仿宋_GB2312"/>
          <w:b w:val="false"/>
          <w:sz w:val="32"/>
          <w:szCs w:val="32"/>
        </w:rPr>
        <w:t> 万元，比上年</w:t>
      </w:r>
      <w:r>
        <w:rPr>
          <w:rFonts w:ascii="Times New Roman" w:eastAsia="仿宋_GB2312"/>
          <w:b w:val="false"/>
          <w:sz w:val="32"/>
          <w:szCs w:val="32"/>
        </w:rPr>
        <w:t>增加</w:t>
      </w:r>
      <w:r>
        <w:rPr>
          <w:rFonts w:ascii="Times New Roman" w:eastAsia="仿宋_GB2312"/>
          <w:b w:val="false"/>
          <w:sz w:val="32"/>
          <w:szCs w:val="32"/>
        </w:rPr>
        <w:t>802.79</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10.0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政府性基金预算财政拨款本年收入</w:t>
      </w:r>
      <w:r>
        <w:rPr>
          <w:rFonts w:ascii="Times New Roman" w:eastAsia="仿宋_GB2312"/>
          <w:b w:val="false"/>
          <w:sz w:val="32"/>
          <w:szCs w:val="32"/>
        </w:rPr>
        <w:t>355.41</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134.28</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27.4</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355.41</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134.28</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27.4</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3. 国有资本经营预算财政拨款本年收入</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14:paraId="57375238">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a:graphicData uri="http://schemas.openxmlformats.org/drawingml/2006/chart">
                <c:chart r:id="rId14"/>
              </a:graphicData>
            </a:graphic>
          </wp:inline>
        </w:drawing>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（二）财政拨款收支与年初预算数对比情况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2024年度财政拨款本年收入</w:t>
      </w:r>
      <w:r>
        <w:rPr>
          <w:rFonts w:ascii="Times New Roman" w:eastAsia="仿宋_GB2312"/>
          <w:b w:val="false"/>
          <w:sz w:val="32"/>
          <w:szCs w:val="32"/>
        </w:rPr>
        <w:t>9,223.75</w:t>
      </w:r>
      <w:r>
        <w:rPr>
          <w:rFonts w:ascii="Times New Roman" w:eastAsia="仿宋_GB2312"/>
          <w:b w:val="false"/>
          <w:sz w:val="32"/>
          <w:szCs w:val="32"/>
        </w:rPr>
        <w:t>万元，完成年初预算的</w:t>
      </w:r>
      <w:r>
        <w:rPr>
          <w:rFonts w:ascii="Times New Roman" w:eastAsia="仿宋_GB2312"/>
          <w:b w:val="false"/>
          <w:sz w:val="32"/>
          <w:szCs w:val="32"/>
        </w:rPr>
        <w:t>153.1</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3,198.86</w:t>
      </w:r>
      <w:r>
        <w:rPr>
          <w:rFonts w:ascii="Times New Roman" w:eastAsia="仿宋_GB2312"/>
          <w:b w:val="false"/>
          <w:sz w:val="32"/>
          <w:szCs w:val="32"/>
        </w:rPr>
        <w:t>万元，决算数</w:t>
      </w:r>
      <w:r>
        <w:rPr>
          <w:rFonts w:ascii="Times New Roman" w:eastAsia="仿宋_GB2312"/>
          <w:b w:val="false"/>
          <w:sz w:val="32"/>
          <w:szCs w:val="32"/>
        </w:rPr>
        <w:t>大于</w:t>
      </w:r>
      <w:r>
        <w:rPr>
          <w:rFonts w:ascii="Times New Roman" w:eastAsia="仿宋_GB2312"/>
          <w:b w:val="false"/>
          <w:sz w:val="32"/>
          <w:szCs w:val="32"/>
        </w:rPr>
        <w:t>预算数主要原因是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9,223.75</w:t>
      </w:r>
      <w:r>
        <w:rPr>
          <w:rFonts w:ascii="Times New Roman" w:eastAsia="仿宋_GB2312"/>
          <w:b w:val="false"/>
          <w:sz w:val="32"/>
          <w:szCs w:val="32"/>
        </w:rPr>
        <w:t>万元，完成年初预算的</w:t>
      </w:r>
      <w:r>
        <w:rPr>
          <w:rFonts w:ascii="Times New Roman" w:eastAsia="仿宋_GB2312"/>
          <w:b w:val="false"/>
          <w:sz w:val="32"/>
          <w:szCs w:val="32"/>
        </w:rPr>
        <w:t>153.1</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3,198.86</w:t>
      </w:r>
      <w:r>
        <w:rPr>
          <w:rFonts w:ascii="Times New Roman" w:eastAsia="仿宋_GB2312"/>
          <w:b w:val="false"/>
          <w:sz w:val="32"/>
          <w:szCs w:val="32"/>
        </w:rPr>
        <w:t>万元，决算数</w:t>
      </w:r>
      <w:r>
        <w:rPr>
          <w:rFonts w:ascii="Times New Roman" w:eastAsia="仿宋_GB2312"/>
          <w:b w:val="false"/>
          <w:sz w:val="32"/>
          <w:szCs w:val="32"/>
        </w:rPr>
        <w:t>大于</w:t>
      </w:r>
      <w:r>
        <w:rPr>
          <w:rFonts w:ascii="Times New Roman" w:eastAsia="仿宋_GB2312"/>
          <w:b w:val="false"/>
          <w:sz w:val="32"/>
          <w:szCs w:val="32"/>
        </w:rPr>
        <w:t>预算数主要原因是</w:t>
      </w:r>
      <w:r>
        <w:rPr>
          <w:rFonts w:ascii="Times New Roman" w:eastAsia="仿宋_GB2312"/>
          <w:b w:val="false"/>
          <w:sz w:val="32"/>
          <w:szCs w:val="32"/>
        </w:rPr>
        <w:t/>
      </w:r>
      <w:r>
        <w:rPr>
          <w:rFonts w:ascii="Times New Roman" w:eastAsia="仿宋_GB2312"/>
          <w:b w:val="false"/>
          <w:sz w:val="32"/>
          <w:szCs w:val="32"/>
        </w:rPr>
        <w:t>。具体情况如下：</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1. 一般公共预算财政拨款本年收入完成年初预算的</w:t>
      </w:r>
      <w:r>
        <w:rPr>
          <w:rFonts w:ascii="Times New Roman" w:eastAsia="仿宋_GB2312"/>
          <w:b w:val="false"/>
          <w:sz w:val="32"/>
          <w:szCs w:val="32"/>
        </w:rPr>
        <w:t>152.9</w:t>
      </w:r>
      <w:r>
        <w:rPr>
          <w:rFonts w:ascii="Times New Roman" w:eastAsia="仿宋_GB2312"/>
          <w:b w:val="false"/>
          <w:sz w:val="32"/>
          <w:szCs w:val="32"/>
        </w:rPr>
        <w:t> %，比年初预算</w:t>
      </w:r>
      <w:r>
        <w:rPr>
          <w:rFonts w:ascii="Times New Roman" w:eastAsia="仿宋_GB2312"/>
          <w:b w:val="false"/>
          <w:sz w:val="32"/>
          <w:szCs w:val="32"/>
        </w:rPr>
        <w:t>增加</w:t>
      </w:r>
      <w:r>
        <w:rPr>
          <w:rFonts w:ascii="Times New Roman" w:eastAsia="仿宋_GB2312"/>
          <w:b w:val="false"/>
          <w:sz w:val="32"/>
          <w:szCs w:val="32"/>
        </w:rPr>
        <w:t>3,068.14</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152.9</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3,068.14</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政府性基金预算财政拨款本年收入完成年初预算的</w:t>
      </w:r>
      <w:r>
        <w:rPr>
          <w:rFonts w:ascii="Times New Roman" w:eastAsia="仿宋_GB2312"/>
          <w:b w:val="false"/>
          <w:sz w:val="32"/>
          <w:szCs w:val="32"/>
        </w:rPr>
        <w:t>158.2</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130.72</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158.2</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130.72</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3. 国有资本经营预算财政拨款本年收入完成年初预算的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14:paraId="39F845FE">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left"/>
        <w:rPr>
          <w:rFonts w:hint="default" w:ascii="Times New Roman" w:hAnsi="Times New Roman" w:eastAsia="Arial" w:cs="Times New Roman"/>
          <w:highlight w:val="none"/>
        </w:rPr>
      </w:pPr>
    </w:p>
    <w:p w14:paraId="5BE36D14">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a:graphicData uri="http://schemas.openxmlformats.org/drawingml/2006/chart">
                <c:chart r:id="rId15"/>
              </a:graphicData>
            </a:graphic>
          </wp:inline>
        </w:drawing>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（三）财政拨款支出决算结构情况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2024年度财政拨款支出</w:t>
      </w:r>
      <w:r>
        <w:rPr>
          <w:rFonts w:ascii="Times New Roman" w:eastAsia="仿宋_GB2312"/>
          <w:b w:val="false"/>
          <w:sz w:val="32"/>
          <w:szCs w:val="32"/>
        </w:rPr>
        <w:t>9,223.75</w:t>
      </w:r>
      <w:r>
        <w:rPr>
          <w:rFonts w:ascii="Times New Roman" w:eastAsia="仿宋_GB2312"/>
          <w:b w:val="false"/>
          <w:sz w:val="32"/>
          <w:szCs w:val="32"/>
        </w:rPr>
        <w:t>万元，主要用于以下方面：</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一般公共预算财政拨款支出：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8,815.46</w:t>
      </w:r>
      <w:r>
        <w:rPr>
          <w:rFonts w:ascii="Times New Roman" w:eastAsia="仿宋_GB2312"/>
          <w:b w:val="false"/>
          <w:sz w:val="32"/>
          <w:szCs w:val="32"/>
        </w:rPr>
        <w:t>万元，占</w:t>
      </w:r>
      <w:r>
        <w:rPr>
          <w:rFonts w:ascii="Times New Roman" w:eastAsia="仿宋_GB2312"/>
          <w:b w:val="false"/>
          <w:sz w:val="32"/>
          <w:szCs w:val="32"/>
        </w:rPr>
        <w:t>95.6</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20.93</w:t>
      </w:r>
      <w:r>
        <w:rPr>
          <w:rFonts w:ascii="Times New Roman" w:eastAsia="仿宋_GB2312"/>
          <w:b w:val="false"/>
          <w:sz w:val="32"/>
          <w:szCs w:val="32"/>
        </w:rPr>
        <w:t>万元，占</w:t>
      </w:r>
      <w:r>
        <w:rPr>
          <w:rFonts w:ascii="Times New Roman" w:eastAsia="仿宋_GB2312"/>
          <w:b w:val="false"/>
          <w:sz w:val="32"/>
          <w:szCs w:val="32"/>
        </w:rPr>
        <w:t>0.2</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31.94</w:t>
      </w:r>
      <w:r>
        <w:rPr>
          <w:rFonts w:ascii="Times New Roman" w:eastAsia="仿宋_GB2312"/>
          <w:b w:val="false"/>
          <w:sz w:val="32"/>
          <w:szCs w:val="32"/>
        </w:rPr>
        <w:t>万元，占</w:t>
      </w:r>
      <w:r>
        <w:rPr>
          <w:rFonts w:ascii="Times New Roman" w:eastAsia="仿宋_GB2312"/>
          <w:b w:val="false"/>
          <w:sz w:val="32"/>
          <w:szCs w:val="32"/>
        </w:rPr>
        <w:t>0.3</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政府性基金预算财政拨款支出：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355.41</w:t>
      </w:r>
      <w:r>
        <w:rPr>
          <w:rFonts w:ascii="Times New Roman" w:eastAsia="仿宋_GB2312"/>
          <w:b w:val="false"/>
          <w:sz w:val="32"/>
          <w:szCs w:val="32"/>
        </w:rPr>
        <w:t>万元，占</w:t>
      </w:r>
      <w:r>
        <w:rPr>
          <w:rFonts w:ascii="Times New Roman" w:eastAsia="仿宋_GB2312"/>
          <w:b w:val="false"/>
          <w:sz w:val="32"/>
          <w:szCs w:val="32"/>
        </w:rPr>
        <w:t>3.9</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国有资本经营预算财政拨款支出：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14:paraId="36ED2E86">
      <w:pPr>
        <w:pStyle w:val="10"/>
        <w:keepNext w:val="false"/>
        <w:keepLines w:val="false"/>
        <w:pageBreakBefore w:val="false"/>
        <w:widowControl/>
        <w:suppressLineNumbers w:val="false"/>
        <w:pBdr>
          <w:top w:val="none" w:color="auto" w:sz="0" w:space="0"/>
          <w:left w:val="none" w:color="auto" w:sz="0" w:space="0"/>
          <w:bottom w:val="none" w:color="auto" w:sz="0" w:space="0"/>
          <w:right w:val="none" w:color="auto" w:sz="0" w:space="0"/>
        </w:pBdr>
        <w:kinsoku/>
        <w:wordWrap/>
        <w:overflowPunct/>
        <w:topLinePunct w:val="false"/>
        <w:autoSpaceDE/>
        <w:autoSpaceDN/>
        <w:bidi w:val="false"/>
        <w:spacing w:before="0" w:beforeAutospacing="false" w:after="0" w:afterAutospacing="false"/>
        <w:ind w:left="0" w:right="0"/>
        <w:jc w:val="left"/>
        <w:textAlignment w:val="auto"/>
        <w:rPr>
          <w:rFonts w:hint="default" w:ascii="Times New Roman" w:hAnsi="Times New Roman" w:eastAsia="仿宋_GB2312" w:cs="Times New Roman"/>
          <w:color w:val="auto"/>
          <w:kern w:val="2"/>
          <w:sz w:val="32"/>
          <w:szCs w:val="32"/>
          <w:lang w:val="zh-CN" w:eastAsia="zh-CN" w:bidi="ar-SA"/>
        </w:rPr>
      </w:pPr>
      <w:bookmarkStart w:name="_GoBack" w:id="0"/>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a:graphicData uri="http://schemas.openxmlformats.org/drawingml/2006/chart">
                <c:chart r:id="rId16"/>
              </a:graphicData>
            </a:graphic>
          </wp:inline>
        </w:drawing>
      </w:r>
      <w:bookmarkEnd w:id="0"/>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（四）一般公共预算基本支出决算情况说明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2024年度财政拨款基本支出</w:t>
      </w:r>
      <w:r>
        <w:rPr>
          <w:rFonts w:ascii="Times New Roman" w:eastAsia="仿宋_GB2312"/>
          <w:b w:val="false"/>
          <w:sz w:val="32"/>
          <w:szCs w:val="32"/>
        </w:rPr>
        <w:t>497.84</w:t>
      </w:r>
      <w:r>
        <w:rPr>
          <w:rFonts w:ascii="Times New Roman" w:eastAsia="仿宋_GB2312"/>
          <w:b w:val="false"/>
          <w:sz w:val="32"/>
          <w:szCs w:val="32"/>
        </w:rPr>
        <w:t>万元，其中：</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人员经费</w:t>
      </w:r>
      <w:r>
        <w:rPr>
          <w:rFonts w:ascii="Times New Roman" w:eastAsia="仿宋_GB2312"/>
          <w:b w:val="false"/>
          <w:sz w:val="32"/>
          <w:szCs w:val="32"/>
        </w:rPr>
        <w:t>482.08</w:t>
      </w:r>
      <w:r>
        <w:rPr>
          <w:rFonts w:ascii="Times New Roman" w:eastAsia="仿宋_GB2312"/>
          <w:b w:val="false"/>
          <w:sz w:val="32"/>
          <w:szCs w:val="32"/>
        </w:rPr>
        <w:t>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公用经费</w:t>
      </w:r>
      <w:r>
        <w:rPr>
          <w:rFonts w:ascii="Times New Roman" w:eastAsia="仿宋_GB2312"/>
          <w:b w:val="false"/>
          <w:sz w:val="32"/>
          <w:szCs w:val="32"/>
        </w:rPr>
        <w:t>15.76</w:t>
      </w:r>
      <w:r>
        <w:rPr>
          <w:rFonts w:ascii="Times New Roman" w:eastAsia="仿宋_GB2312"/>
          <w:b w:val="false"/>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五、财政拨款“三公” 经费支出决算情况说明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（一）“三公”经费财政拨款支出决算总体情况说明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2024年度“三公”经费财政拨款支出预算为</w:t>
      </w:r>
      <w:r>
        <w:rPr>
          <w:rFonts w:ascii="Times New Roman" w:eastAsia="仿宋_GB2312"/>
          <w:b w:val="false"/>
          <w:sz w:val="32"/>
          <w:szCs w:val="32"/>
        </w:rPr>
        <w:t>2.88</w:t>
      </w:r>
      <w:r>
        <w:rPr>
          <w:rFonts w:ascii="Times New Roman" w:eastAsia="仿宋_GB2312"/>
          <w:b w:val="false"/>
          <w:sz w:val="32"/>
          <w:szCs w:val="32"/>
        </w:rPr>
        <w:t>万元，支出决算为 </w:t>
      </w:r>
      <w:r>
        <w:rPr>
          <w:rFonts w:ascii="Times New Roman" w:eastAsia="仿宋_GB2312"/>
          <w:b w:val="false"/>
          <w:sz w:val="32"/>
          <w:szCs w:val="32"/>
        </w:rPr>
        <w:t>1.74</w:t>
      </w:r>
      <w:r>
        <w:rPr>
          <w:rFonts w:ascii="Times New Roman" w:eastAsia="仿宋_GB2312"/>
          <w:b w:val="false"/>
          <w:sz w:val="32"/>
          <w:szCs w:val="32"/>
        </w:rPr>
        <w:t>万元，完成预算的 </w:t>
      </w:r>
      <w:r>
        <w:rPr>
          <w:rFonts w:ascii="Times New Roman" w:eastAsia="仿宋_GB2312"/>
          <w:b w:val="false"/>
          <w:sz w:val="32"/>
          <w:szCs w:val="32"/>
        </w:rPr>
        <w:t>60.4</w:t>
      </w:r>
      <w:r>
        <w:rPr>
          <w:rFonts w:ascii="Times New Roman" w:eastAsia="仿宋_GB2312"/>
          <w:b w:val="false"/>
          <w:sz w:val="32"/>
          <w:szCs w:val="32"/>
        </w:rPr>
        <w:t>%，较预算</w:t>
      </w:r>
      <w:r>
        <w:rPr>
          <w:rFonts w:ascii="Times New Roman" w:eastAsia="仿宋_GB2312"/>
          <w:b w:val="false"/>
          <w:sz w:val="32"/>
          <w:szCs w:val="32"/>
        </w:rPr>
        <w:t>减少</w:t>
      </w:r>
      <w:r>
        <w:rPr>
          <w:rFonts w:ascii="Times New Roman" w:eastAsia="仿宋_GB2312"/>
          <w:b w:val="false"/>
          <w:sz w:val="32"/>
          <w:szCs w:val="32"/>
        </w:rPr>
        <w:t>1.14</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39.6</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；较2023年度决算</w:t>
      </w:r>
      <w:r>
        <w:rPr>
          <w:rFonts w:ascii="Times New Roman" w:eastAsia="仿宋_GB2312"/>
          <w:b w:val="false"/>
          <w:sz w:val="32"/>
          <w:szCs w:val="32"/>
        </w:rPr>
        <w:t>减少</w:t>
      </w:r>
      <w:r>
        <w:rPr>
          <w:rFonts w:ascii="Times New Roman" w:eastAsia="仿宋_GB2312"/>
          <w:b w:val="false"/>
          <w:sz w:val="32"/>
          <w:szCs w:val="32"/>
        </w:rPr>
        <w:t>3.86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68.9</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（二）“三公”经费财政拨款支出决算具体情况说明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1.因公出国（境）费支出情况。</w:t>
      </w:r>
      <w:r>
        <w:rPr>
          <w:rFonts w:ascii="Times New Roman" w:eastAsia="仿宋_GB2312"/>
          <w:b w:val="false"/>
          <w:sz w:val="32"/>
          <w:szCs w:val="32"/>
        </w:rPr>
        <w:t>本部门</w:t>
      </w:r>
      <w:r>
        <w:rPr>
          <w:rFonts w:ascii="Times New Roman" w:eastAsia="仿宋_GB2312"/>
          <w:b w:val="false"/>
          <w:sz w:val="32"/>
          <w:szCs w:val="32"/>
        </w:rPr>
        <w:t>2024年度因公出国（境）费支出预算为</w:t>
      </w:r>
      <w:r>
        <w:rPr>
          <w:rFonts w:ascii="Times New Roman" w:eastAsia="仿宋_GB2312"/>
          <w:b w:val="false"/>
          <w:sz w:val="32"/>
          <w:szCs w:val="32"/>
        </w:rPr>
        <w:t>0.00</w:t>
      </w:r>
      <w:r>
        <w:rPr>
          <w:rFonts w:ascii="Times New Roman" w:eastAsia="仿宋_GB2312"/>
          <w:b w:val="false"/>
          <w:sz w:val="32"/>
          <w:szCs w:val="32"/>
        </w:rPr>
        <w:t>万元,支出决算</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%。因公出国（境）费支出较预算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。因公出国（境）团组</w:t>
      </w:r>
      <w:r>
        <w:rPr>
          <w:rFonts w:ascii="Times New Roman" w:eastAsia="仿宋_GB2312"/>
          <w:b w:val="false"/>
          <w:sz w:val="32"/>
          <w:szCs w:val="32"/>
        </w:rPr>
        <w:t>0</w:t>
      </w:r>
      <w:r>
        <w:rPr>
          <w:rFonts w:ascii="Times New Roman" w:eastAsia="仿宋_GB2312"/>
          <w:b w:val="false"/>
          <w:sz w:val="32"/>
          <w:szCs w:val="32"/>
        </w:rPr>
        <w:t>个、共</w:t>
      </w:r>
      <w:r>
        <w:rPr>
          <w:rFonts w:ascii="Times New Roman" w:eastAsia="仿宋_GB2312"/>
          <w:b w:val="false"/>
          <w:sz w:val="32"/>
          <w:szCs w:val="32"/>
        </w:rPr>
        <w:t>0</w:t>
      </w:r>
      <w:r>
        <w:rPr>
          <w:rFonts w:ascii="Times New Roman" w:eastAsia="仿宋_GB2312"/>
          <w:b w:val="false"/>
          <w:sz w:val="32"/>
          <w:szCs w:val="32"/>
        </w:rPr>
        <w:t>人、参加其他单位组织的因公出国（境）团组</w:t>
      </w:r>
      <w:r>
        <w:rPr>
          <w:rFonts w:ascii="Times New Roman" w:eastAsia="仿宋_GB2312"/>
          <w:b w:val="false"/>
          <w:sz w:val="32"/>
          <w:szCs w:val="32"/>
        </w:rPr>
        <w:t/>
      </w:r>
      <w:r>
        <w:rPr>
          <w:rFonts w:ascii="Times New Roman" w:eastAsia="仿宋_GB2312"/>
          <w:b w:val="false"/>
          <w:sz w:val="32"/>
          <w:szCs w:val="32"/>
        </w:rPr>
        <w:t>个、共</w:t>
      </w:r>
      <w:r>
        <w:rPr>
          <w:rFonts w:ascii="Times New Roman" w:eastAsia="仿宋_GB2312"/>
          <w:b w:val="false"/>
          <w:sz w:val="32"/>
          <w:szCs w:val="32"/>
        </w:rPr>
        <w:t/>
      </w:r>
      <w:r>
        <w:rPr>
          <w:rFonts w:ascii="Times New Roman" w:eastAsia="仿宋_GB2312"/>
          <w:b w:val="false"/>
          <w:sz w:val="32"/>
          <w:szCs w:val="32"/>
        </w:rPr>
        <w:t>人/无本部门组织的出国（境）团组。</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2.公务用车购置及运行维护费支出情况。</w:t>
      </w:r>
      <w:r>
        <w:rPr>
          <w:rFonts w:ascii="Times New Roman" w:eastAsia="仿宋_GB2312"/>
          <w:b w:val="false"/>
          <w:sz w:val="32"/>
          <w:szCs w:val="32"/>
        </w:rPr>
        <w:t>本部门</w:t>
      </w:r>
      <w:r>
        <w:rPr>
          <w:rFonts w:ascii="Times New Roman" w:eastAsia="仿宋_GB2312"/>
          <w:b w:val="false"/>
          <w:sz w:val="32"/>
          <w:szCs w:val="32"/>
        </w:rPr>
        <w:t>2024年度公务用车购置及运行维护费预算为</w:t>
      </w:r>
      <w:r>
        <w:rPr>
          <w:rFonts w:ascii="Times New Roman" w:eastAsia="仿宋_GB2312"/>
          <w:b w:val="false"/>
          <w:sz w:val="32"/>
          <w:szCs w:val="32"/>
        </w:rPr>
        <w:t>2.60</w:t>
      </w:r>
      <w:r>
        <w:rPr>
          <w:rFonts w:ascii="Times New Roman" w:eastAsia="仿宋_GB2312"/>
          <w:b w:val="false"/>
          <w:sz w:val="32"/>
          <w:szCs w:val="32"/>
        </w:rPr>
        <w:t>万元，支出决算 </w:t>
      </w:r>
      <w:r>
        <w:rPr>
          <w:rFonts w:ascii="Times New Roman" w:eastAsia="仿宋_GB2312"/>
          <w:b w:val="false"/>
          <w:sz w:val="32"/>
          <w:szCs w:val="32"/>
        </w:rPr>
        <w:t>1.74</w:t>
      </w:r>
      <w:r>
        <w:rPr>
          <w:rFonts w:ascii="Times New Roman" w:eastAsia="仿宋_GB2312"/>
          <w:b w:val="false"/>
          <w:sz w:val="32"/>
          <w:szCs w:val="32"/>
        </w:rPr>
        <w:t>万元，完成预算的</w:t>
      </w:r>
      <w:r>
        <w:rPr>
          <w:rFonts w:ascii="Times New Roman" w:eastAsia="仿宋_GB2312"/>
          <w:b w:val="false"/>
          <w:sz w:val="32"/>
          <w:szCs w:val="32"/>
        </w:rPr>
        <w:t>66.9</w:t>
      </w:r>
      <w:r>
        <w:rPr>
          <w:rFonts w:ascii="Times New Roman" w:eastAsia="仿宋_GB2312"/>
          <w:b w:val="false"/>
          <w:sz w:val="32"/>
          <w:szCs w:val="32"/>
        </w:rPr>
        <w:t>%,较预算</w:t>
      </w:r>
      <w:r>
        <w:rPr>
          <w:rFonts w:ascii="Times New Roman" w:eastAsia="仿宋_GB2312"/>
          <w:b w:val="false"/>
          <w:sz w:val="32"/>
          <w:szCs w:val="32"/>
        </w:rPr>
        <w:t>减少</w:t>
      </w:r>
      <w:r>
        <w:rPr>
          <w:rFonts w:ascii="Times New Roman" w:eastAsia="仿宋_GB2312"/>
          <w:b w:val="false"/>
          <w:sz w:val="32"/>
          <w:szCs w:val="32"/>
        </w:rPr>
        <w:t>0.86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33.1</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减少</w:t>
      </w:r>
      <w:r>
        <w:rPr>
          <w:rFonts w:ascii="Times New Roman" w:eastAsia="仿宋_GB2312"/>
          <w:b w:val="false"/>
          <w:sz w:val="32"/>
          <w:szCs w:val="32"/>
        </w:rPr>
        <w:t>3.86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68.9</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。其中：</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公务用车购置费支出</w:t>
      </w:r>
      <w:r>
        <w:rPr>
          <w:rFonts w:ascii="Times New Roman" w:eastAsia="仿宋_GB2312"/>
          <w:b w:val="true"/>
          <w:sz w:val="32"/>
          <w:szCs w:val="32"/>
        </w:rPr>
        <w:t>0.00</w:t>
      </w:r>
      <w:r>
        <w:rPr>
          <w:rFonts w:ascii="Times New Roman" w:eastAsia="仿宋_GB2312"/>
          <w:b w:val="true"/>
          <w:sz w:val="32"/>
          <w:szCs w:val="32"/>
        </w:rPr>
        <w:t>万元：</w:t>
      </w:r>
      <w:r>
        <w:rPr>
          <w:rFonts w:ascii="Times New Roman" w:eastAsia="仿宋_GB2312"/>
          <w:b w:val="false"/>
          <w:sz w:val="32"/>
          <w:szCs w:val="32"/>
        </w:rPr>
        <w:t>本部门</w:t>
      </w:r>
      <w:r>
        <w:rPr>
          <w:rFonts w:ascii="Times New Roman" w:eastAsia="仿宋_GB2312"/>
          <w:b w:val="false"/>
          <w:sz w:val="32"/>
          <w:szCs w:val="32"/>
        </w:rPr>
        <w:t>2024年度公务用车购置量</w:t>
      </w:r>
      <w:r>
        <w:rPr>
          <w:rFonts w:ascii="Times New Roman" w:eastAsia="仿宋_GB2312"/>
          <w:b w:val="false"/>
          <w:sz w:val="32"/>
          <w:szCs w:val="32"/>
        </w:rPr>
        <w:t>0</w:t>
      </w:r>
      <w:r>
        <w:rPr>
          <w:rFonts w:ascii="Times New Roman" w:eastAsia="仿宋_GB2312"/>
          <w:b w:val="false"/>
          <w:sz w:val="32"/>
          <w:szCs w:val="32"/>
        </w:rPr>
        <w:t>辆，发生“公务用车购置”经费支出</w:t>
      </w:r>
      <w:r>
        <w:rPr>
          <w:rFonts w:ascii="Times New Roman" w:eastAsia="仿宋_GB2312"/>
          <w:b w:val="false"/>
          <w:sz w:val="32"/>
          <w:szCs w:val="32"/>
        </w:rPr>
        <w:t>0.00</w:t>
      </w:r>
      <w:r>
        <w:rPr>
          <w:rFonts w:ascii="Times New Roman" w:eastAsia="仿宋_GB2312"/>
          <w:b w:val="false"/>
          <w:sz w:val="32"/>
          <w:szCs w:val="32"/>
        </w:rPr>
        <w:t>万元。公务用车购置费支出较预算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公务用车运行维护费支出</w:t>
      </w:r>
      <w:r>
        <w:rPr>
          <w:rFonts w:ascii="Times New Roman" w:eastAsia="仿宋_GB2312"/>
          <w:b w:val="true"/>
          <w:sz w:val="32"/>
          <w:szCs w:val="32"/>
        </w:rPr>
        <w:t>1.74</w:t>
      </w:r>
      <w:r>
        <w:rPr>
          <w:rFonts w:ascii="Times New Roman" w:eastAsia="仿宋_GB2312"/>
          <w:b w:val="true"/>
          <w:sz w:val="32"/>
          <w:szCs w:val="32"/>
        </w:rPr>
        <w:t>万元：</w:t>
      </w:r>
      <w:r>
        <w:rPr>
          <w:rFonts w:ascii="Times New Roman" w:eastAsia="仿宋_GB2312"/>
          <w:b w:val="false"/>
          <w:sz w:val="32"/>
          <w:szCs w:val="32"/>
        </w:rPr>
        <w:t>本部门</w:t>
      </w:r>
      <w:r>
        <w:rPr>
          <w:rFonts w:ascii="Times New Roman" w:eastAsia="仿宋_GB2312"/>
          <w:b w:val="false"/>
          <w:sz w:val="32"/>
          <w:szCs w:val="32"/>
        </w:rPr>
        <w:t>2024年度单位公务用车保有量</w:t>
      </w:r>
      <w:r>
        <w:rPr>
          <w:rFonts w:ascii="Times New Roman" w:eastAsia="仿宋_GB2312"/>
          <w:b w:val="false"/>
          <w:sz w:val="32"/>
          <w:szCs w:val="32"/>
        </w:rPr>
        <w:t>1</w:t>
      </w:r>
      <w:r>
        <w:rPr>
          <w:rFonts w:ascii="Times New Roman" w:eastAsia="仿宋_GB2312"/>
          <w:b w:val="false"/>
          <w:sz w:val="32"/>
          <w:szCs w:val="32"/>
        </w:rPr>
        <w:t>辆，发生运行维护费支出</w:t>
      </w:r>
      <w:r>
        <w:rPr>
          <w:rFonts w:ascii="Times New Roman" w:eastAsia="仿宋_GB2312"/>
          <w:b w:val="false"/>
          <w:sz w:val="32"/>
          <w:szCs w:val="32"/>
        </w:rPr>
        <w:t>1.74</w:t>
      </w:r>
      <w:r>
        <w:rPr>
          <w:rFonts w:ascii="Times New Roman" w:eastAsia="仿宋_GB2312"/>
          <w:b w:val="false"/>
          <w:sz w:val="32"/>
          <w:szCs w:val="32"/>
        </w:rPr>
        <w:t>万元。公车运行维护费支出较预算</w:t>
      </w:r>
      <w:r>
        <w:rPr>
          <w:rFonts w:ascii="Times New Roman" w:eastAsia="仿宋_GB2312"/>
          <w:b w:val="false"/>
          <w:sz w:val="32"/>
          <w:szCs w:val="32"/>
        </w:rPr>
        <w:t>减少</w:t>
      </w:r>
      <w:r>
        <w:rPr>
          <w:rFonts w:ascii="Times New Roman" w:eastAsia="仿宋_GB2312"/>
          <w:b w:val="false"/>
          <w:sz w:val="32"/>
          <w:szCs w:val="32"/>
        </w:rPr>
        <w:t>0.86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33.1</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减少</w:t>
      </w:r>
      <w:r>
        <w:rPr>
          <w:rFonts w:ascii="Times New Roman" w:eastAsia="仿宋_GB2312"/>
          <w:b w:val="false"/>
          <w:sz w:val="32"/>
          <w:szCs w:val="32"/>
        </w:rPr>
        <w:t>3.86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68.9</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3.公务接待费支出情况。</w:t>
      </w:r>
      <w:r>
        <w:rPr>
          <w:rFonts w:ascii="Times New Roman" w:eastAsia="仿宋_GB2312"/>
          <w:b w:val="false"/>
          <w:sz w:val="32"/>
          <w:szCs w:val="32"/>
        </w:rPr>
        <w:t>本部门</w:t>
      </w:r>
      <w:r>
        <w:rPr>
          <w:rFonts w:ascii="Times New Roman" w:eastAsia="仿宋_GB2312"/>
          <w:b w:val="false"/>
          <w:sz w:val="32"/>
          <w:szCs w:val="32"/>
        </w:rPr>
        <w:t>2024年度公务接待费支出预算为</w:t>
      </w:r>
      <w:r>
        <w:rPr>
          <w:rFonts w:ascii="Times New Roman" w:eastAsia="仿宋_GB2312"/>
          <w:b w:val="false"/>
          <w:sz w:val="32"/>
          <w:szCs w:val="32"/>
        </w:rPr>
        <w:t>0.28</w:t>
      </w:r>
      <w:r>
        <w:rPr>
          <w:rFonts w:ascii="Times New Roman" w:eastAsia="仿宋_GB2312"/>
          <w:b w:val="false"/>
          <w:sz w:val="32"/>
          <w:szCs w:val="32"/>
        </w:rPr>
        <w:t>万元，支出决算</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%。公务接待费支出较预算</w:t>
      </w:r>
      <w:r>
        <w:rPr>
          <w:rFonts w:ascii="Times New Roman" w:eastAsia="仿宋_GB2312"/>
          <w:b w:val="false"/>
          <w:sz w:val="32"/>
          <w:szCs w:val="32"/>
        </w:rPr>
        <w:t>减少</w:t>
      </w:r>
      <w:r>
        <w:rPr>
          <w:rFonts w:ascii="Times New Roman" w:eastAsia="仿宋_GB2312"/>
          <w:b w:val="false"/>
          <w:sz w:val="32"/>
          <w:szCs w:val="32"/>
        </w:rPr>
        <w:t>0.28</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；较上年度</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。本年度共发生公务接待</w:t>
      </w:r>
      <w:r>
        <w:rPr>
          <w:rFonts w:ascii="Times New Roman" w:eastAsia="仿宋_GB2312"/>
          <w:b w:val="false"/>
          <w:sz w:val="32"/>
          <w:szCs w:val="32"/>
        </w:rPr>
        <w:t>0</w:t>
      </w:r>
      <w:r>
        <w:rPr>
          <w:rFonts w:ascii="Times New Roman" w:eastAsia="仿宋_GB2312"/>
          <w:b w:val="false"/>
          <w:sz w:val="32"/>
          <w:szCs w:val="32"/>
        </w:rPr>
        <w:t>批次、</w:t>
      </w:r>
      <w:r>
        <w:rPr>
          <w:rFonts w:ascii="Times New Roman" w:eastAsia="仿宋_GB2312"/>
          <w:b w:val="false"/>
          <w:sz w:val="32"/>
          <w:szCs w:val="32"/>
        </w:rPr>
        <w:t>0</w:t>
      </w:r>
      <w:r>
        <w:rPr>
          <w:rFonts w:ascii="Times New Roman" w:eastAsia="仿宋_GB2312"/>
          <w:b w:val="false"/>
          <w:sz w:val="32"/>
          <w:szCs w:val="32"/>
        </w:rPr>
        <w:t>人次。</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六、机关运行经费支出说明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2024年度机关运行经费支出</w:t>
      </w:r>
      <w:r>
        <w:rPr>
          <w:rFonts w:ascii="Times New Roman" w:eastAsia="仿宋_GB2312"/>
          <w:b w:val="false"/>
          <w:sz w:val="32"/>
          <w:szCs w:val="32"/>
        </w:rPr>
        <w:t>15.76</w:t>
      </w:r>
      <w:r>
        <w:rPr>
          <w:rFonts w:ascii="Times New Roman" w:eastAsia="仿宋_GB2312"/>
          <w:b w:val="false"/>
          <w:sz w:val="32"/>
          <w:szCs w:val="32"/>
        </w:rPr>
        <w:t>万元，较2023年度</w:t>
      </w:r>
      <w:r>
        <w:rPr>
          <w:rFonts w:ascii="Times New Roman" w:eastAsia="仿宋_GB2312"/>
          <w:b w:val="false"/>
          <w:sz w:val="32"/>
          <w:szCs w:val="32"/>
        </w:rPr>
        <w:t>减少</w:t>
      </w:r>
      <w:r>
        <w:rPr>
          <w:rFonts w:ascii="Times New Roman" w:eastAsia="仿宋_GB2312"/>
          <w:b w:val="false"/>
          <w:sz w:val="32"/>
          <w:szCs w:val="32"/>
        </w:rPr>
        <w:t>24.35</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60.7</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七、政府采购支出说明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2024年度政府采购支出总额</w:t>
      </w:r>
      <w:r>
        <w:rPr>
          <w:rFonts w:ascii="Times New Roman" w:eastAsia="仿宋_GB2312"/>
          <w:b w:val="false"/>
          <w:sz w:val="32"/>
          <w:szCs w:val="32"/>
        </w:rPr>
        <w:t>404.07</w:t>
      </w:r>
      <w:r>
        <w:rPr>
          <w:rFonts w:ascii="Times New Roman" w:eastAsia="仿宋_GB2312"/>
          <w:b w:val="false"/>
          <w:sz w:val="32"/>
          <w:szCs w:val="32"/>
        </w:rPr>
        <w:t>万元，从采购类型来看，政府采购货物支出</w:t>
      </w:r>
      <w:r>
        <w:rPr>
          <w:rFonts w:ascii="Times New Roman" w:eastAsia="仿宋_GB2312"/>
          <w:b w:val="false"/>
          <w:sz w:val="32"/>
          <w:szCs w:val="32"/>
        </w:rPr>
        <w:t>0.00</w:t>
      </w:r>
      <w:r>
        <w:rPr>
          <w:rFonts w:ascii="Times New Roman" w:eastAsia="仿宋_GB2312"/>
          <w:b w:val="false"/>
          <w:sz w:val="32"/>
          <w:szCs w:val="32"/>
        </w:rPr>
        <w:t>万元、政府采购工程支出</w:t>
      </w:r>
      <w:r>
        <w:rPr>
          <w:rFonts w:ascii="Times New Roman" w:eastAsia="仿宋_GB2312"/>
          <w:b w:val="false"/>
          <w:sz w:val="32"/>
          <w:szCs w:val="32"/>
        </w:rPr>
        <w:t>404.07</w:t>
      </w:r>
      <w:r>
        <w:rPr>
          <w:rFonts w:ascii="Times New Roman" w:eastAsia="仿宋_GB2312"/>
          <w:b w:val="false"/>
          <w:sz w:val="32"/>
          <w:szCs w:val="32"/>
        </w:rPr>
        <w:t>万元、政府采购服务支出</w:t>
      </w:r>
      <w:r>
        <w:rPr>
          <w:rFonts w:ascii="Times New Roman" w:eastAsia="仿宋_GB2312"/>
          <w:b w:val="false"/>
          <w:sz w:val="32"/>
          <w:szCs w:val="32"/>
        </w:rPr>
        <w:t>0.00</w:t>
      </w:r>
      <w:r>
        <w:rPr>
          <w:rFonts w:ascii="Times New Roman" w:eastAsia="仿宋_GB2312"/>
          <w:b w:val="false"/>
          <w:sz w:val="32"/>
          <w:szCs w:val="32"/>
        </w:rPr>
        <w:t>万元。授予中小企业合同金额</w:t>
      </w:r>
      <w:r>
        <w:rPr>
          <w:rFonts w:ascii="Times New Roman" w:eastAsia="仿宋_GB2312"/>
          <w:b w:val="false"/>
          <w:sz w:val="32"/>
          <w:szCs w:val="32"/>
        </w:rPr>
        <w:t>404.07</w:t>
      </w:r>
      <w:r>
        <w:rPr>
          <w:rFonts w:ascii="Times New Roman" w:eastAsia="仿宋_GB2312"/>
          <w:b w:val="false"/>
          <w:sz w:val="32"/>
          <w:szCs w:val="32"/>
        </w:rPr>
        <w:t>万元，占政府采购支出总额的</w:t>
      </w:r>
      <w:r>
        <w:rPr>
          <w:rFonts w:ascii="Times New Roman" w:eastAsia="仿宋_GB2312"/>
          <w:b w:val="false"/>
          <w:sz w:val="32"/>
          <w:szCs w:val="32"/>
        </w:rPr>
        <w:t>100.0</w:t>
      </w:r>
      <w:r>
        <w:rPr>
          <w:rFonts w:ascii="Times New Roman" w:eastAsia="仿宋_GB2312"/>
          <w:b w:val="false"/>
          <w:sz w:val="32"/>
          <w:szCs w:val="32"/>
        </w:rPr>
        <w:t>%，其中授予小微企业合同金额</w:t>
      </w:r>
      <w:r>
        <w:rPr>
          <w:rFonts w:ascii="Times New Roman" w:eastAsia="仿宋_GB2312"/>
          <w:b w:val="false"/>
          <w:sz w:val="32"/>
          <w:szCs w:val="32"/>
        </w:rPr>
        <w:t>404.07</w:t>
      </w:r>
      <w:r>
        <w:rPr>
          <w:rFonts w:ascii="Times New Roman" w:eastAsia="仿宋_GB2312"/>
          <w:b w:val="false"/>
          <w:sz w:val="32"/>
          <w:szCs w:val="32"/>
        </w:rPr>
        <w:t>万元，占政府采购支出总额的</w:t>
      </w:r>
      <w:r>
        <w:rPr>
          <w:rFonts w:ascii="Times New Roman" w:eastAsia="仿宋_GB2312"/>
          <w:b w:val="false"/>
          <w:sz w:val="32"/>
          <w:szCs w:val="32"/>
        </w:rPr>
        <w:t>100.0</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八、国有资产占用情况说明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截至2024年12月31日，</w:t>
      </w:r>
      <w:r>
        <w:rPr>
          <w:rFonts w:ascii="Times New Roman" w:eastAsia="仿宋_GB2312"/>
          <w:b w:val="false"/>
          <w:sz w:val="32"/>
          <w:szCs w:val="32"/>
        </w:rPr>
        <w:t>本部门共有车辆</w:t>
      </w:r>
      <w:r>
        <w:rPr>
          <w:rFonts w:ascii="Times New Roman" w:eastAsia="仿宋_GB2312"/>
          <w:b w:val="false"/>
          <w:sz w:val="32"/>
          <w:szCs w:val="32"/>
        </w:rPr>
        <w:t>1</w:t>
      </w:r>
      <w:r>
        <w:rPr>
          <w:rFonts w:ascii="Times New Roman" w:eastAsia="仿宋_GB2312"/>
          <w:b w:val="false"/>
          <w:sz w:val="32"/>
          <w:szCs w:val="32"/>
        </w:rPr>
        <w:t>辆，比上年</w:t>
      </w:r>
      <w:r>
        <w:rPr>
          <w:rFonts w:ascii="Times New Roman" w:eastAsia="仿宋_GB2312"/>
          <w:b w:val="false"/>
          <w:sz w:val="32"/>
          <w:szCs w:val="32"/>
        </w:rPr>
        <w:t>减少</w:t>
      </w:r>
      <w:r>
        <w:rPr>
          <w:rFonts w:ascii="Times New Roman" w:eastAsia="仿宋_GB2312"/>
          <w:b w:val="false"/>
          <w:sz w:val="32"/>
          <w:szCs w:val="32"/>
        </w:rPr>
        <w:t>3</w:t>
      </w:r>
      <w:r>
        <w:rPr>
          <w:rFonts w:ascii="Times New Roman" w:eastAsia="仿宋_GB2312"/>
          <w:b w:val="false"/>
          <w:sz w:val="32"/>
          <w:szCs w:val="32"/>
        </w:rPr>
        <w:t>辆，主要是</w:t>
      </w:r>
      <w:r>
        <w:rPr>
          <w:rFonts w:ascii="Times New Roman" w:eastAsia="仿宋_GB2312"/>
          <w:b w:val="false"/>
          <w:sz w:val="32"/>
          <w:szCs w:val="32"/>
        </w:rPr>
        <w:t/>
      </w:r>
      <w:r>
        <w:rPr>
          <w:rFonts w:ascii="Times New Roman" w:eastAsia="仿宋_GB2312"/>
          <w:b w:val="false"/>
          <w:sz w:val="32"/>
          <w:szCs w:val="32"/>
        </w:rPr>
        <w:t>。其中，副部（省）级及以上领导用车</w:t>
      </w:r>
      <w:r>
        <w:rPr>
          <w:rFonts w:ascii="Times New Roman" w:eastAsia="仿宋_GB2312"/>
          <w:b w:val="false"/>
          <w:sz w:val="32"/>
          <w:szCs w:val="32"/>
        </w:rPr>
        <w:t>0</w:t>
      </w:r>
      <w:r>
        <w:rPr>
          <w:rFonts w:ascii="Times New Roman" w:eastAsia="仿宋_GB2312"/>
          <w:b w:val="false"/>
          <w:sz w:val="32"/>
          <w:szCs w:val="32"/>
        </w:rPr>
        <w:t>辆，主要负责人用车</w:t>
      </w:r>
      <w:r>
        <w:rPr>
          <w:rFonts w:ascii="Times New Roman" w:eastAsia="仿宋_GB2312"/>
          <w:b w:val="false"/>
          <w:sz w:val="32"/>
          <w:szCs w:val="32"/>
        </w:rPr>
        <w:t>0</w:t>
      </w:r>
      <w:r>
        <w:rPr>
          <w:rFonts w:ascii="Times New Roman" w:eastAsia="仿宋_GB2312"/>
          <w:b w:val="false"/>
          <w:sz w:val="32"/>
          <w:szCs w:val="32"/>
        </w:rPr>
        <w:t>辆，机要通信用车</w:t>
      </w:r>
      <w:r>
        <w:rPr>
          <w:rFonts w:ascii="Times New Roman" w:eastAsia="仿宋_GB2312"/>
          <w:b w:val="false"/>
          <w:sz w:val="32"/>
          <w:szCs w:val="32"/>
        </w:rPr>
        <w:t>0</w:t>
      </w:r>
      <w:r>
        <w:rPr>
          <w:rFonts w:ascii="Times New Roman" w:eastAsia="仿宋_GB2312"/>
          <w:b w:val="false"/>
          <w:sz w:val="32"/>
          <w:szCs w:val="32"/>
        </w:rPr>
        <w:t>辆，应急保障用车</w:t>
      </w:r>
      <w:r>
        <w:rPr>
          <w:rFonts w:ascii="Times New Roman" w:eastAsia="仿宋_GB2312"/>
          <w:b w:val="false"/>
          <w:sz w:val="32"/>
          <w:szCs w:val="32"/>
        </w:rPr>
        <w:t>1</w:t>
      </w:r>
      <w:r>
        <w:rPr>
          <w:rFonts w:ascii="Times New Roman" w:eastAsia="仿宋_GB2312"/>
          <w:b w:val="false"/>
          <w:sz w:val="32"/>
          <w:szCs w:val="32"/>
        </w:rPr>
        <w:t>辆，执法执勤用车</w:t>
      </w:r>
      <w:r>
        <w:rPr>
          <w:rFonts w:ascii="Times New Roman" w:eastAsia="仿宋_GB2312"/>
          <w:b w:val="false"/>
          <w:sz w:val="32"/>
          <w:szCs w:val="32"/>
        </w:rPr>
        <w:t>0</w:t>
      </w:r>
      <w:r>
        <w:rPr>
          <w:rFonts w:ascii="Times New Roman" w:eastAsia="仿宋_GB2312"/>
          <w:b w:val="false"/>
          <w:sz w:val="32"/>
          <w:szCs w:val="32"/>
        </w:rPr>
        <w:t>辆，特种专业技术用车</w:t>
      </w:r>
      <w:r>
        <w:rPr>
          <w:rFonts w:ascii="Times New Roman" w:eastAsia="仿宋_GB2312"/>
          <w:b w:val="false"/>
          <w:sz w:val="32"/>
          <w:szCs w:val="32"/>
        </w:rPr>
        <w:t>0</w:t>
      </w:r>
      <w:r>
        <w:rPr>
          <w:rFonts w:ascii="Times New Roman" w:eastAsia="仿宋_GB2312"/>
          <w:b w:val="false"/>
          <w:sz w:val="32"/>
          <w:szCs w:val="32"/>
        </w:rPr>
        <w:t>辆，离退休干部用车</w:t>
      </w:r>
      <w:r>
        <w:rPr>
          <w:rFonts w:ascii="Times New Roman" w:eastAsia="仿宋_GB2312"/>
          <w:b w:val="false"/>
          <w:sz w:val="32"/>
          <w:szCs w:val="32"/>
        </w:rPr>
        <w:t>0</w:t>
      </w:r>
      <w:r>
        <w:rPr>
          <w:rFonts w:ascii="Times New Roman" w:eastAsia="仿宋_GB2312"/>
          <w:b w:val="false"/>
          <w:sz w:val="32"/>
          <w:szCs w:val="32"/>
        </w:rPr>
        <w:t>辆，其他用车</w:t>
      </w:r>
      <w:r>
        <w:rPr>
          <w:rFonts w:ascii="Times New Roman" w:eastAsia="仿宋_GB2312"/>
          <w:b w:val="false"/>
          <w:sz w:val="32"/>
          <w:szCs w:val="32"/>
        </w:rPr>
        <w:t>0</w:t>
      </w:r>
      <w:r>
        <w:rPr>
          <w:rFonts w:ascii="Times New Roman" w:eastAsia="仿宋_GB2312"/>
          <w:b w:val="false"/>
          <w:sz w:val="32"/>
          <w:szCs w:val="32"/>
        </w:rPr>
        <w:t>辆，其他用车主要是</w:t>
      </w:r>
      <w:r>
        <w:rPr>
          <w:rFonts w:ascii="Times New Roman" w:eastAsia="仿宋_GB2312"/>
          <w:b w:val="false"/>
          <w:sz w:val="32"/>
          <w:szCs w:val="32"/>
        </w:rPr>
        <w:t/>
      </w:r>
      <w:r>
        <w:rPr>
          <w:rFonts w:ascii="Times New Roman" w:eastAsia="仿宋_GB2312"/>
          <w:b w:val="false"/>
          <w:sz w:val="32"/>
          <w:szCs w:val="32"/>
        </w:rPr>
        <w:t>。单位价值100万元（含）以上设备（不含车辆）</w:t>
      </w:r>
      <w:r>
        <w:rPr>
          <w:rFonts w:ascii="Times New Roman" w:eastAsia="仿宋_GB2312"/>
          <w:b w:val="false"/>
          <w:sz w:val="32"/>
          <w:szCs w:val="32"/>
        </w:rPr>
        <w:t>0</w:t>
      </w:r>
      <w:r>
        <w:rPr>
          <w:rFonts w:ascii="Times New Roman" w:eastAsia="仿宋_GB2312"/>
          <w:b w:val="false"/>
          <w:sz w:val="32"/>
          <w:szCs w:val="32"/>
        </w:rPr>
        <w:t>台（套）。</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九、关于2024年度绩效评价情况的说明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（一）绩效评价工作开展情况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根据预算绩效管理要求，</w:t>
      </w:r>
      <w:r>
        <w:rPr>
          <w:rFonts w:ascii="Times New Roman" w:eastAsia="仿宋_GB2312"/>
          <w:b w:val="false"/>
          <w:sz w:val="32"/>
          <w:szCs w:val="32"/>
        </w:rPr>
        <w:t>本部门</w:t>
      </w:r>
      <w:r>
        <w:rPr>
          <w:rFonts w:ascii="Times New Roman" w:eastAsia="仿宋_GB2312"/>
          <w:b w:val="false"/>
          <w:sz w:val="32"/>
          <w:szCs w:val="32"/>
        </w:rPr>
        <w:t>组织对2024年度本级预算项目支出全面开展绩效自评，共涉及资金</w:t>
      </w:r>
      <w:r>
        <w:rPr>
          <w:rFonts w:ascii="Times New Roman" w:eastAsia="仿宋_GB2312"/>
          <w:b w:val="false"/>
          <w:sz w:val="32"/>
          <w:szCs w:val="32"/>
        </w:rPr>
        <w:t/>
      </w:r>
      <w:r>
        <w:rPr>
          <w:rFonts w:ascii="Times New Roman" w:eastAsia="仿宋_GB2312"/>
          <w:b w:val="false"/>
          <w:sz w:val="32"/>
          <w:szCs w:val="32"/>
        </w:rPr>
        <w:t>万元（决算金额）。其中，一般公共预算项目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万元，占一般公共预算项目支出总额的</w:t>
      </w:r>
      <w:r>
        <w:rPr>
          <w:rFonts w:ascii="Times New Roman" w:eastAsia="仿宋_GB2312"/>
          <w:b w:val="false"/>
          <w:sz w:val="32"/>
          <w:szCs w:val="32"/>
        </w:rPr>
        <w:t/>
      </w:r>
      <w:r>
        <w:rPr>
          <w:rFonts w:ascii="Times New Roman" w:eastAsia="仿宋_GB2312"/>
          <w:b w:val="false"/>
          <w:sz w:val="32"/>
          <w:szCs w:val="32"/>
        </w:rPr>
        <w:t>%；政府性基金预算项目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万元，占政府性基金预算项目支出总额的</w:t>
      </w:r>
      <w:r>
        <w:rPr>
          <w:rFonts w:ascii="Times New Roman" w:eastAsia="仿宋_GB2312"/>
          <w:b w:val="false"/>
          <w:sz w:val="32"/>
          <w:szCs w:val="32"/>
        </w:rPr>
        <w:t/>
      </w:r>
      <w:r>
        <w:rPr>
          <w:rFonts w:ascii="Times New Roman" w:eastAsia="仿宋_GB2312"/>
          <w:b w:val="false"/>
          <w:sz w:val="32"/>
          <w:szCs w:val="32"/>
        </w:rPr>
        <w:t>%；国有资本经营预算项目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万元，占国有资本经营预算项目支出总额的</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组织对</w:t>
      </w:r>
      <w:r>
        <w:rPr>
          <w:rFonts w:ascii="Times New Roman" w:eastAsia="仿宋_GB2312"/>
          <w:b w:val="false"/>
          <w:sz w:val="32"/>
          <w:szCs w:val="32"/>
        </w:rPr>
        <w:t/>
      </w:r>
      <w:r>
        <w:rPr>
          <w:rFonts w:ascii="Times New Roman" w:eastAsia="仿宋_GB2312"/>
          <w:b w:val="false"/>
          <w:sz w:val="32"/>
          <w:szCs w:val="32"/>
        </w:rPr>
        <w:t>等</w:t>
      </w:r>
      <w:r>
        <w:rPr>
          <w:rFonts w:ascii="Times New Roman" w:eastAsia="仿宋_GB2312"/>
          <w:b w:val="false"/>
          <w:sz w:val="32"/>
          <w:szCs w:val="32"/>
        </w:rPr>
        <w:t/>
      </w:r>
      <w:r>
        <w:rPr>
          <w:rFonts w:ascii="Times New Roman" w:eastAsia="仿宋_GB2312"/>
          <w:b w:val="false"/>
          <w:sz w:val="32"/>
          <w:szCs w:val="32"/>
        </w:rPr>
        <w:t>个项目开展了部门重点评价，涉及一般公共预算支出</w:t>
      </w:r>
      <w:r>
        <w:rPr>
          <w:rFonts w:ascii="Times New Roman" w:eastAsia="仿宋_GB2312"/>
          <w:b w:val="false"/>
          <w:sz w:val="32"/>
          <w:szCs w:val="32"/>
        </w:rPr>
        <w:t/>
      </w:r>
      <w:r>
        <w:rPr>
          <w:rFonts w:ascii="Times New Roman" w:eastAsia="仿宋_GB2312"/>
          <w:b w:val="false"/>
          <w:sz w:val="32"/>
          <w:szCs w:val="32"/>
        </w:rPr>
        <w:t>万元，政府性基金预算支出</w:t>
      </w:r>
      <w:r>
        <w:rPr>
          <w:rFonts w:ascii="Times New Roman" w:eastAsia="仿宋_GB2312"/>
          <w:b w:val="false"/>
          <w:sz w:val="32"/>
          <w:szCs w:val="32"/>
        </w:rPr>
        <w:t/>
      </w:r>
      <w:r>
        <w:rPr>
          <w:rFonts w:ascii="Times New Roman" w:eastAsia="仿宋_GB2312"/>
          <w:b w:val="false"/>
          <w:sz w:val="32"/>
          <w:szCs w:val="32"/>
        </w:rPr>
        <w:t>万元，国有资本经营预算支出</w:t>
      </w:r>
      <w:r>
        <w:rPr>
          <w:rFonts w:ascii="Times New Roman" w:eastAsia="仿宋_GB2312"/>
          <w:b w:val="false"/>
          <w:sz w:val="32"/>
          <w:szCs w:val="32"/>
        </w:rPr>
        <w:t/>
      </w:r>
      <w:r>
        <w:rPr>
          <w:rFonts w:ascii="Times New Roman" w:eastAsia="仿宋_GB2312"/>
          <w:b w:val="false"/>
          <w:sz w:val="32"/>
          <w:szCs w:val="32"/>
        </w:rPr>
        <w:t>万元，从评价情况来看，</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（二）部门决算中项目绩效自评结果</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在今年部门决算公开中反映 </w:t>
      </w:r>
      <w:r>
        <w:rPr>
          <w:rFonts w:ascii="Times New Roman" w:eastAsia="仿宋_GB2312"/>
          <w:b w:val="false"/>
          <w:sz w:val="32"/>
          <w:szCs w:val="32"/>
        </w:rPr>
        <w:t/>
      </w:r>
      <w:r>
        <w:rPr>
          <w:rFonts w:ascii="Times New Roman" w:eastAsia="仿宋_GB2312"/>
          <w:b w:val="false"/>
          <w:sz w:val="32"/>
          <w:szCs w:val="32"/>
        </w:rPr>
        <w:t>等</w:t>
      </w:r>
      <w:r>
        <w:rPr>
          <w:rFonts w:ascii="Times New Roman" w:eastAsia="仿宋_GB2312"/>
          <w:b w:val="false"/>
          <w:sz w:val="32"/>
          <w:szCs w:val="32"/>
        </w:rPr>
        <w:t/>
      </w:r>
      <w:r>
        <w:rPr>
          <w:rFonts w:ascii="Times New Roman" w:eastAsia="仿宋_GB2312"/>
          <w:b w:val="false"/>
          <w:sz w:val="32"/>
          <w:szCs w:val="32"/>
        </w:rPr>
        <w:t>个项目绩效自评结果。</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r>
        <w:rPr>
          <w:rFonts w:ascii="Times New Roman" w:eastAsia="仿宋_GB2312"/>
          <w:b w:val="false"/>
          <w:sz w:val="32"/>
          <w:szCs w:val="32"/>
        </w:rPr>
        <w:t>项目绩效自评情况：根据年初设定的绩效目标，</w:t>
      </w:r>
      <w:r>
        <w:rPr>
          <w:rFonts w:ascii="Times New Roman" w:eastAsia="仿宋_GB2312"/>
          <w:b w:val="false"/>
          <w:sz w:val="32"/>
          <w:szCs w:val="32"/>
        </w:rPr>
        <w:t/>
      </w:r>
      <w:r>
        <w:rPr>
          <w:rFonts w:ascii="Times New Roman" w:eastAsia="仿宋_GB2312"/>
          <w:b w:val="false"/>
          <w:sz w:val="32"/>
          <w:szCs w:val="32"/>
        </w:rPr>
        <w:t>项目绩效自评得分为</w:t>
      </w:r>
      <w:r>
        <w:rPr>
          <w:rFonts w:ascii="Times New Roman" w:eastAsia="仿宋_GB2312"/>
          <w:b w:val="false"/>
          <w:sz w:val="32"/>
          <w:szCs w:val="32"/>
        </w:rPr>
        <w:t/>
      </w:r>
      <w:r>
        <w:rPr>
          <w:rFonts w:ascii="Times New Roman" w:eastAsia="仿宋_GB2312"/>
          <w:b w:val="false"/>
          <w:sz w:val="32"/>
          <w:szCs w:val="32"/>
        </w:rPr>
        <w:t>分（绩效自评表附后）。全年预算数为</w:t>
      </w:r>
      <w:r>
        <w:rPr>
          <w:rFonts w:ascii="Times New Roman" w:eastAsia="仿宋_GB2312"/>
          <w:b w:val="false"/>
          <w:sz w:val="32"/>
          <w:szCs w:val="32"/>
        </w:rPr>
        <w:t/>
      </w:r>
      <w:r>
        <w:rPr>
          <w:rFonts w:ascii="Times New Roman" w:eastAsia="仿宋_GB2312"/>
          <w:b w:val="false"/>
          <w:sz w:val="32"/>
          <w:szCs w:val="32"/>
        </w:rPr>
        <w:t>万元，执行数为</w:t>
      </w:r>
      <w:r>
        <w:rPr>
          <w:rFonts w:ascii="Times New Roman" w:eastAsia="仿宋_GB2312"/>
          <w:b w:val="false"/>
          <w:sz w:val="32"/>
          <w:szCs w:val="32"/>
        </w:rPr>
        <w:t/>
      </w:r>
      <w:r>
        <w:rPr>
          <w:rFonts w:ascii="Times New Roman" w:eastAsia="仿宋_GB2312"/>
          <w:b w:val="false"/>
          <w:sz w:val="32"/>
          <w:szCs w:val="32"/>
        </w:rPr>
        <w:t>万元，完成预算的</w:t>
      </w:r>
      <w:r>
        <w:rPr>
          <w:rFonts w:ascii="Times New Roman" w:eastAsia="仿宋_GB2312"/>
          <w:b w:val="false"/>
          <w:sz w:val="32"/>
          <w:szCs w:val="32"/>
        </w:rPr>
        <w:t/>
      </w:r>
      <w:r>
        <w:rPr>
          <w:rFonts w:ascii="Times New Roman" w:eastAsia="仿宋_GB2312"/>
          <w:b w:val="false"/>
          <w:sz w:val="32"/>
          <w:szCs w:val="32"/>
        </w:rPr>
        <w:t>%。项目绩效目标完成情况：一是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。发现的主要问题及原因是：一是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。下一步改进措施：一是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（三）部门评价项目绩效评价结果（如有）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p>
    <w:p>
      <w:pPr>
        <w:widowControl w:val="true"/>
        <w:spacing w:before="0" w:beforeLines="0" w:beforeAutospacing="false" w:after="0" w:afterLines="0" w:afterAutospacing="false" w:line="360" w:lineRule="auto"/>
        <w:ind w:firstLine="200" w:firstLineChars="200"/>
        <w:jc w:val="left"/>
        <w:rPr>
          <w:rFonts w:ascii="Times New Roman" w:eastAsia="黑体"/>
          <w:sz w:val="32"/>
          <w:szCs w:val="32"/>
        </w:rPr>
      </w:pPr>
      <w:r>
        <w:rPr>
          <w:rFonts w:ascii="Times New Roman" w:eastAsia="黑体"/>
          <w:b w:val="false"/>
          <w:sz w:val="32"/>
          <w:szCs w:val="32"/>
        </w:rPr>
        <w:t>十、其他需要说明的情况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1. </w:t>
      </w:r>
      <w:r>
        <w:rPr>
          <w:rFonts w:ascii="Times New Roman" w:eastAsia="仿宋_GB2312"/>
          <w:b w:val="false"/>
          <w:sz w:val="32"/>
          <w:szCs w:val="32"/>
        </w:rPr>
        <w:t>本部门</w:t>
      </w:r>
      <w:r>
        <w:rPr>
          <w:rFonts w:ascii="Times New Roman" w:eastAsia="仿宋_GB2312"/>
          <w:b w:val="false"/>
          <w:sz w:val="32"/>
          <w:szCs w:val="32"/>
        </w:rPr>
        <w:t>2024年度</w:t>
      </w:r>
      <w:r>
        <w:rPr>
          <w:rFonts w:ascii="Times New Roman" w:eastAsia="仿宋_GB2312"/>
          <w:b w:val="false"/>
          <w:sz w:val="32"/>
          <w:szCs w:val="32"/>
        </w:rPr>
        <w:t>国有资本经营预算财政拨款支出决算表（公开08表）</w:t>
      </w:r>
      <w:r>
        <w:rPr>
          <w:rFonts w:ascii="Times New Roman" w:eastAsia="仿宋_GB2312"/>
          <w:b w:val="false"/>
          <w:sz w:val="32"/>
          <w:szCs w:val="32"/>
        </w:rPr>
        <w:t>无相应收支，故空表列示。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第四部分 名词解释</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一、财政拨款收入：</w:t>
      </w:r>
      <w:r>
        <w:rPr>
          <w:rFonts w:ascii="Times New Roman" w:eastAsia="仿宋_GB2312"/>
          <w:b w:val="false"/>
          <w:sz w:val="32"/>
          <w:szCs w:val="32"/>
        </w:rPr>
        <w:t>指单位从同级财政部门取得的财政预算资金。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二、事业收入：</w:t>
      </w:r>
      <w:r>
        <w:rPr>
          <w:rFonts w:ascii="Times New Roman" w:eastAsia="仿宋_GB2312"/>
          <w:b w:val="false"/>
          <w:sz w:val="32"/>
          <w:szCs w:val="32"/>
        </w:rPr>
        <w:t>指事业单位开展专业业务活动及辅助活动取得的收入。</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三、经营收入：</w:t>
      </w:r>
      <w:r>
        <w:rPr>
          <w:rFonts w:ascii="Times New Roman" w:eastAsia="仿宋_GB2312"/>
          <w:b w:val="false"/>
          <w:sz w:val="32"/>
          <w:szCs w:val="32"/>
        </w:rPr>
        <w:t>指事业单位在专业业务活动及其辅助活动之外开展非独立核算经营活动取得的收入。</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四、其他收入：</w:t>
      </w:r>
      <w:r>
        <w:rPr>
          <w:rFonts w:ascii="Times New Roman" w:eastAsia="仿宋_GB2312"/>
          <w:b w:val="false"/>
          <w:sz w:val="32"/>
          <w:szCs w:val="32"/>
        </w:rPr>
        <w:t>指单位取得的除上述收入以外的各项收入。主要是事业单位固定资产出租收入、存款利息收入等。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五、使用非财政拨款结余（含专用结余）：</w:t>
      </w:r>
      <w:r>
        <w:rPr>
          <w:rFonts w:ascii="Times New Roman" w:eastAsia="仿宋_GB2312"/>
          <w:b w:val="false"/>
          <w:sz w:val="32"/>
          <w:szCs w:val="32"/>
        </w:rPr>
        <w:t>指事业单位按照预算管理要求使用非财政拨款结余弥补收支差额的金额，以及使用专用结余安排支出的金额。</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六、年初结转和结余：</w:t>
      </w:r>
      <w:r>
        <w:rPr>
          <w:rFonts w:ascii="Times New Roman" w:eastAsia="仿宋_GB2312"/>
          <w:b w:val="false"/>
          <w:sz w:val="32"/>
          <w:szCs w:val="32"/>
        </w:rPr>
        <w:t>指单位以前年度尚未完成、结转到本年仍按原规定用途继续使用的资金，或项目已完成等产生的结余资金。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七、结余分配：</w:t>
      </w:r>
      <w:r>
        <w:rPr>
          <w:rFonts w:ascii="Times New Roman" w:eastAsia="仿宋_GB2312"/>
          <w:b w:val="false"/>
          <w:sz w:val="32"/>
          <w:szCs w:val="32"/>
        </w:rPr>
        <w:t>指事业单位按照会计制度规定缴纳的所得税、提取的专用结余以及转入非财政拨款结余的金额等。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八、年末结转和结余：</w:t>
      </w:r>
      <w:r>
        <w:rPr>
          <w:rFonts w:ascii="Times New Roman" w:eastAsia="仿宋_GB2312"/>
          <w:b w:val="false"/>
          <w:sz w:val="32"/>
          <w:szCs w:val="32"/>
        </w:rPr>
        <w:t>指单位按有关规定结转到下年或以后年度继续使用的资金，或项目已完成等产生的结余资金。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九、基本支出：</w:t>
      </w:r>
      <w:r>
        <w:rPr>
          <w:rFonts w:ascii="Times New Roman" w:eastAsia="仿宋_GB2312"/>
          <w:b w:val="false"/>
          <w:sz w:val="32"/>
          <w:szCs w:val="32"/>
        </w:rPr>
        <w:t>指为保障机构正常运转、完成日常工作任务而发生的人员支出和公用支出。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十、项目支出：</w:t>
      </w:r>
      <w:r>
        <w:rPr>
          <w:rFonts w:ascii="Times New Roman" w:eastAsia="仿宋_GB2312"/>
          <w:b w:val="false"/>
          <w:sz w:val="32"/>
          <w:szCs w:val="32"/>
        </w:rPr>
        <w:t>指在基本支出之外为完成特定行政任务和事业发展目标所发生的支出。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十一、经营支出 ：</w:t>
      </w:r>
      <w:r>
        <w:rPr>
          <w:rFonts w:ascii="Times New Roman" w:eastAsia="仿宋_GB2312"/>
          <w:b w:val="false"/>
          <w:sz w:val="32"/>
          <w:szCs w:val="32"/>
        </w:rPr>
        <w:t>指事业单位在专业业务活动及其辅助活动之外开展非独立核算经营活动发生的支出。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十二、基本建设支出：</w:t>
      </w:r>
      <w:r>
        <w:rPr>
          <w:rFonts w:ascii="Times New Roman" w:eastAsia="仿宋_GB2312"/>
          <w:b w:val="false"/>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十三、其他资本性支出：</w:t>
      </w:r>
      <w:r>
        <w:rPr>
          <w:rFonts w:ascii="Times New Roman" w:eastAsia="仿宋_GB2312"/>
          <w:b w:val="false"/>
          <w:sz w:val="32"/>
          <w:szCs w:val="32"/>
        </w:rPr>
        <w:t>填列由各级非发展与改革部门集中安排的用于购置固定资产、战备性和应急性储备、土地和无形资产，以及购建基础设施、大型修缮和财政支持企业更新改造所发生的支出。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十四、“三公”经费：</w:t>
      </w:r>
      <w:r>
        <w:rPr>
          <w:rFonts w:ascii="Times New Roman" w:eastAsia="仿宋_GB2312"/>
          <w:b w:val="false"/>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十五、其他交通费用：</w:t>
      </w:r>
      <w:r>
        <w:rPr>
          <w:rFonts w:ascii="Times New Roman" w:eastAsia="仿宋_GB2312"/>
          <w:b w:val="false"/>
          <w:sz w:val="32"/>
          <w:szCs w:val="32"/>
        </w:rPr>
        <w:t>填列单位除公务用车运行维护费以外的其他交通费用。如公务交通补贴、租车费用、出租车费用，飞机、船舶等燃料费、维修费、保险费等。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十六、公务用车购置：</w:t>
      </w:r>
      <w:r>
        <w:rPr>
          <w:rFonts w:ascii="Times New Roman" w:eastAsia="仿宋_GB2312"/>
          <w:b w:val="false"/>
          <w:sz w:val="32"/>
          <w:szCs w:val="32"/>
        </w:rPr>
        <w:t>填列单位公务用车车辆购置支出（含车辆购置税、牌照费）。</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十七、其他交通工具购置：</w:t>
      </w:r>
      <w:r>
        <w:rPr>
          <w:rFonts w:ascii="Times New Roman" w:eastAsia="仿宋_GB2312"/>
          <w:b w:val="false"/>
          <w:sz w:val="32"/>
          <w:szCs w:val="32"/>
        </w:rPr>
        <w:t>填列单位除公务用车外的其他各类交通工具（如船舶、飞机等）购置支出（含车辆购置税、牌照费）。</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十八、机关运行经费：</w:t>
      </w:r>
      <w:r>
        <w:rPr>
          <w:rFonts w:ascii="Times New Roman" w:eastAsia="仿宋_GB2312"/>
          <w:b w:val="false"/>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w:type="default" r:id="rId21"/>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false"/>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06925B3-B179-4DA5-825D-49BCB09F6F46}"/>
  </w:font>
  <w:font w:name="黑体">
    <w:panose1 w:val="02010609060101010101"/>
    <w:charset w:val="86"/>
    <w:family w:val="auto"/>
    <w:pitch w:val="default"/>
    <w:sig w:usb0="800002BF" w:usb1="38CF7CFA" w:usb2="00000016" w:usb3="00000000" w:csb0="00040001" w:csb1="00000000"/>
    <w:embedRegular r:id="rId2" w:fontKey="{A968838E-1B01-4BC3-AD63-F010CC58ED2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52A8052E-AFFB-49B9-8B5F-33DAA7781B67}"/>
  </w:font>
  <w:font w:name="仿宋">
    <w:panose1 w:val="02010609060101010101"/>
    <w:charset w:val="86"/>
    <w:family w:val="modern"/>
    <w:pitch w:val="default"/>
    <w:sig w:usb0="800002BF" w:usb1="38CF7CFA" w:usb2="00000016" w:usb3="00000000" w:csb0="00040001" w:csb1="00000000"/>
    <w:embedRegular r:id="rId4" w:fontKey="{5969C809-C1DD-495C-BE9A-21B314E2BF7B}"/>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B37DE4FC-AE24-4FEF-8457-2595C4A750B4}"/>
  </w:font>
  <w:font w:name="方正小标宋_GBK">
    <w:panose1 w:val="02000000000000000000"/>
    <w:charset w:val="86"/>
    <w:family w:val="script"/>
    <w:pitch w:val="default"/>
    <w:sig w:usb0="A00002BF" w:usb1="38CF7CFA" w:usb2="00082016" w:usb3="00000000" w:csb0="00040001" w:csb1="00000000"/>
    <w:embedRegular r:id="rId6" w:fontKey="{9D819AA7-BA24-4AA5-A309-5DE1B19D90F0}"/>
  </w:font>
  <w:font w:name="仿宋_GB2312">
    <w:panose1 w:val="02010609030101010101"/>
    <w:charset w:val="86"/>
    <w:family w:val="auto"/>
    <w:pitch w:val="default"/>
    <w:sig w:usb0="00000001" w:usb1="080E0000" w:usb2="00000000" w:usb3="00000000" w:csb0="00040000" w:csb1="00000000"/>
    <w:embedRegular r:id="rId7" w:fontKey="{A0616CF8-7A5D-4A9A-9979-81D77F1DC34A}"/>
  </w:font>
  <w:font w:name="ArialUnicodeMS">
    <w:altName w:val="Malgun Gothic"/>
    <w:panose1 w:val="00000000000000000000"/>
    <w:charset w:val="81"/>
    <w:family w:val="auto"/>
    <w:pitch w:val="default"/>
    <w:sig w:usb0="00000000" w:usb1="00000000" w:usb2="00000010" w:usb3="00000000" w:csb0="00080001" w:csb1="00000000"/>
    <w:embedRegular r:id="rId8" w:fontKey="{7884C9CE-BAB3-4815-9418-43872C0EAE6E}"/>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4F3F0362-44EC-43DE-A0EB-311B750065F0}"/>
  </w:font>
</w:fonts>
</file>

<file path=word/footer.xml><?xml version="1.0" encoding="utf-8"?>
<w:ftr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p>
    <w:pPr>
      <w:jc w:val="center"/>
    </w:pPr>
    <w:r>
      <w:fldChar w:fldCharType="begin"/>
    </w:r>
    <w:r>
      <w:t xml:space="preserve">PAGE</w:t>
    </w:r>
    <w:r>
      <w:fldChar w:fldCharType="separate"/>
    </w:r>
    <w:r>
      <w:t>1</w:t>
    </w:r>
    <w:r>
      <w:fldChar w:fldCharType="end"/>
    </w:r>
  </w:p>
</w:ftr>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xml><?xml version="1.0" encoding="utf-8"?>
<w:hdr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p/>
</w:hd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10" Target="media/image1.jpeg" Type="http://schemas.openxmlformats.org/officeDocument/2006/relationships/image"/><Relationship Id="rId11" Target="charts/chart1.xml" Type="http://schemas.openxmlformats.org/officeDocument/2006/relationships/chart"/><Relationship Id="rId12" Target="charts/chart2.xml" Type="http://schemas.openxmlformats.org/officeDocument/2006/relationships/chart"/><Relationship Id="rId13" Target="charts/chart3.xml" Type="http://schemas.openxmlformats.org/officeDocument/2006/relationships/chart"/><Relationship Id="rId14" Target="charts/chart4.xml" Type="http://schemas.openxmlformats.org/officeDocument/2006/relationships/chart"/><Relationship Id="rId15" Target="charts/chart5.xml" Type="http://schemas.openxmlformats.org/officeDocument/2006/relationships/chart"/><Relationship Id="rId16" Target="charts/chart6.xml" Type="http://schemas.openxmlformats.org/officeDocument/2006/relationships/chart"/><Relationship Id="rId17" Target="../customXml/item1.xml" Type="http://schemas.openxmlformats.org/officeDocument/2006/relationships/customXml"/><Relationship Id="rId18" Target="numbering.xml" Type="http://schemas.openxmlformats.org/officeDocument/2006/relationships/numbering"/><Relationship Id="rId19" Target="fontTable.xml" Type="http://schemas.openxmlformats.org/officeDocument/2006/relationships/fontTable"/><Relationship Id="rId2" Target="settings.xml" Type="http://schemas.openxmlformats.org/officeDocument/2006/relationships/settings"/><Relationship Id="rId20" Target="header.xml" Type="http://schemas.openxmlformats.org/officeDocument/2006/relationships/header"/><Relationship Id="rId21" Target="footer.xml" Type="http://schemas.openxmlformats.org/officeDocument/2006/relationships/footer"/><Relationship Id="rId3" Target="footer1.xml" Type="http://schemas.openxmlformats.org/officeDocument/2006/relationships/footer"/><Relationship Id="rId4" Target="header1.xml" Type="http://schemas.openxmlformats.org/officeDocument/2006/relationships/header"/><Relationship Id="rId5" Target="header2.xml" Type="http://schemas.openxmlformats.org/officeDocument/2006/relationships/header"/><Relationship Id="rId6" Target="footer2.xml" Type="http://schemas.openxmlformats.org/officeDocument/2006/relationships/footer"/><Relationship Id="rId7" Target="footer3.xml" Type="http://schemas.openxmlformats.org/officeDocument/2006/relationships/footer"/><Relationship Id="rId8" Target="header3.xml" Type="http://schemas.openxmlformats.org/officeDocument/2006/relationships/header"/><Relationship Id="rId9" Target="theme/theme1.xml" Type="http://schemas.openxmlformats.org/officeDocument/2006/relationships/theme"/></Relationships>
</file>

<file path=word/_rels/fontTable.xml.rels><?xml version="1.0" encoding="UTF-8" standalone="yes"?><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charts/_rels/chart1.xml.rels><?xml version="1.0" encoding="UTF-8" standalone="yes"?><Relationships xmlns="http://schemas.openxmlformats.org/package/2006/relationships"><Relationship Id="rId1" Target="../embeddings/Workbook4.xlsx" Type="http://schemas.openxmlformats.org/officeDocument/2006/relationships/package"/><Relationship Id="rId2" Target="style4.xml" Type="http://schemas.microsoft.com/office/2011/relationships/chartStyle"/><Relationship Id="rId3" Target="colors4.xml" Type="http://schemas.microsoft.com/office/2011/relationships/chartColorStyle"/></Relationships>
</file>

<file path=word/charts/_rels/chart2.xml.rels><?xml version="1.0" encoding="UTF-8" standalone="yes"?><Relationships xmlns="http://schemas.openxmlformats.org/package/2006/relationships"><Relationship Id="rId1" Target="../embeddings/Workbook6.xlsx" Type="http://schemas.openxmlformats.org/officeDocument/2006/relationships/package"/><Relationship Id="rId2" Target="style6.xml" Type="http://schemas.microsoft.com/office/2011/relationships/chartStyle"/><Relationship Id="rId3" Target="colors6.xml" Type="http://schemas.microsoft.com/office/2011/relationships/chartColorStyle"/></Relationships>
</file>

<file path=word/charts/_rels/chart3.xml.rels><?xml version="1.0" encoding="UTF-8" standalone="yes"?><Relationships xmlns="http://schemas.openxmlformats.org/package/2006/relationships"><Relationship Id="rId1" Target="../embeddings/Workbook3.xlsx" Type="http://schemas.openxmlformats.org/officeDocument/2006/relationships/package"/><Relationship Id="rId2" Target="style3.xml" Type="http://schemas.microsoft.com/office/2011/relationships/chartStyle"/><Relationship Id="rId3" Target="colors3.xml" Type="http://schemas.microsoft.com/office/2011/relationships/chartColorStyle"/></Relationships>
</file>

<file path=word/charts/_rels/chart4.xml.rels><?xml version="1.0" encoding="UTF-8" standalone="yes"?><Relationships xmlns="http://schemas.openxmlformats.org/package/2006/relationships"><Relationship Id="rId1" Target="../embeddings/Workbook5.xlsx" Type="http://schemas.openxmlformats.org/officeDocument/2006/relationships/package"/><Relationship Id="rId2" Target="style5.xml" Type="http://schemas.microsoft.com/office/2011/relationships/chartStyle"/><Relationship Id="rId3" Target="colors5.xml" Type="http://schemas.microsoft.com/office/2011/relationships/chartColorStyle"/></Relationships>
</file>

<file path=word/charts/_rels/chart5.xml.rels><?xml version="1.0" encoding="UTF-8" standalone="yes"?><Relationships xmlns="http://schemas.openxmlformats.org/package/2006/relationships"><Relationship Id="rId1" Target="../embeddings/Workbook2.xlsx" Type="http://schemas.openxmlformats.org/officeDocument/2006/relationships/package"/><Relationship Id="rId2" Target="style2.xml" Type="http://schemas.microsoft.com/office/2011/relationships/chartStyle"/><Relationship Id="rId3" Target="colors2.xml" Type="http://schemas.microsoft.com/office/2011/relationships/chartColorStyle"/></Relationships>
</file>

<file path=word/charts/_rels/chart6.xml.rels><?xml version="1.0" encoding="UTF-8" standalone="yes"?><Relationships xmlns="http://schemas.openxmlformats.org/package/2006/relationships"><Relationship Id="rId1" Target="../embeddings/Workbook1.xlsx" Type="http://schemas.openxmlformats.org/officeDocument/2006/relationships/package"/><Relationship Id="rId2" Target="style1.xml" Type="http://schemas.microsoft.com/office/2011/relationships/chartStyle"/><Relationship Id="rId3" Target="colors1.xml" Type="http://schemas.microsoft.com/office/2011/relationships/chartColorStyle"/></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ptCount val="2"/>
                <c:pt idx="0">
                  <c:v>8555.25</c:v>
                </c:pt>
                <c:pt idx="1">
                  <c:v>9223.75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ptCount val="6"/>
                <c:pt idx="0">
                  <c:v>9.223749305E7</c:v>
                </c:pt>
                <c:pt idx="1">
                  <c:v>0.0</c:v>
                </c:pt>
                <c:pt idx="2">
                  <c:v>0.0</c:v>
                </c:pt>
                <c:pt idx="3">
                  <c:v>0.0</c:v>
                </c:pt>
                <c:pt idx="4">
                  <c:v>0.0</c:v>
                </c:pt>
                <c:pt idx="5">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ptCount val="5"/>
                <c:pt idx="0">
                  <c:v>4978411.18</c:v>
                </c:pt>
                <c:pt idx="1">
                  <c:v>8.725908187E7</c:v>
                </c:pt>
                <c:pt idx="2">
                  <c:v>0.0</c:v>
                </c:pt>
                <c:pt idx="3">
                  <c:v>0.0</c:v>
                </c:pt>
                <c:pt idx="4">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8555.25</c:v>
                </c:pt>
                <c:pt idx="1">
                  <c:v>8555.25</c:v>
                </c:pt>
                <c:pt idx="2">
                  <c:v>8065.55</c:v>
                </c:pt>
                <c:pt idx="3">
                  <c:v>8065.55</c:v>
                </c:pt>
                <c:pt idx="4">
                  <c:v>489.7</c:v>
                </c:pt>
                <c:pt idx="5">
                  <c:v>489.7</c:v>
                </c:pt>
                <c:pt idx="6">
                  <c:v>0.0</c:v>
                </c:pt>
                <c:pt idx="7">
                  <c:v>0.0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9223.75</c:v>
                </c:pt>
                <c:pt idx="1">
                  <c:v>9223.75</c:v>
                </c:pt>
                <c:pt idx="2">
                  <c:v>8868.34</c:v>
                </c:pt>
                <c:pt idx="3">
                  <c:v>8868.34</c:v>
                </c:pt>
                <c:pt idx="4">
                  <c:v>355.41</c:v>
                </c:pt>
                <c:pt idx="5">
                  <c:v>355.41</c:v>
                </c:pt>
                <c:pt idx="6">
                  <c:v>0.0</c:v>
                </c:pt>
                <c:pt idx="7">
                  <c:v>0.0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6024.89</c:v>
                </c:pt>
                <c:pt idx="1">
                  <c:v>6024.89</c:v>
                </c:pt>
                <c:pt idx="2">
                  <c:v>5800.2</c:v>
                </c:pt>
                <c:pt idx="3">
                  <c:v>5800.2</c:v>
                </c:pt>
                <c:pt idx="4">
                  <c:v>224.69</c:v>
                </c:pt>
                <c:pt idx="5">
                  <c:v>224.69</c:v>
                </c:pt>
                <c:pt idx="6">
                  <c:v>0.0</c:v>
                </c:pt>
                <c:pt idx="7">
                  <c:v>0.0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9223.75</c:v>
                </c:pt>
                <c:pt idx="1">
                  <c:v>9223.75</c:v>
                </c:pt>
                <c:pt idx="2">
                  <c:v>8868.34</c:v>
                </c:pt>
                <c:pt idx="3">
                  <c:v>8868.34</c:v>
                </c:pt>
                <c:pt idx="4">
                  <c:v>355.41</c:v>
                </c:pt>
                <c:pt idx="5">
                  <c:v>355.41</c:v>
                </c:pt>
                <c:pt idx="6">
                  <c:v>0.0</c:v>
                </c:pt>
                <c:pt idx="7">
                  <c:v>0.0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ptCount val="26"/>
                <c:pt idx="0">
                  <c:v>0.0</c:v>
                </c:pt>
                <c:pt idx="1">
                  <c:v>0.0</c:v>
                </c:pt>
                <c:pt idx="2">
                  <c:v>0.0</c:v>
                </c:pt>
                <c:pt idx="3">
                  <c:v>0.0</c:v>
                </c:pt>
                <c:pt idx="4">
                  <c:v>0.0</c:v>
                </c:pt>
                <c:pt idx="5">
                  <c:v>0.0</c:v>
                </c:pt>
                <c:pt idx="6">
                  <c:v>0.0</c:v>
                </c:pt>
                <c:pt idx="7">
                  <c:v>8815.46</c:v>
                </c:pt>
                <c:pt idx="8">
                  <c:v>20.93</c:v>
                </c:pt>
                <c:pt idx="9">
                  <c:v>0.0</c:v>
                </c:pt>
                <c:pt idx="10">
                  <c:v>0.0</c:v>
                </c:pt>
                <c:pt idx="11">
                  <c:v>0.0</c:v>
                </c:pt>
                <c:pt idx="12">
                  <c:v>0.0</c:v>
                </c:pt>
                <c:pt idx="13">
                  <c:v>0.0</c:v>
                </c:pt>
                <c:pt idx="14">
                  <c:v>0.0</c:v>
                </c:pt>
                <c:pt idx="15">
                  <c:v>0.0</c:v>
                </c:pt>
                <c:pt idx="16">
                  <c:v>0.0</c:v>
                </c:pt>
                <c:pt idx="17">
                  <c:v>0.0</c:v>
                </c:pt>
                <c:pt idx="18">
                  <c:v>31.94</c:v>
                </c:pt>
                <c:pt idx="19">
                  <c:v>0.0</c:v>
                </c:pt>
                <c:pt idx="20">
                  <c:v>0.0</c:v>
                </c:pt>
                <c:pt idx="21">
                  <c:v>0.0</c:v>
                </c:pt>
                <c:pt idx="22">
                  <c:v>355.41</c:v>
                </c:pt>
                <c:pt idx="23">
                  <c:v>0.0</c:v>
                </c:pt>
                <c:pt idx="24">
                  <c:v>0.0</c:v>
                </c:pt>
                <c:pt idx="25">
                  <c:v>0.0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s="http://www.wps.cn/officeDocument/2013/wpsCustomData" xmln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16</TotalTime>
  <ScaleCrop>false</ScaleCrop>
  <LinksUpToDate>false</LinksUpToDate>
  <CharactersWithSpaces>2170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2023-08-04T07:55:00Z</dcterms:created>
  <dc:creator>王明新TIAD</dc:creator>
  <cp:lastModifiedBy>柠檬哒</cp:lastModifiedBy>
  <cp:lastPrinted>2023-08-04T01:00:00Z</cp:lastPrinted>
  <dcterms:modified xsi:type="dcterms:W3CDTF">2025-08-18T08:34:38Z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