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6.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colorstyle+xml" PartName="/word/charts/colors4.xml"/>
  <Override ContentType="application/vnd.ms-office.chartcolorstyle+xml" PartName="/word/charts/colors5.xml"/>
  <Override ContentType="application/vnd.ms-office.chartcolorstyle+xml" PartName="/word/charts/colors6.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ms-office.chartstyle+xml" PartName="/word/charts/style4.xml"/>
  <Override ContentType="application/vnd.ms-office.chartstyle+xml" PartName="/word/charts/style5.xml"/>
  <Override ContentType="application/vnd.ms-office.chartstyle+xml" PartName="/word/charts/style6.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w14 w15 wp14">
  <w:body>
    <!-- Created by docx4j 8.3.14 (Apache licensed) using REFERENCE JAXB in Oracle Java 1.8.0_211 on Linux -->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false" relativeHeight="251659264" behindDoc="true" locked="false" layoutInCell="true" allowOverlap="true">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noChangeAspect="true"/>
            </wp:cNvGraphicFramePr>
            <a:graphic>
              <a:graphicData uri="http://schemas.openxmlformats.org/drawingml/2006/picture">
                <pic:pic>
                  <pic:nvPicPr>
                    <pic:cNvPr id="15" name="图片 15" descr="7b0a202020202266696c746572223a202230220a7d0a"/>
                    <pic:cNvPicPr>
                      <a:picLocks noChangeAspect="true"/>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false" relativeHeight="251660288" behindDoc="false" locked="false" layoutInCell="true" allowOverlap="true">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a:ext uri="{7FBC4E63-A832-4D11-8238-D91031DB1400}">
                      <s:tag xmlns:s="http://www.wps.cn/officeDocument/2013/wpsCustomData" xmlns="http://www.wps.cn/officeDocument/2013/wpsCustomData" xmlns:wpi="http://schemas.microsoft.com/office/word/2010/wordprocessingInk" xmlns:wpsCustomData="http://www.wps.cn/officeDocument/2013/wpsCustomData">
                        <s:item wpsCustomData:name="KSO_DOCER_RESOURCE_TRACE_INFO" wpsCustomData:val="{&quot;id&quot;:&quot;&quot;,&quot;origin&quot;:0,&quot;type&quot;:&quot;wordart&quot;,&quot;user&quot;:&quot;292216292&quot;}"/>
                      </s:tag>
                    </a:ext>
                  </a:extLst>
                </wp:cNvGraphicFramePr>
                <a:graphic>
                  <a:graphicData uri="http://schemas.microsoft.com/office/word/2010/wordprocessingShape">
                    <wps:wsp>
                      <wps:cNvSpPr txBox="true"/>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true"/>
                    </wps:wsp>
                  </a:graphicData>
                </a:graphic>
              </wp:anchor>
            </w:drawing>
          </mc:Choice>
          <mc:Fallback>
            <w:pict>
              <v:shape o:gfxdata="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" type="#_x0000_t202" alt="7b0a2020202022776f7264617274223a20227b5c2269645c223a32353030323136362c5c227469645c223a5c225c227d220a7d0a" coordsize="21600,21600" style="position:absolute;left:0pt;margin-left:-43.05pt;margin-top:19.95pt;height:225.4pt;width:506.4pt;z-index:251660288;mso-width-relative:page;mso-height-relative:page;" id="_x0000_s1026" o:spid="_x0000_s1026" stroked="f" filled="f" o:spt="202.0">
                <v:fill on="f" focussize="0,0"/>
                <v:stroke on="f"/>
                <v:imagedata o:title=""/>
                <o:lock aspectratio="f" v:ext="edit"/>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
        <w:t>预算代码</w:t>
      </w:r>
      <w:r>
        <w:rPr>
          <w:rFonts w:hint="eastAsia" w:ascii="楷体_GB2312" w:hAnsi="楷体_GB2312" w:eastAsia="楷体_GB2312" w:cs="楷体_GB2312"/>
          <w:color w:val="000000"/>
          <w:sz w:val="40"/>
          <w:szCs w:val="40"/>
        </w:rPr>
        <w:t/>
        <w:t>：</w:t>
      </w:r>
      <w:r>
        <w:rPr>
          <w:rFonts w:hint="eastAsia" w:ascii="楷体_GB2312" w:hAnsi="楷体_GB2312" w:eastAsia="楷体_GB2312" w:cs="楷体_GB2312"/>
          <w:color w:val="000000"/>
          <w:sz w:val="40"/>
          <w:szCs w:val="40"/>
          <w:lang w:val="en-US" w:eastAsia="zh-CN"/>
        </w:rPr>
        <w:t/>
        <w:t>314001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
        <w:t>单位名称</w:t>
      </w:r>
      <w:r>
        <w:rPr>
          <w:rFonts w:hint="eastAsia" w:ascii="楷体_GB2312" w:hAnsi="楷体_GB2312" w:eastAsia="楷体_GB2312" w:cs="楷体_GB2312"/>
          <w:color w:val="000000"/>
          <w:sz w:val="40"/>
          <w:szCs w:val="40"/>
        </w:rPr>
        <w:t/>
        <w:t>：行唐县民政局(本级)</w:t>
      </w:r>
    </w:p>
    <w:p w14:paraId="2595C946">
      <w:pPr>
        <w:spacing w:line="600" w:lineRule="auto"/>
        <w:jc w:val="both"/>
        <w:rPr>
          <w:rFonts w:hint="eastAsia" w:ascii="楷体_GB2312" w:hAnsi="楷体_GB2312" w:eastAsia="楷体_GB2312" w:cs="楷体_GB2312"/>
          <w:color w:val="000000"/>
          <w:sz w:val="40"/>
          <w:szCs w:val="40"/>
        </w:rPr>
        <w:sectPr>
          <w:footerReference w:type="default" r:id="rId3"/>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方正小标宋_GBK"/>
          <w:b w:val="false"/>
          <w:sz w:val="72"/>
          <w:szCs w:val="72"/>
        </w:rPr>
        <w:t>行唐县民政局(本级)</w:t>
      </w: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仿宋_GB2312"/>
          <w:b w:val="false"/>
          <w:sz w:val="72"/>
          <w:szCs w:val="72"/>
        </w:rPr>
        <w:t>2024</w:t>
      </w:r>
      <w:r>
        <w:rPr>
          <w:rFonts w:ascii="Times New Roman" w:eastAsia="方正小标宋_GBK"/>
          <w:b w:val="false"/>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行唐县民政局(本级)</w:t>
      </w:r>
      <w:r>
        <w:rPr>
          <w:rFonts w:ascii="Times New Roman" w:eastAsia="楷体_GB2312"/>
          <w:b w:val="false"/>
          <w:sz w:val="44"/>
          <w:szCs w:val="44"/>
        </w:rPr>
        <w:t>(单位名称，加盖公章）</w:t>
      </w: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二〇二五年</w:t>
      </w:r>
      <w:r>
        <w:rPr>
          <w:rFonts w:ascii="Times New Roman" w:eastAsia="楷体_GB2312"/>
          <w:b w:val="false"/>
          <w:sz w:val="44"/>
          <w:szCs w:val="44"/>
        </w:rPr>
        <w:t>八</w:t>
      </w:r>
      <w:r>
        <w:rPr>
          <w:rFonts w:ascii="Times New Roman" w:eastAsia="楷体_GB2312"/>
          <w:b w:val="false"/>
          <w:sz w:val="44"/>
          <w:szCs w:val="44"/>
        </w:rPr>
        <w:t>月</w:t>
      </w:r>
    </w:p>
    <w:p w14:paraId="0350B668">
      <w:pPr>
        <w:snapToGrid w:val="false"/>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false"/>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第一部分 </w:t>
      </w:r>
      <w:r>
        <w:rPr>
          <w:rFonts w:ascii="Times New Roman" w:eastAsia="黑体"/>
          <w:b w:val="false"/>
          <w:sz w:val="32"/>
          <w:szCs w:val="32"/>
        </w:rPr>
        <w:t>单位</w:t>
      </w:r>
      <w:r>
        <w:rPr>
          <w:rFonts w:ascii="Times New Roman" w:eastAsia="黑体"/>
          <w:b w:val="false"/>
          <w:sz w:val="32"/>
          <w:szCs w:val="32"/>
        </w:rPr>
        <w:t>概况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w:t>
      </w:r>
      <w:r>
        <w:rPr>
          <w:rFonts w:ascii="Times New Roman" w:eastAsia="仿宋_GB2312"/>
          <w:b w:val="false"/>
          <w:sz w:val="32"/>
          <w:szCs w:val="32"/>
        </w:rPr>
        <w:t>单位</w:t>
      </w:r>
      <w:r>
        <w:rPr>
          <w:rFonts w:ascii="Times New Roman" w:eastAsia="仿宋_GB2312"/>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二、机构设置</w:t>
      </w:r>
    </w:p>
    <w:p>
      <w:pPr>
        <w:widowControl w:val="true"/>
        <w:spacing w:before="0" w:beforeLines="0" w:beforeAutospacing="false" w:after="0" w:afterLines="0" w:afterAutospacing="false" w:line="360" w:lineRule="auto"/>
        <w:ind/>
        <w:jc w:val="left"/>
        <w:outlineLvl w:val="0"/>
        <w:rPr>
          <w:rFonts w:ascii="Times New Roman" w:eastAsia="黑体"/>
          <w:sz w:val="32"/>
          <w:szCs w:val="32"/>
        </w:rPr>
      </w:pPr>
      <w:r>
        <w:rPr>
          <w:rFonts w:ascii="Times New Roman" w:eastAsia="黑体"/>
          <w:b w:val="false"/>
          <w:sz w:val="32"/>
          <w:szCs w:val="32"/>
        </w:rPr>
        <w:t>第二部分 2024年度部门决算报表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五、一般公共预算财政拨款支出决算表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六、一般公共预算财政拨款基本支出决算明细表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七、政府性基金预算财政拨款收入支出决算表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八、国有资本经营预算财政拨款支出决算表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九、财政拨款“三公”经费支出决算表</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第三部分 2024年度部门决算情况说明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五、财政拨款“三公”经费支出决算情况说明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九、关于</w:t>
      </w:r>
      <w:r>
        <w:rPr>
          <w:rFonts w:ascii="Times New Roman" w:eastAsia="仿宋_GB2312"/>
          <w:b w:val="false"/>
          <w:sz w:val="32"/>
          <w:szCs w:val="32"/>
        </w:rPr>
        <w:t>2024</w:t>
      </w:r>
      <w:r>
        <w:rPr>
          <w:rFonts w:ascii="Times New Roman" w:eastAsia="仿宋_GB2312"/>
          <w:b w:val="false"/>
          <w:sz w:val="32"/>
          <w:szCs w:val="32"/>
        </w:rPr>
        <w:t>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十、其他需要说明的情况</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w:type="first" r:id="rId5"/>
          <w:footerReference w:type="first" r:id="rId7"/>
          <w:headerReference w:type="default" r:id="rId4"/>
          <w:footerReference w:type="default" r:id="rId6"/>
          <w:footerReference w:type="default" r:id="rId21"/>
          <w:pgSz w:w="11906" w:h="16838"/>
          <w:pgMar w:top="1474" w:right="1531" w:bottom="1474" w:left="1531" w:header="851" w:footer="992" w:gutter="0"/>
          <w:pgBorders>
            <w:top w:val="none" w:sz="0" w:space="0"/>
            <w:left w:val="none" w:sz="0" w:space="0"/>
            <w:bottom w:val="none" w:sz="0" w:space="0"/>
            <w:right w:val="none" w:sz="0" w:space="0"/>
          </w:pgBorders>
          <w:pgNumType/>
          <w:cols w:space="0" w:num="1"/>
          <w:titlePg/>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第一部分 </w:t>
      </w:r>
      <w:r>
        <w:rPr>
          <w:rFonts w:ascii="Times New Roman" w:eastAsia="黑体"/>
          <w:b w:val="false"/>
          <w:sz w:val="44"/>
          <w:szCs w:val="44"/>
        </w:rPr>
        <w:t>单位</w:t>
      </w:r>
      <w:r>
        <w:rPr>
          <w:rFonts w:ascii="Times New Roman" w:eastAsia="黑体"/>
          <w:b w:val="false"/>
          <w:sz w:val="44"/>
          <w:szCs w:val="44"/>
        </w:rPr>
        <w:t>概况</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w:t>
      </w:r>
      <w:r>
        <w:rPr>
          <w:rFonts w:ascii="Times New Roman" w:eastAsia="黑体"/>
          <w:b w:val="false"/>
          <w:sz w:val="32"/>
          <w:szCs w:val="32"/>
        </w:rPr>
        <w:t>单位</w:t>
      </w:r>
      <w:r>
        <w:rPr>
          <w:rFonts w:ascii="Times New Roman" w:eastAsia="黑体"/>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二、机构设置</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从决算编报单位构成看，纳入</w:t>
      </w:r>
      <w:r>
        <w:rPr>
          <w:rFonts w:ascii="Times New Roman" w:eastAsia="仿宋_GB2312"/>
          <w:b w:val="false"/>
          <w:sz w:val="32"/>
          <w:szCs w:val="32"/>
        </w:rPr>
        <w:t>2024</w:t>
      </w:r>
      <w:r>
        <w:rPr>
          <w:rFonts w:ascii="Times New Roman" w:eastAsia="仿宋_GB2312"/>
          <w:b w:val="false"/>
          <w:sz w:val="32"/>
          <w:szCs w:val="32"/>
        </w:rPr>
        <w:t>年度本部门决算汇编范围的独立核算单位（以下简称“单位”）共 </w:t>
      </w:r>
      <w:r>
        <w:rPr>
          <w:rFonts w:ascii="Times New Roman" w:eastAsia="仿宋_GB2312"/>
          <w:b w:val="false"/>
          <w:sz w:val="32"/>
          <w:szCs w:val="32"/>
        </w:rPr>
        <w:t/>
      </w:r>
      <w:r>
        <w:rPr>
          <w:rFonts w:ascii="Times New Roman" w:eastAsia="仿宋_GB2312"/>
          <w:b w:val="false"/>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行唐县民政局(本级)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第二部分 </w:t>
      </w:r>
      <w:r>
        <w:rPr>
          <w:rFonts w:ascii="Times New Roman" w:eastAsia="仿宋_GB2312"/>
          <w:b w:val="false"/>
          <w:sz w:val="44"/>
          <w:szCs w:val="44"/>
        </w:rPr>
        <w:t>2024</w:t>
      </w:r>
      <w:r>
        <w:rPr>
          <w:rFonts w:ascii="Times New Roman" w:eastAsia="黑体"/>
          <w:b w:val="false"/>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公开</w:t>
            </w:r>
            <w:r>
              <w:rPr>
                <w:rFonts w:hint="eastAsia" w:ascii="Times New Roman" w:hAnsi="Times New Roman" w:eastAsia="宋体" w:cs="Times New Roman"/>
                <w:i w:val="false"/>
                <w:iCs w:val="false"/>
                <w:color w:val="000000"/>
                <w:sz w:val="20"/>
                <w:szCs w:val="20"/>
                <w:highlight w:val="none"/>
                <w:u w:val="none"/>
                <w:lang w:val="en-US" w:eastAsia="zh-CN"/>
              </w:rPr>
              <w:t/>
              <w:t>01</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部门（单位）：行唐县民政局(本级)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false"/>
                <w:iCs w:val="false"/>
                <w:color w:val="000000"/>
                <w:kern w:val="0"/>
                <w:sz w:val="20"/>
                <w:szCs w:val="20"/>
                <w:highlight w:val="none"/>
                <w:u w:val="none"/>
                <w:lang w:val="en-US" w:eastAsia="zh-CN" w:bidi="ar"/>
              </w:rPr>
            </w:pPr>
            <w:r>
              <w:rPr>
                <w:rFonts w:hint="eastAsia" w:ascii="Times New Roman" w:hAnsi="Times New Roman" w:eastAsia="宋体" w:cs="Times New Roman"/>
                <w:i w:val="false"/>
                <w:iCs w:val="false"/>
                <w:color w:val="000000"/>
                <w:sz w:val="20"/>
                <w:szCs w:val="20"/>
                <w:highlight w:val="none"/>
                <w:u w:val="none"/>
                <w:lang w:val="en-US" w:eastAsia="zh-CN"/>
              </w:rPr>
              <w:t/>
              <w:t>2024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739721C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gridSpan w:val="2"/>
            <w:tcBorders>
              <w:top w:val="nil"/>
              <w:left w:val="nil"/>
              <w:bottom w:val="single" w:color="000000" w:sz="4" w:space="0"/>
              <w:right w:val="single" w:color="000000" w:sz="4" w:space="0"/>
            </w:tcBorders>
            <w:noWrap/>
            <w:vAlign w:val="center"/>
          </w:tcPr>
          <w:p w14:paraId="5A45B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AB02734">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tcBorders>
              <w:top w:val="nil"/>
              <w:left w:val="nil"/>
              <w:bottom w:val="single" w:color="000000" w:sz="4" w:space="0"/>
              <w:right w:val="single" w:color="000000" w:sz="4" w:space="0"/>
            </w:tcBorders>
            <w:noWrap/>
            <w:vAlign w:val="center"/>
          </w:tcPr>
          <w:p w14:paraId="3D4173C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false"/>
                <w:iCs w:val="false"/>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1</w:t>
            </w:r>
          </w:p>
        </w:tc>
        <w:tc>
          <w:tcPr>
            <w:tcW w:w="1361" w:type="pct"/>
            <w:gridSpan w:val="2"/>
            <w:tcBorders>
              <w:top w:val="nil"/>
              <w:left w:val="nil"/>
              <w:bottom w:val="single" w:color="000000" w:sz="4" w:space="0"/>
              <w:right w:val="single" w:color="000000" w:sz="4" w:space="0"/>
            </w:tcBorders>
            <w:noWrap/>
            <w:vAlign w:val="center"/>
          </w:tcPr>
          <w:p w14:paraId="4F12A30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false"/>
                <w:iCs w:val="false"/>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宋体" w:hAnsi="宋体" w:eastAsia="宋体" w:cs="宋体"/>
                <w:i w:val="false"/>
                <w:iCs w:val="false"/>
                <w:color w:val="000000"/>
                <w:sz w:val="20"/>
                <w:szCs w:val="20"/>
                <w:highlight w:val="none"/>
                <w:u w:val="none"/>
                <w:lang w:val="en-US" w:eastAsia="zh-CN"/>
              </w:rPr>
              <w:t/>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1361" w:type="pct"/>
            <w:gridSpan w:val="2"/>
            <w:tcBorders>
              <w:top w:val="nil"/>
              <w:left w:val="nil"/>
              <w:bottom w:val="single" w:color="000000" w:sz="4" w:space="0"/>
              <w:right w:val="single" w:color="000000" w:sz="4" w:space="0"/>
            </w:tcBorders>
            <w:noWrap/>
            <w:vAlign w:val="center"/>
          </w:tcPr>
          <w:p w14:paraId="6042D2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1361" w:type="pct"/>
            <w:gridSpan w:val="2"/>
            <w:tcBorders>
              <w:top w:val="nil"/>
              <w:left w:val="nil"/>
              <w:bottom w:val="single" w:color="000000" w:sz="4" w:space="0"/>
              <w:right w:val="single" w:color="000000" w:sz="4" w:space="0"/>
            </w:tcBorders>
            <w:noWrap/>
            <w:vAlign w:val="center"/>
          </w:tcPr>
          <w:p w14:paraId="3A8769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7" w:type="pct"/>
            <w:tcBorders>
              <w:top w:val="nil"/>
              <w:left w:val="nil"/>
              <w:bottom w:val="single" w:color="000000" w:sz="4" w:space="0"/>
              <w:right w:val="single" w:color="000000" w:sz="4" w:space="0"/>
            </w:tcBorders>
            <w:noWrap/>
            <w:vAlign w:val="center"/>
          </w:tcPr>
          <w:p w14:paraId="3BFF2AE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21BBD0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7" w:type="pct"/>
            <w:tcBorders>
              <w:top w:val="nil"/>
              <w:left w:val="nil"/>
              <w:bottom w:val="single" w:color="000000" w:sz="4" w:space="0"/>
              <w:right w:val="single" w:color="000000" w:sz="4" w:space="0"/>
            </w:tcBorders>
            <w:noWrap/>
            <w:vAlign w:val="center"/>
          </w:tcPr>
          <w:p w14:paraId="6EB671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四、上级补助收入</w:t>
            </w:r>
          </w:p>
        </w:tc>
        <w:tc>
          <w:tcPr>
            <w:tcW w:w="267" w:type="pct"/>
            <w:tcBorders>
              <w:top w:val="nil"/>
              <w:left w:val="nil"/>
              <w:bottom w:val="single" w:color="000000" w:sz="4" w:space="0"/>
              <w:right w:val="single" w:color="000000" w:sz="4" w:space="0"/>
            </w:tcBorders>
            <w:noWrap/>
            <w:vAlign w:val="center"/>
          </w:tcPr>
          <w:p w14:paraId="6EF842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08B84F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7" w:type="pct"/>
            <w:tcBorders>
              <w:top w:val="nil"/>
              <w:left w:val="nil"/>
              <w:bottom w:val="single" w:color="000000" w:sz="4" w:space="0"/>
              <w:right w:val="single" w:color="000000" w:sz="4" w:space="0"/>
            </w:tcBorders>
            <w:noWrap/>
            <w:vAlign w:val="center"/>
          </w:tcPr>
          <w:p w14:paraId="26C2E3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五、事业收入</w:t>
            </w:r>
          </w:p>
        </w:tc>
        <w:tc>
          <w:tcPr>
            <w:tcW w:w="267" w:type="pct"/>
            <w:tcBorders>
              <w:top w:val="nil"/>
              <w:left w:val="nil"/>
              <w:bottom w:val="single" w:color="000000" w:sz="4" w:space="0"/>
              <w:right w:val="single" w:color="000000" w:sz="4" w:space="0"/>
            </w:tcBorders>
            <w:noWrap/>
            <w:vAlign w:val="center"/>
          </w:tcPr>
          <w:p w14:paraId="47A2EFA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5C3AE7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7" w:type="pct"/>
            <w:tcBorders>
              <w:top w:val="nil"/>
              <w:left w:val="nil"/>
              <w:bottom w:val="single" w:color="000000" w:sz="4" w:space="0"/>
              <w:right w:val="single" w:color="000000" w:sz="4" w:space="0"/>
            </w:tcBorders>
            <w:noWrap/>
            <w:vAlign w:val="center"/>
          </w:tcPr>
          <w:p w14:paraId="07D1CB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六、经营收入</w:t>
            </w:r>
          </w:p>
        </w:tc>
        <w:tc>
          <w:tcPr>
            <w:tcW w:w="267" w:type="pct"/>
            <w:tcBorders>
              <w:top w:val="nil"/>
              <w:left w:val="nil"/>
              <w:bottom w:val="single" w:color="000000" w:sz="4" w:space="0"/>
              <w:right w:val="single" w:color="000000" w:sz="4" w:space="0"/>
            </w:tcBorders>
            <w:noWrap/>
            <w:vAlign w:val="center"/>
          </w:tcPr>
          <w:p w14:paraId="4471FA2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1FED7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7" w:type="pct"/>
            <w:tcBorders>
              <w:top w:val="nil"/>
              <w:left w:val="nil"/>
              <w:bottom w:val="single" w:color="000000" w:sz="4" w:space="0"/>
              <w:right w:val="single" w:color="000000" w:sz="4" w:space="0"/>
            </w:tcBorders>
            <w:noWrap/>
            <w:vAlign w:val="center"/>
          </w:tcPr>
          <w:p w14:paraId="2653EA1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0295DA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八、其他收入</w:t>
            </w:r>
          </w:p>
        </w:tc>
        <w:tc>
          <w:tcPr>
            <w:tcW w:w="267" w:type="pct"/>
            <w:tcBorders>
              <w:top w:val="nil"/>
              <w:left w:val="nil"/>
              <w:bottom w:val="single" w:color="000000" w:sz="4" w:space="0"/>
              <w:right w:val="single" w:color="000000" w:sz="4" w:space="0"/>
            </w:tcBorders>
            <w:noWrap/>
            <w:vAlign w:val="center"/>
          </w:tcPr>
          <w:p w14:paraId="2626214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9522E0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7" w:type="pct"/>
            <w:tcBorders>
              <w:top w:val="nil"/>
              <w:left w:val="nil"/>
              <w:bottom w:val="single" w:color="000000" w:sz="4" w:space="0"/>
              <w:right w:val="single" w:color="000000" w:sz="4" w:space="0"/>
            </w:tcBorders>
            <w:noWrap/>
            <w:vAlign w:val="center"/>
          </w:tcPr>
          <w:p w14:paraId="08C11D7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7" w:type="pct"/>
            <w:tcBorders>
              <w:top w:val="nil"/>
              <w:left w:val="nil"/>
              <w:bottom w:val="single" w:color="000000" w:sz="4" w:space="0"/>
              <w:right w:val="single" w:color="000000" w:sz="4" w:space="0"/>
            </w:tcBorders>
            <w:noWrap/>
            <w:vAlign w:val="center"/>
          </w:tcPr>
          <w:p w14:paraId="35C25B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7" w:type="pct"/>
            <w:tcBorders>
              <w:top w:val="nil"/>
              <w:left w:val="nil"/>
              <w:bottom w:val="single" w:color="000000" w:sz="4" w:space="0"/>
              <w:right w:val="single" w:color="000000" w:sz="4" w:space="0"/>
            </w:tcBorders>
            <w:noWrap/>
            <w:vAlign w:val="center"/>
          </w:tcPr>
          <w:p w14:paraId="4D18D83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7" w:type="pct"/>
            <w:tcBorders>
              <w:top w:val="nil"/>
              <w:left w:val="nil"/>
              <w:bottom w:val="single" w:color="000000" w:sz="4" w:space="0"/>
              <w:right w:val="single" w:color="000000" w:sz="4" w:space="0"/>
            </w:tcBorders>
            <w:noWrap/>
            <w:vAlign w:val="center"/>
          </w:tcPr>
          <w:p w14:paraId="219108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7" w:type="pct"/>
            <w:tcBorders>
              <w:top w:val="nil"/>
              <w:left w:val="nil"/>
              <w:bottom w:val="single" w:color="000000" w:sz="4" w:space="0"/>
              <w:right w:val="single" w:color="000000" w:sz="4" w:space="0"/>
            </w:tcBorders>
            <w:noWrap/>
            <w:vAlign w:val="center"/>
          </w:tcPr>
          <w:p w14:paraId="5F7B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1361" w:type="pct"/>
            <w:gridSpan w:val="2"/>
            <w:tcBorders>
              <w:top w:val="nil"/>
              <w:left w:val="nil"/>
              <w:bottom w:val="single" w:color="000000" w:sz="4" w:space="0"/>
              <w:right w:val="single" w:color="000000" w:sz="4" w:space="0"/>
            </w:tcBorders>
            <w:noWrap/>
            <w:vAlign w:val="center"/>
          </w:tcPr>
          <w:p w14:paraId="2FBF6DD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7" w:type="pct"/>
            <w:tcBorders>
              <w:top w:val="nil"/>
              <w:left w:val="nil"/>
              <w:bottom w:val="single" w:color="000000" w:sz="4" w:space="0"/>
              <w:right w:val="single" w:color="000000" w:sz="4" w:space="0"/>
            </w:tcBorders>
            <w:noWrap/>
            <w:vAlign w:val="center"/>
          </w:tcPr>
          <w:p w14:paraId="2AA10C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5A3D6F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结余分配</w:t>
            </w:r>
          </w:p>
        </w:tc>
        <w:tc>
          <w:tcPr>
            <w:tcW w:w="267" w:type="pct"/>
            <w:tcBorders>
              <w:top w:val="nil"/>
              <w:left w:val="nil"/>
              <w:bottom w:val="single" w:color="000000" w:sz="4" w:space="0"/>
              <w:right w:val="single" w:color="000000" w:sz="4" w:space="0"/>
            </w:tcBorders>
            <w:noWrap/>
            <w:vAlign w:val="center"/>
          </w:tcPr>
          <w:p w14:paraId="3A5975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267" w:type="pct"/>
            <w:tcBorders>
              <w:top w:val="nil"/>
              <w:left w:val="nil"/>
              <w:bottom w:val="single" w:color="000000" w:sz="4" w:space="0"/>
              <w:right w:val="single" w:color="000000" w:sz="4" w:space="0"/>
            </w:tcBorders>
            <w:noWrap/>
            <w:vAlign w:val="center"/>
          </w:tcPr>
          <w:p w14:paraId="3F69D3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70533FB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c>
          <w:tcPr>
            <w:tcW w:w="267" w:type="pct"/>
            <w:tcBorders>
              <w:top w:val="nil"/>
              <w:left w:val="nil"/>
              <w:bottom w:val="single" w:color="000000" w:sz="4" w:space="0"/>
              <w:right w:val="single" w:color="000000" w:sz="4" w:space="0"/>
            </w:tcBorders>
            <w:noWrap/>
            <w:vAlign w:val="center"/>
          </w:tcPr>
          <w:p w14:paraId="484AA5E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false"/>
                <w:iCs w:val="false"/>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70E1E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1361" w:type="pct"/>
            <w:gridSpan w:val="2"/>
            <w:tcBorders>
              <w:top w:val="nil"/>
              <w:left w:val="nil"/>
              <w:bottom w:val="single" w:color="000000" w:sz="4" w:space="0"/>
              <w:right w:val="single" w:color="000000" w:sz="4" w:space="0"/>
            </w:tcBorders>
            <w:noWrap/>
            <w:vAlign w:val="center"/>
          </w:tcPr>
          <w:p w14:paraId="2B01AA3D">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9A5AF1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注：1.本表反映部门本年度的总收支和年末结转结余情况。</w:t>
            </w:r>
          </w:p>
          <w:p w14:paraId="50B55D94">
            <w:pPr>
              <w:keepNext w:val="false"/>
              <w:keepLines w:val="false"/>
              <w:widowControl/>
              <w:suppressLineNumbers w:val="false"/>
              <w:ind w:firstLine="400" w:firstLineChars="200"/>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2.本套报表金额转换时可能存在尾数误差。</w:t>
            </w:r>
          </w:p>
        </w:tc>
      </w:tr>
    </w:tbl>
    <w:p w14:paraId="477D721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eastAsia" w:ascii="Times New Roman" w:hAnsi="Times New Roman" w:eastAsia="宋体" w:cs="Times New Roman"/>
                <w:i w:val="false"/>
                <w:iCs w:val="false"/>
                <w:color w:val="000000"/>
                <w:sz w:val="20"/>
                <w:szCs w:val="20"/>
                <w:highlight w:val="none"/>
                <w:u w:val="none"/>
                <w:lang w:val="en-US" w:eastAsia="zh-CN"/>
              </w:rPr>
              <w:t/>
              <w:t>02</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default" w:ascii="Times New Roman" w:hAnsi="Times New Roman" w:eastAsia="方正仿宋_GB2312" w:cs="Times New Roman"/>
                <w:i w:val="false"/>
                <w:iCs w:val="false"/>
                <w:color w:val="000000"/>
                <w:sz w:val="20"/>
                <w:szCs w:val="20"/>
                <w:highlight w:val="none"/>
                <w:u w:val="none"/>
                <w:lang w:val="en-US" w:eastAsia="zh-CN"/>
              </w:rPr>
              <w:t/>
              <w:t>202</w:t>
            </w:r>
            <w:r>
              <w:rPr>
                <w:rFonts w:hint="eastAsia" w:ascii="Times New Roman" w:hAnsi="Times New Roman" w:eastAsia="方正仿宋_GB2312" w:cs="Times New Roman"/>
                <w:i w:val="false"/>
                <w:iCs w:val="false"/>
                <w:color w:val="000000"/>
                <w:sz w:val="20"/>
                <w:szCs w:val="20"/>
                <w:highlight w:val="none"/>
                <w:u w:val="none"/>
                <w:lang w:val="en-US" w:eastAsia="zh-CN"/>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32435B0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本年收入合计</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28FE0E0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财政拨款收入</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519F8CE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上级补助收入</w:t>
            </w:r>
          </w:p>
        </w:tc>
        <w:tc>
          <w:tcPr>
            <w:tcW w:w="964" w:type="dxa"/>
            <w:vMerge w:val="restart"/>
            <w:tcBorders>
              <w:top w:val="single" w:color="auto" w:sz="4" w:space="0"/>
              <w:left w:val="nil"/>
              <w:right w:val="single" w:color="000000" w:sz="4" w:space="0"/>
            </w:tcBorders>
            <w:noWrap w:val="false"/>
            <w:vAlign w:val="center"/>
          </w:tcPr>
          <w:p w14:paraId="7CD2CD6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事业收入</w:t>
            </w:r>
          </w:p>
        </w:tc>
        <w:tc>
          <w:tcPr>
            <w:tcW w:w="964" w:type="dxa"/>
            <w:gridSpan w:val="2"/>
            <w:vMerge w:val="restart"/>
            <w:tcBorders>
              <w:top w:val="single" w:color="auto" w:sz="4" w:space="0"/>
              <w:left w:val="nil"/>
              <w:bottom w:val="single" w:color="000000" w:sz="4" w:space="0"/>
              <w:right w:val="single" w:color="000000" w:sz="4" w:space="0"/>
            </w:tcBorders>
            <w:noWrap w:val="false"/>
            <w:vAlign w:val="center"/>
          </w:tcPr>
          <w:p w14:paraId="0CF8388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经营收入</w:t>
            </w:r>
          </w:p>
        </w:tc>
        <w:tc>
          <w:tcPr>
            <w:tcW w:w="1027" w:type="dxa"/>
            <w:vMerge w:val="restart"/>
            <w:tcBorders>
              <w:top w:val="single" w:color="auto" w:sz="4" w:space="0"/>
              <w:left w:val="nil"/>
              <w:bottom w:val="single" w:color="000000" w:sz="4" w:space="0"/>
              <w:right w:val="single" w:color="000000" w:sz="4" w:space="0"/>
            </w:tcBorders>
            <w:noWrap w:val="false"/>
            <w:vAlign w:val="center"/>
          </w:tcPr>
          <w:p w14:paraId="2EC5CA7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附属单位上缴收入</w:t>
            </w:r>
          </w:p>
        </w:tc>
        <w:tc>
          <w:tcPr>
            <w:tcW w:w="964" w:type="dxa"/>
            <w:vMerge w:val="restart"/>
            <w:tcBorders>
              <w:top w:val="single" w:color="auto" w:sz="4" w:space="0"/>
              <w:left w:val="nil"/>
              <w:bottom w:val="single" w:color="000000" w:sz="4" w:space="0"/>
              <w:right w:val="single" w:color="000000" w:sz="4" w:space="0"/>
            </w:tcBorders>
            <w:noWrap w:val="false"/>
            <w:vAlign w:val="center"/>
          </w:tcPr>
          <w:p w14:paraId="468DD8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false"/>
            <w:vAlign w:val="center"/>
          </w:tcPr>
          <w:p w14:paraId="311F531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D40809E">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2F7A2E0A">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800E84D">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2E0286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72C1BCFA">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70EBDB18">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4D5BB202">
            <w:pPr>
              <w:jc w:val="center"/>
              <w:rPr>
                <w:rFonts w:hint="eastAsia" w:ascii="宋体" w:hAnsi="宋体" w:eastAsia="宋体" w:cs="宋体"/>
                <w:i w:val="false"/>
                <w:iCs w:val="false"/>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642E5E0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0CB734D3">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CEF5C4D">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70ECB15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1589FB5">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41299A01">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5E91B64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3393016C">
            <w:pPr>
              <w:jc w:val="center"/>
              <w:rPr>
                <w:rFonts w:hint="eastAsia" w:ascii="宋体" w:hAnsi="宋体" w:eastAsia="宋体" w:cs="宋体"/>
                <w:i w:val="false"/>
                <w:iCs w:val="false"/>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4B02CA71">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583D536F">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6ED49946">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1A316C2">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false"/>
            <w:vAlign w:val="center"/>
          </w:tcPr>
          <w:p w14:paraId="1CD27F39">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5F10B017">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0626CD8F">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18973235">
            <w:pPr>
              <w:jc w:val="center"/>
              <w:rPr>
                <w:rFonts w:hint="eastAsia" w:ascii="宋体" w:hAnsi="宋体" w:eastAsia="宋体" w:cs="宋体"/>
                <w:i w:val="false"/>
                <w:iCs w:val="false"/>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037" w:type="dxa"/>
            <w:tcBorders>
              <w:top w:val="nil"/>
              <w:left w:val="nil"/>
              <w:bottom w:val="single" w:color="000000" w:sz="4" w:space="0"/>
              <w:right w:val="single" w:color="000000" w:sz="4" w:space="0"/>
            </w:tcBorders>
            <w:noWrap w:val="false"/>
            <w:vAlign w:val="center"/>
          </w:tcPr>
          <w:p w14:paraId="6419938B">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1037" w:type="dxa"/>
            <w:tcBorders>
              <w:top w:val="nil"/>
              <w:left w:val="nil"/>
              <w:bottom w:val="single" w:color="000000" w:sz="4" w:space="0"/>
              <w:right w:val="single" w:color="000000" w:sz="4" w:space="0"/>
            </w:tcBorders>
            <w:noWrap w:val="false"/>
            <w:vAlign w:val="center"/>
          </w:tcPr>
          <w:p w14:paraId="2E6504A8">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1037" w:type="dxa"/>
            <w:tcBorders>
              <w:top w:val="nil"/>
              <w:left w:val="nil"/>
              <w:bottom w:val="single" w:color="000000" w:sz="4" w:space="0"/>
              <w:right w:val="single" w:color="000000" w:sz="4" w:space="0"/>
            </w:tcBorders>
            <w:noWrap w:val="false"/>
            <w:vAlign w:val="center"/>
          </w:tcPr>
          <w:p w14:paraId="13B73DE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964" w:type="dxa"/>
            <w:tcBorders>
              <w:top w:val="nil"/>
              <w:left w:val="nil"/>
              <w:bottom w:val="single" w:color="000000" w:sz="4" w:space="0"/>
              <w:right w:val="single" w:color="000000" w:sz="4" w:space="0"/>
            </w:tcBorders>
            <w:noWrap w:val="false"/>
            <w:vAlign w:val="center"/>
          </w:tcPr>
          <w:p w14:paraId="1AC19557">
            <w:pPr>
              <w:keepNext w:val="false"/>
              <w:keepLines w:val="false"/>
              <w:widowControl/>
              <w:suppressLineNumbers w:val="false"/>
              <w:jc w:val="center"/>
              <w:textAlignment w:val="center"/>
              <w:rPr>
                <w:rFonts w:hint="default"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4</w:t>
            </w:r>
          </w:p>
        </w:tc>
        <w:tc>
          <w:tcPr>
            <w:tcW w:w="964" w:type="dxa"/>
            <w:gridSpan w:val="2"/>
            <w:tcBorders>
              <w:top w:val="nil"/>
              <w:left w:val="nil"/>
              <w:bottom w:val="single" w:color="000000" w:sz="4" w:space="0"/>
              <w:right w:val="single" w:color="000000" w:sz="4" w:space="0"/>
            </w:tcBorders>
            <w:noWrap w:val="false"/>
            <w:vAlign w:val="center"/>
          </w:tcPr>
          <w:p w14:paraId="3ABCFD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c>
          <w:tcPr>
            <w:tcW w:w="1027" w:type="dxa"/>
            <w:tcBorders>
              <w:top w:val="nil"/>
              <w:left w:val="nil"/>
              <w:bottom w:val="single" w:color="000000" w:sz="4" w:space="0"/>
              <w:right w:val="single" w:color="000000" w:sz="4" w:space="0"/>
            </w:tcBorders>
            <w:noWrap w:val="false"/>
            <w:vAlign w:val="center"/>
          </w:tcPr>
          <w:p w14:paraId="413571C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6</w:t>
            </w:r>
          </w:p>
        </w:tc>
        <w:tc>
          <w:tcPr>
            <w:tcW w:w="964" w:type="dxa"/>
            <w:tcBorders>
              <w:top w:val="nil"/>
              <w:left w:val="nil"/>
              <w:bottom w:val="single" w:color="000000" w:sz="4" w:space="0"/>
              <w:right w:val="single" w:color="000000" w:sz="4" w:space="0"/>
            </w:tcBorders>
            <w:noWrap w:val="false"/>
            <w:vAlign w:val="center"/>
          </w:tcPr>
          <w:p w14:paraId="0CA04C9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9,223.75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9,223.75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8,815.46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8,815.46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662.18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662.18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903.43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903.43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儿童福利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老年福利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278.50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278.50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养老服务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最低生活保障</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3,570.92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3,570.92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城市最低生活保障金支出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农村最低生活保障金支出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3,360.92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3,360.92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流浪乞讨人员救助支出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特困人员救助供养</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2,099.00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2,099.00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城市特困人员救助供养支出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农村特困人员救助供养支出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2,062.00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2,062.00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注：本表反映部门本年度取得的各项收入情况。</w:t>
            </w:r>
          </w:p>
        </w:tc>
      </w:tr>
    </w:tbl>
    <w:p w14:paraId="68CDE5D3">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false"/>
              <w:keepLines w:val="false"/>
              <w:pageBreakBefore w:val="false"/>
              <w:widowControl w:val="false"/>
              <w:kinsoku/>
              <w:wordWrap/>
              <w:overflowPunct/>
              <w:topLinePunct w:val="false"/>
              <w:autoSpaceDE/>
              <w:autoSpaceDN/>
              <w:bidi w:val="false"/>
              <w:adjustRightInd/>
              <w:snapToGrid/>
              <w:spacing w:line="240" w:lineRule="auto"/>
              <w:jc w:val="center"/>
              <w:textAlignment w:val="auto"/>
              <w:outlineLvl w:val="1"/>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br w:type="page"/>
            </w:r>
            <w:r>
              <w:rPr>
                <w:rFonts w:hint="eastAsia" w:ascii="方正仿宋_GB2312" w:hAnsi="方正仿宋_GB2312" w:eastAsia="方正仿宋_GB2312" w:cs="方正仿宋_GB2312"/>
                <w:b w:val="false"/>
                <w:bCs/>
                <w:color w:val="auto"/>
                <w:kern w:val="0"/>
                <w:sz w:val="32"/>
                <w:szCs w:val="32"/>
                <w:highlight w:val="none"/>
                <w:lang w:val="en-US" w:eastAsia="zh-CN"/>
              </w:rPr>
              <w:t/>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03</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部门（单位）：行唐县民政局(本级)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1403" w:type="pct"/>
            <w:gridSpan w:val="3"/>
            <w:tcBorders>
              <w:top w:val="nil"/>
              <w:left w:val="nil"/>
              <w:bottom w:val="single" w:color="auto" w:sz="4" w:space="0"/>
              <w:right w:val="nil"/>
            </w:tcBorders>
            <w:noWrap/>
            <w:vAlign w:val="bottom"/>
          </w:tcPr>
          <w:p w14:paraId="216B9A48">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eastAsiaTheme="minorEastAsia"/>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34" w:type="pct"/>
            <w:gridSpan w:val="3"/>
            <w:tcBorders>
              <w:top w:val="nil"/>
              <w:left w:val="nil"/>
              <w:bottom w:val="single" w:color="auto" w:sz="4" w:space="0"/>
              <w:right w:val="nil"/>
            </w:tcBorders>
            <w:noWrap/>
            <w:vAlign w:val="bottom"/>
          </w:tcPr>
          <w:p w14:paraId="272F664D">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03" w:type="pct"/>
            <w:vMerge w:val="restart"/>
            <w:tcBorders>
              <w:top w:val="single" w:color="auto" w:sz="4" w:space="0"/>
              <w:left w:val="nil"/>
              <w:bottom w:val="single" w:color="000000" w:sz="4" w:space="0"/>
              <w:right w:val="single" w:color="000000" w:sz="4" w:space="0"/>
            </w:tcBorders>
            <w:noWrap w:val="false"/>
            <w:vAlign w:val="center"/>
          </w:tcPr>
          <w:p w14:paraId="217D4DD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本年支出合计</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28633EC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523FC8B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42DA50C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上缴上级支出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1A8C99A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经营支出</w:t>
            </w:r>
          </w:p>
        </w:tc>
        <w:tc>
          <w:tcPr>
            <w:tcW w:w="795" w:type="pct"/>
            <w:vMerge w:val="restart"/>
            <w:tcBorders>
              <w:top w:val="single" w:color="auto" w:sz="4" w:space="0"/>
              <w:left w:val="nil"/>
              <w:bottom w:val="single" w:color="000000" w:sz="4" w:space="0"/>
              <w:right w:val="single" w:color="000000" w:sz="4" w:space="0"/>
            </w:tcBorders>
            <w:noWrap w:val="false"/>
            <w:vAlign w:val="center"/>
          </w:tcPr>
          <w:p w14:paraId="0E312A4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false"/>
            <w:vAlign w:val="center"/>
          </w:tcPr>
          <w:p w14:paraId="75D872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7E377F0B">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4CF5770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048D3FF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6A15367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A7CA1DC">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1E1B3486">
            <w:pPr>
              <w:jc w:val="center"/>
              <w:rPr>
                <w:rFonts w:hint="eastAsia" w:ascii="宋体" w:hAnsi="宋体" w:eastAsia="宋体" w:cs="宋体"/>
                <w:i w:val="false"/>
                <w:iCs w:val="false"/>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6C0E4539">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3AD0300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B1E084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7865F9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4493D37">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5DB3CC06">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8210C31">
            <w:pPr>
              <w:jc w:val="center"/>
              <w:rPr>
                <w:rFonts w:hint="eastAsia" w:ascii="宋体" w:hAnsi="宋体" w:eastAsia="宋体" w:cs="宋体"/>
                <w:i w:val="false"/>
                <w:iCs w:val="false"/>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00B67C9D">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1CB0F352">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2C964F70">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6CD4E6C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190026C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2D591BDF">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B174657">
            <w:pPr>
              <w:jc w:val="center"/>
              <w:rPr>
                <w:rFonts w:hint="eastAsia" w:ascii="宋体" w:hAnsi="宋体" w:eastAsia="宋体" w:cs="宋体"/>
                <w:i w:val="false"/>
                <w:iCs w:val="false"/>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03" w:type="pct"/>
            <w:tcBorders>
              <w:top w:val="nil"/>
              <w:left w:val="nil"/>
              <w:bottom w:val="single" w:color="000000" w:sz="4" w:space="0"/>
              <w:right w:val="single" w:color="000000" w:sz="4" w:space="0"/>
            </w:tcBorders>
            <w:noWrap w:val="false"/>
            <w:vAlign w:val="center"/>
          </w:tcPr>
          <w:p w14:paraId="35C3AC1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2" w:type="pct"/>
            <w:gridSpan w:val="2"/>
            <w:tcBorders>
              <w:top w:val="nil"/>
              <w:left w:val="nil"/>
              <w:bottom w:val="single" w:color="000000" w:sz="4" w:space="0"/>
              <w:right w:val="single" w:color="000000" w:sz="4" w:space="0"/>
            </w:tcBorders>
            <w:noWrap w:val="false"/>
            <w:vAlign w:val="center"/>
          </w:tcPr>
          <w:p w14:paraId="211B6A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2" w:type="pct"/>
            <w:tcBorders>
              <w:top w:val="nil"/>
              <w:left w:val="nil"/>
              <w:bottom w:val="single" w:color="000000" w:sz="4" w:space="0"/>
              <w:right w:val="single" w:color="000000" w:sz="4" w:space="0"/>
            </w:tcBorders>
            <w:noWrap w:val="false"/>
            <w:vAlign w:val="center"/>
          </w:tcPr>
          <w:p w14:paraId="4F698D0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2" w:type="pct"/>
            <w:gridSpan w:val="2"/>
            <w:tcBorders>
              <w:top w:val="nil"/>
              <w:left w:val="nil"/>
              <w:bottom w:val="single" w:color="000000" w:sz="4" w:space="0"/>
              <w:right w:val="single" w:color="000000" w:sz="4" w:space="0"/>
            </w:tcBorders>
            <w:noWrap w:val="false"/>
            <w:vAlign w:val="center"/>
          </w:tcPr>
          <w:p w14:paraId="7D8E7F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2" w:type="pct"/>
            <w:tcBorders>
              <w:top w:val="nil"/>
              <w:left w:val="nil"/>
              <w:bottom w:val="single" w:color="000000" w:sz="4" w:space="0"/>
              <w:right w:val="single" w:color="000000" w:sz="4" w:space="0"/>
            </w:tcBorders>
            <w:noWrap w:val="false"/>
            <w:vAlign w:val="center"/>
          </w:tcPr>
          <w:p w14:paraId="598353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795" w:type="pct"/>
            <w:tcBorders>
              <w:top w:val="nil"/>
              <w:left w:val="nil"/>
              <w:bottom w:val="single" w:color="000000" w:sz="4" w:space="0"/>
              <w:right w:val="single" w:color="000000" w:sz="4" w:space="0"/>
            </w:tcBorders>
            <w:noWrap w:val="false"/>
            <w:vAlign w:val="center"/>
          </w:tcPr>
          <w:p w14:paraId="571ECD0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497.84</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8,725.91</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8,815.46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444.96</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8,370.50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662.18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259.27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2080299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其他民政管理事务支出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儿童福利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老年福利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养老服务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2081107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残疾人生活和护理补贴</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最低生活保障</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城市最低生活保障金支出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农村最低生活保障金支出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流浪乞讨人员救助支出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特困人员救助供养</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城市特困人员救助供养支出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农村特困人员救助供养支出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其他生活救助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其他农村生活救助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注：本表反映部门本年度各项支出情况。</w:t>
            </w:r>
          </w:p>
        </w:tc>
      </w:tr>
    </w:tbl>
    <w:p w14:paraId="47632FC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部门（单位）：行唐县民政局(本级)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false"/>
            <w:vAlign w:val="center"/>
          </w:tcPr>
          <w:p w14:paraId="4EF4967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    目</w:t>
            </w:r>
          </w:p>
        </w:tc>
        <w:tc>
          <w:tcPr>
            <w:tcW w:w="266" w:type="pct"/>
            <w:vMerge w:val="restart"/>
            <w:tcBorders>
              <w:top w:val="nil"/>
              <w:left w:val="nil"/>
              <w:bottom w:val="single" w:color="000000" w:sz="4" w:space="0"/>
              <w:right w:val="single" w:color="000000" w:sz="4" w:space="0"/>
            </w:tcBorders>
            <w:noWrap w:val="false"/>
            <w:vAlign w:val="center"/>
          </w:tcPr>
          <w:p w14:paraId="15E334B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609" w:type="pct"/>
            <w:vMerge w:val="restart"/>
            <w:tcBorders>
              <w:top w:val="nil"/>
              <w:left w:val="nil"/>
              <w:bottom w:val="single" w:color="000000" w:sz="4" w:space="0"/>
              <w:right w:val="single" w:color="000000" w:sz="4" w:space="0"/>
            </w:tcBorders>
            <w:noWrap w:val="false"/>
            <w:vAlign w:val="center"/>
          </w:tcPr>
          <w:p w14:paraId="673BC9FB">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金额</w:t>
            </w:r>
          </w:p>
        </w:tc>
        <w:tc>
          <w:tcPr>
            <w:tcW w:w="895" w:type="pct"/>
            <w:gridSpan w:val="2"/>
            <w:vMerge w:val="restart"/>
            <w:tcBorders>
              <w:top w:val="nil"/>
              <w:left w:val="nil"/>
              <w:bottom w:val="single" w:color="000000" w:sz="4" w:space="0"/>
              <w:right w:val="single" w:color="000000" w:sz="4" w:space="0"/>
            </w:tcBorders>
            <w:noWrap w:val="false"/>
            <w:vAlign w:val="center"/>
          </w:tcPr>
          <w:p w14:paraId="04810C8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6" w:type="pct"/>
            <w:vMerge w:val="restart"/>
            <w:tcBorders>
              <w:top w:val="nil"/>
              <w:left w:val="nil"/>
              <w:bottom w:val="single" w:color="000000" w:sz="4" w:space="0"/>
              <w:right w:val="single" w:color="000000" w:sz="4" w:space="0"/>
            </w:tcBorders>
            <w:noWrap w:val="false"/>
            <w:vAlign w:val="center"/>
          </w:tcPr>
          <w:p w14:paraId="5D3FEA5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552" w:type="pct"/>
            <w:gridSpan w:val="2"/>
            <w:vMerge w:val="restart"/>
            <w:tcBorders>
              <w:top w:val="nil"/>
              <w:left w:val="nil"/>
              <w:right w:val="single" w:color="000000" w:sz="4" w:space="0"/>
            </w:tcBorders>
            <w:noWrap/>
            <w:vAlign w:val="center"/>
          </w:tcPr>
          <w:p w14:paraId="1E95B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合计</w:t>
            </w:r>
          </w:p>
        </w:tc>
        <w:tc>
          <w:tcPr>
            <w:tcW w:w="520" w:type="pct"/>
            <w:vMerge w:val="restart"/>
            <w:tcBorders>
              <w:top w:val="nil"/>
              <w:left w:val="nil"/>
              <w:right w:val="single" w:color="000000" w:sz="4" w:space="0"/>
            </w:tcBorders>
            <w:noWrap/>
            <w:vAlign w:val="center"/>
          </w:tcPr>
          <w:p w14:paraId="08FA1D0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一般公共预算财政拨款</w:t>
            </w:r>
          </w:p>
        </w:tc>
        <w:tc>
          <w:tcPr>
            <w:tcW w:w="520" w:type="pct"/>
            <w:vMerge w:val="restart"/>
            <w:tcBorders>
              <w:top w:val="nil"/>
              <w:left w:val="nil"/>
              <w:right w:val="single" w:color="000000" w:sz="4" w:space="0"/>
            </w:tcBorders>
            <w:noWrap/>
            <w:vAlign w:val="center"/>
          </w:tcPr>
          <w:p w14:paraId="0D08432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政府性基金预算财政拨款</w:t>
            </w:r>
          </w:p>
        </w:tc>
        <w:tc>
          <w:tcPr>
            <w:tcW w:w="520" w:type="pct"/>
            <w:vMerge w:val="restart"/>
            <w:tcBorders>
              <w:top w:val="nil"/>
              <w:left w:val="nil"/>
              <w:right w:val="single" w:color="000000" w:sz="4" w:space="0"/>
            </w:tcBorders>
            <w:noWrap/>
            <w:vAlign w:val="center"/>
          </w:tcPr>
          <w:p w14:paraId="59214C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false"/>
            <w:vAlign w:val="center"/>
          </w:tcPr>
          <w:p w14:paraId="4FDFBC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76C00BD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false"/>
            <w:vAlign w:val="center"/>
          </w:tcPr>
          <w:p w14:paraId="15F79558">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false"/>
            <w:vAlign w:val="center"/>
          </w:tcPr>
          <w:p w14:paraId="37C6BAF2">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06CE8889">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false"/>
            <w:vAlign w:val="center"/>
          </w:tcPr>
          <w:p w14:paraId="188A82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76CCBE1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56B8F57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32A6240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false"/>
                <w:iCs w:val="false"/>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895" w:type="pct"/>
            <w:gridSpan w:val="2"/>
            <w:tcBorders>
              <w:top w:val="nil"/>
              <w:left w:val="nil"/>
              <w:bottom w:val="single" w:color="000000" w:sz="4" w:space="0"/>
              <w:right w:val="single" w:color="000000" w:sz="4" w:space="0"/>
            </w:tcBorders>
            <w:noWrap/>
            <w:vAlign w:val="center"/>
          </w:tcPr>
          <w:p w14:paraId="3589499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false"/>
                <w:iCs w:val="false"/>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520" w:type="pct"/>
            <w:tcBorders>
              <w:top w:val="nil"/>
              <w:left w:val="nil"/>
              <w:bottom w:val="single" w:color="000000" w:sz="4" w:space="0"/>
              <w:right w:val="single" w:color="000000" w:sz="4" w:space="0"/>
            </w:tcBorders>
            <w:noWrap/>
            <w:vAlign w:val="center"/>
          </w:tcPr>
          <w:p w14:paraId="310FC79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520" w:type="pct"/>
            <w:tcBorders>
              <w:top w:val="nil"/>
              <w:left w:val="nil"/>
              <w:bottom w:val="single" w:color="000000" w:sz="4" w:space="0"/>
              <w:right w:val="single" w:color="000000" w:sz="4" w:space="0"/>
            </w:tcBorders>
            <w:noWrap/>
            <w:vAlign w:val="center"/>
          </w:tcPr>
          <w:p w14:paraId="5B611E1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4</w:t>
            </w:r>
          </w:p>
        </w:tc>
        <w:tc>
          <w:tcPr>
            <w:tcW w:w="520" w:type="pct"/>
            <w:tcBorders>
              <w:top w:val="nil"/>
              <w:left w:val="nil"/>
              <w:bottom w:val="single" w:color="000000" w:sz="4" w:space="0"/>
              <w:right w:val="single" w:color="000000" w:sz="8" w:space="0"/>
            </w:tcBorders>
            <w:noWrap/>
            <w:vAlign w:val="center"/>
          </w:tcPr>
          <w:p w14:paraId="180BD8A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895" w:type="pct"/>
            <w:gridSpan w:val="2"/>
            <w:tcBorders>
              <w:top w:val="nil"/>
              <w:left w:val="nil"/>
              <w:bottom w:val="single" w:color="000000" w:sz="4" w:space="0"/>
              <w:right w:val="single" w:color="000000" w:sz="4" w:space="0"/>
            </w:tcBorders>
            <w:noWrap/>
            <w:vAlign w:val="center"/>
          </w:tcPr>
          <w:p w14:paraId="488DC72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895" w:type="pct"/>
            <w:gridSpan w:val="2"/>
            <w:tcBorders>
              <w:top w:val="nil"/>
              <w:left w:val="nil"/>
              <w:bottom w:val="single" w:color="000000" w:sz="4" w:space="0"/>
              <w:right w:val="single" w:color="000000" w:sz="4" w:space="0"/>
            </w:tcBorders>
            <w:noWrap/>
            <w:vAlign w:val="center"/>
          </w:tcPr>
          <w:p w14:paraId="1F5D05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6" w:type="pct"/>
            <w:tcBorders>
              <w:top w:val="nil"/>
              <w:left w:val="nil"/>
              <w:bottom w:val="single" w:color="000000" w:sz="4" w:space="0"/>
              <w:right w:val="single" w:color="000000" w:sz="4" w:space="0"/>
            </w:tcBorders>
            <w:noWrap/>
            <w:vAlign w:val="center"/>
          </w:tcPr>
          <w:p w14:paraId="4189280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BDBF9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6" w:type="pct"/>
            <w:tcBorders>
              <w:top w:val="nil"/>
              <w:left w:val="nil"/>
              <w:bottom w:val="single" w:color="000000" w:sz="4" w:space="0"/>
              <w:right w:val="single" w:color="000000" w:sz="4" w:space="0"/>
            </w:tcBorders>
            <w:noWrap/>
            <w:vAlign w:val="center"/>
          </w:tcPr>
          <w:p w14:paraId="35BEBB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6" w:type="pct"/>
            <w:tcBorders>
              <w:top w:val="nil"/>
              <w:left w:val="nil"/>
              <w:bottom w:val="single" w:color="000000" w:sz="4" w:space="0"/>
              <w:right w:val="single" w:color="000000" w:sz="4" w:space="0"/>
            </w:tcBorders>
            <w:noWrap/>
            <w:vAlign w:val="center"/>
          </w:tcPr>
          <w:p w14:paraId="0C31DE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6" w:type="pct"/>
            <w:tcBorders>
              <w:top w:val="nil"/>
              <w:left w:val="nil"/>
              <w:bottom w:val="single" w:color="000000" w:sz="4" w:space="0"/>
              <w:right w:val="single" w:color="000000" w:sz="4" w:space="0"/>
            </w:tcBorders>
            <w:noWrap/>
            <w:vAlign w:val="center"/>
          </w:tcPr>
          <w:p w14:paraId="5119B8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6" w:type="pct"/>
            <w:tcBorders>
              <w:top w:val="nil"/>
              <w:left w:val="nil"/>
              <w:bottom w:val="single" w:color="000000" w:sz="4" w:space="0"/>
              <w:right w:val="single" w:color="000000" w:sz="4" w:space="0"/>
            </w:tcBorders>
            <w:noWrap/>
            <w:vAlign w:val="center"/>
          </w:tcPr>
          <w:p w14:paraId="63EF492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6" w:type="pct"/>
            <w:tcBorders>
              <w:top w:val="nil"/>
              <w:left w:val="nil"/>
              <w:bottom w:val="single" w:color="000000" w:sz="4" w:space="0"/>
              <w:right w:val="single" w:color="000000" w:sz="4" w:space="0"/>
            </w:tcBorders>
            <w:noWrap/>
            <w:vAlign w:val="center"/>
          </w:tcPr>
          <w:p w14:paraId="78294FC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6" w:type="pct"/>
            <w:tcBorders>
              <w:top w:val="nil"/>
              <w:left w:val="nil"/>
              <w:bottom w:val="single" w:color="000000" w:sz="4" w:space="0"/>
              <w:right w:val="single" w:color="000000" w:sz="4" w:space="0"/>
            </w:tcBorders>
            <w:noWrap/>
            <w:vAlign w:val="center"/>
          </w:tcPr>
          <w:p w14:paraId="2595966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6" w:type="pct"/>
            <w:tcBorders>
              <w:top w:val="nil"/>
              <w:left w:val="nil"/>
              <w:bottom w:val="single" w:color="auto" w:sz="4" w:space="0"/>
              <w:right w:val="single" w:color="000000" w:sz="4" w:space="0"/>
            </w:tcBorders>
            <w:noWrap/>
            <w:vAlign w:val="center"/>
          </w:tcPr>
          <w:p w14:paraId="1AFE1CB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6" w:type="pct"/>
            <w:tcBorders>
              <w:top w:val="nil"/>
              <w:left w:val="nil"/>
              <w:bottom w:val="single" w:color="000000" w:sz="4" w:space="0"/>
              <w:right w:val="single" w:color="000000" w:sz="4" w:space="0"/>
            </w:tcBorders>
            <w:noWrap/>
            <w:vAlign w:val="center"/>
          </w:tcPr>
          <w:p w14:paraId="02A8AD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895" w:type="pct"/>
            <w:gridSpan w:val="2"/>
            <w:tcBorders>
              <w:top w:val="nil"/>
              <w:left w:val="nil"/>
              <w:bottom w:val="single" w:color="000000" w:sz="4" w:space="0"/>
              <w:right w:val="single" w:color="000000" w:sz="4" w:space="0"/>
            </w:tcBorders>
            <w:noWrap/>
            <w:vAlign w:val="center"/>
          </w:tcPr>
          <w:p w14:paraId="2F9B6400">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6" w:type="pct"/>
            <w:tcBorders>
              <w:top w:val="nil"/>
              <w:left w:val="nil"/>
              <w:bottom w:val="single" w:color="000000" w:sz="4" w:space="0"/>
              <w:right w:val="single" w:color="000000" w:sz="4" w:space="0"/>
            </w:tcBorders>
            <w:noWrap/>
            <w:vAlign w:val="center"/>
          </w:tcPr>
          <w:p w14:paraId="405805B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38A4DE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false"/>
                <w:iCs w:val="false"/>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false"/>
                <w:iCs w:val="false"/>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false"/>
                <w:iCs w:val="false"/>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796E21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895" w:type="pct"/>
            <w:gridSpan w:val="2"/>
            <w:tcBorders>
              <w:top w:val="nil"/>
              <w:left w:val="nil"/>
              <w:bottom w:val="single" w:color="000000" w:sz="8" w:space="0"/>
              <w:right w:val="single" w:color="000000" w:sz="4" w:space="0"/>
            </w:tcBorders>
            <w:noWrap/>
            <w:vAlign w:val="center"/>
          </w:tcPr>
          <w:p w14:paraId="0E12E033">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606B87B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
              <w:t>8,868.34</w:t>
            </w:r>
          </w:p>
          <w:p w14:paraId="46956FDA">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注：本表反映部门本年度一般公共预算财政拨款、政府性基金预算财政拨款和国有资本经营预算财政拨款的总收支和年末结转结余情况。</w:t>
            </w:r>
          </w:p>
        </w:tc>
      </w:tr>
    </w:tbl>
    <w:p w14:paraId="25F95412">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39"/>
        <w:gridCol w:w="1329"/>
        <w:gridCol w:w="705"/>
        <w:gridCol w:w="1305"/>
        <w:gridCol w:w="1366"/>
        <w:gridCol w:w="645"/>
        <w:gridCol w:w="210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05</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编制部门（单位）：行唐县民政局(本级)</w:t>
            </w:r>
          </w:p>
        </w:tc>
        <w:tc>
          <w:tcPr>
            <w:tcW w:w="1541" w:type="pct"/>
            <w:gridSpan w:val="2"/>
            <w:tcBorders>
              <w:top w:val="nil"/>
              <w:left w:val="nil"/>
              <w:bottom w:val="single" w:color="auto" w:sz="4" w:space="0"/>
              <w:right w:val="nil"/>
            </w:tcBorders>
            <w:noWrap/>
            <w:vAlign w:val="bottom"/>
          </w:tcPr>
          <w:p w14:paraId="6F8D6BB1">
            <w:pPr>
              <w:keepNext w:val="false"/>
              <w:keepLines w:val="false"/>
              <w:widowControl/>
              <w:suppressLineNumbers w:val="false"/>
              <w:jc w:val="center"/>
              <w:textAlignment w:val="bottom"/>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590" w:type="pct"/>
            <w:gridSpan w:val="2"/>
            <w:tcBorders>
              <w:top w:val="nil"/>
              <w:left w:val="nil"/>
              <w:bottom w:val="single" w:color="auto" w:sz="4" w:space="0"/>
              <w:right w:val="nil"/>
            </w:tcBorders>
            <w:noWrap/>
            <w:vAlign w:val="bottom"/>
          </w:tcPr>
          <w:p w14:paraId="63AE8029">
            <w:pPr>
              <w:keepNext w:val="false"/>
              <w:keepLines w:val="false"/>
              <w:widowControl/>
              <w:suppressLineNumbers w:val="false"/>
              <w:jc w:val="right"/>
              <w:textAlignment w:val="bottom"/>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767FD3F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3538" w:type="pct"/>
            <w:gridSpan w:val="5"/>
            <w:tcBorders>
              <w:top w:val="single" w:color="auto" w:sz="4" w:space="0"/>
              <w:left w:val="single" w:color="auto" w:sz="4" w:space="0"/>
              <w:bottom w:val="single" w:color="auto" w:sz="4" w:space="0"/>
              <w:right w:val="single" w:color="auto" w:sz="4" w:space="0"/>
            </w:tcBorders>
            <w:noWrap w:val="false"/>
            <w:vAlign w:val="center"/>
          </w:tcPr>
          <w:p w14:paraId="1E35482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false"/>
            <w:vAlign w:val="center"/>
          </w:tcPr>
          <w:p w14:paraId="303F01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科目代码</w:t>
            </w:r>
          </w:p>
        </w:tc>
        <w:tc>
          <w:tcPr>
            <w:tcW w:w="756" w:type="pct"/>
            <w:vMerge w:val="restart"/>
            <w:tcBorders>
              <w:top w:val="single" w:color="auto" w:sz="4" w:space="0"/>
              <w:left w:val="single" w:color="auto" w:sz="4" w:space="0"/>
              <w:bottom w:val="single" w:color="auto" w:sz="4" w:space="0"/>
              <w:right w:val="single" w:color="auto" w:sz="4" w:space="0"/>
            </w:tcBorders>
            <w:noWrap w:val="false"/>
            <w:vAlign w:val="center"/>
          </w:tcPr>
          <w:p w14:paraId="743EB06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6B17A41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4755C0C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1218" w:type="pct"/>
            <w:vMerge w:val="restart"/>
            <w:tcBorders>
              <w:top w:val="single" w:color="auto" w:sz="4" w:space="0"/>
              <w:left w:val="single" w:color="auto" w:sz="4" w:space="0"/>
              <w:bottom w:val="single" w:color="auto" w:sz="4" w:space="0"/>
              <w:right w:val="single" w:color="auto" w:sz="4" w:space="0"/>
            </w:tcBorders>
            <w:noWrap w:val="false"/>
            <w:vAlign w:val="center"/>
          </w:tcPr>
          <w:p w14:paraId="35175C3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07BBA312">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24227AC3">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9084284">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39BF0FED">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517381C9">
            <w:pPr>
              <w:jc w:val="center"/>
              <w:rPr>
                <w:rFonts w:hint="eastAsia" w:ascii="宋体" w:hAnsi="宋体" w:eastAsia="宋体" w:cs="宋体"/>
                <w:i w:val="false"/>
                <w:iCs w:val="false"/>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2E32E979">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1337A1D9">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3715D87">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1512C71">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0C43699C">
            <w:pPr>
              <w:jc w:val="center"/>
              <w:rPr>
                <w:rFonts w:hint="eastAsia" w:ascii="宋体" w:hAnsi="宋体" w:eastAsia="宋体" w:cs="宋体"/>
                <w:i w:val="false"/>
                <w:iCs w:val="false"/>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3682F96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22A50BE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497.84</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8,370.50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8,815.46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444.96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8,370.50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662.18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259.27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基层政权建设和社区治理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2080299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其他民政管理事务支出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儿童福利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老年福利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养老服务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2081107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残疾人生活和护理补贴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最低生活保障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流浪乞讨人员救助支出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特困人员救助供养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城市特困人员救助供养支出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农村特困人员救助供养支出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其他农村生活救助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注：本表反映部门本年度一般公共预算财政拨款支出情况。</w:t>
            </w:r>
          </w:p>
        </w:tc>
      </w:tr>
    </w:tbl>
    <w:p w14:paraId="7E3D288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06</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部门（单位）：行唐县民政局(本级) </w:t>
            </w:r>
            <w:r>
              <w:rPr>
                <w:rFonts w:hint="eastAsia" w:asciiTheme="minorEastAsia" w:hAnsiTheme="minorEastAsia" w:cstheme="minorEastAsia"/>
                <w:i w:val="false"/>
                <w:iCs w:val="false"/>
                <w:color w:val="000000"/>
                <w:kern w:val="0"/>
                <w:sz w:val="18"/>
                <w:szCs w:val="18"/>
                <w:highlight w:val="none"/>
                <w:u w:val="none"/>
                <w:lang w:val="en-US" w:eastAsia="zh-CN" w:bidi="ar"/>
              </w:rPr>
              <w:t xml:space="preserve"/>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Theme="minorEastAsia" w:hAnsiTheme="minorEastAsia" w:cstheme="minorEastAsia"/>
                <w:i w:val="false"/>
                <w:iCs w:val="false"/>
                <w:color w:val="000000"/>
                <w:kern w:val="0"/>
                <w:sz w:val="18"/>
                <w:szCs w:val="18"/>
                <w:highlight w:val="none"/>
                <w:u w:val="none"/>
                <w:lang w:val="en-US" w:eastAsia="zh-CN" w:bidi="ar"/>
              </w:rPr>
              <w:t/>
              <w:t>2024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false"/>
            <w:vAlign w:val="center"/>
          </w:tcPr>
          <w:p w14:paraId="1B7004F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4727333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6FE322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428.18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15.76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229.48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26.91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31.77</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45.10</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0.95</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39.63</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2.73</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0.56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20.93</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2.42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31.94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0.80</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53.90</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35.68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7.89</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10.34</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0.51</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1.74</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5.11</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
              <w:t>482.08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15.76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false"/>
              <w:keepLines w:val="false"/>
              <w:widowControl/>
              <w:suppressLineNumbers w:val="false"/>
              <w:jc w:val="left"/>
              <w:textAlignment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注：本表反映部门本年度一般公共预算财政拨款基本支出明细情况。</w:t>
            </w:r>
          </w:p>
        </w:tc>
      </w:tr>
    </w:tbl>
    <w:p w14:paraId="6D9C2148">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07</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部门（单位）：行唐县民政局(本级) </w:t>
            </w:r>
            <w:r>
              <w:rPr>
                <w:rFonts w:hint="eastAsia" w:ascii="宋体" w:hAnsi="宋体" w:eastAsia="宋体" w:cs="宋体"/>
                <w:i w:val="false"/>
                <w:iCs w:val="false"/>
                <w:color w:val="000000"/>
                <w:kern w:val="0"/>
                <w:sz w:val="20"/>
                <w:szCs w:val="20"/>
                <w:highlight w:val="none"/>
                <w:u w:val="none"/>
                <w:lang w:val="en-US" w:eastAsia="zh-CN" w:bidi="ar"/>
              </w:rPr>
              <w:t xml:space="preserve"/>
              <w:t xml:space="preserve">                                                                                     </w:t>
            </w:r>
          </w:p>
        </w:tc>
        <w:tc>
          <w:tcPr>
            <w:tcW w:w="1217" w:type="pct"/>
            <w:gridSpan w:val="3"/>
            <w:tcBorders>
              <w:top w:val="nil"/>
              <w:left w:val="nil"/>
              <w:bottom w:val="single" w:color="auto" w:sz="4" w:space="0"/>
              <w:right w:val="nil"/>
            </w:tcBorders>
            <w:noWrap/>
            <w:vAlign w:val="bottom"/>
          </w:tcPr>
          <w:p w14:paraId="104C1B53">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854" w:type="pct"/>
            <w:gridSpan w:val="3"/>
            <w:tcBorders>
              <w:top w:val="nil"/>
              <w:left w:val="nil"/>
              <w:bottom w:val="single" w:color="auto" w:sz="4" w:space="0"/>
              <w:right w:val="nil"/>
            </w:tcBorders>
            <w:noWrap/>
            <w:vAlign w:val="bottom"/>
          </w:tcPr>
          <w:p w14:paraId="14CFDBAD">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false"/>
            <w:vAlign w:val="center"/>
          </w:tcPr>
          <w:p w14:paraId="0EE461A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23" w:type="pct"/>
            <w:vMerge w:val="restart"/>
            <w:tcBorders>
              <w:top w:val="single" w:color="auto" w:sz="4" w:space="0"/>
              <w:left w:val="nil"/>
              <w:bottom w:val="single" w:color="000000" w:sz="4" w:space="0"/>
              <w:right w:val="single" w:color="000000" w:sz="4" w:space="0"/>
            </w:tcBorders>
            <w:noWrap w:val="false"/>
            <w:vAlign w:val="center"/>
          </w:tcPr>
          <w:p w14:paraId="4F4F1DC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489" w:type="pct"/>
            <w:vMerge w:val="restart"/>
            <w:tcBorders>
              <w:top w:val="single" w:color="auto" w:sz="4" w:space="0"/>
              <w:left w:val="nil"/>
              <w:bottom w:val="single" w:color="000000" w:sz="4" w:space="0"/>
              <w:right w:val="single" w:color="000000" w:sz="4" w:space="0"/>
            </w:tcBorders>
            <w:noWrap w:val="false"/>
            <w:vAlign w:val="center"/>
          </w:tcPr>
          <w:p w14:paraId="169DCD5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w:t>
            </w:r>
          </w:p>
        </w:tc>
        <w:tc>
          <w:tcPr>
            <w:tcW w:w="1609" w:type="pct"/>
            <w:gridSpan w:val="4"/>
            <w:tcBorders>
              <w:top w:val="single" w:color="auto" w:sz="4" w:space="0"/>
              <w:left w:val="nil"/>
              <w:bottom w:val="single" w:color="000000" w:sz="4" w:space="0"/>
              <w:right w:val="single" w:color="000000" w:sz="4" w:space="0"/>
            </w:tcBorders>
            <w:noWrap w:val="false"/>
            <w:vAlign w:val="center"/>
          </w:tcPr>
          <w:p w14:paraId="54F245A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c>
          <w:tcPr>
            <w:tcW w:w="973" w:type="pct"/>
            <w:vMerge w:val="restart"/>
            <w:tcBorders>
              <w:top w:val="single" w:color="auto" w:sz="4" w:space="0"/>
              <w:left w:val="nil"/>
              <w:right w:val="single" w:color="000000" w:sz="4" w:space="0"/>
            </w:tcBorders>
            <w:noWrap w:val="false"/>
            <w:vAlign w:val="center"/>
          </w:tcPr>
          <w:p w14:paraId="00EC97E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false"/>
            <w:vAlign w:val="center"/>
          </w:tcPr>
          <w:p w14:paraId="4751344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703" w:type="pct"/>
            <w:vMerge w:val="restart"/>
            <w:tcBorders>
              <w:top w:val="nil"/>
              <w:left w:val="nil"/>
              <w:bottom w:val="single" w:color="000000" w:sz="4" w:space="0"/>
              <w:right w:val="single" w:color="000000" w:sz="4" w:space="0"/>
            </w:tcBorders>
            <w:noWrap w:val="false"/>
            <w:vAlign w:val="center"/>
          </w:tcPr>
          <w:p w14:paraId="689BDC2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50124FB6">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2AE1EDB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false"/>
            <w:vAlign w:val="center"/>
          </w:tcPr>
          <w:p w14:paraId="707614A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534" w:type="pct"/>
            <w:gridSpan w:val="2"/>
            <w:vMerge w:val="restart"/>
            <w:tcBorders>
              <w:top w:val="nil"/>
              <w:left w:val="nil"/>
              <w:bottom w:val="single" w:color="000000" w:sz="4" w:space="0"/>
              <w:right w:val="single" w:color="000000" w:sz="4" w:space="0"/>
            </w:tcBorders>
            <w:noWrap w:val="false"/>
            <w:vAlign w:val="center"/>
          </w:tcPr>
          <w:p w14:paraId="27FE875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546" w:type="pct"/>
            <w:vMerge w:val="restart"/>
            <w:tcBorders>
              <w:top w:val="nil"/>
              <w:left w:val="nil"/>
              <w:bottom w:val="single" w:color="000000" w:sz="4" w:space="0"/>
              <w:right w:val="single" w:color="000000" w:sz="4" w:space="0"/>
            </w:tcBorders>
            <w:noWrap w:val="false"/>
            <w:vAlign w:val="center"/>
          </w:tcPr>
          <w:p w14:paraId="62A4246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973" w:type="pct"/>
            <w:vMerge w:val="continue"/>
            <w:tcBorders>
              <w:left w:val="nil"/>
              <w:right w:val="single" w:color="000000" w:sz="4" w:space="0"/>
            </w:tcBorders>
            <w:noWrap w:val="false"/>
            <w:vAlign w:val="center"/>
          </w:tcPr>
          <w:p w14:paraId="08E01B2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p w14:paraId="259B30B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结转</w:t>
            </w:r>
          </w:p>
          <w:p w14:paraId="219C454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false"/>
            <w:vAlign w:val="center"/>
          </w:tcPr>
          <w:p w14:paraId="0FD2D9B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false"/>
            <w:vAlign w:val="center"/>
          </w:tcPr>
          <w:p w14:paraId="22D0721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4F7F6E6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43B8F48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72C23BD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505869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413613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right w:val="single" w:color="000000" w:sz="4" w:space="0"/>
            </w:tcBorders>
            <w:noWrap w:val="false"/>
            <w:vAlign w:val="center"/>
          </w:tcPr>
          <w:p w14:paraId="23E146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false"/>
            <w:vAlign w:val="center"/>
          </w:tcPr>
          <w:p w14:paraId="53AC66D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false"/>
            <w:vAlign w:val="center"/>
          </w:tcPr>
          <w:p w14:paraId="04014D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0C550A1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561ECE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239815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4209B6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9BACD2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false"/>
            <w:vAlign w:val="center"/>
          </w:tcPr>
          <w:p w14:paraId="2085DE76">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3A176F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1</w:t>
            </w:r>
          </w:p>
        </w:tc>
        <w:tc>
          <w:tcPr>
            <w:tcW w:w="489" w:type="pct"/>
            <w:tcBorders>
              <w:top w:val="nil"/>
              <w:left w:val="nil"/>
              <w:bottom w:val="single" w:color="000000" w:sz="4" w:space="0"/>
              <w:right w:val="single" w:color="000000" w:sz="4" w:space="0"/>
            </w:tcBorders>
            <w:noWrap/>
            <w:vAlign w:val="center"/>
          </w:tcPr>
          <w:p w14:paraId="22EE390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2</w:t>
            </w:r>
          </w:p>
        </w:tc>
        <w:tc>
          <w:tcPr>
            <w:tcW w:w="528" w:type="pct"/>
            <w:tcBorders>
              <w:top w:val="nil"/>
              <w:left w:val="nil"/>
              <w:bottom w:val="single" w:color="000000" w:sz="4" w:space="0"/>
              <w:right w:val="single" w:color="000000" w:sz="4" w:space="0"/>
            </w:tcBorders>
            <w:noWrap/>
            <w:vAlign w:val="center"/>
          </w:tcPr>
          <w:p w14:paraId="09179A7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3</w:t>
            </w:r>
          </w:p>
        </w:tc>
        <w:tc>
          <w:tcPr>
            <w:tcW w:w="534" w:type="pct"/>
            <w:gridSpan w:val="2"/>
            <w:tcBorders>
              <w:top w:val="nil"/>
              <w:left w:val="nil"/>
              <w:bottom w:val="single" w:color="000000" w:sz="4" w:space="0"/>
              <w:right w:val="single" w:color="000000" w:sz="4" w:space="0"/>
            </w:tcBorders>
            <w:noWrap/>
            <w:vAlign w:val="center"/>
          </w:tcPr>
          <w:p w14:paraId="516DBD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4</w:t>
            </w:r>
          </w:p>
        </w:tc>
        <w:tc>
          <w:tcPr>
            <w:tcW w:w="546" w:type="pct"/>
            <w:tcBorders>
              <w:top w:val="nil"/>
              <w:left w:val="nil"/>
              <w:bottom w:val="single" w:color="000000" w:sz="4" w:space="0"/>
              <w:right w:val="single" w:color="000000" w:sz="4" w:space="0"/>
            </w:tcBorders>
            <w:noWrap/>
            <w:vAlign w:val="center"/>
          </w:tcPr>
          <w:p w14:paraId="35B433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5</w:t>
            </w:r>
          </w:p>
        </w:tc>
        <w:tc>
          <w:tcPr>
            <w:tcW w:w="973" w:type="pct"/>
            <w:tcBorders>
              <w:top w:val="nil"/>
              <w:left w:val="nil"/>
              <w:bottom w:val="single" w:color="000000" w:sz="4" w:space="0"/>
              <w:right w:val="single" w:color="000000" w:sz="4" w:space="0"/>
            </w:tcBorders>
            <w:noWrap/>
            <w:vAlign w:val="center"/>
          </w:tcPr>
          <w:p w14:paraId="52B1AE72">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lang w:val="en-US" w:eastAsia="zh-CN"/>
              </w:rPr>
            </w:pPr>
            <w:r>
              <w:rPr>
                <w:rFonts w:hint="default" w:ascii="Times New Roman" w:hAnsi="Times New Roman" w:eastAsia="方正仿宋_GB2312" w:cs="Times New Roman"/>
                <w:i w:val="false"/>
                <w:iCs w:val="false"/>
                <w:color w:val="000000"/>
                <w:sz w:val="20"/>
                <w:szCs w:val="20"/>
                <w:highlight w:val="none"/>
                <w:u w:val="none"/>
                <w:lang w:val="en-US" w:eastAsia="zh-CN"/>
              </w:rPr>
              <w:t/>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53B6FC0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229</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其他支出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注：本表反映部门本年度政府性基金预算财政拨款收入、支出及结转和结余情况。</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br w:type="page"/>
            </w:r>
          </w:p>
        </w:tc>
      </w:tr>
    </w:tbl>
    <w:p w14:paraId="390B949B">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5"/>
        <w:gridCol w:w="726"/>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6120D892">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70B9454C">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08</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3"/>
            <w:tcBorders>
              <w:top w:val="nil"/>
              <w:left w:val="nil"/>
              <w:bottom w:val="single" w:color="auto" w:sz="4" w:space="0"/>
              <w:right w:val="nil"/>
            </w:tcBorders>
            <w:noWrap/>
            <w:vAlign w:val="bottom"/>
          </w:tcPr>
          <w:p w14:paraId="26CB50F7">
            <w:pPr>
              <w:keepNext w:val="false"/>
              <w:keepLines w:val="false"/>
              <w:widowControl/>
              <w:suppressLineNumbers w:val="false"/>
              <w:jc w:val="both"/>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部门（单位）：行唐县民政局(本级)</w:t>
            </w:r>
          </w:p>
        </w:tc>
        <w:tc>
          <w:tcPr>
            <w:tcW w:w="1421" w:type="pct"/>
            <w:gridSpan w:val="4"/>
            <w:tcBorders>
              <w:top w:val="nil"/>
              <w:left w:val="nil"/>
              <w:bottom w:val="single" w:color="auto" w:sz="4" w:space="0"/>
              <w:right w:val="nil"/>
            </w:tcBorders>
            <w:noWrap/>
            <w:vAlign w:val="bottom"/>
          </w:tcPr>
          <w:p w14:paraId="616B6621">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603" w:type="pct"/>
            <w:gridSpan w:val="3"/>
            <w:tcBorders>
              <w:top w:val="nil"/>
              <w:left w:val="nil"/>
              <w:bottom w:val="single" w:color="auto" w:sz="4" w:space="0"/>
              <w:right w:val="nil"/>
            </w:tcBorders>
            <w:noWrap/>
            <w:vAlign w:val="bottom"/>
          </w:tcPr>
          <w:p w14:paraId="7F819FFC">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restart"/>
            <w:tcBorders>
              <w:top w:val="single" w:color="auto" w:sz="4" w:space="0"/>
              <w:left w:val="single" w:color="auto" w:sz="4" w:space="0"/>
              <w:bottom w:val="single" w:color="auto" w:sz="4" w:space="0"/>
              <w:right w:val="single" w:color="auto" w:sz="4" w:space="0"/>
            </w:tcBorders>
            <w:noWrap w:val="false"/>
            <w:vAlign w:val="center"/>
          </w:tcPr>
          <w:p w14:paraId="5415D844">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项目</w:t>
            </w:r>
          </w:p>
        </w:tc>
        <w:tc>
          <w:tcPr>
            <w:tcW w:w="2337" w:type="pct"/>
            <w:gridSpan w:val="6"/>
            <w:vMerge w:val="restart"/>
            <w:tcBorders>
              <w:top w:val="single" w:color="auto" w:sz="4" w:space="0"/>
              <w:left w:val="single" w:color="auto" w:sz="4" w:space="0"/>
              <w:right w:val="single" w:color="000000" w:sz="4" w:space="0"/>
            </w:tcBorders>
            <w:noWrap w:val="false"/>
            <w:vAlign w:val="center"/>
          </w:tcPr>
          <w:p w14:paraId="2669862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continue"/>
            <w:tcBorders>
              <w:top w:val="single" w:color="auto" w:sz="4" w:space="0"/>
              <w:left w:val="single" w:color="auto" w:sz="4" w:space="0"/>
              <w:bottom w:val="single" w:color="auto" w:sz="4" w:space="0"/>
              <w:right w:val="single" w:color="auto" w:sz="4" w:space="0"/>
            </w:tcBorders>
            <w:noWrap w:val="false"/>
            <w:vAlign w:val="center"/>
          </w:tcPr>
          <w:p w14:paraId="4640DB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false"/>
            <w:vAlign w:val="center"/>
          </w:tcPr>
          <w:p w14:paraId="333C85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false"/>
            <w:vAlign w:val="center"/>
          </w:tcPr>
          <w:p w14:paraId="30AF09EB">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074" w:type="pct"/>
            <w:gridSpan w:val="3"/>
            <w:vMerge w:val="restart"/>
            <w:tcBorders>
              <w:top w:val="single" w:color="auto" w:sz="4" w:space="0"/>
              <w:left w:val="single" w:color="auto" w:sz="4" w:space="0"/>
              <w:bottom w:val="single" w:color="auto" w:sz="4" w:space="0"/>
              <w:right w:val="single" w:color="auto" w:sz="4" w:space="0"/>
            </w:tcBorders>
            <w:noWrap w:val="false"/>
            <w:vAlign w:val="center"/>
          </w:tcPr>
          <w:p w14:paraId="62D03734">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科目名称</w:t>
            </w:r>
          </w:p>
        </w:tc>
        <w:tc>
          <w:tcPr>
            <w:tcW w:w="709" w:type="pct"/>
            <w:gridSpan w:val="2"/>
            <w:vMerge w:val="restart"/>
            <w:tcBorders>
              <w:top w:val="nil"/>
              <w:left w:val="single" w:color="auto" w:sz="4" w:space="0"/>
              <w:right w:val="single" w:color="000000" w:sz="4" w:space="0"/>
            </w:tcBorders>
            <w:noWrap w:val="false"/>
            <w:vAlign w:val="center"/>
          </w:tcPr>
          <w:p w14:paraId="27C542AE">
            <w:pPr>
              <w:jc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合计</w:t>
            </w:r>
          </w:p>
        </w:tc>
        <w:tc>
          <w:tcPr>
            <w:tcW w:w="709" w:type="pct"/>
            <w:gridSpan w:val="3"/>
            <w:vMerge w:val="restart"/>
            <w:tcBorders>
              <w:top w:val="nil"/>
              <w:left w:val="nil"/>
              <w:right w:val="single" w:color="000000" w:sz="4" w:space="0"/>
            </w:tcBorders>
            <w:noWrap w:val="false"/>
            <w:vAlign w:val="center"/>
          </w:tcPr>
          <w:p w14:paraId="1DFC0105">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基本支出</w:t>
            </w:r>
          </w:p>
        </w:tc>
        <w:tc>
          <w:tcPr>
            <w:tcW w:w="919" w:type="pct"/>
            <w:vMerge w:val="restart"/>
            <w:tcBorders>
              <w:top w:val="nil"/>
              <w:left w:val="nil"/>
              <w:right w:val="single" w:color="000000" w:sz="4" w:space="0"/>
            </w:tcBorders>
            <w:noWrap w:val="false"/>
            <w:vAlign w:val="center"/>
          </w:tcPr>
          <w:p w14:paraId="3F171B63">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false"/>
            <w:vAlign w:val="center"/>
          </w:tcPr>
          <w:p w14:paraId="562E732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74" w:type="pct"/>
            <w:gridSpan w:val="3"/>
            <w:vMerge w:val="continue"/>
            <w:tcBorders>
              <w:top w:val="single" w:color="auto" w:sz="4" w:space="0"/>
              <w:left w:val="nil"/>
              <w:bottom w:val="single" w:color="auto" w:sz="4" w:space="0"/>
              <w:right w:val="single" w:color="auto" w:sz="4" w:space="0"/>
            </w:tcBorders>
            <w:noWrap w:val="false"/>
            <w:vAlign w:val="center"/>
          </w:tcPr>
          <w:p w14:paraId="6B03F0CB">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false"/>
            <w:vAlign w:val="center"/>
          </w:tcPr>
          <w:p w14:paraId="00919C0A">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false"/>
            <w:vAlign w:val="center"/>
          </w:tcPr>
          <w:p w14:paraId="7B4E4AF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false"/>
            <w:vAlign w:val="center"/>
          </w:tcPr>
          <w:p w14:paraId="6EFCB9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auto" w:sz="4" w:space="0"/>
              <w:left w:val="single" w:color="auto" w:sz="4" w:space="0"/>
              <w:bottom w:val="single" w:color="000000" w:sz="4" w:space="0"/>
              <w:right w:val="single" w:color="auto" w:sz="4" w:space="0"/>
            </w:tcBorders>
            <w:noWrap/>
            <w:vAlign w:val="center"/>
          </w:tcPr>
          <w:p w14:paraId="2C72D919">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1</w:t>
            </w:r>
          </w:p>
        </w:tc>
        <w:tc>
          <w:tcPr>
            <w:tcW w:w="706" w:type="pct"/>
            <w:gridSpan w:val="3"/>
            <w:tcBorders>
              <w:top w:val="nil"/>
              <w:left w:val="nil"/>
              <w:bottom w:val="single" w:color="000000" w:sz="4" w:space="0"/>
              <w:right w:val="single" w:color="000000" w:sz="4" w:space="0"/>
            </w:tcBorders>
            <w:noWrap/>
            <w:vAlign w:val="center"/>
          </w:tcPr>
          <w:p w14:paraId="605ACA55">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2</w:t>
            </w:r>
          </w:p>
        </w:tc>
        <w:tc>
          <w:tcPr>
            <w:tcW w:w="924" w:type="pct"/>
            <w:gridSpan w:val="2"/>
            <w:tcBorders>
              <w:top w:val="nil"/>
              <w:left w:val="nil"/>
              <w:bottom w:val="single" w:color="000000" w:sz="4" w:space="0"/>
              <w:right w:val="single" w:color="000000" w:sz="4" w:space="0"/>
            </w:tcBorders>
            <w:noWrap/>
            <w:vAlign w:val="center"/>
          </w:tcPr>
          <w:p w14:paraId="4F242353">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01BC9E6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注：本表反映部门本年度国有资本经营预算财政拨款支出情况。（如无相关数据，则需注明空表列示）</w:t>
            </w:r>
          </w:p>
        </w:tc>
      </w:tr>
    </w:tbl>
    <w:p w14:paraId="313A4E1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false"/>
              <w:keepLines w:val="false"/>
              <w:widowControl/>
              <w:suppressLineNumbers w:val="false"/>
              <w:jc w:val="center"/>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false"/>
              <w:keepLines w:val="false"/>
              <w:widowControl/>
              <w:suppressLineNumbers w:val="false"/>
              <w:jc w:val="righ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09</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false"/>
              <w:keepLines w:val="false"/>
              <w:widowControl/>
              <w:suppressLineNumbers w:val="false"/>
              <w:jc w:val="lef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部门（单位）：行唐县民政局(本级)</w:t>
            </w:r>
          </w:p>
        </w:tc>
        <w:tc>
          <w:tcPr>
            <w:tcW w:w="933" w:type="pct"/>
            <w:gridSpan w:val="3"/>
            <w:tcBorders>
              <w:top w:val="nil"/>
              <w:left w:val="nil"/>
              <w:bottom w:val="single" w:color="auto" w:sz="4" w:space="0"/>
              <w:right w:val="nil"/>
            </w:tcBorders>
            <w:noWrap/>
            <w:vAlign w:val="bottom"/>
          </w:tcPr>
          <w:p w14:paraId="701DA5D1">
            <w:pPr>
              <w:keepNext w:val="false"/>
              <w:keepLines w:val="false"/>
              <w:widowControl/>
              <w:suppressLineNumbers w:val="false"/>
              <w:jc w:val="center"/>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default" w:ascii="Times New Roman" w:hAnsi="Times New Roman" w:eastAsia="宋体" w:cs="Times New Roman"/>
                <w:i w:val="false"/>
                <w:iCs w:val="false"/>
                <w:color w:val="000000"/>
                <w:kern w:val="0"/>
                <w:sz w:val="18"/>
                <w:szCs w:val="18"/>
                <w:highlight w:val="none"/>
                <w:u w:val="none"/>
                <w:lang w:val="en-US" w:eastAsia="zh-CN" w:bidi="ar"/>
              </w:rPr>
              <w:t/>
              <w:t>202</w:t>
            </w:r>
            <w:r>
              <w:rPr>
                <w:rFonts w:hint="eastAsia" w:ascii="Times New Roman" w:hAnsi="Times New Roman" w:eastAsia="宋体" w:cs="Times New Roman"/>
                <w:i w:val="false"/>
                <w:iCs w:val="false"/>
                <w:color w:val="000000"/>
                <w:kern w:val="0"/>
                <w:sz w:val="18"/>
                <w:szCs w:val="18"/>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2129" w:type="pct"/>
            <w:gridSpan w:val="6"/>
            <w:tcBorders>
              <w:top w:val="nil"/>
              <w:left w:val="nil"/>
              <w:bottom w:val="single" w:color="auto" w:sz="4" w:space="0"/>
              <w:right w:val="nil"/>
            </w:tcBorders>
            <w:noWrap/>
            <w:vAlign w:val="bottom"/>
          </w:tcPr>
          <w:p w14:paraId="4C27C4B7">
            <w:pPr>
              <w:keepNext w:val="false"/>
              <w:keepLines w:val="false"/>
              <w:widowControl/>
              <w:suppressLineNumbers w:val="false"/>
              <w:jc w:val="right"/>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07" w:type="pct"/>
            <w:tcBorders>
              <w:top w:val="nil"/>
              <w:left w:val="nil"/>
              <w:bottom w:val="single" w:color="000000" w:sz="4" w:space="0"/>
              <w:right w:val="single" w:color="000000" w:sz="4" w:space="0"/>
            </w:tcBorders>
            <w:noWrap/>
            <w:vAlign w:val="center"/>
          </w:tcPr>
          <w:p w14:paraId="1DC6F5F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42" w:type="pct"/>
            <w:tcBorders>
              <w:top w:val="nil"/>
              <w:left w:val="nil"/>
              <w:bottom w:val="single" w:color="000000" w:sz="4" w:space="0"/>
              <w:right w:val="single" w:color="000000" w:sz="4" w:space="0"/>
            </w:tcBorders>
            <w:noWrap/>
            <w:vAlign w:val="center"/>
          </w:tcPr>
          <w:p w14:paraId="352B57B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07" w:type="pct"/>
            <w:tcBorders>
              <w:top w:val="nil"/>
              <w:left w:val="nil"/>
              <w:bottom w:val="single" w:color="000000" w:sz="4" w:space="0"/>
              <w:right w:val="single" w:color="000000" w:sz="4" w:space="0"/>
            </w:tcBorders>
            <w:noWrap/>
            <w:vAlign w:val="center"/>
          </w:tcPr>
          <w:p w14:paraId="725924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false"/>
                <w:iCs w:val="false"/>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w:t>
            </w:r>
          </w:p>
        </w:tc>
        <w:tc>
          <w:tcPr>
            <w:tcW w:w="528" w:type="pct"/>
            <w:tcBorders>
              <w:top w:val="nil"/>
              <w:left w:val="nil"/>
              <w:bottom w:val="single" w:color="000000" w:sz="4" w:space="0"/>
              <w:right w:val="single" w:color="000000" w:sz="4" w:space="0"/>
            </w:tcBorders>
            <w:noWrap/>
            <w:vAlign w:val="center"/>
          </w:tcPr>
          <w:p w14:paraId="2986BC07">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2</w:t>
            </w:r>
          </w:p>
        </w:tc>
        <w:tc>
          <w:tcPr>
            <w:tcW w:w="350" w:type="pct"/>
            <w:tcBorders>
              <w:top w:val="nil"/>
              <w:left w:val="nil"/>
              <w:bottom w:val="single" w:color="000000" w:sz="4" w:space="0"/>
              <w:right w:val="single" w:color="000000" w:sz="4" w:space="0"/>
            </w:tcBorders>
            <w:noWrap/>
            <w:vAlign w:val="center"/>
          </w:tcPr>
          <w:p w14:paraId="2C2E820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3</w:t>
            </w:r>
          </w:p>
        </w:tc>
        <w:tc>
          <w:tcPr>
            <w:tcW w:w="407" w:type="pct"/>
            <w:tcBorders>
              <w:top w:val="nil"/>
              <w:left w:val="nil"/>
              <w:bottom w:val="single" w:color="000000" w:sz="4" w:space="0"/>
              <w:right w:val="single" w:color="000000" w:sz="4" w:space="0"/>
            </w:tcBorders>
            <w:noWrap/>
            <w:vAlign w:val="center"/>
          </w:tcPr>
          <w:p w14:paraId="70BF42D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4</w:t>
            </w:r>
          </w:p>
        </w:tc>
        <w:tc>
          <w:tcPr>
            <w:tcW w:w="458" w:type="pct"/>
            <w:gridSpan w:val="2"/>
            <w:tcBorders>
              <w:top w:val="nil"/>
              <w:left w:val="nil"/>
              <w:bottom w:val="single" w:color="000000" w:sz="4" w:space="0"/>
              <w:right w:val="single" w:color="000000" w:sz="4" w:space="0"/>
            </w:tcBorders>
            <w:noWrap/>
            <w:vAlign w:val="center"/>
          </w:tcPr>
          <w:p w14:paraId="4C03B62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5</w:t>
            </w:r>
          </w:p>
        </w:tc>
        <w:tc>
          <w:tcPr>
            <w:tcW w:w="335" w:type="pct"/>
            <w:tcBorders>
              <w:top w:val="nil"/>
              <w:left w:val="nil"/>
              <w:bottom w:val="single" w:color="000000" w:sz="4" w:space="0"/>
              <w:right w:val="single" w:color="000000" w:sz="4" w:space="0"/>
            </w:tcBorders>
            <w:noWrap/>
            <w:vAlign w:val="center"/>
          </w:tcPr>
          <w:p w14:paraId="47A5FB8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6</w:t>
            </w:r>
          </w:p>
        </w:tc>
        <w:tc>
          <w:tcPr>
            <w:tcW w:w="366" w:type="pct"/>
            <w:gridSpan w:val="2"/>
            <w:tcBorders>
              <w:top w:val="nil"/>
              <w:left w:val="nil"/>
              <w:bottom w:val="single" w:color="000000" w:sz="4" w:space="0"/>
              <w:right w:val="single" w:color="000000" w:sz="4" w:space="0"/>
            </w:tcBorders>
            <w:noWrap/>
            <w:vAlign w:val="center"/>
          </w:tcPr>
          <w:p w14:paraId="3A93ED48">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7</w:t>
            </w:r>
          </w:p>
        </w:tc>
        <w:tc>
          <w:tcPr>
            <w:tcW w:w="488" w:type="pct"/>
            <w:tcBorders>
              <w:top w:val="nil"/>
              <w:left w:val="nil"/>
              <w:bottom w:val="single" w:color="000000" w:sz="4" w:space="0"/>
              <w:right w:val="single" w:color="000000" w:sz="4" w:space="0"/>
            </w:tcBorders>
            <w:noWrap/>
            <w:vAlign w:val="center"/>
          </w:tcPr>
          <w:p w14:paraId="53F97F3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8</w:t>
            </w:r>
          </w:p>
        </w:tc>
        <w:tc>
          <w:tcPr>
            <w:tcW w:w="275" w:type="pct"/>
            <w:tcBorders>
              <w:top w:val="nil"/>
              <w:left w:val="nil"/>
              <w:bottom w:val="single" w:color="000000" w:sz="4" w:space="0"/>
              <w:right w:val="single" w:color="000000" w:sz="4" w:space="0"/>
            </w:tcBorders>
            <w:noWrap/>
            <w:vAlign w:val="center"/>
          </w:tcPr>
          <w:p w14:paraId="6D82C27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9</w:t>
            </w:r>
          </w:p>
        </w:tc>
        <w:tc>
          <w:tcPr>
            <w:tcW w:w="442" w:type="pct"/>
            <w:tcBorders>
              <w:top w:val="nil"/>
              <w:left w:val="nil"/>
              <w:bottom w:val="single" w:color="000000" w:sz="4" w:space="0"/>
              <w:right w:val="single" w:color="000000" w:sz="4" w:space="0"/>
            </w:tcBorders>
            <w:noWrap/>
            <w:vAlign w:val="center"/>
          </w:tcPr>
          <w:p w14:paraId="0C7ACD5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10</w:t>
            </w:r>
          </w:p>
        </w:tc>
        <w:tc>
          <w:tcPr>
            <w:tcW w:w="407" w:type="pct"/>
            <w:tcBorders>
              <w:top w:val="nil"/>
              <w:left w:val="nil"/>
              <w:bottom w:val="single" w:color="000000" w:sz="4" w:space="0"/>
              <w:right w:val="single" w:color="000000" w:sz="4" w:space="0"/>
            </w:tcBorders>
            <w:noWrap/>
            <w:vAlign w:val="center"/>
          </w:tcPr>
          <w:p w14:paraId="21B8D2D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11</w:t>
            </w:r>
          </w:p>
        </w:tc>
        <w:tc>
          <w:tcPr>
            <w:tcW w:w="511" w:type="pct"/>
            <w:tcBorders>
              <w:top w:val="nil"/>
              <w:left w:val="nil"/>
              <w:bottom w:val="single" w:color="000000" w:sz="4" w:space="0"/>
              <w:right w:val="single" w:color="000000" w:sz="4" w:space="0"/>
            </w:tcBorders>
            <w:noWrap/>
            <w:vAlign w:val="center"/>
          </w:tcPr>
          <w:p w14:paraId="58EBCB0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2.88</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2.60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2.60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0.28</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false"/>
              <w:keepLines w:val="false"/>
              <w:widowControl/>
              <w:suppressLineNumbers w:val="false"/>
              <w:jc w:val="left"/>
              <w:textAlignment w:val="center"/>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w:type="default" r:id="rId8"/>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第三部分 </w:t>
      </w:r>
      <w:r>
        <w:rPr>
          <w:rFonts w:ascii="Times New Roman" w:eastAsia="仿宋_GB2312"/>
          <w:b w:val="false"/>
          <w:sz w:val="44"/>
          <w:szCs w:val="44"/>
        </w:rPr>
        <w:t>2024</w:t>
      </w:r>
      <w:r>
        <w:rPr>
          <w:rFonts w:ascii="Times New Roman" w:eastAsia="黑体"/>
          <w:b w:val="false"/>
          <w:sz w:val="44"/>
          <w:szCs w:val="44"/>
        </w:rPr>
        <w:t>年度部门决算情况说明</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w:t>
      </w:r>
      <w:r>
        <w:rPr>
          <w:rFonts w:ascii="Times New Roman" w:eastAsia="仿宋_GB2312"/>
          <w:b w:val="false"/>
          <w:sz w:val="32"/>
          <w:szCs w:val="32"/>
        </w:rPr>
        <w:t>年度收、支总计（含结转和结余）均为</w:t>
      </w:r>
      <w:r>
        <w:rPr>
          <w:rFonts w:ascii="Times New Roman" w:eastAsia="仿宋_GB2312"/>
          <w:b w:val="false"/>
          <w:sz w:val="32"/>
          <w:szCs w:val="32"/>
        </w:rPr>
        <w:t>9,223.75</w:t>
      </w:r>
      <w:r>
        <w:rPr>
          <w:rFonts w:ascii="Times New Roman" w:eastAsia="仿宋_GB2312"/>
          <w:b w:val="false"/>
          <w:sz w:val="32"/>
          <w:szCs w:val="32"/>
        </w:rPr>
        <w:t>万元。与</w:t>
      </w:r>
      <w:r>
        <w:rPr>
          <w:rFonts w:ascii="Times New Roman" w:eastAsia="仿宋_GB2312"/>
          <w:b w:val="false"/>
          <w:sz w:val="32"/>
          <w:szCs w:val="32"/>
        </w:rPr>
        <w:t>2023</w:t>
      </w:r>
      <w:r>
        <w:rPr>
          <w:rFonts w:ascii="Times New Roman" w:eastAsia="仿宋_GB2312"/>
          <w:b w:val="false"/>
          <w:sz w:val="32"/>
          <w:szCs w:val="32"/>
        </w:rPr>
        <w:t>年度决算相比，收支各</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5CC107B">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a:graphicData uri="http://schemas.openxmlformats.org/drawingml/2006/chart">
                <c:chart r:id="rId11"/>
              </a:graphicData>
            </a:graphic>
          </wp:inline>
        </w:drawing>
      </w:r>
      <w:r>
        <w:rPr>
          <w:rFonts w:hint="default" w:ascii="Times New Roman" w:hAnsi="Times New Roman" w:eastAsia="Arial" w:cs="Times New Roman"/>
          <w:i w:val="false"/>
          <w:iCs w:val="false"/>
          <w:caps w:val="false"/>
          <w:color w:val="000000"/>
          <w:spacing w:val="0"/>
          <w:sz w:val="18"/>
          <w:szCs w:val="18"/>
          <w:highlight w:val="none"/>
          <w:shd w:val="clear" w:fill="FFFFFF"/>
        </w:rPr>
        <w:t/>
        <w:t>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w:t>
      </w:r>
      <w:r>
        <w:rPr>
          <w:rFonts w:ascii="Times New Roman" w:eastAsia="仿宋_GB2312"/>
          <w:b w:val="false"/>
          <w:sz w:val="32"/>
          <w:szCs w:val="32"/>
        </w:rPr>
        <w:t>年度本年收入合计</w:t>
      </w:r>
      <w:r>
        <w:rPr>
          <w:rFonts w:ascii="Times New Roman" w:eastAsia="仿宋_GB2312"/>
          <w:b w:val="false"/>
          <w:sz w:val="32"/>
          <w:szCs w:val="32"/>
        </w:rPr>
        <w:t>9,223.75</w:t>
      </w:r>
      <w:r>
        <w:rPr>
          <w:rFonts w:ascii="Times New Roman" w:eastAsia="仿宋_GB2312"/>
          <w:b w:val="false"/>
          <w:sz w:val="32"/>
          <w:szCs w:val="32"/>
        </w:rPr>
        <w:t>万元，其中：财政拨款收入</w:t>
      </w:r>
      <w:r>
        <w:rPr>
          <w:rFonts w:ascii="Times New Roman" w:eastAsia="仿宋_GB2312"/>
          <w:b w:val="false"/>
          <w:sz w:val="32"/>
          <w:szCs w:val="32"/>
        </w:rPr>
        <w:t>9,223.75</w:t>
      </w:r>
      <w:r>
        <w:rPr>
          <w:rFonts w:ascii="Times New Roman" w:eastAsia="仿宋_GB2312"/>
          <w:b w:val="false"/>
          <w:sz w:val="32"/>
          <w:szCs w:val="32"/>
        </w:rPr>
        <w:t>万元，占</w:t>
      </w:r>
      <w:r>
        <w:rPr>
          <w:rFonts w:ascii="Times New Roman" w:eastAsia="仿宋_GB2312"/>
          <w:b w:val="false"/>
          <w:sz w:val="32"/>
          <w:szCs w:val="32"/>
        </w:rPr>
        <w:t>100.0</w:t>
      </w:r>
      <w:r>
        <w:rPr>
          <w:rFonts w:ascii="Times New Roman" w:eastAsia="仿宋_GB2312"/>
          <w:b w:val="false"/>
          <w:sz w:val="32"/>
          <w:szCs w:val="32"/>
        </w:rPr>
        <w:t>%；上级补助收入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%；事业收入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%；附属单位上缴收入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%；其他收入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3EDA1CE7">
      <w:pPr>
        <w:adjustRightInd w:val="false"/>
        <w:snapToGrid w:val="false"/>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false" relativeHeight="251661312" behindDoc="false" locked="false" layoutInCell="true" allowOverlap="true">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a:graphicData uri="http://schemas.openxmlformats.org/drawingml/2006/chart">
                <c:chart r:id="rId12"/>
              </a:graphicData>
            </a:graphic>
          </wp:anchor>
        </w:drawing>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2024年度本年支出合计</w:t>
      </w:r>
      <w:r>
        <w:rPr>
          <w:rFonts w:ascii="Times New Roman" w:eastAsia="仿宋_GB2312"/>
          <w:b w:val="false"/>
          <w:sz w:val="32"/>
          <w:szCs w:val="32"/>
        </w:rPr>
        <w:t>9,223.75</w:t>
      </w:r>
      <w:r>
        <w:rPr>
          <w:rFonts w:ascii="Times New Roman" w:eastAsia="仿宋_GB2312"/>
          <w:b w:val="false"/>
          <w:sz w:val="32"/>
          <w:szCs w:val="32"/>
        </w:rPr>
        <w:t>万元，其中：基本支出</w:t>
      </w:r>
      <w:r>
        <w:rPr>
          <w:rFonts w:ascii="Times New Roman" w:eastAsia="仿宋_GB2312"/>
          <w:b w:val="false"/>
          <w:sz w:val="32"/>
          <w:szCs w:val="32"/>
        </w:rPr>
        <w:t>497.84</w:t>
      </w:r>
      <w:r>
        <w:rPr>
          <w:rFonts w:ascii="Times New Roman" w:eastAsia="仿宋_GB2312"/>
          <w:b w:val="false"/>
          <w:sz w:val="32"/>
          <w:szCs w:val="32"/>
        </w:rPr>
        <w:t>万元，占</w:t>
      </w:r>
      <w:r>
        <w:rPr>
          <w:rFonts w:ascii="Times New Roman" w:eastAsia="仿宋_GB2312"/>
          <w:b w:val="false"/>
          <w:sz w:val="32"/>
          <w:szCs w:val="32"/>
        </w:rPr>
        <w:t>5.4</w:t>
      </w:r>
      <w:r>
        <w:rPr>
          <w:rFonts w:ascii="Times New Roman" w:eastAsia="仿宋_GB2312"/>
          <w:b w:val="false"/>
          <w:sz w:val="32"/>
          <w:szCs w:val="32"/>
        </w:rPr>
        <w:t>%；项目支出</w:t>
      </w:r>
      <w:r>
        <w:rPr>
          <w:rFonts w:ascii="Times New Roman" w:eastAsia="仿宋_GB2312"/>
          <w:b w:val="false"/>
          <w:sz w:val="32"/>
          <w:szCs w:val="32"/>
        </w:rPr>
        <w:t>8,725.91</w:t>
      </w:r>
      <w:r>
        <w:rPr>
          <w:rFonts w:ascii="Times New Roman" w:eastAsia="仿宋_GB2312"/>
          <w:b w:val="false"/>
          <w:sz w:val="32"/>
          <w:szCs w:val="32"/>
        </w:rPr>
        <w:t>万元，占</w:t>
      </w:r>
      <w:r>
        <w:rPr>
          <w:rFonts w:ascii="Times New Roman" w:eastAsia="仿宋_GB2312"/>
          <w:b w:val="false"/>
          <w:sz w:val="32"/>
          <w:szCs w:val="32"/>
        </w:rPr>
        <w:t>94.6</w:t>
      </w:r>
      <w:r>
        <w:rPr>
          <w:rFonts w:ascii="Times New Roman" w:eastAsia="仿宋_GB2312"/>
          <w:b w:val="false"/>
          <w:sz w:val="32"/>
          <w:szCs w:val="32"/>
        </w:rPr>
        <w:t>%；上缴上级支出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%；对附属单位补助支出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1EDB8620">
      <w:pPr>
        <w:autoSpaceDE w:val="false"/>
        <w:autoSpaceDN w:val="false"/>
        <w:adjustRightInd w:val="false"/>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a:graphicData uri="http://schemas.openxmlformats.org/drawingml/2006/chart">
                <c:chart r:id="rId13"/>
              </a:graphicData>
            </a:graphic>
          </wp:inline>
        </w:drawing>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（一）财政拨款收支与</w:t>
      </w:r>
      <w:r>
        <w:rPr>
          <w:rFonts w:ascii="Times New Roman" w:eastAsia="仿宋_GB2312"/>
          <w:b w:val="true"/>
          <w:sz w:val="32"/>
          <w:szCs w:val="32"/>
        </w:rPr>
        <w:t>2023</w:t>
      </w:r>
      <w:r>
        <w:rPr>
          <w:rFonts w:ascii="Times New Roman" w:eastAsia="楷体_GB2312"/>
          <w:b w:val="true"/>
          <w:sz w:val="32"/>
          <w:szCs w:val="32"/>
        </w:rPr>
        <w:t>年度决算对比情况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2024年度财政拨款收、支总计（含结转和结余）均为</w:t>
      </w:r>
      <w:r>
        <w:rPr>
          <w:rFonts w:ascii="Times New Roman" w:eastAsia="仿宋_GB2312"/>
          <w:b w:val="false"/>
          <w:sz w:val="32"/>
          <w:szCs w:val="32"/>
        </w:rPr>
        <w:t>9,223.75</w:t>
      </w:r>
      <w:r>
        <w:rPr>
          <w:rFonts w:ascii="Times New Roman" w:eastAsia="仿宋_GB2312"/>
          <w:b w:val="false"/>
          <w:sz w:val="32"/>
          <w:szCs w:val="32"/>
        </w:rPr>
        <w:t>万元。与2023年度相比，财政拨款收支各</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2024年度财政拨款本年收入</w:t>
      </w:r>
      <w:r>
        <w:rPr>
          <w:rFonts w:ascii="Times New Roman" w:eastAsia="仿宋_GB2312"/>
          <w:b w:val="false"/>
          <w:sz w:val="32"/>
          <w:szCs w:val="32"/>
        </w:rPr>
        <w:t>9,223.75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 </w:t>
      </w:r>
      <w:r>
        <w:rPr>
          <w:rFonts w:ascii="Times New Roman" w:eastAsia="仿宋_GB2312"/>
          <w:b w:val="false"/>
          <w:sz w:val="32"/>
          <w:szCs w:val="32"/>
        </w:rPr>
        <w:t>9,223.75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outlineLvl w:val="1"/>
        <w:rPr>
          <w:rFonts w:ascii="Times New Roman" w:eastAsia="仿宋_GB2312"/>
          <w:sz w:val="32"/>
          <w:szCs w:val="32"/>
        </w:rPr>
      </w:pPr>
      <w:r>
        <w:rPr>
          <w:rFonts w:ascii="Times New Roman" w:eastAsia="仿宋_GB2312"/>
          <w:b w:val="false"/>
          <w:sz w:val="32"/>
          <w:szCs w:val="32"/>
        </w:rPr>
        <w:t>1. 一般公共预算财政拨款本年收入</w:t>
      </w:r>
      <w:r>
        <w:rPr>
          <w:rFonts w:ascii="Times New Roman" w:eastAsia="仿宋_GB2312"/>
          <w:b w:val="false"/>
          <w:sz w:val="32"/>
          <w:szCs w:val="32"/>
        </w:rPr>
        <w:t>8,868.34</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802.79</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8,868.34</w:t>
      </w:r>
      <w:r>
        <w:rPr>
          <w:rFonts w:ascii="Times New Roman" w:eastAsia="仿宋_GB2312"/>
          <w:b w:val="false"/>
          <w:sz w:val="32"/>
          <w:szCs w:val="32"/>
        </w:rPr>
        <w:t> 万元，比上年</w:t>
      </w:r>
      <w:r>
        <w:rPr>
          <w:rFonts w:ascii="Times New Roman" w:eastAsia="仿宋_GB2312"/>
          <w:b w:val="false"/>
          <w:sz w:val="32"/>
          <w:szCs w:val="32"/>
        </w:rPr>
        <w:t>增加</w:t>
      </w:r>
      <w:r>
        <w:rPr>
          <w:rFonts w:ascii="Times New Roman" w:eastAsia="仿宋_GB2312"/>
          <w:b w:val="false"/>
          <w:sz w:val="32"/>
          <w:szCs w:val="32"/>
        </w:rPr>
        <w:t>802.79</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w:t>
      </w:r>
      <w:r>
        <w:rPr>
          <w:rFonts w:ascii="Times New Roman" w:eastAsia="仿宋_GB2312"/>
          <w:b w:val="false"/>
          <w:sz w:val="32"/>
          <w:szCs w:val="32"/>
        </w:rPr>
        <w:t>355.41</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134.28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27.4</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355.41</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134.28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27.4</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7375238">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a:graphicData uri="http://schemas.openxmlformats.org/drawingml/2006/chart">
                <c:chart r:id="rId14"/>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（二）财政拨款收支与年初预算数对比情况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2024年度财政拨款本年收入</w:t>
      </w:r>
      <w:r>
        <w:rPr>
          <w:rFonts w:ascii="Times New Roman" w:eastAsia="仿宋_GB2312"/>
          <w:b w:val="false"/>
          <w:sz w:val="32"/>
          <w:szCs w:val="32"/>
        </w:rPr>
        <w:t>9,223.75</w:t>
      </w:r>
      <w:r>
        <w:rPr>
          <w:rFonts w:ascii="Times New Roman" w:eastAsia="仿宋_GB2312"/>
          <w:b w:val="false"/>
          <w:sz w:val="32"/>
          <w:szCs w:val="32"/>
        </w:rPr>
        <w:t>万元，完成年初预算的</w:t>
      </w:r>
      <w:r>
        <w:rPr>
          <w:rFonts w:ascii="Times New Roman" w:eastAsia="仿宋_GB2312"/>
          <w:b w:val="false"/>
          <w:sz w:val="32"/>
          <w:szCs w:val="32"/>
        </w:rPr>
        <w:t>153.1</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3,198.86</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9,223.75</w:t>
      </w:r>
      <w:r>
        <w:rPr>
          <w:rFonts w:ascii="Times New Roman" w:eastAsia="仿宋_GB2312"/>
          <w:b w:val="false"/>
          <w:sz w:val="32"/>
          <w:szCs w:val="32"/>
        </w:rPr>
        <w:t>万元，完成年初预算的</w:t>
      </w:r>
      <w:r>
        <w:rPr>
          <w:rFonts w:ascii="Times New Roman" w:eastAsia="仿宋_GB2312"/>
          <w:b w:val="false"/>
          <w:sz w:val="32"/>
          <w:szCs w:val="32"/>
        </w:rPr>
        <w:t>153.1</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3,198.86</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1. 一般公共预算财政拨款本年收入完成年初预算的</w:t>
      </w:r>
      <w:r>
        <w:rPr>
          <w:rFonts w:ascii="Times New Roman" w:eastAsia="仿宋_GB2312"/>
          <w:b w:val="false"/>
          <w:sz w:val="32"/>
          <w:szCs w:val="32"/>
        </w:rPr>
        <w:t>152.9</w:t>
      </w:r>
      <w:r>
        <w:rPr>
          <w:rFonts w:ascii="Times New Roman" w:eastAsia="仿宋_GB2312"/>
          <w:b w:val="false"/>
          <w:sz w:val="32"/>
          <w:szCs w:val="32"/>
        </w:rPr>
        <w:t> %，比年初预算</w:t>
      </w:r>
      <w:r>
        <w:rPr>
          <w:rFonts w:ascii="Times New Roman" w:eastAsia="仿宋_GB2312"/>
          <w:b w:val="false"/>
          <w:sz w:val="32"/>
          <w:szCs w:val="32"/>
        </w:rPr>
        <w:t>增加</w:t>
      </w:r>
      <w:r>
        <w:rPr>
          <w:rFonts w:ascii="Times New Roman" w:eastAsia="仿宋_GB2312"/>
          <w:b w:val="false"/>
          <w:sz w:val="32"/>
          <w:szCs w:val="32"/>
        </w:rPr>
        <w:t>3,068.14</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152.9</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3,068.14</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政府性基金预算财政拨款本年收入完成年初预算的</w:t>
      </w:r>
      <w:r>
        <w:rPr>
          <w:rFonts w:ascii="Times New Roman" w:eastAsia="仿宋_GB2312"/>
          <w:b w:val="false"/>
          <w:sz w:val="32"/>
          <w:szCs w:val="32"/>
        </w:rPr>
        <w:t>158.2</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130.72</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158.2</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130.72</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14:paraId="39F845FE">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left"/>
        <w:rPr>
          <w:rFonts w:hint="default" w:ascii="Times New Roman" w:hAnsi="Times New Roman" w:eastAsia="Arial" w:cs="Times New Roman"/>
          <w:highlight w:val="none"/>
        </w:rPr>
      </w:pPr>
    </w:p>
    <w:p w14:paraId="5BE36D14">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a:graphicData uri="http://schemas.openxmlformats.org/drawingml/2006/chart">
                <c:chart r:id="rId15"/>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（三）财政拨款支出决算结构情况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2024年度财政拨款支出</w:t>
      </w:r>
      <w:r>
        <w:rPr>
          <w:rFonts w:ascii="Times New Roman" w:eastAsia="仿宋_GB2312"/>
          <w:b w:val="false"/>
          <w:sz w:val="32"/>
          <w:szCs w:val="32"/>
        </w:rPr>
        <w:t>9,223.75</w:t>
      </w:r>
      <w:r>
        <w:rPr>
          <w:rFonts w:ascii="Times New Roman" w:eastAsia="仿宋_GB2312"/>
          <w:b w:val="false"/>
          <w:sz w:val="32"/>
          <w:szCs w:val="32"/>
        </w:rPr>
        <w:t>万元，主要用于以下方面：</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一般公共预算财政拨款支出：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8,815.46</w:t>
      </w:r>
      <w:r>
        <w:rPr>
          <w:rFonts w:ascii="Times New Roman" w:eastAsia="仿宋_GB2312"/>
          <w:b w:val="false"/>
          <w:sz w:val="32"/>
          <w:szCs w:val="32"/>
        </w:rPr>
        <w:t>万元，占</w:t>
      </w:r>
      <w:r>
        <w:rPr>
          <w:rFonts w:ascii="Times New Roman" w:eastAsia="仿宋_GB2312"/>
          <w:b w:val="false"/>
          <w:sz w:val="32"/>
          <w:szCs w:val="32"/>
        </w:rPr>
        <w:t>95.6</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20.93</w:t>
      </w:r>
      <w:r>
        <w:rPr>
          <w:rFonts w:ascii="Times New Roman" w:eastAsia="仿宋_GB2312"/>
          <w:b w:val="false"/>
          <w:sz w:val="32"/>
          <w:szCs w:val="32"/>
        </w:rPr>
        <w:t>万元，占</w:t>
      </w:r>
      <w:r>
        <w:rPr>
          <w:rFonts w:ascii="Times New Roman" w:eastAsia="仿宋_GB2312"/>
          <w:b w:val="false"/>
          <w:sz w:val="32"/>
          <w:szCs w:val="32"/>
        </w:rPr>
        <w:t>0.2</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31.94</w:t>
      </w:r>
      <w:r>
        <w:rPr>
          <w:rFonts w:ascii="Times New Roman" w:eastAsia="仿宋_GB2312"/>
          <w:b w:val="false"/>
          <w:sz w:val="32"/>
          <w:szCs w:val="32"/>
        </w:rPr>
        <w:t>万元，占</w:t>
      </w:r>
      <w:r>
        <w:rPr>
          <w:rFonts w:ascii="Times New Roman" w:eastAsia="仿宋_GB2312"/>
          <w:b w:val="false"/>
          <w:sz w:val="32"/>
          <w:szCs w:val="32"/>
        </w:rPr>
        <w:t>0.3</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政府性基金预算财政拨款支出：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355.41</w:t>
      </w:r>
      <w:r>
        <w:rPr>
          <w:rFonts w:ascii="Times New Roman" w:eastAsia="仿宋_GB2312"/>
          <w:b w:val="false"/>
          <w:sz w:val="32"/>
          <w:szCs w:val="32"/>
        </w:rPr>
        <w:t>万元，占</w:t>
      </w:r>
      <w:r>
        <w:rPr>
          <w:rFonts w:ascii="Times New Roman" w:eastAsia="仿宋_GB2312"/>
          <w:b w:val="false"/>
          <w:sz w:val="32"/>
          <w:szCs w:val="32"/>
        </w:rPr>
        <w:t>3.9</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国有资本经营预算财政拨款支出：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14:paraId="36ED2E86">
      <w:pPr>
        <w:pStyle w:val="10"/>
        <w:keepNext w:val="false"/>
        <w:keepLines w:val="false"/>
        <w:pageBreakBefore w:val="false"/>
        <w:widowControl/>
        <w:suppressLineNumbers w:val="false"/>
        <w:pBdr>
          <w:top w:val="none" w:color="auto" w:sz="0" w:space="0"/>
          <w:left w:val="none" w:color="auto" w:sz="0" w:space="0"/>
          <w:bottom w:val="none" w:color="auto" w:sz="0" w:space="0"/>
          <w:right w:val="none" w:color="auto" w:sz="0" w:space="0"/>
        </w:pBdr>
        <w:kinsoku/>
        <w:wordWrap/>
        <w:overflowPunct/>
        <w:topLinePunct w:val="false"/>
        <w:autoSpaceDE/>
        <w:autoSpaceDN/>
        <w:bidi w:val="false"/>
        <w:spacing w:before="0" w:beforeAutospacing="false" w:after="0" w:afterAutospacing="false"/>
        <w:ind w:left="0" w:right="0"/>
        <w:jc w:val="left"/>
        <w:textAlignment w:val="auto"/>
        <w:rPr>
          <w:rFonts w:hint="default" w:ascii="Times New Roman" w:hAnsi="Times New Roman" w:eastAsia="仿宋_GB2312" w:cs="Times New Roman"/>
          <w:color w:val="auto"/>
          <w:kern w:val="2"/>
          <w:sz w:val="32"/>
          <w:szCs w:val="32"/>
          <w:lang w:val="zh-CN" w:eastAsia="zh-CN" w:bidi="ar-SA"/>
        </w:rPr>
      </w:pPr>
      <w:bookmarkStart w:name="_GoBack" w:id="0"/>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a:graphicData uri="http://schemas.openxmlformats.org/drawingml/2006/chart">
                <c:chart r:id="rId16"/>
              </a:graphicData>
            </a:graphic>
          </wp:inline>
        </w:drawing>
      </w:r>
      <w:bookmarkEnd w:id="0"/>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（四）一般公共预算基本支出决算情况说明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2024年度财政拨款基本支出</w:t>
      </w:r>
      <w:r>
        <w:rPr>
          <w:rFonts w:ascii="Times New Roman" w:eastAsia="仿宋_GB2312"/>
          <w:b w:val="false"/>
          <w:sz w:val="32"/>
          <w:szCs w:val="32"/>
        </w:rPr>
        <w:t>497.84</w:t>
      </w:r>
      <w:r>
        <w:rPr>
          <w:rFonts w:ascii="Times New Roman" w:eastAsia="仿宋_GB2312"/>
          <w:b w:val="false"/>
          <w:sz w:val="32"/>
          <w:szCs w:val="32"/>
        </w:rPr>
        <w:t>万元，其中：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人员经费</w:t>
      </w:r>
      <w:r>
        <w:rPr>
          <w:rFonts w:ascii="Times New Roman" w:eastAsia="仿宋_GB2312"/>
          <w:b w:val="false"/>
          <w:sz w:val="32"/>
          <w:szCs w:val="32"/>
        </w:rPr>
        <w:t>482.08</w:t>
      </w:r>
      <w:r>
        <w:rPr>
          <w:rFonts w:ascii="Times New Roman" w:eastAsia="仿宋_GB2312"/>
          <w:b w:val="false"/>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公用经费</w:t>
      </w:r>
      <w:r>
        <w:rPr>
          <w:rFonts w:ascii="Times New Roman" w:eastAsia="仿宋_GB2312"/>
          <w:b w:val="false"/>
          <w:sz w:val="32"/>
          <w:szCs w:val="32"/>
        </w:rPr>
        <w:t>15.76</w:t>
      </w:r>
      <w:r>
        <w:rPr>
          <w:rFonts w:ascii="Times New Roman" w:eastAsia="仿宋_GB2312"/>
          <w:b w:val="false"/>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五、财政拨款“三公” 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（一）“三公”经费财政拨款支出决算总体情况说明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2024年度“三公”经费财政拨款支出预算为</w:t>
      </w:r>
      <w:r>
        <w:rPr>
          <w:rFonts w:ascii="Times New Roman" w:eastAsia="仿宋_GB2312"/>
          <w:b w:val="false"/>
          <w:sz w:val="32"/>
          <w:szCs w:val="32"/>
        </w:rPr>
        <w:t>2.88</w:t>
      </w:r>
      <w:r>
        <w:rPr>
          <w:rFonts w:ascii="Times New Roman" w:eastAsia="仿宋_GB2312"/>
          <w:b w:val="false"/>
          <w:sz w:val="32"/>
          <w:szCs w:val="32"/>
        </w:rPr>
        <w:t>万元，支出决算为 </w:t>
      </w:r>
      <w:r>
        <w:rPr>
          <w:rFonts w:ascii="Times New Roman" w:eastAsia="仿宋_GB2312"/>
          <w:b w:val="false"/>
          <w:sz w:val="32"/>
          <w:szCs w:val="32"/>
        </w:rPr>
        <w:t>1.74</w:t>
      </w:r>
      <w:r>
        <w:rPr>
          <w:rFonts w:ascii="Times New Roman" w:eastAsia="仿宋_GB2312"/>
          <w:b w:val="false"/>
          <w:sz w:val="32"/>
          <w:szCs w:val="32"/>
        </w:rPr>
        <w:t>万元，完成预算的 </w:t>
      </w:r>
      <w:r>
        <w:rPr>
          <w:rFonts w:ascii="Times New Roman" w:eastAsia="仿宋_GB2312"/>
          <w:b w:val="false"/>
          <w:sz w:val="32"/>
          <w:szCs w:val="32"/>
        </w:rPr>
        <w:t>60.4</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1.14</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39.6</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；较2023年度决算</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（二）“三公”经费财政拨款支出决算具体情况说明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1.因公出国（境）费支出情况。</w:t>
      </w:r>
      <w:r>
        <w:rPr>
          <w:rFonts w:ascii="Times New Roman" w:eastAsia="仿宋_GB2312"/>
          <w:b w:val="false"/>
          <w:sz w:val="32"/>
          <w:szCs w:val="32"/>
        </w:rPr>
        <w:t>本单位</w:t>
      </w:r>
      <w:r>
        <w:rPr>
          <w:rFonts w:ascii="Times New Roman" w:eastAsia="仿宋_GB2312"/>
          <w:b w:val="false"/>
          <w:sz w:val="32"/>
          <w:szCs w:val="32"/>
        </w:rPr>
        <w:t>2024年度因公出国（境）费支出预算为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%。因公出国（境）费支出较预算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。因公出国（境）团组</w:t>
      </w:r>
      <w:r>
        <w:rPr>
          <w:rFonts w:ascii="Times New Roman" w:eastAsia="仿宋_GB2312"/>
          <w:b w:val="false"/>
          <w:sz w:val="32"/>
          <w:szCs w:val="32"/>
        </w:rPr>
        <w:t>0</w:t>
      </w:r>
      <w:r>
        <w:rPr>
          <w:rFonts w:ascii="Times New Roman" w:eastAsia="仿宋_GB2312"/>
          <w:b w:val="false"/>
          <w:sz w:val="32"/>
          <w:szCs w:val="32"/>
        </w:rPr>
        <w:t>个、共</w:t>
      </w:r>
      <w:r>
        <w:rPr>
          <w:rFonts w:ascii="Times New Roman" w:eastAsia="仿宋_GB2312"/>
          <w:b w:val="false"/>
          <w:sz w:val="32"/>
          <w:szCs w:val="32"/>
        </w:rPr>
        <w:t>0</w:t>
      </w:r>
      <w:r>
        <w:rPr>
          <w:rFonts w:ascii="Times New Roman" w:eastAsia="仿宋_GB2312"/>
          <w:b w:val="false"/>
          <w:sz w:val="32"/>
          <w:szCs w:val="32"/>
        </w:rPr>
        <w:t>人、参加其他单位组织的因公出国（境）团组</w:t>
      </w:r>
      <w:r>
        <w:rPr>
          <w:rFonts w:ascii="Times New Roman" w:eastAsia="仿宋_GB2312"/>
          <w:b w:val="false"/>
          <w:sz w:val="32"/>
          <w:szCs w:val="32"/>
        </w:rPr>
        <w:t/>
      </w:r>
      <w:r>
        <w:rPr>
          <w:rFonts w:ascii="Times New Roman" w:eastAsia="仿宋_GB2312"/>
          <w:b w:val="false"/>
          <w:sz w:val="32"/>
          <w:szCs w:val="32"/>
        </w:rPr>
        <w:t>个、共</w:t>
      </w:r>
      <w:r>
        <w:rPr>
          <w:rFonts w:ascii="Times New Roman" w:eastAsia="仿宋_GB2312"/>
          <w:b w:val="false"/>
          <w:sz w:val="32"/>
          <w:szCs w:val="32"/>
        </w:rPr>
        <w:t/>
      </w:r>
      <w:r>
        <w:rPr>
          <w:rFonts w:ascii="Times New Roman" w:eastAsia="仿宋_GB2312"/>
          <w:b w:val="false"/>
          <w:sz w:val="32"/>
          <w:szCs w:val="32"/>
        </w:rPr>
        <w:t>人/无本部门组织的出国（境）团组。</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2.公务用车购置及运行维护费支出情况。</w:t>
      </w:r>
      <w:r>
        <w:rPr>
          <w:rFonts w:ascii="Times New Roman" w:eastAsia="仿宋_GB2312"/>
          <w:b w:val="false"/>
          <w:sz w:val="32"/>
          <w:szCs w:val="32"/>
        </w:rPr>
        <w:t>本单位</w:t>
      </w:r>
      <w:r>
        <w:rPr>
          <w:rFonts w:ascii="Times New Roman" w:eastAsia="仿宋_GB2312"/>
          <w:b w:val="false"/>
          <w:sz w:val="32"/>
          <w:szCs w:val="32"/>
        </w:rPr>
        <w:t>2024年度公务用车购置及运行维护费预算为</w:t>
      </w:r>
      <w:r>
        <w:rPr>
          <w:rFonts w:ascii="Times New Roman" w:eastAsia="仿宋_GB2312"/>
          <w:b w:val="false"/>
          <w:sz w:val="32"/>
          <w:szCs w:val="32"/>
        </w:rPr>
        <w:t>2.60</w:t>
      </w:r>
      <w:r>
        <w:rPr>
          <w:rFonts w:ascii="Times New Roman" w:eastAsia="仿宋_GB2312"/>
          <w:b w:val="false"/>
          <w:sz w:val="32"/>
          <w:szCs w:val="32"/>
        </w:rPr>
        <w:t>万元，支出决算 </w:t>
      </w:r>
      <w:r>
        <w:rPr>
          <w:rFonts w:ascii="Times New Roman" w:eastAsia="仿宋_GB2312"/>
          <w:b w:val="false"/>
          <w:sz w:val="32"/>
          <w:szCs w:val="32"/>
        </w:rPr>
        <w:t>1.74</w:t>
      </w:r>
      <w:r>
        <w:rPr>
          <w:rFonts w:ascii="Times New Roman" w:eastAsia="仿宋_GB2312"/>
          <w:b w:val="false"/>
          <w:sz w:val="32"/>
          <w:szCs w:val="32"/>
        </w:rPr>
        <w:t>万元，完成预算的</w:t>
      </w:r>
      <w:r>
        <w:rPr>
          <w:rFonts w:ascii="Times New Roman" w:eastAsia="仿宋_GB2312"/>
          <w:b w:val="false"/>
          <w:sz w:val="32"/>
          <w:szCs w:val="32"/>
        </w:rPr>
        <w:t>66.9</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0.86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33.1</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公务用车购置费支出</w:t>
      </w:r>
      <w:r>
        <w:rPr>
          <w:rFonts w:ascii="Times New Roman" w:eastAsia="仿宋_GB2312"/>
          <w:b w:val="true"/>
          <w:sz w:val="32"/>
          <w:szCs w:val="32"/>
        </w:rPr>
        <w:t>0.00</w:t>
      </w:r>
      <w:r>
        <w:rPr>
          <w:rFonts w:ascii="Times New Roman" w:eastAsia="仿宋_GB2312"/>
          <w:b w:val="true"/>
          <w:sz w:val="32"/>
          <w:szCs w:val="32"/>
        </w:rPr>
        <w:t>万元：</w:t>
      </w:r>
      <w:r>
        <w:rPr>
          <w:rFonts w:ascii="Times New Roman" w:eastAsia="仿宋_GB2312"/>
          <w:b w:val="false"/>
          <w:sz w:val="32"/>
          <w:szCs w:val="32"/>
        </w:rPr>
        <w:t>本单位</w:t>
      </w:r>
      <w:r>
        <w:rPr>
          <w:rFonts w:ascii="Times New Roman" w:eastAsia="仿宋_GB2312"/>
          <w:b w:val="false"/>
          <w:sz w:val="32"/>
          <w:szCs w:val="32"/>
        </w:rPr>
        <w:t>2024年度公务用车购置量</w:t>
      </w:r>
      <w:r>
        <w:rPr>
          <w:rFonts w:ascii="Times New Roman" w:eastAsia="仿宋_GB2312"/>
          <w:b w:val="false"/>
          <w:sz w:val="32"/>
          <w:szCs w:val="32"/>
        </w:rPr>
        <w:t>0</w:t>
      </w:r>
      <w:r>
        <w:rPr>
          <w:rFonts w:ascii="Times New Roman" w:eastAsia="仿宋_GB2312"/>
          <w:b w:val="false"/>
          <w:sz w:val="32"/>
          <w:szCs w:val="32"/>
        </w:rPr>
        <w:t>辆，发生“公务用车购置”经费支出</w:t>
      </w:r>
      <w:r>
        <w:rPr>
          <w:rFonts w:ascii="Times New Roman" w:eastAsia="仿宋_GB2312"/>
          <w:b w:val="false"/>
          <w:sz w:val="32"/>
          <w:szCs w:val="32"/>
        </w:rPr>
        <w:t>0.00</w:t>
      </w:r>
      <w:r>
        <w:rPr>
          <w:rFonts w:ascii="Times New Roman" w:eastAsia="仿宋_GB2312"/>
          <w:b w:val="false"/>
          <w:sz w:val="32"/>
          <w:szCs w:val="32"/>
        </w:rPr>
        <w:t>万元。公务用车购置费支出较预算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公务用车运行维护费支出</w:t>
      </w:r>
      <w:r>
        <w:rPr>
          <w:rFonts w:ascii="Times New Roman" w:eastAsia="仿宋_GB2312"/>
          <w:b w:val="true"/>
          <w:sz w:val="32"/>
          <w:szCs w:val="32"/>
        </w:rPr>
        <w:t>1.74</w:t>
      </w:r>
      <w:r>
        <w:rPr>
          <w:rFonts w:ascii="Times New Roman" w:eastAsia="仿宋_GB2312"/>
          <w:b w:val="true"/>
          <w:sz w:val="32"/>
          <w:szCs w:val="32"/>
        </w:rPr>
        <w:t>万元：</w:t>
      </w:r>
      <w:r>
        <w:rPr>
          <w:rFonts w:ascii="Times New Roman" w:eastAsia="仿宋_GB2312"/>
          <w:b w:val="false"/>
          <w:sz w:val="32"/>
          <w:szCs w:val="32"/>
        </w:rPr>
        <w:t>本单位</w:t>
      </w:r>
      <w:r>
        <w:rPr>
          <w:rFonts w:ascii="Times New Roman" w:eastAsia="仿宋_GB2312"/>
          <w:b w:val="false"/>
          <w:sz w:val="32"/>
          <w:szCs w:val="32"/>
        </w:rPr>
        <w:t>2024年度单位公务用车保有量</w:t>
      </w:r>
      <w:r>
        <w:rPr>
          <w:rFonts w:ascii="Times New Roman" w:eastAsia="仿宋_GB2312"/>
          <w:b w:val="false"/>
          <w:sz w:val="32"/>
          <w:szCs w:val="32"/>
        </w:rPr>
        <w:t>1</w:t>
      </w:r>
      <w:r>
        <w:rPr>
          <w:rFonts w:ascii="Times New Roman" w:eastAsia="仿宋_GB2312"/>
          <w:b w:val="false"/>
          <w:sz w:val="32"/>
          <w:szCs w:val="32"/>
        </w:rPr>
        <w:t>辆，发生运行维护费支出</w:t>
      </w:r>
      <w:r>
        <w:rPr>
          <w:rFonts w:ascii="Times New Roman" w:eastAsia="仿宋_GB2312"/>
          <w:b w:val="false"/>
          <w:sz w:val="32"/>
          <w:szCs w:val="32"/>
        </w:rPr>
        <w:t>1.74</w:t>
      </w:r>
      <w:r>
        <w:rPr>
          <w:rFonts w:ascii="Times New Roman" w:eastAsia="仿宋_GB2312"/>
          <w:b w:val="false"/>
          <w:sz w:val="32"/>
          <w:szCs w:val="32"/>
        </w:rPr>
        <w:t>万元。公车运行维护费支出较预算</w:t>
      </w:r>
      <w:r>
        <w:rPr>
          <w:rFonts w:ascii="Times New Roman" w:eastAsia="仿宋_GB2312"/>
          <w:b w:val="false"/>
          <w:sz w:val="32"/>
          <w:szCs w:val="32"/>
        </w:rPr>
        <w:t>减少</w:t>
      </w:r>
      <w:r>
        <w:rPr>
          <w:rFonts w:ascii="Times New Roman" w:eastAsia="仿宋_GB2312"/>
          <w:b w:val="false"/>
          <w:sz w:val="32"/>
          <w:szCs w:val="32"/>
        </w:rPr>
        <w:t>0.86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33.1</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3.公务接待费支出情况。</w:t>
      </w:r>
      <w:r>
        <w:rPr>
          <w:rFonts w:ascii="Times New Roman" w:eastAsia="仿宋_GB2312"/>
          <w:b w:val="false"/>
          <w:sz w:val="32"/>
          <w:szCs w:val="32"/>
        </w:rPr>
        <w:t>本单位</w:t>
      </w:r>
      <w:r>
        <w:rPr>
          <w:rFonts w:ascii="Times New Roman" w:eastAsia="仿宋_GB2312"/>
          <w:b w:val="false"/>
          <w:sz w:val="32"/>
          <w:szCs w:val="32"/>
        </w:rPr>
        <w:t>2024年度公务接待费支出预算为</w:t>
      </w:r>
      <w:r>
        <w:rPr>
          <w:rFonts w:ascii="Times New Roman" w:eastAsia="仿宋_GB2312"/>
          <w:b w:val="false"/>
          <w:sz w:val="32"/>
          <w:szCs w:val="32"/>
        </w:rPr>
        <w:t>0.28</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%。公务接待费支出较预算</w:t>
      </w:r>
      <w:r>
        <w:rPr>
          <w:rFonts w:ascii="Times New Roman" w:eastAsia="仿宋_GB2312"/>
          <w:b w:val="false"/>
          <w:sz w:val="32"/>
          <w:szCs w:val="32"/>
        </w:rPr>
        <w:t>减少</w:t>
      </w:r>
      <w:r>
        <w:rPr>
          <w:rFonts w:ascii="Times New Roman" w:eastAsia="仿宋_GB2312"/>
          <w:b w:val="false"/>
          <w:sz w:val="32"/>
          <w:szCs w:val="32"/>
        </w:rPr>
        <w:t>0.28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；较上年度</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。本年度共发生公务接待</w:t>
      </w:r>
      <w:r>
        <w:rPr>
          <w:rFonts w:ascii="Times New Roman" w:eastAsia="仿宋_GB2312"/>
          <w:b w:val="false"/>
          <w:sz w:val="32"/>
          <w:szCs w:val="32"/>
        </w:rPr>
        <w:t>0</w:t>
      </w:r>
      <w:r>
        <w:rPr>
          <w:rFonts w:ascii="Times New Roman" w:eastAsia="仿宋_GB2312"/>
          <w:b w:val="false"/>
          <w:sz w:val="32"/>
          <w:szCs w:val="32"/>
        </w:rPr>
        <w:t>批次、</w:t>
      </w:r>
      <w:r>
        <w:rPr>
          <w:rFonts w:ascii="Times New Roman" w:eastAsia="仿宋_GB2312"/>
          <w:b w:val="false"/>
          <w:sz w:val="32"/>
          <w:szCs w:val="32"/>
        </w:rPr>
        <w:t>0</w:t>
      </w:r>
      <w:r>
        <w:rPr>
          <w:rFonts w:ascii="Times New Roman" w:eastAsia="仿宋_GB2312"/>
          <w:b w:val="false"/>
          <w:sz w:val="32"/>
          <w:szCs w:val="32"/>
        </w:rPr>
        <w:t>人次。</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2024年度机关运行经费支出</w:t>
      </w:r>
      <w:r>
        <w:rPr>
          <w:rFonts w:ascii="Times New Roman" w:eastAsia="仿宋_GB2312"/>
          <w:b w:val="false"/>
          <w:sz w:val="32"/>
          <w:szCs w:val="32"/>
        </w:rPr>
        <w:t>15.76</w:t>
      </w:r>
      <w:r>
        <w:rPr>
          <w:rFonts w:ascii="Times New Roman" w:eastAsia="仿宋_GB2312"/>
          <w:b w:val="false"/>
          <w:sz w:val="32"/>
          <w:szCs w:val="32"/>
        </w:rPr>
        <w:t>万元，较2023年度</w:t>
      </w:r>
      <w:r>
        <w:rPr>
          <w:rFonts w:ascii="Times New Roman" w:eastAsia="仿宋_GB2312"/>
          <w:b w:val="false"/>
          <w:sz w:val="32"/>
          <w:szCs w:val="32"/>
        </w:rPr>
        <w:t>减少</w:t>
      </w:r>
      <w:r>
        <w:rPr>
          <w:rFonts w:ascii="Times New Roman" w:eastAsia="仿宋_GB2312"/>
          <w:b w:val="false"/>
          <w:sz w:val="32"/>
          <w:szCs w:val="32"/>
        </w:rPr>
        <w:t>24.35</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60.7</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2024年度政府采购支出总额</w:t>
      </w:r>
      <w:r>
        <w:rPr>
          <w:rFonts w:ascii="Times New Roman" w:eastAsia="仿宋_GB2312"/>
          <w:b w:val="false"/>
          <w:sz w:val="32"/>
          <w:szCs w:val="32"/>
        </w:rPr>
        <w:t>404.07</w:t>
      </w:r>
      <w:r>
        <w:rPr>
          <w:rFonts w:ascii="Times New Roman" w:eastAsia="仿宋_GB2312"/>
          <w:b w:val="false"/>
          <w:sz w:val="32"/>
          <w:szCs w:val="32"/>
        </w:rPr>
        <w:t>万元，从采购类型来看，政府采购货物支出</w:t>
      </w:r>
      <w:r>
        <w:rPr>
          <w:rFonts w:ascii="Times New Roman" w:eastAsia="仿宋_GB2312"/>
          <w:b w:val="false"/>
          <w:sz w:val="32"/>
          <w:szCs w:val="32"/>
        </w:rPr>
        <w:t>0.00</w:t>
      </w:r>
      <w:r>
        <w:rPr>
          <w:rFonts w:ascii="Times New Roman" w:eastAsia="仿宋_GB2312"/>
          <w:b w:val="false"/>
          <w:sz w:val="32"/>
          <w:szCs w:val="32"/>
        </w:rPr>
        <w:t>万元、政府采购工程支出</w:t>
      </w:r>
      <w:r>
        <w:rPr>
          <w:rFonts w:ascii="Times New Roman" w:eastAsia="仿宋_GB2312"/>
          <w:b w:val="false"/>
          <w:sz w:val="32"/>
          <w:szCs w:val="32"/>
        </w:rPr>
        <w:t>404.07</w:t>
      </w:r>
      <w:r>
        <w:rPr>
          <w:rFonts w:ascii="Times New Roman" w:eastAsia="仿宋_GB2312"/>
          <w:b w:val="false"/>
          <w:sz w:val="32"/>
          <w:szCs w:val="32"/>
        </w:rPr>
        <w:t>万元、政府采购服务支出</w:t>
      </w:r>
      <w:r>
        <w:rPr>
          <w:rFonts w:ascii="Times New Roman" w:eastAsia="仿宋_GB2312"/>
          <w:b w:val="false"/>
          <w:sz w:val="32"/>
          <w:szCs w:val="32"/>
        </w:rPr>
        <w:t>0.00</w:t>
      </w:r>
      <w:r>
        <w:rPr>
          <w:rFonts w:ascii="Times New Roman" w:eastAsia="仿宋_GB2312"/>
          <w:b w:val="false"/>
          <w:sz w:val="32"/>
          <w:szCs w:val="32"/>
        </w:rPr>
        <w:t>万元。授予中小企业合同金额</w:t>
      </w:r>
      <w:r>
        <w:rPr>
          <w:rFonts w:ascii="Times New Roman" w:eastAsia="仿宋_GB2312"/>
          <w:b w:val="false"/>
          <w:sz w:val="32"/>
          <w:szCs w:val="32"/>
        </w:rPr>
        <w:t>404.07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%，其中授予小微企业合同金额</w:t>
      </w:r>
      <w:r>
        <w:rPr>
          <w:rFonts w:ascii="Times New Roman" w:eastAsia="仿宋_GB2312"/>
          <w:b w:val="false"/>
          <w:sz w:val="32"/>
          <w:szCs w:val="32"/>
        </w:rPr>
        <w:t>404.07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截至2024年12月31日，</w:t>
      </w:r>
      <w:r>
        <w:rPr>
          <w:rFonts w:ascii="Times New Roman" w:eastAsia="仿宋_GB2312"/>
          <w:b w:val="false"/>
          <w:sz w:val="32"/>
          <w:szCs w:val="32"/>
        </w:rPr>
        <w:t>本单位共有车辆</w:t>
      </w:r>
      <w:r>
        <w:rPr>
          <w:rFonts w:ascii="Times New Roman" w:eastAsia="仿宋_GB2312"/>
          <w:b w:val="false"/>
          <w:sz w:val="32"/>
          <w:szCs w:val="32"/>
        </w:rPr>
        <w:t>1</w:t>
      </w:r>
      <w:r>
        <w:rPr>
          <w:rFonts w:ascii="Times New Roman" w:eastAsia="仿宋_GB2312"/>
          <w:b w:val="false"/>
          <w:sz w:val="32"/>
          <w:szCs w:val="32"/>
        </w:rPr>
        <w:t>辆，比上年</w:t>
      </w:r>
      <w:r>
        <w:rPr>
          <w:rFonts w:ascii="Times New Roman" w:eastAsia="仿宋_GB2312"/>
          <w:b w:val="false"/>
          <w:sz w:val="32"/>
          <w:szCs w:val="32"/>
        </w:rPr>
        <w:t>减少</w:t>
      </w:r>
      <w:r>
        <w:rPr>
          <w:rFonts w:ascii="Times New Roman" w:eastAsia="仿宋_GB2312"/>
          <w:b w:val="false"/>
          <w:sz w:val="32"/>
          <w:szCs w:val="32"/>
        </w:rPr>
        <w:t>3</w:t>
      </w:r>
      <w:r>
        <w:rPr>
          <w:rFonts w:ascii="Times New Roman" w:eastAsia="仿宋_GB2312"/>
          <w:b w:val="false"/>
          <w:sz w:val="32"/>
          <w:szCs w:val="32"/>
        </w:rPr>
        <w:t>辆，主要是</w:t>
      </w:r>
      <w:r>
        <w:rPr>
          <w:rFonts w:ascii="Times New Roman" w:eastAsia="仿宋_GB2312"/>
          <w:b w:val="false"/>
          <w:sz w:val="32"/>
          <w:szCs w:val="32"/>
        </w:rPr>
        <w:t/>
      </w:r>
      <w:r>
        <w:rPr>
          <w:rFonts w:ascii="Times New Roman" w:eastAsia="仿宋_GB2312"/>
          <w:b w:val="false"/>
          <w:sz w:val="32"/>
          <w:szCs w:val="32"/>
        </w:rPr>
        <w:t>。其中，副部（省）级及以上领导用车</w:t>
      </w:r>
      <w:r>
        <w:rPr>
          <w:rFonts w:ascii="Times New Roman" w:eastAsia="仿宋_GB2312"/>
          <w:b w:val="false"/>
          <w:sz w:val="32"/>
          <w:szCs w:val="32"/>
        </w:rPr>
        <w:t>0</w:t>
      </w:r>
      <w:r>
        <w:rPr>
          <w:rFonts w:ascii="Times New Roman" w:eastAsia="仿宋_GB2312"/>
          <w:b w:val="false"/>
          <w:sz w:val="32"/>
          <w:szCs w:val="32"/>
        </w:rPr>
        <w:t>辆，主要负责人用车</w:t>
      </w:r>
      <w:r>
        <w:rPr>
          <w:rFonts w:ascii="Times New Roman" w:eastAsia="仿宋_GB2312"/>
          <w:b w:val="false"/>
          <w:sz w:val="32"/>
          <w:szCs w:val="32"/>
        </w:rPr>
        <w:t>0</w:t>
      </w:r>
      <w:r>
        <w:rPr>
          <w:rFonts w:ascii="Times New Roman" w:eastAsia="仿宋_GB2312"/>
          <w:b w:val="false"/>
          <w:sz w:val="32"/>
          <w:szCs w:val="32"/>
        </w:rPr>
        <w:t>辆，机要通信用车</w:t>
      </w:r>
      <w:r>
        <w:rPr>
          <w:rFonts w:ascii="Times New Roman" w:eastAsia="仿宋_GB2312"/>
          <w:b w:val="false"/>
          <w:sz w:val="32"/>
          <w:szCs w:val="32"/>
        </w:rPr>
        <w:t>0</w:t>
      </w:r>
      <w:r>
        <w:rPr>
          <w:rFonts w:ascii="Times New Roman" w:eastAsia="仿宋_GB2312"/>
          <w:b w:val="false"/>
          <w:sz w:val="32"/>
          <w:szCs w:val="32"/>
        </w:rPr>
        <w:t>辆，应急保障用车</w:t>
      </w:r>
      <w:r>
        <w:rPr>
          <w:rFonts w:ascii="Times New Roman" w:eastAsia="仿宋_GB2312"/>
          <w:b w:val="false"/>
          <w:sz w:val="32"/>
          <w:szCs w:val="32"/>
        </w:rPr>
        <w:t>1</w:t>
      </w:r>
      <w:r>
        <w:rPr>
          <w:rFonts w:ascii="Times New Roman" w:eastAsia="仿宋_GB2312"/>
          <w:b w:val="false"/>
          <w:sz w:val="32"/>
          <w:szCs w:val="32"/>
        </w:rPr>
        <w:t>辆，执法执勤用车</w:t>
      </w:r>
      <w:r>
        <w:rPr>
          <w:rFonts w:ascii="Times New Roman" w:eastAsia="仿宋_GB2312"/>
          <w:b w:val="false"/>
          <w:sz w:val="32"/>
          <w:szCs w:val="32"/>
        </w:rPr>
        <w:t>0</w:t>
      </w:r>
      <w:r>
        <w:rPr>
          <w:rFonts w:ascii="Times New Roman" w:eastAsia="仿宋_GB2312"/>
          <w:b w:val="false"/>
          <w:sz w:val="32"/>
          <w:szCs w:val="32"/>
        </w:rPr>
        <w:t>辆，特种专业技术用车</w:t>
      </w:r>
      <w:r>
        <w:rPr>
          <w:rFonts w:ascii="Times New Roman" w:eastAsia="仿宋_GB2312"/>
          <w:b w:val="false"/>
          <w:sz w:val="32"/>
          <w:szCs w:val="32"/>
        </w:rPr>
        <w:t>0</w:t>
      </w:r>
      <w:r>
        <w:rPr>
          <w:rFonts w:ascii="Times New Roman" w:eastAsia="仿宋_GB2312"/>
          <w:b w:val="false"/>
          <w:sz w:val="32"/>
          <w:szCs w:val="32"/>
        </w:rPr>
        <w:t>辆，离退休干部用车</w:t>
      </w:r>
      <w:r>
        <w:rPr>
          <w:rFonts w:ascii="Times New Roman" w:eastAsia="仿宋_GB2312"/>
          <w:b w:val="false"/>
          <w:sz w:val="32"/>
          <w:szCs w:val="32"/>
        </w:rPr>
        <w:t>0</w:t>
      </w:r>
      <w:r>
        <w:rPr>
          <w:rFonts w:ascii="Times New Roman" w:eastAsia="仿宋_GB2312"/>
          <w:b w:val="false"/>
          <w:sz w:val="32"/>
          <w:szCs w:val="32"/>
        </w:rPr>
        <w:t>辆，其他用车</w:t>
      </w:r>
      <w:r>
        <w:rPr>
          <w:rFonts w:ascii="Times New Roman" w:eastAsia="仿宋_GB2312"/>
          <w:b w:val="false"/>
          <w:sz w:val="32"/>
          <w:szCs w:val="32"/>
        </w:rPr>
        <w:t>0</w:t>
      </w:r>
      <w:r>
        <w:rPr>
          <w:rFonts w:ascii="Times New Roman" w:eastAsia="仿宋_GB2312"/>
          <w:b w:val="false"/>
          <w:sz w:val="32"/>
          <w:szCs w:val="32"/>
        </w:rPr>
        <w:t>辆，其他用车主要是</w:t>
      </w:r>
      <w:r>
        <w:rPr>
          <w:rFonts w:ascii="Times New Roman" w:eastAsia="仿宋_GB2312"/>
          <w:b w:val="false"/>
          <w:sz w:val="32"/>
          <w:szCs w:val="32"/>
        </w:rPr>
        <w:t/>
      </w:r>
      <w:r>
        <w:rPr>
          <w:rFonts w:ascii="Times New Roman" w:eastAsia="仿宋_GB2312"/>
          <w:b w:val="false"/>
          <w:sz w:val="32"/>
          <w:szCs w:val="32"/>
        </w:rPr>
        <w:t>。单位价值100万元（含）以上设备（不含车辆）</w:t>
      </w:r>
      <w:r>
        <w:rPr>
          <w:rFonts w:ascii="Times New Roman" w:eastAsia="仿宋_GB2312"/>
          <w:b w:val="false"/>
          <w:sz w:val="32"/>
          <w:szCs w:val="32"/>
        </w:rPr>
        <w:t>0</w:t>
      </w:r>
      <w:r>
        <w:rPr>
          <w:rFonts w:ascii="Times New Roman" w:eastAsia="仿宋_GB2312"/>
          <w:b w:val="false"/>
          <w:sz w:val="32"/>
          <w:szCs w:val="32"/>
        </w:rPr>
        <w:t>台（套）。</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九、关于2024年度绩效评价情况的说明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（一）绩效评价工作开展情况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根据预算绩效管理要求，</w:t>
      </w:r>
      <w:r>
        <w:rPr>
          <w:rFonts w:ascii="Times New Roman" w:eastAsia="仿宋_GB2312"/>
          <w:b w:val="false"/>
          <w:sz w:val="32"/>
          <w:szCs w:val="32"/>
        </w:rPr>
        <w:t>本单位</w:t>
      </w:r>
      <w:r>
        <w:rPr>
          <w:rFonts w:ascii="Times New Roman" w:eastAsia="仿宋_GB2312"/>
          <w:b w:val="false"/>
          <w:sz w:val="32"/>
          <w:szCs w:val="32"/>
        </w:rPr>
        <w:t>组织对2024年度本级预算项目支出全面开展绩效自评，共涉及资金</w:t>
      </w:r>
      <w:r>
        <w:rPr>
          <w:rFonts w:ascii="Times New Roman" w:eastAsia="仿宋_GB2312"/>
          <w:b w:val="false"/>
          <w:sz w:val="32"/>
          <w:szCs w:val="32"/>
        </w:rPr>
        <w:t/>
      </w:r>
      <w:r>
        <w:rPr>
          <w:rFonts w:ascii="Times New Roman" w:eastAsia="仿宋_GB2312"/>
          <w:b w:val="false"/>
          <w:sz w:val="32"/>
          <w:szCs w:val="32"/>
        </w:rPr>
        <w:t>万元（决算金额）。其中，一般公共预算项目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万元，占一般公共预算项目支出总额的</w:t>
      </w:r>
      <w:r>
        <w:rPr>
          <w:rFonts w:ascii="Times New Roman" w:eastAsia="仿宋_GB2312"/>
          <w:b w:val="false"/>
          <w:sz w:val="32"/>
          <w:szCs w:val="32"/>
        </w:rPr>
        <w:t/>
      </w:r>
      <w:r>
        <w:rPr>
          <w:rFonts w:ascii="Times New Roman" w:eastAsia="仿宋_GB2312"/>
          <w:b w:val="false"/>
          <w:sz w:val="32"/>
          <w:szCs w:val="32"/>
        </w:rPr>
        <w:t>%；政府性基金预算项目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万元，占政府性基金预算项目支出总额的</w:t>
      </w:r>
      <w:r>
        <w:rPr>
          <w:rFonts w:ascii="Times New Roman" w:eastAsia="仿宋_GB2312"/>
          <w:b w:val="false"/>
          <w:sz w:val="32"/>
          <w:szCs w:val="32"/>
        </w:rPr>
        <w:t/>
      </w:r>
      <w:r>
        <w:rPr>
          <w:rFonts w:ascii="Times New Roman" w:eastAsia="仿宋_GB2312"/>
          <w:b w:val="false"/>
          <w:sz w:val="32"/>
          <w:szCs w:val="32"/>
        </w:rPr>
        <w:t>%；国有资本经营预算项目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万元，占国有资本经营预算项目支出总额的</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组织对</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个项目开展了部门重点评价，涉及一般公共预算支出</w:t>
      </w:r>
      <w:r>
        <w:rPr>
          <w:rFonts w:ascii="Times New Roman" w:eastAsia="仿宋_GB2312"/>
          <w:b w:val="false"/>
          <w:sz w:val="32"/>
          <w:szCs w:val="32"/>
        </w:rPr>
        <w:t/>
      </w:r>
      <w:r>
        <w:rPr>
          <w:rFonts w:ascii="Times New Roman" w:eastAsia="仿宋_GB2312"/>
          <w:b w:val="false"/>
          <w:sz w:val="32"/>
          <w:szCs w:val="32"/>
        </w:rPr>
        <w:t>万元，政府性基金预算支出</w:t>
      </w:r>
      <w:r>
        <w:rPr>
          <w:rFonts w:ascii="Times New Roman" w:eastAsia="仿宋_GB2312"/>
          <w:b w:val="false"/>
          <w:sz w:val="32"/>
          <w:szCs w:val="32"/>
        </w:rPr>
        <w:t/>
      </w:r>
      <w:r>
        <w:rPr>
          <w:rFonts w:ascii="Times New Roman" w:eastAsia="仿宋_GB2312"/>
          <w:b w:val="false"/>
          <w:sz w:val="32"/>
          <w:szCs w:val="32"/>
        </w:rPr>
        <w:t>万元，国有资本经营预算支出</w:t>
      </w:r>
      <w:r>
        <w:rPr>
          <w:rFonts w:ascii="Times New Roman" w:eastAsia="仿宋_GB2312"/>
          <w:b w:val="false"/>
          <w:sz w:val="32"/>
          <w:szCs w:val="32"/>
        </w:rPr>
        <w:t/>
      </w:r>
      <w:r>
        <w:rPr>
          <w:rFonts w:ascii="Times New Roman" w:eastAsia="仿宋_GB2312"/>
          <w:b w:val="false"/>
          <w:sz w:val="32"/>
          <w:szCs w:val="32"/>
        </w:rPr>
        <w:t>万元，从评价情况来看，</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（二）部门决算中项目绩效自评结果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在今年部门决算公开中反映 </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r>
        <w:rPr>
          <w:rFonts w:ascii="Times New Roman" w:eastAsia="仿宋_GB2312"/>
          <w:b w:val="false"/>
          <w:sz w:val="32"/>
          <w:szCs w:val="32"/>
        </w:rPr>
        <w:t>项目绩效自评情况：根据年初设定的绩效目标，</w:t>
      </w:r>
      <w:r>
        <w:rPr>
          <w:rFonts w:ascii="Times New Roman" w:eastAsia="仿宋_GB2312"/>
          <w:b w:val="false"/>
          <w:sz w:val="32"/>
          <w:szCs w:val="32"/>
        </w:rPr>
        <w:t/>
      </w:r>
      <w:r>
        <w:rPr>
          <w:rFonts w:ascii="Times New Roman" w:eastAsia="仿宋_GB2312"/>
          <w:b w:val="false"/>
          <w:sz w:val="32"/>
          <w:szCs w:val="32"/>
        </w:rPr>
        <w:t>项目绩效自评得分为</w:t>
      </w:r>
      <w:r>
        <w:rPr>
          <w:rFonts w:ascii="Times New Roman" w:eastAsia="仿宋_GB2312"/>
          <w:b w:val="false"/>
          <w:sz w:val="32"/>
          <w:szCs w:val="32"/>
        </w:rPr>
        <w:t/>
      </w:r>
      <w:r>
        <w:rPr>
          <w:rFonts w:ascii="Times New Roman" w:eastAsia="仿宋_GB2312"/>
          <w:b w:val="false"/>
          <w:sz w:val="32"/>
          <w:szCs w:val="32"/>
        </w:rPr>
        <w:t>分（绩效自评表附后）。全年预算数为</w:t>
      </w:r>
      <w:r>
        <w:rPr>
          <w:rFonts w:ascii="Times New Roman" w:eastAsia="仿宋_GB2312"/>
          <w:b w:val="false"/>
          <w:sz w:val="32"/>
          <w:szCs w:val="32"/>
        </w:rPr>
        <w:t/>
      </w:r>
      <w:r>
        <w:rPr>
          <w:rFonts w:ascii="Times New Roman" w:eastAsia="仿宋_GB2312"/>
          <w:b w:val="false"/>
          <w:sz w:val="32"/>
          <w:szCs w:val="32"/>
        </w:rPr>
        <w:t>万元，执行数为</w:t>
      </w:r>
      <w:r>
        <w:rPr>
          <w:rFonts w:ascii="Times New Roman" w:eastAsia="仿宋_GB2312"/>
          <w:b w:val="false"/>
          <w:sz w:val="32"/>
          <w:szCs w:val="32"/>
        </w:rPr>
        <w:t/>
      </w:r>
      <w:r>
        <w:rPr>
          <w:rFonts w:ascii="Times New Roman" w:eastAsia="仿宋_GB2312"/>
          <w:b w:val="false"/>
          <w:sz w:val="32"/>
          <w:szCs w:val="32"/>
        </w:rPr>
        <w:t>万元，完成预算的</w:t>
      </w:r>
      <w:r>
        <w:rPr>
          <w:rFonts w:ascii="Times New Roman" w:eastAsia="仿宋_GB2312"/>
          <w:b w:val="false"/>
          <w:sz w:val="32"/>
          <w:szCs w:val="32"/>
        </w:rPr>
        <w:t/>
      </w:r>
      <w:r>
        <w:rPr>
          <w:rFonts w:ascii="Times New Roman" w:eastAsia="仿宋_GB2312"/>
          <w:b w:val="false"/>
          <w:sz w:val="32"/>
          <w:szCs w:val="32"/>
        </w:rPr>
        <w:t>%。项目绩效目标完成情况：一是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。发现的主要问题及原因是：一是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。下一步改进措施：一是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（三）部门评价项目绩效评价结果（如有）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firstLine="200" w:firstLineChars="200"/>
        <w:jc w:val="left"/>
        <w:rPr>
          <w:rFonts w:ascii="Times New Roman" w:eastAsia="黑体"/>
          <w:sz w:val="32"/>
          <w:szCs w:val="32"/>
        </w:rPr>
      </w:pPr>
      <w:r>
        <w:rPr>
          <w:rFonts w:ascii="Times New Roman" w:eastAsia="黑体"/>
          <w:b w:val="false"/>
          <w:sz w:val="32"/>
          <w:szCs w:val="32"/>
        </w:rPr>
        <w:t>十、其他需要说明的情况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1. </w:t>
      </w:r>
      <w:r>
        <w:rPr>
          <w:rFonts w:ascii="Times New Roman" w:eastAsia="仿宋_GB2312"/>
          <w:b w:val="false"/>
          <w:sz w:val="32"/>
          <w:szCs w:val="32"/>
        </w:rPr>
        <w:t>本单位</w:t>
      </w:r>
      <w:r>
        <w:rPr>
          <w:rFonts w:ascii="Times New Roman" w:eastAsia="仿宋_GB2312"/>
          <w:b w:val="false"/>
          <w:sz w:val="32"/>
          <w:szCs w:val="32"/>
        </w:rPr>
        <w:t>2024年度</w:t>
      </w:r>
      <w:r>
        <w:rPr>
          <w:rFonts w:ascii="Times New Roman" w:eastAsia="仿宋_GB2312"/>
          <w:b w:val="false"/>
          <w:sz w:val="32"/>
          <w:szCs w:val="32"/>
        </w:rPr>
        <w:t>国有资本经营预算财政拨款支出决算表（公开08表）</w:t>
      </w:r>
      <w:r>
        <w:rPr>
          <w:rFonts w:ascii="Times New Roman" w:eastAsia="仿宋_GB2312"/>
          <w:b w:val="false"/>
          <w:sz w:val="32"/>
          <w:szCs w:val="32"/>
        </w:rPr>
        <w:t>无相应收支，故空表列示。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第四部分 名词解释</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一、财政拨款收入：</w:t>
      </w:r>
      <w:r>
        <w:rPr>
          <w:rFonts w:ascii="Times New Roman" w:eastAsia="仿宋_GB2312"/>
          <w:b w:val="false"/>
          <w:sz w:val="32"/>
          <w:szCs w:val="32"/>
        </w:rPr>
        <w:t>指单位从同级财政部门取得的财政预算资金。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二、事业收入：</w:t>
      </w:r>
      <w:r>
        <w:rPr>
          <w:rFonts w:ascii="Times New Roman" w:eastAsia="仿宋_GB2312"/>
          <w:b w:val="false"/>
          <w:sz w:val="32"/>
          <w:szCs w:val="32"/>
        </w:rPr>
        <w:t>指事业单位开展专业业务活动及辅助活动取得的收入。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三、经营收入：</w:t>
      </w:r>
      <w:r>
        <w:rPr>
          <w:rFonts w:ascii="Times New Roman" w:eastAsia="仿宋_GB2312"/>
          <w:b w:val="false"/>
          <w:sz w:val="32"/>
          <w:szCs w:val="32"/>
        </w:rPr>
        <w:t>指事业单位在专业业务活动及其辅助活动之外开展非独立核算经营活动取得的收入。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四、其他收入：</w:t>
      </w:r>
      <w:r>
        <w:rPr>
          <w:rFonts w:ascii="Times New Roman" w:eastAsia="仿宋_GB2312"/>
          <w:b w:val="false"/>
          <w:sz w:val="32"/>
          <w:szCs w:val="32"/>
        </w:rPr>
        <w:t>指单位取得的除上述收入以外的各项收入。主要是事业单位固定资产出租收入、存款利息收入等。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五、使用非财政拨款结余（含专用结余）：</w:t>
      </w:r>
      <w:r>
        <w:rPr>
          <w:rFonts w:ascii="Times New Roman" w:eastAsia="仿宋_GB2312"/>
          <w:b w:val="false"/>
          <w:sz w:val="32"/>
          <w:szCs w:val="32"/>
        </w:rPr>
        <w:t>指事业单位按照预算管理要求使用非财政拨款结余弥补收支差额的金额，以及使用专用结余安排支出的金额。</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六、年初结转和结余：</w:t>
      </w:r>
      <w:r>
        <w:rPr>
          <w:rFonts w:ascii="Times New Roman" w:eastAsia="仿宋_GB2312"/>
          <w:b w:val="false"/>
          <w:sz w:val="32"/>
          <w:szCs w:val="32"/>
        </w:rPr>
        <w:t>指单位以前年度尚未完成、结转到本年仍按原规定用途继续使用的资金，或项目已完成等产生的结余资金。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七、结余分配：</w:t>
      </w:r>
      <w:r>
        <w:rPr>
          <w:rFonts w:ascii="Times New Roman" w:eastAsia="仿宋_GB2312"/>
          <w:b w:val="false"/>
          <w:sz w:val="32"/>
          <w:szCs w:val="32"/>
        </w:rPr>
        <w:t>指事业单位按照会计制度规定缴纳的所得税、提取的专用结余以及转入非财政拨款结余的金额等。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八、年末结转和结余：</w:t>
      </w:r>
      <w:r>
        <w:rPr>
          <w:rFonts w:ascii="Times New Roman" w:eastAsia="仿宋_GB2312"/>
          <w:b w:val="false"/>
          <w:sz w:val="32"/>
          <w:szCs w:val="32"/>
        </w:rPr>
        <w:t>指单位按有关规定结转到下年或以后年度继续使用的资金，或项目已完成等产生的结余资金。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九、基本支出：</w:t>
      </w:r>
      <w:r>
        <w:rPr>
          <w:rFonts w:ascii="Times New Roman" w:eastAsia="仿宋_GB2312"/>
          <w:b w:val="false"/>
          <w:sz w:val="32"/>
          <w:szCs w:val="32"/>
        </w:rPr>
        <w:t>指为保障机构正常运转、完成日常工作任务而发生的人员支出和公用支出。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十、项目支出：</w:t>
      </w:r>
      <w:r>
        <w:rPr>
          <w:rFonts w:ascii="Times New Roman" w:eastAsia="仿宋_GB2312"/>
          <w:b w:val="false"/>
          <w:sz w:val="32"/>
          <w:szCs w:val="32"/>
        </w:rPr>
        <w:t>指在基本支出之外为完成特定行政任务和事业发展目标所发生的支出。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十一、经营支出 ：</w:t>
      </w:r>
      <w:r>
        <w:rPr>
          <w:rFonts w:ascii="Times New Roman" w:eastAsia="仿宋_GB2312"/>
          <w:b w:val="false"/>
          <w:sz w:val="32"/>
          <w:szCs w:val="32"/>
        </w:rPr>
        <w:t>指事业单位在专业业务活动及其辅助活动之外开展非独立核算经营活动发生的支出。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十二、基本建设支出：</w:t>
      </w:r>
      <w:r>
        <w:rPr>
          <w:rFonts w:ascii="Times New Roman" w:eastAsia="仿宋_GB2312"/>
          <w:b w:val="false"/>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十三、其他资本性支出：</w:t>
      </w:r>
      <w:r>
        <w:rPr>
          <w:rFonts w:ascii="Times New Roman" w:eastAsia="仿宋_GB2312"/>
          <w:b w:val="false"/>
          <w:sz w:val="32"/>
          <w:szCs w:val="32"/>
        </w:rPr>
        <w:t>填列由各级非发展与改革部门集中安排的用于购置固定资产、战备性和应急性储备、土地和无形资产，以及购建基础设施、大型修缮和财政支持企业更新改造所发生的支出。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十四、“三公”经费：</w:t>
      </w:r>
      <w:r>
        <w:rPr>
          <w:rFonts w:ascii="Times New Roman" w:eastAsia="仿宋_GB2312"/>
          <w:b w:val="false"/>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十五、其他交通费用：</w:t>
      </w:r>
      <w:r>
        <w:rPr>
          <w:rFonts w:ascii="Times New Roman" w:eastAsia="仿宋_GB2312"/>
          <w:b w:val="false"/>
          <w:sz w:val="32"/>
          <w:szCs w:val="32"/>
        </w:rPr>
        <w:t>填列单位除公务用车运行维护费以外的其他交通费用。如公务交通补贴、租车费用、出租车费用，飞机、船舶等燃料费、维修费、保险费等。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十六、公务用车购置：</w:t>
      </w:r>
      <w:r>
        <w:rPr>
          <w:rFonts w:ascii="Times New Roman" w:eastAsia="仿宋_GB2312"/>
          <w:b w:val="false"/>
          <w:sz w:val="32"/>
          <w:szCs w:val="32"/>
        </w:rPr>
        <w:t>填列单位公务用车车辆购置支出（含车辆购置税、牌照费）。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十七、其他交通工具购置：</w:t>
      </w:r>
      <w:r>
        <w:rPr>
          <w:rFonts w:ascii="Times New Roman" w:eastAsia="仿宋_GB2312"/>
          <w:b w:val="false"/>
          <w:sz w:val="32"/>
          <w:szCs w:val="32"/>
        </w:rPr>
        <w:t>填列单位除公务用车外的其他各类交通工具（如船舶、飞机等）购置支出（含车辆购置税、牌照费）。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十八、机关运行经费：</w:t>
      </w:r>
      <w:r>
        <w:rPr>
          <w:rFonts w:ascii="Times New Roman" w:eastAsia="仿宋_GB2312"/>
          <w:b w:val="false"/>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false"/>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06925B3-B179-4DA5-825D-49BCB09F6F46}"/>
  </w:font>
  <w:font w:name="黑体">
    <w:panose1 w:val="02010609060101010101"/>
    <w:charset w:val="86"/>
    <w:family w:val="auto"/>
    <w:pitch w:val="default"/>
    <w:sig w:usb0="800002BF" w:usb1="38CF7CFA" w:usb2="00000016" w:usb3="00000000" w:csb0="00040001" w:csb1="00000000"/>
    <w:embedRegular r:id="rId2" w:fontKey="{A968838E-1B01-4BC3-AD63-F010CC58ED2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2A8052E-AFFB-49B9-8B5F-33DAA7781B67}"/>
  </w:font>
  <w:font w:name="仿宋">
    <w:panose1 w:val="02010609060101010101"/>
    <w:charset w:val="86"/>
    <w:family w:val="modern"/>
    <w:pitch w:val="default"/>
    <w:sig w:usb0="800002BF" w:usb1="38CF7CFA" w:usb2="00000016" w:usb3="00000000" w:csb0="00040001" w:csb1="00000000"/>
    <w:embedRegular r:id="rId4" w:fontKey="{5969C809-C1DD-495C-BE9A-21B314E2BF7B}"/>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B37DE4FC-AE24-4FEF-8457-2595C4A750B4}"/>
  </w:font>
  <w:font w:name="方正小标宋_GBK">
    <w:panose1 w:val="02000000000000000000"/>
    <w:charset w:val="86"/>
    <w:family w:val="script"/>
    <w:pitch w:val="default"/>
    <w:sig w:usb0="A00002BF" w:usb1="38CF7CFA" w:usb2="00082016" w:usb3="00000000" w:csb0="00040001" w:csb1="00000000"/>
    <w:embedRegular r:id="rId6" w:fontKey="{9D819AA7-BA24-4AA5-A309-5DE1B19D90F0}"/>
  </w:font>
  <w:font w:name="仿宋_GB2312">
    <w:panose1 w:val="02010609030101010101"/>
    <w:charset w:val="86"/>
    <w:family w:val="auto"/>
    <w:pitch w:val="default"/>
    <w:sig w:usb0="00000001" w:usb1="080E0000" w:usb2="00000000" w:usb3="00000000" w:csb0="00040000" w:csb1="00000000"/>
    <w:embedRegular r:id="rId7" w:fontKey="{A0616CF8-7A5D-4A9A-9979-81D77F1DC34A}"/>
  </w:font>
  <w:font w:name="ArialUnicodeMS">
    <w:altName w:val="Malgun Gothic"/>
    <w:panose1 w:val="00000000000000000000"/>
    <w:charset w:val="81"/>
    <w:family w:val="auto"/>
    <w:pitch w:val="default"/>
    <w:sig w:usb0="00000000" w:usb1="00000000" w:usb2="00000010" w:usb3="00000000" w:csb0="00080001" w:csb1="00000000"/>
    <w:embedRegular r:id="rId8" w:fontKey="{7884C9CE-BAB3-4815-9418-43872C0EAE6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F3F0362-44EC-43DE-A0EB-311B750065F0}"/>
  </w:font>
</w:fonts>
</file>

<file path=word/footer.xml><?xml version="1.0" encoding="utf-8"?>
<w:ft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pPr>
      <w:jc w:val="center"/>
    </w:pPr>
    <w:r>
      <w:fldChar w:fldCharType="begin"/>
    </w:r>
    <w:r>
      <w:t xml:space="preserve">PAGE</w:t>
    </w:r>
    <w:r>
      <w:fldChar w:fldCharType="separate"/>
    </w:r>
    <w:r>
      <w:t>1</w:t>
    </w:r>
    <w:r>
      <w:fldChar w:fldCharType="end"/>
    </w:r>
  </w:p>
</w:ftr>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xml><?xml version="1.0" encoding="utf-8"?>
<w:hd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hd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charts/chart1.xml" Type="http://schemas.openxmlformats.org/officeDocument/2006/relationships/chart"/><Relationship Id="rId12" Target="charts/chart2.xml" Type="http://schemas.openxmlformats.org/officeDocument/2006/relationships/chart"/><Relationship Id="rId13" Target="charts/chart3.xml" Type="http://schemas.openxmlformats.org/officeDocument/2006/relationships/chart"/><Relationship Id="rId14" Target="charts/chart4.xml" Type="http://schemas.openxmlformats.org/officeDocument/2006/relationships/chart"/><Relationship Id="rId15" Target="charts/chart5.xml" Type="http://schemas.openxmlformats.org/officeDocument/2006/relationships/chart"/><Relationship Id="rId16" Target="charts/chart6.xml" Type="http://schemas.openxmlformats.org/officeDocument/2006/relationships/chart"/><Relationship Id="rId17" Target="../customXml/item1.xml" Type="http://schemas.openxmlformats.org/officeDocument/2006/relationships/customXml"/><Relationship Id="rId18" Target="numbering.xml" Type="http://schemas.openxmlformats.org/officeDocument/2006/relationships/numbering"/><Relationship Id="rId19" Target="fontTable.xml" Type="http://schemas.openxmlformats.org/officeDocument/2006/relationships/fontTable"/><Relationship Id="rId2" Target="settings.xml" Type="http://schemas.openxmlformats.org/officeDocument/2006/relationships/settings"/><Relationship Id="rId20" Target="header.xml" Type="http://schemas.openxmlformats.org/officeDocument/2006/relationships/header"/><Relationship Id="rId21" Target="footer.xml" Type="http://schemas.openxmlformats.org/officeDocument/2006/relationships/footer"/><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header3.xml" Type="http://schemas.openxmlformats.org/officeDocument/2006/relationships/header"/><Relationship Id="rId9" Target="theme/theme1.xml" Type="http://schemas.openxmlformats.org/officeDocument/2006/relationships/theme"/></Relationships>
</file>

<file path=word/_rels/fontTable.xml.rels><?xml version="1.0" encoding="UTF-8" standalone="yes"?><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charts/_rels/chart1.xml.rels><?xml version="1.0" encoding="UTF-8" standalone="yes"?><Relationships xmlns="http://schemas.openxmlformats.org/package/2006/relationships"><Relationship Id="rId1" Target="../embeddings/Workbook4.xlsx" Type="http://schemas.openxmlformats.org/officeDocument/2006/relationships/package"/><Relationship Id="rId2" Target="style4.xml" Type="http://schemas.microsoft.com/office/2011/relationships/chartStyle"/><Relationship Id="rId3" Target="colors4.xml" Type="http://schemas.microsoft.com/office/2011/relationships/chartColorStyle"/></Relationships>
</file>

<file path=word/charts/_rels/chart2.xml.rels><?xml version="1.0" encoding="UTF-8" standalone="yes"?><Relationships xmlns="http://schemas.openxmlformats.org/package/2006/relationships"><Relationship Id="rId1" Target="../embeddings/Workbook6.xlsx" Type="http://schemas.openxmlformats.org/officeDocument/2006/relationships/package"/><Relationship Id="rId2" Target="style6.xml" Type="http://schemas.microsoft.com/office/2011/relationships/chartStyle"/><Relationship Id="rId3" Target="colors6.xml" Type="http://schemas.microsoft.com/office/2011/relationships/chartColorStyle"/></Relationships>
</file>

<file path=word/charts/_rels/chart3.xml.rels><?xml version="1.0" encoding="UTF-8" standalone="yes"?><Relationships xmlns="http://schemas.openxmlformats.org/package/2006/relationships"><Relationship Id="rId1" Target="../embeddings/Workbook3.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_rels/chart4.xml.rels><?xml version="1.0" encoding="UTF-8" standalone="yes"?><Relationships xmlns="http://schemas.openxmlformats.org/package/2006/relationships"><Relationship Id="rId1" Target="../embeddings/Workbook5.xlsx" Type="http://schemas.openxmlformats.org/officeDocument/2006/relationships/package"/><Relationship Id="rId2" Target="style5.xml" Type="http://schemas.microsoft.com/office/2011/relationships/chartStyle"/><Relationship Id="rId3" Target="colors5.xml" Type="http://schemas.microsoft.com/office/2011/relationships/chartColorStyle"/></Relationships>
</file>

<file path=word/charts/_rels/chart5.xml.rels><?xml version="1.0" encoding="UTF-8" standalone="yes"?><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_rels/chart6.xml.rels><?xml version="1.0" encoding="UTF-8" standalone="yes"?><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ptCount val="2"/>
                <c:pt idx="0">
                  <c:v>8555.25</c:v>
                </c:pt>
                <c:pt idx="1">
                  <c:v>9223.75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ptCount val="6"/>
                <c:pt idx="0">
                  <c:v>9.223749305E7</c:v>
                </c:pt>
                <c:pt idx="1">
                  <c:v>0.0</c:v>
                </c:pt>
                <c:pt idx="2">
                  <c:v>0.0</c:v>
                </c:pt>
                <c:pt idx="3">
                  <c:v>0.0</c:v>
                </c:pt>
                <c:pt idx="4">
                  <c:v>0.0</c:v>
                </c:pt>
                <c:pt idx="5">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ptCount val="5"/>
                <c:pt idx="0">
                  <c:v>4978411.18</c:v>
                </c:pt>
                <c:pt idx="1">
                  <c:v>8.725908187E7</c:v>
                </c:pt>
                <c:pt idx="2">
                  <c:v>0.0</c:v>
                </c:pt>
                <c:pt idx="3">
                  <c:v>0.0</c:v>
                </c:pt>
                <c:pt idx="4">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8555.25</c:v>
                </c:pt>
                <c:pt idx="1">
                  <c:v>8555.25</c:v>
                </c:pt>
                <c:pt idx="2">
                  <c:v>8065.55</c:v>
                </c:pt>
                <c:pt idx="3">
                  <c:v>8065.55</c:v>
                </c:pt>
                <c:pt idx="4">
                  <c:v>489.7</c:v>
                </c:pt>
                <c:pt idx="5">
                  <c:v>489.7</c:v>
                </c:pt>
                <c:pt idx="6">
                  <c:v>0.0</c:v>
                </c:pt>
                <c:pt idx="7">
                  <c:v>0.0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9223.75</c:v>
                </c:pt>
                <c:pt idx="1">
                  <c:v>9223.75</c:v>
                </c:pt>
                <c:pt idx="2">
                  <c:v>8868.34</c:v>
                </c:pt>
                <c:pt idx="3">
                  <c:v>8868.34</c:v>
                </c:pt>
                <c:pt idx="4">
                  <c:v>355.41</c:v>
                </c:pt>
                <c:pt idx="5">
                  <c:v>355.41</c:v>
                </c:pt>
                <c:pt idx="6">
                  <c:v>0.0</c:v>
                </c:pt>
                <c:pt idx="7">
                  <c:v>0.0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6024.89</c:v>
                </c:pt>
                <c:pt idx="1">
                  <c:v>6024.89</c:v>
                </c:pt>
                <c:pt idx="2">
                  <c:v>5800.2</c:v>
                </c:pt>
                <c:pt idx="3">
                  <c:v>5800.2</c:v>
                </c:pt>
                <c:pt idx="4">
                  <c:v>224.69</c:v>
                </c:pt>
                <c:pt idx="5">
                  <c:v>224.69</c:v>
                </c:pt>
                <c:pt idx="6">
                  <c:v>0.0</c:v>
                </c:pt>
                <c:pt idx="7">
                  <c:v>0.0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9223.75</c:v>
                </c:pt>
                <c:pt idx="1">
                  <c:v>9223.75</c:v>
                </c:pt>
                <c:pt idx="2">
                  <c:v>8868.34</c:v>
                </c:pt>
                <c:pt idx="3">
                  <c:v>8868.34</c:v>
                </c:pt>
                <c:pt idx="4">
                  <c:v>355.41</c:v>
                </c:pt>
                <c:pt idx="5">
                  <c:v>355.41</c:v>
                </c:pt>
                <c:pt idx="6">
                  <c:v>0.0</c:v>
                </c:pt>
                <c:pt idx="7">
                  <c:v>0.0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ptCount val="26"/>
                <c:pt idx="0">
                  <c:v>0.0</c:v>
                </c:pt>
                <c:pt idx="1">
                  <c:v>0.0</c:v>
                </c:pt>
                <c:pt idx="2">
                  <c:v>0.0</c:v>
                </c:pt>
                <c:pt idx="3">
                  <c:v>0.0</c:v>
                </c:pt>
                <c:pt idx="4">
                  <c:v>0.0</c:v>
                </c:pt>
                <c:pt idx="5">
                  <c:v>0.0</c:v>
                </c:pt>
                <c:pt idx="6">
                  <c:v>0.0</c:v>
                </c:pt>
                <c:pt idx="7">
                  <c:v>8815.46</c:v>
                </c:pt>
                <c:pt idx="8">
                  <c:v>20.93</c:v>
                </c:pt>
                <c:pt idx="9">
                  <c:v>0.0</c:v>
                </c:pt>
                <c:pt idx="10">
                  <c:v>0.0</c:v>
                </c:pt>
                <c:pt idx="11">
                  <c:v>0.0</c:v>
                </c:pt>
                <c:pt idx="12">
                  <c:v>0.0</c:v>
                </c:pt>
                <c:pt idx="13">
                  <c:v>0.0</c:v>
                </c:pt>
                <c:pt idx="14">
                  <c:v>0.0</c:v>
                </c:pt>
                <c:pt idx="15">
                  <c:v>0.0</c:v>
                </c:pt>
                <c:pt idx="16">
                  <c:v>0.0</c:v>
                </c:pt>
                <c:pt idx="17">
                  <c:v>0.0</c:v>
                </c:pt>
                <c:pt idx="18">
                  <c:v>31.94</c:v>
                </c:pt>
                <c:pt idx="19">
                  <c:v>0.0</c:v>
                </c:pt>
                <c:pt idx="20">
                  <c:v>0.0</c:v>
                </c:pt>
                <c:pt idx="21">
                  <c:v>0.0</c:v>
                </c:pt>
                <c:pt idx="22">
                  <c:v>355.41</c:v>
                </c:pt>
                <c:pt idx="23">
                  <c:v>0.0</c:v>
                </c:pt>
                <c:pt idx="24">
                  <c:v>0.0</c:v>
                </c:pt>
                <c:pt idx="25">
                  <c:v>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16</TotalTime>
  <ScaleCrop>false</ScaleCrop>
  <LinksUpToDate>false</LinksUpToDate>
  <CharactersWithSpaces>2170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柠檬哒</cp:lastModifiedBy>
  <cp:lastPrinted>2023-08-04T01:00:00Z</cp:lastPrinted>
  <dcterms:modified xsi:type="dcterms:W3CDTF">2025-08-18T08:34:38Z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