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xlsx" ContentType="application/vnd.openxmlformats-officedocument.spreadsheetml.sheet"/>
  <Default Extension="png" ContentType="image/pn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600" w:lineRule="auto"/>
        <w:jc w:val="both"/>
        <w:rPr>
          <w:rFonts w:ascii="楷体_GB2312" w:eastAsia="楷体_GB2312" w:cs="楷体_GB2312" w:hAnsi="楷体_GB2312" w:hint="eastAsia"/>
          <w:color w:val="000000"/>
          <w:sz w:val="40"/>
          <w:szCs w:val="40"/>
        </w:rPr>
      </w:pPr>
      <w:r>
        <w:drawing>
          <wp:anchor distT="0" distB="0" distL="114300" distR="114300" simplePos="0" relativeHeight="2" behindDoc="1" locked="0" layoutInCell="1" hidden="0" allowOverlap="1">
            <wp:simplePos x="0" y="0"/>
            <wp:positionH relativeFrom="column">
              <wp:posOffset>-1692910</wp:posOffset>
            </wp:positionH>
            <wp:positionV relativeFrom="paragraph">
              <wp:posOffset>-1319530</wp:posOffset>
            </wp:positionV>
            <wp:extent cx="8646795" cy="11107419"/>
            <wp:effectExtent l="0" t="0" r="0" b="0"/>
            <wp:wrapNone/>
            <wp:docPr id="1" name="图片 15" descr="7b0a202020202266696c746572223a202230220a7d0a"/>
            <wp:cNvGraphicFramePr>
              <a:graphicFrameLocks noChangeAspect="1"/>
            </wp:cNvGraphicFramePr>
            <a:graphic>
              <a:graphicData uri="http://schemas.openxmlformats.org/drawingml/2006/picture">
                <pic:pic>
                  <pic:nvPicPr>
                    <pic:cNvPr id="3" name="图片 15 3"/>
                    <pic:cNvPicPr/>
                  </pic:nvPicPr>
                  <pic:blipFill>
                    <a:blip r:embed="rId3">
                      <a:lum bright="5999"/>
                    </a:blip>
                    <a:srcRect t="559" b="3637"/>
                    <a:stretch>
                      <a:fillRect/>
                    </a:stretch>
                  </pic:blipFill>
                  <pic:spPr>
                    <a:xfrm rot="0">
                      <a:off x="0" y="0"/>
                      <a:ext cx="8646795" cy="11107419"/>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37" behindDoc="0" locked="0" layoutInCell="1" hidden="0" allowOverlap="1">
                <wp:simplePos x="0" y="0"/>
                <wp:positionH relativeFrom="column">
                  <wp:posOffset>-546735</wp:posOffset>
                </wp:positionH>
                <wp:positionV relativeFrom="paragraph">
                  <wp:posOffset>253365</wp:posOffset>
                </wp:positionV>
                <wp:extent cx="6431279" cy="2862579"/>
                <wp:effectExtent l="0" t="0" r="0" b="0"/>
                <wp:wrapNone/>
                <wp:docPr id="4" name="文本框 1" descr="7b0a2020202022776f7264617274223a20227b5c2269645c223a32353030323136362c5c227469645c223a5c225c227d220a7d0a"/>
                <wp:cNvGraphicFramePr>
                  <a:graphicFrameLocks noChangeAspect="0"/>
                </wp:cNvGraphicFramePr>
                <a:graphic>
                  <a:graphicData uri="http://schemas.microsoft.com/office/word/2010/wordprocessingShape">
                    <wps:wsp>
                      <wps:cNvSpPr/>
                      <wps:spPr>
                        <a:xfrm rot="0">
                          <a:off x="0" y="0"/>
                          <a:ext cx="6431279" cy="2862579"/>
                        </a:xfrm>
                        <a:prstGeom prst="rect"/>
                        <a:noFill/>
                        <a:ln w="9525" cmpd="sng" cap="flat">
                          <a:noFill/>
                          <a:prstDash val="solid"/>
                          <a:round/>
                        </a:ln>
                      </wps:spPr>
                      <wps:txbx id="5">
                        <w:txbxContent>
                          <w:p>
                            <w:pPr>
                              <w:spacing w:line="1400" w:lineRule="exact"/>
                              <w:jc w:val="left"/>
                              <w:rPr>
                                <w:rFonts w:ascii="方正小标宋_GBK" w:eastAsia="方正小标宋_GBK" w:cs="方正小标宋_GBK" w:hAnsi="方正小标宋_GBK"/>
                                <w:b/>
                                <w:bCs/>
                                <w:color w:val="0D0D0D"/>
                                <w:sz w:val="112"/>
                                <w:szCs w:val="112"/>
                                <w14:textFill>
                                  <w14:solidFill>
                                    <w14:srgbClr w14:val="0D0D0D"/>
                                  </w14:solidFill>
                                </w14:textFill>
                              </w:rPr>
                            </w:pPr>
                            <w:r>
                              <w:rPr>
                                <w:rFonts w:ascii="方正小标宋_GBK" w:eastAsia="方正小标宋_GBK" w:cs="方正小标宋_GBK" w:hAnsi="方正小标宋_GBK" w:hint="eastAsia"/>
                                <w:b/>
                                <w:bCs/>
                                <w:color w:val="0D0D0D"/>
                                <w:sz w:val="112"/>
                                <w:szCs w:val="112"/>
                                <w14:textFill>
                                  <w14:solidFill>
                                    <w14:srgbClr w14:val="0D0D0D"/>
                                  </w14:solidFill>
                                </w14:textFill>
                              </w:rPr>
                              <w:t>2024年度</w:t>
                            </w:r>
                          </w:p>
                          <w:p>
                            <w:pPr>
                              <w:spacing w:line="1400" w:lineRule="exact"/>
                              <w:jc w:val="left"/>
                              <w:rPr>
                                <w:rFonts w:ascii="方正小标宋_GBK" w:eastAsia="方正小标宋_GBK" w:cs="方正小标宋_GBK" w:hAnsi="方正小标宋_GBK"/>
                                <w:b/>
                                <w:bCs/>
                                <w:color w:val="0D0D0D"/>
                                <w:sz w:val="112"/>
                                <w:szCs w:val="112"/>
                                <w14:textFill>
                                  <w14:solidFill>
                                    <w14:srgbClr w14:val="0D0D0D"/>
                                  </w14:solidFill>
                                </w14:textFill>
                              </w:rPr>
                            </w:pPr>
                            <w:r>
                              <w:rPr>
                                <w:rFonts w:ascii="方正小标宋_GBK" w:eastAsia="方正小标宋_GBK" w:cs="方正小标宋_GBK" w:hAnsi="方正小标宋_GBK" w:hint="eastAsia"/>
                                <w:b/>
                                <w:bCs/>
                                <w:color w:val="0D0D0D"/>
                                <w:sz w:val="112"/>
                                <w:szCs w:val="112"/>
                                <w14:textFill>
                                  <w14:solidFill>
                                    <w14:srgbClr w14:val="0D0D0D"/>
                                  </w14:solidFill>
                                </w14:textFill>
                                <w:lang w:val="en-US" w:eastAsia="zh-CN"/>
                              </w:rPr>
                              <w:t>单位</w:t>
                            </w:r>
                            <w:r>
                              <w:rPr>
                                <w:rFonts w:ascii="方正小标宋_GBK" w:eastAsia="方正小标宋_GBK" w:cs="方正小标宋_GBK" w:hAnsi="方正小标宋_GBK" w:hint="eastAsia"/>
                                <w:b/>
                                <w:bCs/>
                                <w:color w:val="0D0D0D"/>
                                <w:sz w:val="112"/>
                                <w:szCs w:val="112"/>
                                <w14:textFill>
                                  <w14:solidFill>
                                    <w14:srgbClr w14:val="0D0D0D"/>
                                  </w14:solidFill>
                                </w14:textFill>
                              </w:rPr>
                              <w:t>决算公开文本</w:t>
                            </w:r>
                          </w:p>
                        </w:txbxContent>
                      </wps:txbx>
                      <wps:bodyPr vert="horz" wrap="square" lIns="91440" tIns="45720" rIns="91440" bIns="45720" anchor="t" anchorCtr="0" upright="1">
                        <a:noAutofit/>
                      </wps:bodyPr>
                    </wps:wsp>
                  </a:graphicData>
                </a:graphic>
              </wp:anchor>
            </w:drawing>
          </mc:Choice>
          <mc:Fallback>
            <w:pict>
              <v:shape type="#_x0000_t202" id="文本框 1 6" o:spid="_x0000_s6" filled="f" stroked="f" alt="7b0a2020202022776f7264617274223a20227b5c2269645c223a32353030323136362c5c227469645c223a5c225c227d220a7d0a" style="position:absolute;margin-left:-43.05pt;margin-top:19.95pt;width:506.4pt;height:225.4pt;z-index:37;mso-position-horizontal:absolute;mso-position-vertical:absolute;mso-wrap-distance-left:8.999863pt;mso-wrap-distance-right:8.999863pt;mso-wrap-style:square;">
                <v:stroke color="#000000"/>
                <v:textbox id="849" inset="2.54mm,1.27mm,2.54mm,1.27mm" o:insetmode="custom" style="layout-flow:horizontal;v-text-anchor:top;">
                  <w:txbxContent>
                    <w:p>
                      <w:pPr>
                        <w:spacing w:line="1400" w:lineRule="exact"/>
                        <w:jc w:val="left"/>
                        <w:rPr>
                          <w:rFonts w:ascii="方正小标宋_GBK" w:eastAsia="方正小标宋_GBK" w:cs="方正小标宋_GBK" w:hAnsi="方正小标宋_GBK"/>
                          <w:b/>
                          <w:bCs/>
                          <w:color w:val="0D0D0D"/>
                          <w:sz w:val="112"/>
                          <w:szCs w:val="112"/>
                          <w14:textFill>
                            <w14:solidFill>
                              <w14:srgbClr w14:val="0D0D0D"/>
                            </w14:solidFill>
                          </w14:textFill>
                        </w:rPr>
                      </w:pPr>
                      <w:r>
                        <w:rPr>
                          <w:rFonts w:ascii="方正小标宋_GBK" w:eastAsia="方正小标宋_GBK" w:cs="方正小标宋_GBK" w:hAnsi="方正小标宋_GBK" w:hint="eastAsia"/>
                          <w:b/>
                          <w:bCs/>
                          <w:color w:val="0D0D0D"/>
                          <w:sz w:val="112"/>
                          <w:szCs w:val="112"/>
                          <w14:textFill>
                            <w14:solidFill>
                              <w14:srgbClr w14:val="0D0D0D"/>
                            </w14:solidFill>
                          </w14:textFill>
                        </w:rPr>
                        <w:t>2024年度</w:t>
                      </w:r>
                    </w:p>
                    <w:p>
                      <w:pPr>
                        <w:spacing w:line="1400" w:lineRule="exact"/>
                        <w:jc w:val="left"/>
                        <w:rPr>
                          <w:rFonts w:ascii="方正小标宋_GBK" w:eastAsia="方正小标宋_GBK" w:cs="方正小标宋_GBK" w:hAnsi="方正小标宋_GBK"/>
                          <w:b/>
                          <w:bCs/>
                          <w:color w:val="0D0D0D"/>
                          <w:sz w:val="112"/>
                          <w:szCs w:val="112"/>
                          <w14:textFill>
                            <w14:solidFill>
                              <w14:srgbClr w14:val="0D0D0D"/>
                            </w14:solidFill>
                          </w14:textFill>
                        </w:rPr>
                      </w:pPr>
                      <w:r>
                        <w:rPr>
                          <w:rFonts w:ascii="方正小标宋_GBK" w:eastAsia="方正小标宋_GBK" w:cs="方正小标宋_GBK" w:hAnsi="方正小标宋_GBK" w:hint="eastAsia"/>
                          <w:b/>
                          <w:bCs/>
                          <w:color w:val="0D0D0D"/>
                          <w:sz w:val="112"/>
                          <w:szCs w:val="112"/>
                          <w14:textFill>
                            <w14:solidFill>
                              <w14:srgbClr w14:val="0D0D0D"/>
                            </w14:solidFill>
                          </w14:textFill>
                          <w:lang w:val="en-US" w:eastAsia="zh-CN"/>
                        </w:rPr>
                        <w:t>单位</w:t>
                      </w:r>
                      <w:r>
                        <w:rPr>
                          <w:rFonts w:ascii="方正小标宋_GBK" w:eastAsia="方正小标宋_GBK" w:cs="方正小标宋_GBK" w:hAnsi="方正小标宋_GBK" w:hint="eastAsia"/>
                          <w:b/>
                          <w:bCs/>
                          <w:color w:val="0D0D0D"/>
                          <w:sz w:val="112"/>
                          <w:szCs w:val="112"/>
                          <w14:textFill>
                            <w14:solidFill>
                              <w14:srgbClr w14:val="0D0D0D"/>
                            </w14:solidFill>
                          </w14:textFill>
                        </w:rPr>
                        <w:t>决算公开文本</w:t>
                      </w:r>
                    </w:p>
                  </w:txbxContent>
                </v:textbox>
              </v:shape>
            </w:pict>
          </mc:Fallback>
        </mc:AlternateContent>
      </w: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left"/>
        <w:rPr>
          <w:rFonts w:ascii="楷体_GB2312" w:eastAsia="楷体_GB2312" w:cs="楷体_GB2312" w:hAnsi="楷体_GB2312" w:hint="eastAsia"/>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303004</w:t>
      </w:r>
    </w:p>
    <w:p>
      <w:pPr>
        <w:spacing w:line="600" w:lineRule="auto"/>
        <w:jc w:val="left"/>
        <w:rPr>
          <w:rFonts w:ascii="楷体_GB2312" w:eastAsia="楷体_GB2312" w:cs="楷体_GB2312" w:hAnsi="楷体_GB2312" w:hint="eastAsia"/>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：行唐县投资促进服务中心</w:t>
      </w:r>
    </w:p>
    <w:p>
      <w:pPr>
        <w:spacing w:line="600" w:lineRule="auto"/>
        <w:jc w:val="both"/>
        <w:rPr>
          <w:rFonts w:ascii="楷体_GB2312" w:eastAsia="楷体_GB2312" w:cs="楷体_GB2312" w:hAnsi="楷体_GB2312" w:hint="eastAsia"/>
          <w:color w:val="000000"/>
          <w:sz w:val="40"/>
          <w:szCs w:val="40"/>
        </w:rPr>
        <w:sectPr>
          <w:footerReference w:type="default" r:id="rId2"/>
          <w:pgSz w:w="11906" w:h="16838"/>
          <w:pgMar w:top="2098" w:right="1417" w:bottom="1871" w:left="1417" w:header="851" w:footer="992" w:gutter="0"/>
          <w:pgNumType w:start="1"/>
          <w:docGrid w:type="lines" w:linePitch="312" w:charSpace="0"/>
        </w:sectPr>
      </w:pPr>
    </w:p>
    <w:p>
      <w:pPr>
        <w:spacing w:line="600" w:lineRule="auto"/>
        <w:jc w:val="center"/>
        <w:rPr>
          <w:rFonts w:ascii="楷体_GB2312" w:eastAsia="楷体_GB2312" w:cs="楷体_GB2312" w:hAnsi="楷体_GB2312" w:hint="eastAsia"/>
          <w:color w:val="000000"/>
          <w:sz w:val="40"/>
          <w:szCs w:val="40"/>
        </w:rPr>
      </w:pPr>
    </w:p>
    <w:p>
      <w:pPr>
        <w:rPr>
          <w:rFonts w:ascii="黑体" w:eastAsia="黑体" w:cs="黑体" w:hAnsi="黑体" w:hint="eastAsia"/>
          <w:b/>
          <w:bCs/>
          <w:sz w:val="32"/>
          <w:szCs w:val="36"/>
          <w:highlight w:val="yellow"/>
        </w:rPr>
      </w:pPr>
    </w:p>
    <w:p>
      <w:pPr>
        <w:widowControl/>
        <w:spacing w:before="0" w:beforeAutospacing="0" w:after="0" w:afterAutospacing="0" w:line="360" w:lineRule="auto"/>
        <w:jc w:val="center"/>
        <w:rPr>
          <w:rFonts w:ascii="Times New Roman" w:eastAsia="方正小标宋_GBK" w:hAnsi="Times New Roman"/>
          <w:b w:val="0"/>
          <w:sz w:val="72"/>
          <w:szCs w:val="72"/>
        </w:rPr>
      </w:pPr>
      <w:r>
        <w:rPr>
          <w:rFonts w:ascii="Times New Roman" w:eastAsia="方正小标宋_GBK" w:hAnsi="Times New Roman"/>
          <w:b w:val="0"/>
          <w:sz w:val="72"/>
          <w:szCs w:val="72"/>
        </w:rPr>
        <w:t>行唐县投资促进服务</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方正小标宋_GBK" w:hAnsi="Times New Roman"/>
          <w:b w:val="0"/>
          <w:sz w:val="72"/>
          <w:szCs w:val="72"/>
        </w:rPr>
        <w:t>中心</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仿宋_GB2312" w:hAnsi="Times New Roman"/>
          <w:b w:val="0"/>
          <w:sz w:val="72"/>
          <w:szCs w:val="72"/>
        </w:rPr>
        <w:t>2024</w:t>
      </w:r>
      <w:r>
        <w:rPr>
          <w:rFonts w:ascii="Times New Roman" w:eastAsia="方正小标宋_GBK" w:hAnsi="Times New Roman"/>
          <w:b w:val="0"/>
          <w:sz w:val="72"/>
          <w:szCs w:val="72"/>
        </w:rPr>
        <w:t>年度</w:t>
      </w:r>
      <w:r>
        <w:rPr>
          <w:rFonts w:ascii="Times New Roman" w:eastAsia="方正小标宋_GBK" w:hAnsi="Times New Roman" w:hint="eastAsia"/>
          <w:b/>
          <w:bCs/>
          <w:sz w:val="72"/>
          <w:szCs w:val="72"/>
          <w:lang w:eastAsia="zh-CN"/>
        </w:rPr>
        <w:t>单位</w:t>
      </w:r>
      <w:r>
        <w:rPr>
          <w:rFonts w:ascii="Times New Roman" w:eastAsia="方正小标宋_GBK" w:hAnsi="Times New Roman"/>
          <w:b w:val="0"/>
          <w:sz w:val="72"/>
          <w:szCs w:val="72"/>
        </w:rPr>
        <w:t>决算公开文本</w:t>
      </w:r>
    </w:p>
    <w:p>
      <w:pPr>
        <w:spacing w:line="36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480" w:lineRule="auto"/>
        <w:jc w:val="both"/>
        <w:rPr>
          <w:rFonts w:ascii="黑体" w:eastAsia="黑体" w:cs="黑体" w:hAnsi="黑体"/>
          <w:sz w:val="56"/>
          <w:szCs w:val="72"/>
        </w:rPr>
      </w:pPr>
    </w:p>
    <w:p>
      <w:pPr>
        <w:widowControl/>
        <w:spacing w:before="0" w:beforeAutospacing="0" w:after="0" w:afterAutospacing="0" w:line="360" w:lineRule="auto"/>
        <w:jc w:val="center"/>
        <w:rPr>
          <w:rFonts w:ascii="Times New Roman" w:eastAsia="楷体_GB2312" w:hAnsi="Times New Roman"/>
          <w:b w:val="0"/>
          <w:sz w:val="44"/>
          <w:szCs w:val="44"/>
        </w:rPr>
      </w:pPr>
      <w:r>
        <w:rPr>
          <w:rFonts w:ascii="Times New Roman" w:eastAsia="楷体_GB2312" w:hAnsi="Times New Roman"/>
          <w:b w:val="0"/>
          <w:sz w:val="44"/>
          <w:szCs w:val="44"/>
        </w:rPr>
        <w:t>行唐县投资促进服务中心</w:t>
      </w:r>
    </w:p>
    <w:p>
      <w:pPr>
        <w:widowControl/>
        <w:spacing w:before="0" w:beforeAutospacing="0" w:after="0" w:afterAutospacing="0" w:line="360" w:lineRule="auto"/>
        <w:jc w:val="center"/>
        <w:rPr>
          <w:rFonts w:ascii="Times New Roman" w:eastAsia="楷体_GB2312" w:hAnsi="Times New Roman"/>
          <w:sz w:val="44"/>
          <w:szCs w:val="44"/>
        </w:rPr>
      </w:pPr>
      <w:r>
        <w:rPr>
          <w:rFonts w:ascii="Times New Roman" w:eastAsia="楷体_GB2312" w:hAnsi="Times New Roman"/>
          <w:b w:val="0"/>
          <w:sz w:val="44"/>
          <w:szCs w:val="44"/>
        </w:rPr>
        <w:t>二〇二五年八月</w:t>
      </w:r>
    </w:p>
    <w:p>
      <w:pPr>
        <w:snapToGrid w:val="0"/>
        <w:jc w:val="left"/>
        <w:rPr>
          <w:rFonts w:ascii="楷体_GB2312" w:eastAsia="楷体_GB2312" w:cs="楷体_GB2312" w:hAnsi="楷体_GB2312" w:hint="eastAsia"/>
          <w:color w:val="000000"/>
          <w:kern w:val="0"/>
          <w:sz w:val="44"/>
          <w:szCs w:val="44"/>
          <w14:shadow w14:sx="100000" w14:sy="100000" w14:blurRad="38100" w14:dir="2700000" w14:dist="19050" w14:algn="tl">
            <w14:srgbClr w14:val="000000">
              <w14:alpha w14:val="60000"/>
            </w14:srgbClr>
          </w14:shadow>
          <w14:textFill>
            <w14:solidFill>
              <w14:srgbClr w14:val="000000"/>
            </w14:solidFill>
          </w14:textFill>
          <w:lang w:val="en-US" w:eastAsia="zh-CN"/>
        </w:rPr>
      </w:pPr>
    </w:p>
    <w:p>
      <w:pPr>
        <w:snapToGrid w:val="0"/>
        <w:jc w:val="left"/>
        <w:rPr>
          <w:rFonts w:ascii="楷体_GB2312" w:eastAsia="楷体_GB2312" w:cs="楷体_GB2312" w:hAnsi="楷体_GB2312"/>
          <w:color w:val="000000"/>
          <w:kern w:val="0"/>
          <w:sz w:val="44"/>
          <w:szCs w:val="44"/>
          <w14:shadow w14:sx="100000" w14:sy="100000" w14:blurRad="38100" w14:dir="2700000" w14:dist="19050" w14:algn="tl">
            <w14:srgbClr w14:val="000000">
              <w14:alpha w14:val="60000"/>
            </w14:srgbClr>
          </w14:shadow>
          <w14:textFill>
            <w14:solidFill>
              <w14:srgbClr w14:val="000000"/>
            </w14:solidFill>
          </w14:textFill>
          <w:lang w:val="en-US" w:eastAsia="zh-CN"/>
        </w:rPr>
        <w:sectPr>
          <w:footerReference w:type="default" r:id="rId4"/>
          <w:pgSz w:w="11906" w:h="16838"/>
          <w:pgMar w:top="1531" w:right="1984" w:bottom="1531" w:left="2098" w:header="851" w:footer="992" w:gutter="0"/>
          <w:docGrid w:type="lines" w:linePitch="312" w:charSpace="0"/>
        </w:sectPr>
      </w:pPr>
    </w:p>
    <w:p>
      <w:pPr>
        <w:widowControl/>
        <w:spacing w:line="600" w:lineRule="exact"/>
        <w:jc w:val="left"/>
        <w:rPr>
          <w:rFonts w:ascii="黑体" w:eastAsia="黑体" w:cs="黑体" w:hAnsi="黑体"/>
          <w:bCs/>
          <w:sz w:val="32"/>
          <w:szCs w:val="32"/>
        </w:rPr>
      </w:pPr>
    </w:p>
    <w:p>
      <w:pPr>
        <w:tabs>
          <w:tab w:val="left" w:pos="2728"/>
        </w:tabs>
        <w:jc w:val="center"/>
        <w:rPr>
          <w:rFonts w:ascii="黑体" w:eastAsia="黑体" w:cs="Times New Roman" w:hAnsi="Times New Roman"/>
          <w:sz w:val="48"/>
          <w:szCs w:val="48"/>
        </w:r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第一部分单位概况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一、单位职责</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二、机构设置</w:t>
      </w:r>
    </w:p>
    <w:p>
      <w:pPr>
        <w:widowControl/>
        <w:spacing w:before="0" w:beforeAutospacing="0" w:after="0" w:afterAutospacing="0" w:line="360" w:lineRule="auto"/>
        <w:jc w:val="left"/>
        <w:outlineLvl w:val="0"/>
        <w:rPr>
          <w:rFonts w:ascii="Times New Roman" w:eastAsia="黑体" w:hAnsi="Times New Roman"/>
          <w:sz w:val="32"/>
          <w:szCs w:val="32"/>
        </w:rPr>
      </w:pPr>
      <w:r>
        <w:rPr>
          <w:rFonts w:ascii="Times New Roman" w:eastAsia="黑体" w:hAnsi="Times New Roman"/>
          <w:b w:val="0"/>
          <w:sz w:val="32"/>
          <w:szCs w:val="32"/>
        </w:rPr>
        <w:t>第二部分 2024年度</w:t>
      </w:r>
      <w:r>
        <w:rPr>
          <w:rFonts w:ascii="Times New Roman" w:eastAsia="黑体" w:hAnsi="Times New Roman" w:hint="eastAsia"/>
          <w:b w:val="0"/>
          <w:sz w:val="32"/>
          <w:szCs w:val="32"/>
          <w:lang w:eastAsia="zh-CN"/>
        </w:rPr>
        <w:t>单位</w:t>
      </w:r>
      <w:r>
        <w:rPr>
          <w:rFonts w:ascii="Times New Roman" w:eastAsia="黑体" w:hAnsi="Times New Roman"/>
          <w:b w:val="0"/>
          <w:sz w:val="32"/>
          <w:szCs w:val="32"/>
        </w:rPr>
        <w:t>决算报表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五、一般公共预算财政拨款支出决算表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六、一般公共预算财政拨款基本支出决算明细表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七、政府性基金预算财政拨款收入支出决算表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八、国有资本经营预算财政拨款支出决算表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九、财政拨款“三公”经费支出决算表</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第三部分 2024年度</w:t>
      </w:r>
      <w:r>
        <w:rPr>
          <w:rFonts w:ascii="Times New Roman" w:eastAsia="黑体" w:hAnsi="Times New Roman" w:hint="eastAsia"/>
          <w:b w:val="0"/>
          <w:sz w:val="32"/>
          <w:szCs w:val="32"/>
          <w:lang w:eastAsia="zh-CN"/>
        </w:rPr>
        <w:t>单位</w:t>
      </w:r>
      <w:r>
        <w:rPr>
          <w:rFonts w:ascii="Times New Roman" w:eastAsia="黑体" w:hAnsi="Times New Roman"/>
          <w:b w:val="0"/>
          <w:sz w:val="32"/>
          <w:szCs w:val="32"/>
        </w:rPr>
        <w:t>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五、财政拨款“三公”经费支出决算情况说明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十、其他需要说明的情况</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第四部分 名词解释</w:t>
      </w:r>
    </w:p>
    <w:p>
      <w:pPr>
        <w:widowControl/>
        <w:spacing w:after="160" w:line="580" w:lineRule="exact"/>
        <w:rPr>
          <w:rFonts w:ascii="Times New Roman" w:eastAsia="黑体" w:cs="Times New Roman" w:hAnsi="Times New Roman" w:hint="eastAsia"/>
          <w:sz w:val="32"/>
          <w:szCs w:val="32"/>
          <w:lang w:val="en-US" w:eastAsia="zh-CN"/>
        </w:rPr>
        <w:sectPr>
          <w:headerReference w:type="default" r:id="rId5"/>
          <w:headerReference w:type="first" r:id="rId6"/>
          <w:footerReference w:type="default" r:id="rId7"/>
          <w:footerReference w:type="first" r:id="rId8"/>
          <w:pgSz w:w="11906" w:h="16838"/>
          <w:pgMar w:top="1474" w:right="1531" w:bottom="1474" w:left="1531" w:header="851" w:footer="992" w:gutter="0"/>
          <w:titlePg/>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第一部分单位概况</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一、单位职责</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负责贯彻落实国家和省、市、县关于对外开放、经济合作、招商引资的法律法规和方针政策；负责全县重大产业、重点招商引资项目的策划、包装，建立招商引资项目库，并对外推介；负责收集组织和促进委托招商、代理招商、中介招商、专业招商、网上招商等多种形式的招商活动；负责开展有针对性的外出招商活动；负责做好招商引资项目对接考察、接待洽谈、促进签约、跟踪服务；负责参与县内、外各类招商引资活动，以及营商环境和重点项目的推介；负责全县招商引资项目和信息的管理、汇总统计；协调各招商小分队招商引资工作，收集信息建立招商网络。</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二、机构设置</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从决算编报单位构成看，纳入2024年度本</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决算汇编范围的独立核算单位（以下简称“单位”）共1个，具体情况如下：</w:t>
      </w:r>
    </w:p>
    <w:tbl>
      <w:tblPr>
        <w:tblpPr w:leftFromText="180" w:rightFromText="180" w:vertAnchor="text" w:horzAnchor="page" w:tblpXSpec="center" w:tblpY="10"/>
        <w:tblOverlap w:val="never"/>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985"/>
        <w:gridCol w:w="3485"/>
        <w:gridCol w:w="2445"/>
        <w:gridCol w:w="2665"/>
      </w:tblGrid>
      <w:tr>
        <w:trPr>
          <w:trHeight w:val="811"/>
        </w:trPr>
        <w:tc>
          <w:tcPr>
            <w:tcW w:w="98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序号</w:t>
            </w:r>
          </w:p>
        </w:tc>
        <w:tc>
          <w:tcPr>
            <w:tcW w:w="348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单位名称</w:t>
            </w:r>
          </w:p>
        </w:tc>
        <w:tc>
          <w:tcPr>
            <w:tcW w:w="244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单位基本性质</w:t>
            </w:r>
          </w:p>
        </w:tc>
        <w:tc>
          <w:tcPr>
            <w:tcW w:w="266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经费形式</w:t>
            </w:r>
          </w:p>
        </w:tc>
      </w:tr>
      <w:tr>
        <w:trPr>
          <w:trHeight w:val="596"/>
        </w:trPr>
        <w:tc>
          <w:tcPr>
            <w:tcW w:w="98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1</w:t>
            </w:r>
          </w:p>
        </w:tc>
        <w:tc>
          <w:tcPr>
            <w:tcW w:w="348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行唐县投资促进服务中心</w:t>
            </w:r>
          </w:p>
        </w:tc>
        <w:tc>
          <w:tcPr>
            <w:tcW w:w="244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p>
        </w:tc>
        <w:tc>
          <w:tcPr>
            <w:tcW w:w="266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bl>
    <w:p>
      <w:pPr>
        <w:rPr>
          <w:rFonts w:ascii="Times New Roman" w:eastAsia="黑体" w:cs="Times New Roman" w:hAnsi="Times New Roman" w:hint="eastAsia"/>
          <w:sz w:val="32"/>
          <w:szCs w:val="32"/>
        </w:rPr>
      </w:pPr>
      <w:r>
        <w:rPr>
          <w:rFonts w:ascii="Times New Roman" w:eastAsia="黑体" w:cs="Times New Roman" w:hAnsi="Times New Roman" w:hint="eastAsia"/>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第二部分</w:t>
      </w:r>
      <w:r>
        <w:rPr>
          <w:rFonts w:ascii="Times New Roman" w:eastAsia="仿宋_GB2312" w:hAnsi="Times New Roman"/>
          <w:b w:val="0"/>
          <w:sz w:val="44"/>
          <w:szCs w:val="44"/>
        </w:rPr>
        <w:t>2024</w:t>
      </w:r>
      <w:r>
        <w:rPr>
          <w:rFonts w:ascii="Times New Roman" w:eastAsia="黑体" w:hAnsi="Times New Roman"/>
          <w:b w:val="0"/>
          <w:sz w:val="44"/>
          <w:szCs w:val="44"/>
        </w:rPr>
        <w:t>年度</w:t>
      </w:r>
      <w:r>
        <w:rPr>
          <w:rFonts w:ascii="Times New Roman" w:eastAsia="黑体" w:hAnsi="Times New Roman" w:hint="eastAsia"/>
          <w:b w:val="0"/>
          <w:sz w:val="44"/>
          <w:szCs w:val="44"/>
          <w:lang w:eastAsia="zh-CN"/>
        </w:rPr>
        <w:t>单位</w:t>
      </w:r>
      <w:r>
        <w:rPr>
          <w:rFonts w:ascii="Times New Roman" w:eastAsia="黑体" w:hAnsi="Times New Roman"/>
          <w:b w:val="0"/>
          <w:sz w:val="44"/>
          <w:szCs w:val="44"/>
        </w:rPr>
        <w:t>决算表</w:t>
      </w:r>
    </w:p>
    <w:tbl>
      <w:tblPr>
        <w:jc w:val="left"/>
        <w:tblInd w:w="-1817" w:type="dxa"/>
        <w:tblW w:w="72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3345"/>
        <w:gridCol w:w="623"/>
        <w:gridCol w:w="613"/>
        <w:gridCol w:w="1318"/>
        <w:gridCol w:w="1626"/>
        <w:gridCol w:w="1549"/>
        <w:gridCol w:w="623"/>
        <w:gridCol w:w="1931"/>
        <w:gridCol w:w="35"/>
      </w:tblGrid>
      <w:tr>
        <w:trPr>
          <w:trHeight w:val="361"/>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收入支出决算总表</w:t>
            </w:r>
          </w:p>
        </w:tc>
      </w:tr>
      <w:tr>
        <w:trPr>
          <w:trHeight w:val="357"/>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公开</w:t>
            </w:r>
            <w:r>
              <w:rPr>
                <w:rFonts w:ascii="Times New Roman" w:eastAsia="宋体" w:cs="Times New Roman" w:hAnsi="Times New Roman" w:hint="eastAsia"/>
                <w:i w:val="0"/>
                <w:iCs w:val="0"/>
                <w:color w:val="000000"/>
                <w:sz w:val="20"/>
                <w:szCs w:val="20"/>
                <w:u w:val="none"/>
                <w:lang w:val="en-US" w:eastAsia="zh-CN"/>
                <w:highlight w:val="auto"/>
              </w:rPr>
              <w:t>01</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51"/>
          <w:gridAfter w:val="1"/>
          <w:wAfter w:w="35" w:type="dxa"/>
        </w:trPr>
        <w:tc>
          <w:tcPr>
            <w:tcW w:w="1964" w:type="pct"/>
            <w:gridSpan w:val="3"/>
            <w:tcBorders>
              <w:top w:val="nil"/>
              <w:left w:val="nil"/>
              <w:bottom w:val="single" w:sz="4" w:space="0" w:color="auto"/>
              <w:right w:val="nil"/>
            </w:tcBorders>
            <w:noWrap/>
            <w:vAlign w:val="bottom"/>
          </w:tcPr>
          <w:p>
            <w:pPr>
              <w:jc w:val="both"/>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单位（单位）：行唐县投资促进服务中心</w:t>
            </w:r>
          </w:p>
        </w:tc>
        <w:tc>
          <w:tcPr>
            <w:tcW w:w="1262" w:type="pct"/>
            <w:gridSpan w:val="2"/>
            <w:tcBorders>
              <w:top w:val="nil"/>
              <w:left w:val="nil"/>
              <w:bottom w:val="single" w:sz="4" w:space="0" w:color="auto"/>
              <w:right w:val="nil"/>
            </w:tcBorders>
            <w:noWrap/>
            <w:vAlign w:val="bottom"/>
          </w:tcPr>
          <w:p>
            <w:pPr>
              <w:jc w:val="center"/>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hint="eastAsia"/>
                <w:i w:val="0"/>
                <w:iCs w:val="0"/>
                <w:color w:val="000000"/>
                <w:sz w:val="20"/>
                <w:szCs w:val="20"/>
                <w:u w:val="none"/>
                <w:lang w:val="en-US" w:eastAsia="zh-CN"/>
                <w:highlight w:val="auto"/>
              </w:rPr>
              <w:t>2024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57" w:type="pct"/>
            <w:gridSpan w:val="3"/>
            <w:tcBorders>
              <w:top w:val="nil"/>
              <w:left w:val="nil"/>
              <w:bottom w:val="single" w:sz="4" w:space="0" w:color="auto"/>
              <w:right w:val="nil"/>
            </w:tcBorders>
            <w:noWrap/>
            <w:vAlign w:val="bottom"/>
          </w:tcPr>
          <w:p>
            <w:pPr>
              <w:jc w:val="right"/>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44"/>
          <w:gridAfter w:val="1"/>
          <w:wAfter w:w="35" w:type="dxa"/>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收入</w:t>
            </w:r>
          </w:p>
        </w:tc>
        <w:tc>
          <w:tcPr>
            <w:tcW w:w="2456"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支出</w:t>
            </w: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1</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宋体" w:eastAsia="宋体" w:cs="宋体" w:hAnsi="宋体"/>
                <w:i w:val="0"/>
                <w:iCs w:val="0"/>
                <w:color w:val="000000"/>
                <w:sz w:val="20"/>
                <w:szCs w:val="20"/>
                <w:u w:val="none"/>
                <w:lang w:val="en-US" w:eastAsia="zh-CN"/>
                <w:highlight w:val="auto"/>
              </w:rPr>
              <w:t>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174.02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四、上级补助收入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五、事业收入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六、经营收入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七、附属单位上缴收入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八、其他收入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8.26</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40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4.15</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826"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826"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50</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6.23</w:t>
            </w: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826"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826"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使用非财政拨款结余（含专用结余）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结余分配</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60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r>
      <w:tr>
        <w:trPr>
          <w:trHeight w:val="308"/>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注：1.本表反映单位本年度的总收支和年末结转结余情况。</w:t>
            </w:r>
          </w:p>
          <w:p>
            <w:pPr>
              <w:keepNext w:val="0"/>
              <w:keepLines w:val="0"/>
              <w:widowControl/>
              <w:suppressLineNumbers w:val="0"/>
              <w:ind w:firstLineChars="200" w:firstLine="40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9230"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rPr>
          <w:trHeight w:val="550"/>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收入决算表</w:t>
            </w:r>
          </w:p>
        </w:tc>
      </w:tr>
      <w:tr>
        <w:trPr>
          <w:trHeight w:val="300"/>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hint="eastAsia"/>
                <w:i w:val="0"/>
                <w:iCs w:val="0"/>
                <w:color w:val="000000"/>
                <w:sz w:val="20"/>
                <w:szCs w:val="20"/>
                <w:u w:val="none"/>
                <w:lang w:val="en-US" w:eastAsia="zh-CN"/>
                <w:highlight w:val="auto"/>
              </w:rPr>
              <w:t>02</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3237" w:type="dxa"/>
            <w:gridSpan w:val="3"/>
            <w:tcBorders>
              <w:top w:val="nil"/>
              <w:left w:val="nil"/>
              <w:bottom w:val="single" w:sz="4" w:space="0" w:color="auto"/>
              <w:right w:val="nil"/>
            </w:tcBorders>
            <w:noWrap/>
            <w:vAlign w:val="bottom"/>
          </w:tcPr>
          <w:p>
            <w:pP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单位（单位）：行唐县投资促进服务中心                                                                                                         </w:t>
            </w:r>
          </w:p>
        </w:tc>
        <w:tc>
          <w:tcPr>
            <w:tcW w:w="3405" w:type="dxa"/>
            <w:gridSpan w:val="4"/>
            <w:tcBorders>
              <w:top w:val="nil"/>
              <w:left w:val="nil"/>
              <w:bottom w:val="single" w:sz="4" w:space="0" w:color="auto"/>
              <w:right w:val="nil"/>
            </w:tcBorders>
            <w:noWrap/>
            <w:vAlign w:val="bottom"/>
          </w:tcPr>
          <w:p>
            <w:pPr>
              <w:jc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202</w:t>
            </w:r>
            <w:r>
              <w:rPr>
                <w:rFonts w:ascii="Times New Roman" w:eastAsia="方正仿宋_GB2312" w:cs="Times New Roman" w:hAnsi="Times New Roman" w:hint="eastAsia"/>
                <w:i w:val="0"/>
                <w:iCs w:val="0"/>
                <w:color w:val="00000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2588" w:type="dxa"/>
            <w:gridSpan w:val="3"/>
            <w:tcBorders>
              <w:top w:val="nil"/>
              <w:left w:val="nil"/>
              <w:bottom w:val="single" w:sz="4" w:space="0" w:color="auto"/>
              <w:right w:val="nil"/>
            </w:tcBorders>
            <w:noWrap/>
            <w:vAlign w:val="bottom"/>
          </w:tcPr>
          <w:p>
            <w:pPr>
              <w:jc w:val="right"/>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本年收入合计</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财政拨款收入</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上级补助收入</w:t>
            </w:r>
          </w:p>
        </w:tc>
        <w:tc>
          <w:tcPr>
            <w:tcW w:w="964" w:type="dxa"/>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事业收入</w:t>
            </w:r>
          </w:p>
        </w:tc>
        <w:tc>
          <w:tcPr>
            <w:tcW w:w="964" w:type="dxa"/>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经营收入</w:t>
            </w:r>
          </w:p>
        </w:tc>
        <w:tc>
          <w:tcPr>
            <w:tcW w:w="102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附属单位上缴收入</w:t>
            </w:r>
          </w:p>
        </w:tc>
        <w:tc>
          <w:tcPr>
            <w:tcW w:w="964"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其他收入</w:t>
            </w:r>
          </w:p>
        </w:tc>
      </w:tr>
      <w:tr>
        <w:trPr>
          <w:trHeight w:val="312"/>
        </w:trPr>
        <w:tc>
          <w:tcPr>
            <w:tcW w:w="1040" w:type="dxa"/>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160" w:type="dxa"/>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bottom w:val="single" w:sz="4" w:space="0" w:color="000000"/>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454"/>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4</w:t>
            </w:r>
          </w:p>
        </w:tc>
        <w:tc>
          <w:tcPr>
            <w:tcW w:w="964" w:type="dxa"/>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c>
          <w:tcPr>
            <w:tcW w:w="102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6</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7</w:t>
            </w:r>
          </w:p>
        </w:tc>
      </w:tr>
      <w:tr>
        <w:trPr>
          <w:trHeight w:val="567"/>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一般公共服务支出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发展与改革事务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117.32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117.32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2010450</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事业运行</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56.71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56.71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社会保障和就业支出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8.26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8.26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行政事业单位养老支出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7.62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7.62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机关事业单位基本养老保险缴费支出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7.62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7.62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财政对其他社会保险基金的补助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0.64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0.64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财政对失业保险基金的补助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财政对工伤保险基金的补助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0.33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0.33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卫生健康支出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住房保障支出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住房改革支出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住房公积金</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6.23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黑体" w:eastAsia="黑体" w:cs="宋体" w:hAnsi="黑体" w:hint="eastAsia"/>
          <w:bCs/>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5812"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trPr>
          <w:trHeight w:val="550"/>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br w:type="page"/>
              <w:t>支出决算表</w:t>
            </w:r>
          </w:p>
        </w:tc>
      </w:tr>
      <w:tr>
        <w:trPr>
          <w:trHeight w:val="300"/>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03</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862" w:type="pct"/>
            <w:gridSpan w:val="4"/>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单位（单位）：行唐县投资促进服务中心 </w:t>
            </w:r>
            <w:r>
              <w:rPr>
                <w:rFonts w:ascii="宋体" w:eastAsia="宋体" w:cs="宋体" w:hint="eastAsia"/>
                <w:i w:val="0"/>
                <w:iCs w:val="0"/>
                <w:color w:val="000000"/>
                <w:kern w:val="0"/>
                <w:sz w:val="20"/>
                <w:szCs w:val="20"/>
                <w:u w:val="none"/>
                <w:lang w:val="en-US" w:eastAsia="zh-CN"/>
                <w:highlight w:val="auto"/>
              </w:rPr>
              <w:t xml:space="preserve">                                                                                                         </w:t>
            </w:r>
          </w:p>
        </w:tc>
        <w:tc>
          <w:tcPr>
            <w:tcW w:w="140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3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金额单位：万元</w:t>
            </w:r>
          </w:p>
        </w:tc>
      </w:tr>
      <w:tr>
        <w:trPr>
          <w:trHeight w:val="510"/>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0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本年支出合计</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上缴上级支出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经营支出</w:t>
            </w:r>
          </w:p>
        </w:tc>
        <w:tc>
          <w:tcPr>
            <w:tcW w:w="795"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对附属单位补助支出</w:t>
            </w:r>
          </w:p>
        </w:tc>
      </w:tr>
      <w:tr>
        <w:trPr>
          <w:trHeight w:val="308"/>
        </w:trPr>
        <w:tc>
          <w:tcPr>
            <w:tcW w:w="556"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6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454"/>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0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79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r>
      <w:tr>
        <w:trPr>
          <w:trHeight w:val="308"/>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75.35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117.32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8.26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8.26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857" w:type="dxa"/>
        <w:tblW w:w="728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trPr>
          <w:trHeight w:val="550"/>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财政拨款收入支出决算总表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公开04表</w:t>
            </w:r>
          </w:p>
        </w:tc>
      </w:tr>
      <w:tr>
        <w:trPr>
          <w:trHeight w:val="300"/>
        </w:trPr>
        <w:tc>
          <w:tcPr>
            <w:tcW w:w="2431" w:type="pct"/>
            <w:gridSpan w:val="4"/>
            <w:tcBorders>
              <w:top w:val="nil"/>
              <w:left w:val="nil"/>
              <w:bottom w:val="single" w:sz="4" w:space="0" w:color="auto"/>
              <w:right w:val="nil"/>
            </w:tcBorders>
            <w:noWrap/>
            <w:vAlign w:val="bottom"/>
          </w:tcPr>
          <w:p>
            <w:pPr>
              <w:rPr>
                <w:rFonts w:ascii="仿宋" w:eastAsia="仿宋" w:cs="仿宋" w:hAnsi="仿宋"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单位（单位）：行唐县投资促进服务中心 </w:t>
            </w:r>
            <w:r>
              <w:rPr>
                <w:rFonts w:ascii="宋体" w:eastAsia="宋体" w:cs="宋体" w:hint="eastAsia"/>
                <w:i w:val="0"/>
                <w:iCs w:val="0"/>
                <w:color w:val="000000"/>
                <w:kern w:val="0"/>
                <w:sz w:val="20"/>
                <w:szCs w:val="20"/>
                <w:u w:val="none"/>
                <w:lang w:val="en-US" w:eastAsia="zh-CN"/>
                <w:highlight w:val="auto"/>
              </w:rPr>
              <w:t xml:space="preserve">                                                                                                   </w:t>
            </w:r>
          </w:p>
        </w:tc>
        <w:tc>
          <w:tcPr>
            <w:tcW w:w="649" w:type="pct"/>
            <w:gridSpan w:val="3"/>
            <w:tcBorders>
              <w:top w:val="nil"/>
              <w:left w:val="nil"/>
              <w:bottom w:val="single" w:sz="4" w:space="0" w:color="auto"/>
              <w:right w:val="nil"/>
            </w:tcBorders>
            <w:noWrap/>
            <w:vAlign w:val="bottom"/>
          </w:tcPr>
          <w:p>
            <w:pPr>
              <w:jc w:val="center"/>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919"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收入</w:t>
            </w:r>
          </w:p>
        </w:tc>
        <w:tc>
          <w:tcPr>
            <w:tcW w:w="3276" w:type="pct"/>
            <w:gridSpan w:val="8"/>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支出</w:t>
            </w:r>
          </w:p>
        </w:tc>
      </w:tr>
      <w:tr>
        <w:trPr>
          <w:trHeight w:val="312"/>
        </w:trPr>
        <w:tc>
          <w:tcPr>
            <w:tcW w:w="847"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    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609"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金额</w:t>
            </w:r>
          </w:p>
        </w:tc>
        <w:tc>
          <w:tcPr>
            <w:tcW w:w="895"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552" w:type="pct"/>
            <w:gridSpan w:val="2"/>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合计</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一般公共预算财政拨款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政府性基金预算财政拨款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国有资本经营预算财政拨款</w:t>
            </w:r>
          </w:p>
        </w:tc>
      </w:tr>
      <w:tr>
        <w:trPr>
          <w:trHeight w:val="312"/>
        </w:trPr>
        <w:tc>
          <w:tcPr>
            <w:tcW w:w="847" w:type="pct"/>
            <w:vMerge/>
            <w:tcBorders>
              <w:top w:val="nil"/>
              <w:left w:val="single" w:sz="4" w:space="0" w:color="000000"/>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609" w:type="pct"/>
            <w:vMerge/>
            <w:tcBorders>
              <w:top w:val="nil"/>
              <w:left w:val="nil"/>
              <w:bottom w:val="single" w:sz="4" w:space="0" w:color="000000"/>
              <w:right w:val="single" w:sz="4" w:space="0" w:color="000000"/>
            </w:tcBorders>
            <w:noWrap/>
            <w:vAlign w:val="center"/>
          </w:tcPr>
          <w:p/>
        </w:tc>
        <w:tc>
          <w:tcPr>
            <w:tcW w:w="895" w:type="pct"/>
            <w:gridSpan w:val="2"/>
            <w:vMerge/>
            <w:tcBorders>
              <w:top w:val="nil"/>
              <w:left w:val="nil"/>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552" w:type="pct"/>
            <w:gridSpan w:val="2"/>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60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55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4</w:t>
            </w:r>
          </w:p>
        </w:tc>
        <w:tc>
          <w:tcPr>
            <w:tcW w:w="520" w:type="pct"/>
            <w:tcBorders>
              <w:top w:val="nil"/>
              <w:left w:val="nil"/>
              <w:bottom w:val="single" w:sz="4" w:space="0" w:color="000000"/>
              <w:right w:val="single" w:sz="8"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174.02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174.02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8.26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8.26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4.15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4.15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609"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552"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6.23</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6.23</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609"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552"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b/>
                <w:bCs/>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609"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895" w:type="pct"/>
            <w:gridSpan w:val="2"/>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64</w:t>
            </w:r>
          </w:p>
        </w:tc>
        <w:tc>
          <w:tcPr>
            <w:tcW w:w="552" w:type="pct"/>
            <w:gridSpan w:val="2"/>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520" w:type="pct"/>
            <w:tcBorders>
              <w:top w:val="nil"/>
              <w:left w:val="nil"/>
              <w:bottom w:val="single" w:sz="8" w:space="0" w:color="000000"/>
              <w:right w:val="single" w:sz="4" w:space="0" w:color="000000"/>
            </w:tcBorders>
            <w:noWrap/>
            <w:vAlign w:val="center"/>
          </w:tcPr>
          <w:p>
            <w:pPr>
              <w:jc w:val="right"/>
              <w:rPr>
                <w:rFonts w:ascii="Times New Roman" w:cs="Times New Roman" w:hAnsi="Times New Roman"/>
                <w:sz w:val="20"/>
                <w:szCs w:val="20"/>
                <w:highlight w:val="auto"/>
              </w:rPr>
            </w:pPr>
          </w:p>
          <w:p>
            <w:pPr>
              <w:jc w:val="right"/>
              <w:rPr>
                <w:rFonts w:ascii="Times New Roman" w:cs="Times New Roman" w:hAnsi="Times New Roman"/>
                <w:sz w:val="20"/>
                <w:szCs w:val="20"/>
                <w:highlight w:val="auto"/>
              </w:rPr>
            </w:pPr>
            <w:r>
              <w:rPr>
                <w:rFonts w:ascii="Times New Roman" w:cs="Times New Roman" w:hAnsi="Times New Roman"/>
                <w:sz w:val="20"/>
                <w:szCs w:val="20"/>
                <w:highlight w:val="auto"/>
              </w:rPr>
              <w:t>192.66</w:t>
            </w:r>
          </w:p>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8"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657" w:type="dxa"/>
        <w:tblW w:w="5348"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1211"/>
        <w:gridCol w:w="1302"/>
        <w:gridCol w:w="700"/>
        <w:gridCol w:w="1295"/>
        <w:gridCol w:w="1355"/>
        <w:gridCol w:w="640"/>
        <w:gridCol w:w="2097"/>
      </w:tblGrid>
      <w:tr>
        <w:trPr>
          <w:trHeight w:val="657"/>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一般公共预算财政拨款支出决算表</w:t>
            </w:r>
          </w:p>
        </w:tc>
      </w:tr>
      <w:tr>
        <w:trPr>
          <w:trHeight w:val="329"/>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05</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29"/>
        </w:trPr>
        <w:tc>
          <w:tcPr>
            <w:tcW w:w="1868"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编制单位（单位）：行唐县投资促进服务中心</w:t>
            </w:r>
          </w:p>
        </w:tc>
        <w:tc>
          <w:tcPr>
            <w:tcW w:w="1541"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590" w:type="pct"/>
            <w:gridSpan w:val="2"/>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3538" w:type="pct"/>
            <w:gridSpan w:val="5"/>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r>
      <w:tr>
        <w:trPr>
          <w:trHeight w:val="369"/>
        </w:trPr>
        <w:tc>
          <w:tcPr>
            <w:tcW w:w="704"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科目代码</w:t>
            </w:r>
          </w:p>
        </w:tc>
        <w:tc>
          <w:tcPr>
            <w:tcW w:w="756"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1218"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r>
      <w:tr>
        <w:trPr>
          <w:trHeight w:val="346"/>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2</w:t>
            </w:r>
          </w:p>
        </w:tc>
        <w:tc>
          <w:tcPr>
            <w:tcW w:w="121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3</w:t>
            </w: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192.66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75.35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117.32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117.32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56.71</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8.26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8.26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7.62</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0.64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0.33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6.23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5000" w:type="pct"/>
            <w:gridSpan w:val="7"/>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617" w:type="dxa"/>
        <w:tblW w:w="70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trPr>
          <w:trHeight w:val="624"/>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一般公共预算财政拨款基本支出决算明细表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06</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90"/>
        </w:trPr>
        <w:tc>
          <w:tcPr>
            <w:tcW w:w="2293" w:type="pct"/>
            <w:gridSpan w:val="5"/>
            <w:tcBorders>
              <w:top w:val="nil"/>
              <w:left w:val="nil"/>
              <w:bottom w:val="single" w:sz="4" w:space="0" w:color="auto"/>
              <w:right w:val="nil"/>
            </w:tcBorders>
            <w:noWrap/>
            <w:vAlign w:val="bottom"/>
          </w:tcPr>
          <w:p>
            <w:pP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单位（单位）：行唐县投资促进服务中心 </w:t>
            </w:r>
            <w:r>
              <w:rPr>
                <w:rFonts w:ascii="宋体" w:cs="宋体" w:hint="eastAsia"/>
                <w:i w:val="0"/>
                <w:iCs w:val="0"/>
                <w:color w:val="000000"/>
                <w:kern w:val="0"/>
                <w:sz w:val="18"/>
                <w:szCs w:val="18"/>
                <w:u w:val="none"/>
                <w:lang w:val="en-US" w:eastAsia="zh-CN"/>
                <w:highlight w:val="auto"/>
              </w:rPr>
              <w:t xml:space="preserve">                                                                   </w:t>
            </w:r>
          </w:p>
        </w:tc>
        <w:tc>
          <w:tcPr>
            <w:tcW w:w="865" w:type="pct"/>
            <w:gridSpan w:val="2"/>
            <w:tcBorders>
              <w:top w:val="nil"/>
              <w:left w:val="nil"/>
              <w:bottom w:val="single" w:sz="4" w:space="0" w:color="auto"/>
              <w:right w:val="nil"/>
            </w:tcBorders>
            <w:noWrap/>
            <w:vAlign w:val="bottom"/>
          </w:tcPr>
          <w:p>
            <w:pPr>
              <w:jc w:val="center"/>
              <w:rPr>
                <w:rFonts w:ascii="宋体" w:eastAsia="宋体" w:cs="宋体"/>
                <w:i w:val="0"/>
                <w:iCs w:val="0"/>
                <w:color w:val="000000"/>
                <w:kern w:val="0"/>
                <w:sz w:val="18"/>
                <w:szCs w:val="18"/>
                <w:u w:val="none"/>
                <w:lang w:val="en-US" w:eastAsia="zh-CN"/>
                <w:highlight w:val="auto"/>
              </w:rPr>
            </w:pPr>
            <w:r>
              <w:rPr>
                <w:rFonts w:ascii="宋体" w:cs="宋体" w:hint="eastAsia"/>
                <w:i w:val="0"/>
                <w:iCs w:val="0"/>
                <w:color w:val="000000"/>
                <w:kern w:val="0"/>
                <w:sz w:val="18"/>
                <w:szCs w:val="18"/>
                <w:u w:val="none"/>
                <w:lang w:val="en-US" w:eastAsia="zh-CN"/>
                <w:highlight w:val="auto"/>
              </w:rPr>
              <w:t>2024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1841"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72.38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2.97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29.31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1.61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1.83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17.27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0.11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7.74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0.32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0.12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4.03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0.78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6.23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5.19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0.21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0.01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宋体" w:cs="Times New Roman" w:hAnsi="Times New Roman"/>
                <w:sz w:val="18"/>
                <w:szCs w:val="18"/>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sz w:val="18"/>
                <w:szCs w:val="18"/>
                <w:highlight w:val="auto"/>
              </w:rPr>
            </w:pPr>
            <w:r>
              <w:rPr>
                <w:rFonts w:ascii="Times New Roman" w:eastAsia="宋体" w:cs="Times New Roman" w:hAnsi="Times New Roman"/>
                <w:sz w:val="18"/>
                <w:szCs w:val="18"/>
                <w:highlight w:val="auto"/>
              </w:rPr>
              <w:t>72.38</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eastAsia="宋体" w:cs="Times New Roman" w:hAnsi="Times New Roman"/>
                <w:sz w:val="18"/>
                <w:szCs w:val="18"/>
                <w:highlight w:val="auto"/>
              </w:rPr>
              <w:t>2.97</w:t>
            </w:r>
          </w:p>
        </w:tc>
      </w:tr>
      <w:tr>
        <w:trPr>
          <w:trHeight w:val="510"/>
        </w:trPr>
        <w:tc>
          <w:tcPr>
            <w:tcW w:w="5000" w:type="pct"/>
            <w:gridSpan w:val="11"/>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404" w:type="dxa"/>
        <w:tblW w:w="6517"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政府性基金预算财政拨款收入支出决算表</w:t>
            </w:r>
          </w:p>
        </w:tc>
      </w:tr>
      <w:tr>
        <w:trPr>
          <w:trHeight w:val="9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07</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27"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单位（单位）：行唐县投资促进服务中心 </w:t>
            </w:r>
            <w:r>
              <w:rPr>
                <w:rFonts w:ascii="宋体" w:eastAsia="宋体" w:cs="宋体" w:hAnsi="宋体" w:hint="eastAsia"/>
                <w:i w:val="0"/>
                <w:iCs w:val="0"/>
                <w:color w:val="000000"/>
                <w:kern w:val="0"/>
                <w:sz w:val="20"/>
                <w:szCs w:val="20"/>
                <w:u w:val="none"/>
                <w:lang w:val="en-US" w:eastAsia="zh-CN"/>
                <w:highlight w:val="auto"/>
              </w:rPr>
              <w:t xml:space="preserve">                                                                                     </w:t>
            </w:r>
          </w:p>
        </w:tc>
        <w:tc>
          <w:tcPr>
            <w:tcW w:w="1217"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85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304"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2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489"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w:t>
            </w:r>
          </w:p>
        </w:tc>
        <w:tc>
          <w:tcPr>
            <w:tcW w:w="1609"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c>
          <w:tcPr>
            <w:tcW w:w="973" w:type="pct"/>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r>
      <w:tr>
        <w:trPr>
          <w:trHeight w:val="312"/>
        </w:trPr>
        <w:tc>
          <w:tcPr>
            <w:tcW w:w="601"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70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534"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54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000000"/>
              <w:right w:val="single" w:sz="4" w:space="0" w:color="000000"/>
            </w:tcBorders>
            <w:noWrap/>
            <w:vAlign w:val="center"/>
          </w:tcPr>
          <w:p/>
        </w:tc>
        <w:tc>
          <w:tcPr>
            <w:tcW w:w="703" w:type="pct"/>
            <w:vMerge/>
            <w:tcBorders>
              <w:top w:val="nil"/>
              <w:left w:val="nil"/>
              <w:bottom w:val="single" w:sz="4" w:space="0" w:color="000000"/>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auto"/>
              <w:right w:val="single" w:sz="4" w:space="0" w:color="000000"/>
            </w:tcBorders>
            <w:noWrap/>
            <w:vAlign w:val="center"/>
          </w:tcPr>
          <w:p/>
        </w:tc>
        <w:tc>
          <w:tcPr>
            <w:tcW w:w="703" w:type="pct"/>
            <w:vMerge/>
            <w:tcBorders>
              <w:top w:val="nil"/>
              <w:left w:val="nil"/>
              <w:bottom w:val="single" w:sz="4" w:space="0" w:color="auto"/>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bottom w:val="single" w:sz="4" w:space="0" w:color="000000"/>
              <w:right w:val="single" w:sz="4" w:space="0" w:color="000000"/>
            </w:tcBorders>
            <w:noWrap/>
            <w:vAlign w:val="center"/>
          </w:tcPr>
          <w:p/>
        </w:tc>
      </w:tr>
      <w:tr>
        <w:trPr>
          <w:trHeight w:val="308"/>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23"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1</w:t>
            </w:r>
          </w:p>
        </w:tc>
        <w:tc>
          <w:tcPr>
            <w:tcW w:w="48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2</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3</w:t>
            </w:r>
          </w:p>
        </w:tc>
        <w:tc>
          <w:tcPr>
            <w:tcW w:w="53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4</w:t>
            </w:r>
          </w:p>
        </w:tc>
        <w:tc>
          <w:tcPr>
            <w:tcW w:w="54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5</w:t>
            </w:r>
          </w:p>
        </w:tc>
        <w:tc>
          <w:tcPr>
            <w:tcW w:w="97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6</w:t>
            </w:r>
          </w:p>
        </w:tc>
      </w:tr>
      <w:tr>
        <w:trPr>
          <w:trHeight w:val="869"/>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23" w:type="pct"/>
            <w:tcBorders>
              <w:top w:val="nil"/>
              <w:left w:val="single" w:sz="4" w:space="0" w:color="auto"/>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注：本表反映单位本年度政府性基金预算财政拨款收入、支出及结转和结余情况。</w:t>
            </w:r>
            <w:r>
              <w:rPr>
                <w:rFonts w:ascii="方正仿宋_GB2312" w:eastAsia="方正仿宋_GB2312" w:cs="方正仿宋_GB2312" w:hAnsi="方正仿宋_GB2312" w:hint="eastAsia"/>
                <w:color w:val="000000"/>
                <w:sz w:val="20"/>
                <w:szCs w:val="20"/>
              </w:rPr>
              <w:t>本单位本年度无</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政府性基金预算财政拨款</w:t>
            </w:r>
            <w:r>
              <w:rPr>
                <w:rFonts w:ascii="方正仿宋_GB2312" w:eastAsia="方正仿宋_GB2312" w:cs="方正仿宋_GB2312" w:hAnsi="方正仿宋_GB2312" w:hint="eastAsia"/>
                <w:color w:val="000000"/>
                <w:sz w:val="20"/>
                <w:szCs w:val="20"/>
              </w:rPr>
              <w:t>收支及结转</w:t>
            </w:r>
            <w:r>
              <w:rPr>
                <w:rFonts w:ascii="方正仿宋_GB2312" w:eastAsia="方正仿宋_GB2312" w:cs="方正仿宋_GB2312" w:hAnsi="方正仿宋_GB2312"/>
                <w:color w:val="000000"/>
                <w:sz w:val="20"/>
                <w:szCs w:val="20"/>
              </w:rPr>
              <w:t>和</w:t>
            </w:r>
            <w:r>
              <w:rPr>
                <w:rFonts w:ascii="方正仿宋_GB2312" w:eastAsia="方正仿宋_GB2312" w:cs="方正仿宋_GB2312" w:hAnsi="方正仿宋_GB2312" w:hint="eastAsia"/>
                <w:color w:val="000000"/>
                <w:sz w:val="20"/>
                <w:szCs w:val="20"/>
              </w:rPr>
              <w:t>结余情况，按要求以空表列式。</w:t>
            </w:r>
          </w:p>
          <w:p>
            <w:pP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br w:type="page"/>
            </w:r>
          </w:p>
        </w:tc>
      </w:tr>
    </w:tbl>
    <w:p>
      <w:pPr>
        <w:rPr>
          <w:rFonts w:ascii="仿宋_GB2312" w:eastAsia="仿宋_GB2312" w:hAnsi="宋体" w:hint="eastAsia"/>
          <w:b/>
          <w:color w:val="auto"/>
          <w:kern w:val="0"/>
          <w:sz w:val="32"/>
          <w:szCs w:val="32"/>
          <w:highlight w:val="auto"/>
        </w:rPr>
      </w:pPr>
    </w:p>
    <w:tbl>
      <w:tblPr>
        <w:jc w:val="left"/>
        <w:tblInd w:w="-976" w:type="dxa"/>
        <w:tblW w:w="5863"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2992"/>
        <w:gridCol w:w="730"/>
        <w:gridCol w:w="1297"/>
        <w:gridCol w:w="1331"/>
        <w:gridCol w:w="6"/>
        <w:gridCol w:w="45"/>
        <w:gridCol w:w="1280"/>
        <w:gridCol w:w="11"/>
        <w:gridCol w:w="1735"/>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国有资本经营预算财政拨款支出决算表</w:t>
            </w:r>
          </w:p>
        </w:tc>
      </w:tr>
      <w:tr>
        <w:trPr>
          <w:trHeight w:val="30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08</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74" w:type="pct"/>
            <w:gridSpan w:val="2"/>
            <w:tcBorders>
              <w:top w:val="nil"/>
              <w:left w:val="nil"/>
              <w:bottom w:val="single" w:sz="4" w:space="0" w:color="auto"/>
              <w:right w:val="nil"/>
            </w:tcBorders>
            <w:noWrap/>
            <w:vAlign w:val="bottom"/>
          </w:tcPr>
          <w:p>
            <w:pPr>
              <w:keepNext w:val="0"/>
              <w:keepLines w:val="0"/>
              <w:widowControl/>
              <w:suppressLineNumbers w:val="0"/>
              <w:jc w:val="both"/>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单位（单位）：行唐县投资促进服务中心</w:t>
            </w:r>
          </w:p>
        </w:tc>
        <w:tc>
          <w:tcPr>
            <w:tcW w:w="1421" w:type="pct"/>
            <w:gridSpan w:val="4"/>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603"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项目</w:t>
            </w:r>
          </w:p>
        </w:tc>
        <w:tc>
          <w:tcPr>
            <w:tcW w:w="2337" w:type="pct"/>
            <w:gridSpan w:val="6"/>
            <w:vMerge w:val="restart"/>
            <w:tcBorders>
              <w:top w:val="single" w:sz="4" w:space="0" w:color="auto"/>
              <w:left w:val="single" w:sz="4" w:space="0" w:color="auto"/>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本年支出</w:t>
            </w:r>
          </w:p>
        </w:tc>
      </w:tr>
      <w:tr>
        <w:trPr>
          <w:trHeight w:val="312"/>
        </w:trPr>
        <w:tc>
          <w:tcPr>
            <w:tcW w:w="2662" w:type="pct"/>
            <w:gridSpan w:val="3"/>
            <w:vMerge/>
            <w:tcBorders>
              <w:top w:val="single" w:sz="4" w:space="0" w:color="auto"/>
              <w:left w:val="single" w:sz="4" w:space="0" w:color="auto"/>
              <w:bottom w:val="single" w:sz="4" w:space="0" w:color="auto"/>
              <w:right w:val="single" w:sz="4" w:space="0" w:color="auto"/>
            </w:tcBorders>
            <w:noWrap/>
            <w:vAlign w:val="center"/>
          </w:tcPr>
          <w:p/>
        </w:tc>
        <w:tc>
          <w:tcPr>
            <w:tcW w:w="2337" w:type="pct"/>
            <w:gridSpan w:val="6"/>
            <w:vMerge/>
            <w:tcBorders>
              <w:left w:val="single" w:sz="4" w:space="0" w:color="auto"/>
              <w:bottom w:val="single" w:sz="4" w:space="0" w:color="000000"/>
              <w:right w:val="single" w:sz="4" w:space="0" w:color="000000"/>
            </w:tcBorders>
            <w:noWrap/>
            <w:vAlign w:val="center"/>
          </w:tcPr>
          <w:p/>
        </w:tc>
      </w:tr>
      <w:tr>
        <w:trPr>
          <w:trHeight w:val="312"/>
        </w:trPr>
        <w:tc>
          <w:tcPr>
            <w:tcW w:w="1587" w:type="pct"/>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科目名称</w:t>
            </w:r>
          </w:p>
        </w:tc>
        <w:tc>
          <w:tcPr>
            <w:tcW w:w="709" w:type="pct"/>
            <w:gridSpan w:val="2"/>
            <w:vMerge w:val="restart"/>
            <w:tcBorders>
              <w:top w:val="nil"/>
              <w:left w:val="single" w:sz="4" w:space="0" w:color="auto"/>
              <w:right w:val="single" w:sz="4" w:space="0" w:color="000000"/>
            </w:tcBorders>
            <w:noWrap/>
            <w:vAlign w:val="center"/>
          </w:tcPr>
          <w:p>
            <w:pPr>
              <w:jc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合计</w:t>
            </w:r>
          </w:p>
        </w:tc>
        <w:tc>
          <w:tcPr>
            <w:tcW w:w="709" w:type="pct"/>
            <w:gridSpan w:val="3"/>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基本支出</w:t>
            </w:r>
          </w:p>
        </w:tc>
        <w:tc>
          <w:tcPr>
            <w:tcW w:w="919" w:type="pct"/>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项目支出</w:t>
            </w:r>
          </w:p>
        </w:tc>
      </w:tr>
      <w:tr>
        <w:trPr>
          <w:trHeight w:val="312"/>
        </w:trPr>
        <w:tc>
          <w:tcPr>
            <w:tcW w:w="1587" w:type="pct"/>
            <w:vMerge/>
            <w:tcBorders>
              <w:top w:val="single" w:sz="4" w:space="0" w:color="auto"/>
              <w:left w:val="single" w:sz="4" w:space="0" w:color="auto"/>
              <w:bottom w:val="single" w:sz="4" w:space="0" w:color="auto"/>
              <w:right w:val="single" w:sz="4" w:space="0" w:color="000000"/>
            </w:tcBorders>
            <w:noWrap/>
            <w:vAlign w:val="center"/>
          </w:tcPr>
          <w:p/>
        </w:tc>
        <w:tc>
          <w:tcPr>
            <w:tcW w:w="1074" w:type="pct"/>
            <w:gridSpan w:val="2"/>
            <w:vMerge/>
            <w:tcBorders>
              <w:top w:val="single" w:sz="4" w:space="0" w:color="auto"/>
              <w:left w:val="nil"/>
              <w:bottom w:val="single" w:sz="4" w:space="0" w:color="auto"/>
              <w:right w:val="single" w:sz="4" w:space="0" w:color="auto"/>
            </w:tcBorders>
            <w:noWrap/>
            <w:vAlign w:val="center"/>
          </w:tcPr>
          <w:p/>
        </w:tc>
        <w:tc>
          <w:tcPr>
            <w:tcW w:w="709" w:type="pct"/>
            <w:gridSpan w:val="2"/>
            <w:vMerge/>
            <w:tcBorders>
              <w:left w:val="single" w:sz="4" w:space="0" w:color="auto"/>
              <w:bottom w:val="single" w:sz="4" w:space="0" w:color="000000"/>
              <w:right w:val="single" w:sz="4" w:space="0" w:color="000000"/>
            </w:tcBorders>
            <w:noWrap/>
            <w:vAlign w:val="center"/>
          </w:tcPr>
          <w:p/>
        </w:tc>
        <w:tc>
          <w:tcPr>
            <w:tcW w:w="709" w:type="pct"/>
            <w:gridSpan w:val="3"/>
            <w:vMerge/>
            <w:tcBorders>
              <w:left w:val="nil"/>
              <w:bottom w:val="single" w:sz="4" w:space="0" w:color="000000"/>
              <w:right w:val="single" w:sz="4" w:space="0" w:color="000000"/>
            </w:tcBorders>
            <w:noWrap/>
            <w:vAlign w:val="center"/>
          </w:tcPr>
          <w:p/>
        </w:tc>
        <w:tc>
          <w:tcPr>
            <w:tcW w:w="919" w:type="pct"/>
            <w:vMerge/>
            <w:tcBorders>
              <w:left w:val="nil"/>
              <w:bottom w:val="single" w:sz="4" w:space="0" w:color="000000"/>
              <w:right w:val="single" w:sz="4" w:space="0" w:color="000000"/>
            </w:tcBorders>
            <w:noWrap/>
            <w:vAlign w:val="center"/>
          </w:tcPr>
          <w:p/>
        </w:tc>
      </w:tr>
      <w:tr>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栏次</w:t>
            </w:r>
          </w:p>
        </w:tc>
        <w:tc>
          <w:tcPr>
            <w:tcW w:w="706"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1</w:t>
            </w:r>
          </w:p>
        </w:tc>
        <w:tc>
          <w:tcPr>
            <w:tcW w:w="70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2</w:t>
            </w:r>
          </w:p>
        </w:tc>
        <w:tc>
          <w:tcPr>
            <w:tcW w:w="92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3</w:t>
            </w:r>
          </w:p>
        </w:tc>
      </w:tr>
      <w:tr>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06" w:type="pct"/>
            <w:gridSpan w:val="3"/>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注：本表反映单位本年度国有资本经营预算财政拨款支出情况。</w:t>
            </w:r>
            <w:r>
              <w:rPr>
                <w:rFonts w:ascii="方正仿宋_GB2312" w:eastAsia="方正仿宋_GB2312" w:cs="方正仿宋_GB2312" w:hint="eastAsia"/>
                <w:color w:val="000000"/>
                <w:sz w:val="20"/>
                <w:szCs w:val="20"/>
              </w:rPr>
              <w:t>本单位本年度无国有资本经营预算财政拨款支出情况，按要求空表列示。</w:t>
            </w:r>
          </w:p>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tblpPr w:leftFromText="180" w:rightFromText="180" w:vertAnchor="text" w:horzAnchor="page" w:tblpX="282" w:tblpY="39"/>
        <w:tblOverlap w:val="never"/>
        <w:tblW w:w="721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trPr>
          <w:trHeight w:val="550"/>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财政拨款“三公”经费支出决算表</w:t>
            </w:r>
          </w:p>
        </w:tc>
      </w:tr>
      <w:tr>
        <w:trPr>
          <w:trHeight w:val="260"/>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09</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260"/>
        </w:trPr>
        <w:tc>
          <w:tcPr>
            <w:tcW w:w="1936" w:type="pct"/>
            <w:gridSpan w:val="5"/>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单位（单位）：行唐县投资促进服务中心</w:t>
            </w:r>
          </w:p>
        </w:tc>
        <w:tc>
          <w:tcPr>
            <w:tcW w:w="93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18"/>
                <w:szCs w:val="18"/>
                <w:u w:val="none"/>
                <w:lang w:val="en-US" w:eastAsia="zh-CN"/>
                <w:highlight w:val="auto"/>
              </w:rPr>
            </w:pPr>
            <w:r>
              <w:rPr>
                <w:rFonts w:ascii="Times New Roman" w:eastAsia="宋体" w:cs="Times New Roman" w:hAnsi="Times New Roman"/>
                <w:i w:val="0"/>
                <w:iCs w:val="0"/>
                <w:color w:val="000000"/>
                <w:kern w:val="0"/>
                <w:sz w:val="18"/>
                <w:szCs w:val="18"/>
                <w:u w:val="none"/>
                <w:lang w:val="en-US" w:eastAsia="zh-CN"/>
                <w:highlight w:val="auto"/>
              </w:rPr>
              <w:t>202</w:t>
            </w:r>
            <w:r>
              <w:rPr>
                <w:rFonts w:ascii="Times New Roman" w:eastAsia="宋体" w:cs="Times New Roman" w:hAnsi="Times New Roman" w:hint="eastAsia"/>
                <w:i w:val="0"/>
                <w:iCs w:val="0"/>
                <w:color w:val="000000"/>
                <w:kern w:val="0"/>
                <w:sz w:val="18"/>
                <w:szCs w:val="18"/>
                <w:u w:val="none"/>
                <w:lang w:val="en-US" w:eastAsia="zh-CN"/>
                <w:highlight w:val="auto"/>
              </w:rPr>
              <w:t>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2129" w:type="pct"/>
            <w:gridSpan w:val="6"/>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预算数</w:t>
            </w:r>
          </w:p>
        </w:tc>
        <w:tc>
          <w:tcPr>
            <w:tcW w:w="2493" w:type="pct"/>
            <w:gridSpan w:val="7"/>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决算数</w:t>
            </w:r>
          </w:p>
        </w:tc>
      </w:tr>
      <w:tr>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217" w:type="pct"/>
            <w:gridSpan w:val="4"/>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366"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48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12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r>
      <w:tr>
        <w:trPr>
          <w:trHeight w:val="431"/>
        </w:trPr>
        <w:tc>
          <w:tcPr>
            <w:tcW w:w="425" w:type="pct"/>
            <w:vMerge/>
            <w:tcBorders>
              <w:top w:val="nil"/>
              <w:left w:val="single" w:sz="4" w:space="0" w:color="000000"/>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335" w:type="pct"/>
            <w:vMerge/>
            <w:tcBorders>
              <w:top w:val="nil"/>
              <w:left w:val="nil"/>
              <w:bottom w:val="single" w:sz="4" w:space="0" w:color="000000"/>
              <w:right w:val="single" w:sz="4" w:space="0" w:color="000000"/>
            </w:tcBorders>
            <w:noWrap/>
            <w:vAlign w:val="center"/>
          </w:tcPr>
          <w:p/>
        </w:tc>
        <w:tc>
          <w:tcPr>
            <w:tcW w:w="366" w:type="pct"/>
            <w:gridSpan w:val="2"/>
            <w:vMerge/>
            <w:tcBorders>
              <w:top w:val="nil"/>
              <w:left w:val="nil"/>
              <w:bottom w:val="single" w:sz="4" w:space="0" w:color="000000"/>
              <w:right w:val="single" w:sz="4" w:space="0" w:color="000000"/>
            </w:tcBorders>
            <w:noWrap/>
            <w:vAlign w:val="center"/>
          </w:tcPr>
          <w:p/>
        </w:tc>
        <w:tc>
          <w:tcPr>
            <w:tcW w:w="488" w:type="pct"/>
            <w:vMerge/>
            <w:tcBorders>
              <w:top w:val="nil"/>
              <w:left w:val="nil"/>
              <w:bottom w:val="single" w:sz="4" w:space="0" w:color="000000"/>
              <w:right w:val="single" w:sz="4" w:space="0" w:color="000000"/>
            </w:tcBorders>
            <w:noWrap/>
            <w:vAlign w:val="center"/>
          </w:tcP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511" w:type="pct"/>
            <w:vMerge/>
            <w:tcBorders>
              <w:top w:val="nil"/>
              <w:left w:val="nil"/>
              <w:bottom w:val="single" w:sz="4" w:space="0" w:color="000000"/>
              <w:right w:val="single" w:sz="4" w:space="0" w:color="000000"/>
            </w:tcBorders>
            <w:noWrap/>
            <w:vAlign w:val="center"/>
          </w:tcP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2</w:t>
            </w: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3</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4</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5</w:t>
            </w:r>
          </w:p>
        </w:tc>
        <w:tc>
          <w:tcPr>
            <w:tcW w:w="33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6</w:t>
            </w:r>
          </w:p>
        </w:tc>
        <w:tc>
          <w:tcPr>
            <w:tcW w:w="36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7</w:t>
            </w:r>
          </w:p>
        </w:tc>
        <w:tc>
          <w:tcPr>
            <w:tcW w:w="48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8</w:t>
            </w: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9</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10</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11</w:t>
            </w:r>
          </w:p>
        </w:tc>
        <w:tc>
          <w:tcPr>
            <w:tcW w:w="51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12</w:t>
            </w: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0.03</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50"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58"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3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0.03</w:t>
            </w:r>
          </w:p>
        </w:tc>
        <w:tc>
          <w:tcPr>
            <w:tcW w:w="366"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8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27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42"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511"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r>
      <w:tr>
        <w:trPr>
          <w:trHeight w:val="431"/>
        </w:trPr>
        <w:tc>
          <w:tcPr>
            <w:tcW w:w="5000" w:type="pct"/>
            <w:gridSpan w:val="14"/>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注：本表反映单位本年度财政拨款“三公”经费支出预决算情况。其中：预算数为“三公”经费全年预算数，反映按规定程序调整后的预算数；决算数是包括当年财政拨款和以前年度结转资金安排的实际支出。</w:t>
            </w:r>
            <w:r>
              <w:rPr>
                <w:rFonts w:ascii="方正仿宋_GB2312" w:eastAsia="方正仿宋_GB2312" w:cs="方正仿宋_GB2312" w:hAnsi="方正仿宋_GB2312" w:hint="eastAsia"/>
                <w:color w:val="000000"/>
                <w:sz w:val="20"/>
                <w:szCs w:val="20"/>
              </w:rPr>
              <w:t>本单位本年度无</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财政拨款“三公”经费支出</w:t>
            </w:r>
            <w:r>
              <w:rPr>
                <w:rFonts w:ascii="方正仿宋_GB2312" w:eastAsia="方正仿宋_GB2312" w:cs="方正仿宋_GB2312" w:hAnsi="方正仿宋_GB2312" w:hint="eastAsia"/>
                <w:color w:val="000000"/>
                <w:sz w:val="20"/>
                <w:szCs w:val="20"/>
              </w:rPr>
              <w:t>情况，按要求以空表列式。</w:t>
            </w:r>
          </w:p>
          <w:p>
            <w:pPr>
              <w:keepNext w:val="0"/>
              <w:keepLines w:val="0"/>
              <w:widowControl/>
              <w:suppressLineNumbers w:val="0"/>
              <w:jc w:val="left"/>
              <w:textAlignment w:val="center"/>
              <w:rPr>
                <w:rFonts w:ascii="宋体" w:eastAsia="宋体" w:cs="宋体" w:hAnsi="宋体" w:hint="eastAsia"/>
                <w:i w:val="0"/>
                <w:iCs w:val="0"/>
                <w:color w:val="000000"/>
                <w:sz w:val="18"/>
                <w:szCs w:val="18"/>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sectPr>
          <w:headerReference w:type="default" r:id="rId9"/>
          <w:footerReference w:type="default" r:id="rId10"/>
          <w:pgSz w:w="11906" w:h="16838"/>
          <w:pgMar w:top="1531" w:right="1984" w:bottom="1531" w:left="2098" w:header="851" w:footer="992" w:gutter="0"/>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第三部分</w:t>
      </w:r>
      <w:r>
        <w:rPr>
          <w:rFonts w:ascii="Times New Roman" w:eastAsia="仿宋_GB2312" w:hAnsi="Times New Roman"/>
          <w:b w:val="0"/>
          <w:sz w:val="44"/>
          <w:szCs w:val="44"/>
        </w:rPr>
        <w:t>2024</w:t>
      </w:r>
      <w:r>
        <w:rPr>
          <w:rFonts w:ascii="Times New Roman" w:eastAsia="黑体" w:hAnsi="Times New Roman"/>
          <w:b w:val="0"/>
          <w:sz w:val="44"/>
          <w:szCs w:val="44"/>
        </w:rPr>
        <w:t>年度</w:t>
      </w:r>
      <w:r>
        <w:rPr>
          <w:rFonts w:ascii="Times New Roman" w:eastAsia="黑体" w:hAnsi="Times New Roman" w:hint="eastAsia"/>
          <w:b w:val="0"/>
          <w:sz w:val="44"/>
          <w:szCs w:val="44"/>
          <w:lang w:eastAsia="zh-CN"/>
        </w:rPr>
        <w:t>单位</w:t>
      </w:r>
      <w:r>
        <w:rPr>
          <w:rFonts w:ascii="Times New Roman" w:eastAsia="黑体" w:hAnsi="Times New Roman"/>
          <w:b w:val="0"/>
          <w:sz w:val="44"/>
          <w:szCs w:val="44"/>
        </w:rPr>
        <w:t>决算情况说明</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本单位2024年度收、支总计（含结转和结余）均为192.66万元。与2023年度决算相比，收支各减少135.82万元，下降41.3%，主要原因是科学与技术支出减少。</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Arial" w:cs="Times New Roman" w:hAnsi="Times New Roman"/>
          <w:highlight w:val="auto"/>
        </w:rPr>
      </w:pPr>
      <w:r>
        <w:rPr>
          <w:rFonts w:ascii="Times New Roman" w:eastAsia="宋体" w:hAnsi="Times New Roman" w:hint="eastAsia"/>
        </w:rPr>
        <w:drawing>
          <wp:inline distT="0" distB="0" distL="114300" distR="114300">
            <wp:extent cx="5256530" cy="2988310"/>
            <wp:effectExtent l="0" t="0" r="0" b="0"/>
            <wp:docPr id="7" name="图表 5"/>
            <wp:cNvGraphicFramePr>
              <a:graphicFrameLocks noChangeAspect="0"/>
            </wp:cNvGraphicFramePr>
            <a:graphic>
              <a:graphicData uri="http://schemas.openxmlformats.org/drawingml/2006/chart">
                <c:chart xmlns:c="http://schemas.openxmlformats.org/drawingml/2006/chart" r:id="rId12"/>
              </a:graphicData>
            </a:graphic>
          </wp:inline>
        </w:drawing>
      </w:r>
      <w:r>
        <w:rPr>
          <w:rFonts w:ascii="Times New Roman" w:eastAsia="Arial" w:cs="Times New Roman" w:hAnsi="Times New Roman"/>
          <w:i w:val="0"/>
          <w:iCs w:val="0"/>
          <w:caps w:val="0"/>
          <w:smallCaps w:val="0"/>
          <w:color w:val="000000"/>
          <w:spacing w:val="0"/>
          <w:sz w:val="18"/>
          <w:szCs w:val="18"/>
          <w:shd w:val="clear" w:color="auto" w:fill="FFFFFF"/>
          <w:highlight w:val="auto"/>
        </w:rPr>
        <w:t> </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本单位2024年度本年收入合计192.66万元，其中：财政拨款收入192.66万元，占100.0%；上级补助收入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万元，占0%；事业收入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万元，占0%；经营收入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万元，占0%；附属单位上缴收入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万元，占0%；其他收入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w:t>
      </w:r>
    </w:p>
    <w:p>
      <w:pPr>
        <w:adjustRightInd w:val="0"/>
        <w:snapToGrid w:val="0"/>
        <w:spacing w:line="580" w:lineRule="exact"/>
        <w:jc w:val="both"/>
        <w:rPr>
          <w:rFonts w:ascii="Times New Roman" w:eastAsia="仿宋_GB2312" w:cs="Times New Roman" w:hAnsi="Times New Roman"/>
          <w:kern w:val="2"/>
          <w:sz w:val="32"/>
          <w:szCs w:val="32"/>
          <w:lang w:val="zh-CN"/>
          <w:highlight w:val="yellow"/>
        </w:rPr>
      </w:pPr>
      <w:r>
        <w:rPr>
          <w:rFonts w:ascii="Times New Roman" w:eastAsia="仿宋_GB2312" w:hAnsi="Times New Roman"/>
          <w:kern w:val="2"/>
          <w:sz w:val="32"/>
          <w:szCs w:val="32"/>
          <w:lang w:val="zh-CN"/>
          <w:highlight w:val="yellow"/>
        </w:rPr>
        <w:drawing>
          <wp:anchor distT="0" distB="0" distL="114300" distR="114300" simplePos="0" relativeHeight="39" behindDoc="0" locked="0" layoutInCell="1" hidden="0" allowOverlap="1">
            <wp:simplePos x="0" y="0"/>
            <wp:positionH relativeFrom="column">
              <wp:posOffset>-16510</wp:posOffset>
            </wp:positionH>
            <wp:positionV relativeFrom="paragraph">
              <wp:posOffset>201930</wp:posOffset>
            </wp:positionV>
            <wp:extent cx="5256530" cy="2988310"/>
            <wp:effectExtent l="0" t="0" r="0" b="0"/>
            <wp:wrapTopAndBottom/>
            <wp:docPr id="8" name="图表 9"/>
            <wp:cNvGraphicFramePr>
              <a:graphicFrameLocks noChangeAspect="0"/>
            </wp:cNvGraphicFramePr>
            <a:graphic>
              <a:graphicData uri="http://schemas.openxmlformats.org/drawingml/2006/chart">
                <c:chart xmlns:c="http://schemas.openxmlformats.org/drawingml/2006/chart" r:id="rId13"/>
              </a:graphicData>
            </a:graphic>
          </wp:anchor>
        </w:drawing>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本单位2024年度本年支出合计192.66万元，其中：基本支出75.35万元，占39.1%；项目支出117.32万元，占60.9%；上缴上级支出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万元，占0.0%；经营支出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万元，占0.0%；对附属单位补助支出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万元，占0.0%。</w:t>
      </w:r>
    </w:p>
    <w:p>
      <w:pPr>
        <w:autoSpaceDE w:val="0"/>
        <w:autoSpaceDN w:val="0"/>
        <w:adjustRightInd w:val="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cs="Times New Roman" w:hAnsi="Times New Roman"/>
          <w:sz w:val="32"/>
          <w:szCs w:val="32"/>
          <w:highlight w:val="auto"/>
        </w:rPr>
        <w:drawing>
          <wp:inline distT="0" distB="0" distL="114300" distR="114300">
            <wp:extent cx="5256530" cy="2988310"/>
            <wp:effectExtent l="0" t="0" r="0" b="0"/>
            <wp:docPr id="9" name="图表 7"/>
            <wp:cNvGraphicFramePr>
              <a:graphicFrameLocks noChangeAspect="0"/>
            </wp:cNvGraphicFramePr>
            <a:graphic>
              <a:graphicData uri="http://schemas.openxmlformats.org/drawingml/2006/chart">
                <c:chart xmlns:c="http://schemas.openxmlformats.org/drawingml/2006/chart" r:id="rId14"/>
              </a:graphicData>
            </a:graphic>
          </wp:inline>
        </w:drawing>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（一）财政拨款收支与</w:t>
      </w:r>
      <w:r>
        <w:rPr>
          <w:rFonts w:ascii="Times New Roman" w:eastAsia="仿宋_GB2312" w:hAnsi="Times New Roman"/>
          <w:b/>
          <w:sz w:val="32"/>
          <w:szCs w:val="32"/>
        </w:rPr>
        <w:t>2023</w:t>
      </w:r>
      <w:r>
        <w:rPr>
          <w:rFonts w:ascii="Times New Roman" w:eastAsia="楷体_GB2312" w:hAnsi="Times New Roman"/>
          <w:b/>
          <w:sz w:val="32"/>
          <w:szCs w:val="32"/>
        </w:rPr>
        <w:t>年度决算对比情况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本单位2024年度财政拨款收、支总计（含结转和结余）均为192.66万元。与2023年度相比，财政拨款收支各减少135.82万元，降低41.3%，主要原因是科学与技术支出减少。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192.66万元,比上年减少135.82万元，降低41.3%，主要原因是科学与技术支出减少；本年支出192.66万元，比上年减少135.82万元，降低41.3%，主要原因是科学与技术支出减少。具体情况如下：</w:t>
      </w:r>
    </w:p>
    <w:p>
      <w:pPr>
        <w:widowControl/>
        <w:spacing w:before="0" w:beforeAutospacing="0" w:after="0" w:afterAutospacing="0" w:line="360" w:lineRule="auto"/>
        <w:ind w:firstLineChars="200" w:firstLine="640"/>
        <w:jc w:val="left"/>
        <w:outlineLvl w:val="1"/>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一般公共预算财政拨款本年收入192.66万元,比上年减少135.82万元，降低41.3%，主要原因是科学与技术支出减少；本年</w:t>
      </w:r>
      <w:r>
        <w:rPr>
          <w:rFonts w:ascii="Times New Roman" w:eastAsia="仿宋_GB2312" w:hAnsi="Times New Roman" w:hint="eastAsia"/>
          <w:b w:val="0"/>
          <w:sz w:val="32"/>
          <w:szCs w:val="32"/>
          <w:lang w:val="en-US" w:eastAsia="zh-CN"/>
        </w:rPr>
        <w:t>度</w:t>
      </w:r>
      <w:r>
        <w:rPr>
          <w:rFonts w:ascii="Times New Roman" w:eastAsia="仿宋_GB2312" w:hAnsi="Times New Roman"/>
          <w:b w:val="0"/>
          <w:sz w:val="32"/>
          <w:szCs w:val="32"/>
        </w:rPr>
        <w:t>支出192.66万元，比上年减少135.82万元，降低41.3%，主要原因是科学与技术支出减少。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万元，与上年持平；本年支出0万元，与上年持平。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万元，与上年持平；本年支出0万元，比上年增加0万元，与上年持平。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sz w:val="32"/>
          <w:szCs w:val="32"/>
          <w:lang w:val="en-US" w:eastAsia="zh-CN"/>
          <w:highlight w:val="auto"/>
        </w:rPr>
      </w:pPr>
      <w:r>
        <w:rPr>
          <w:rFonts w:ascii="Times New Roman" w:eastAsia="仿宋_GB2312" w:hAnsi="Times New Roman"/>
          <w:sz w:val="32"/>
          <w:szCs w:val="32"/>
        </w:rPr>
        <w:drawing>
          <wp:inline distT="0" distB="0" distL="114300" distR="114300">
            <wp:extent cx="5256530" cy="2988310"/>
            <wp:effectExtent l="0" t="0" r="0" b="0"/>
            <wp:docPr id="10" name="图表 3"/>
            <wp:cNvGraphicFramePr>
              <a:graphicFrameLocks noChangeAspect="0"/>
            </wp:cNvGraphicFramePr>
            <a:graphic>
              <a:graphicData uri="http://schemas.openxmlformats.org/drawingml/2006/chart">
                <c:chart xmlns:c="http://schemas.openxmlformats.org/drawingml/2006/chart" r:id="rId15"/>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（二）财政拨款收支与年初预算数对比情况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192.66万元，完成年初预算的110.6%，比年初预算增加18.44万元，决算数大于预算数主要原因是一般公共服务支出增加了；本年支出192.66万元，完成年初预算的110.6%，比年初预算增加18.44万元，决算数大于预算数主要原因是一般公共服务支出增加了。具体情况如下：</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完成年初预算的110.6%，比年初预算增加18.44万元，主要原因是一般公共服务支出增加了；支出完成年初预算的110.6%，比年初预算增加18.44万元，主要原因是一般公共服务支出增加了。</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政府性基金预算财政拨款本年收入完成年初预算的0%，比年初预算增加0万元，与年初预算持平；支出完成年初预算的0%，比年初预算增加0万元，与年初预算持平。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国有资本经营预算财政拨款本年收入完成年初预算的0%，比年初预算增加0万元，与年初预算持平；支出完成年初预算的0%，比年初预算增加0万元，与年初预算持平。</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rPr>
          <w:rFonts w:ascii="Times New Roman" w:eastAsia="Arial" w:cs="Times New Roman" w:hAnsi="Times New Roman"/>
          <w:highlight w:val="auto"/>
        </w:rPr>
      </w:pP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hAnsi="Times New Roman"/>
          <w:sz w:val="32"/>
          <w:szCs w:val="32"/>
          <w:highlight w:val="auto"/>
        </w:rPr>
        <w:drawing>
          <wp:inline distT="0" distB="0" distL="114300" distR="114300">
            <wp:extent cx="5256530" cy="2988310"/>
            <wp:effectExtent l="0" t="0" r="0" b="0"/>
            <wp:docPr id="11" name="图表 11"/>
            <wp:cNvGraphicFramePr>
              <a:graphicFrameLocks noChangeAspect="0"/>
            </wp:cNvGraphicFramePr>
            <a:graphic>
              <a:graphicData uri="http://schemas.openxmlformats.org/drawingml/2006/chart">
                <c:chart xmlns:c="http://schemas.openxmlformats.org/drawingml/2006/chart" r:id="rId16"/>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（三）财政拨款支出决算结构情况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2024年度财政拨款支出192.66万元，主要用于以下方面：</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一般公共预算财政拨款支出：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一般公共服务（类）支出174.02万元，占90.3%，主要用于招商引资聘用人员经费等支出；社会保障和就业 （类）支出8.26万元，占4.3%，主要用于机关事业单位基本养老保险等支出；卫生健康（类）支出4.15万元，占2.2%，主要用于事业单位医疗等支出；住房保障（类）支出6.23万元，占3.2%，主要用于住房公积金等支出；相关等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政府性基金预算财政拨款支出：</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lang w:eastAsia="zh-CN"/>
        </w:rPr>
      </w:pPr>
      <w:r>
        <w:rPr>
          <w:rFonts w:ascii="Times New Roman" w:eastAsia="仿宋_GB2312" w:hAnsi="Times New Roman" w:hint="eastAsia"/>
          <w:b w:val="0"/>
          <w:sz w:val="32"/>
          <w:szCs w:val="32"/>
          <w:lang w:val="en-US" w:eastAsia="zh-CN"/>
        </w:rPr>
        <w:t>无</w:t>
      </w:r>
      <w:r>
        <w:rPr>
          <w:rFonts w:ascii="Times New Roman" w:eastAsia="仿宋_GB2312" w:hAnsi="Times New Roman"/>
          <w:b w:val="0"/>
          <w:sz w:val="32"/>
          <w:szCs w:val="32"/>
        </w:rPr>
        <w:t>支出</w:t>
      </w:r>
      <w:r>
        <w:rPr>
          <w:rFonts w:ascii="Times New Roman" w:eastAsia="仿宋_GB2312" w:hAnsi="Times New Roman" w:hint="eastAsia"/>
          <w:b w:val="0"/>
          <w:sz w:val="32"/>
          <w:szCs w:val="32"/>
          <w:lang w:eastAsia="zh-CN"/>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国有资本经营预算财政拨款支出：</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lang w:eastAsia="zh-CN"/>
        </w:rPr>
      </w:pPr>
      <w:r>
        <w:rPr>
          <w:rFonts w:ascii="Times New Roman" w:eastAsia="仿宋_GB2312" w:hAnsi="Times New Roman" w:hint="eastAsia"/>
          <w:b w:val="0"/>
          <w:sz w:val="32"/>
          <w:szCs w:val="32"/>
          <w:lang w:val="en-US" w:eastAsia="zh-CN"/>
        </w:rPr>
        <w:t>无</w:t>
      </w:r>
      <w:r>
        <w:rPr>
          <w:rFonts w:ascii="Times New Roman" w:eastAsia="仿宋_GB2312" w:hAnsi="Times New Roman"/>
          <w:b w:val="0"/>
          <w:sz w:val="32"/>
          <w:szCs w:val="32"/>
        </w:rPr>
        <w:t>支出</w:t>
      </w:r>
      <w:r>
        <w:rPr>
          <w:rFonts w:ascii="Times New Roman" w:eastAsia="仿宋_GB2312" w:hAnsi="Times New Roman" w:hint="eastAsia"/>
          <w:b w:val="0"/>
          <w:sz w:val="32"/>
          <w:szCs w:val="32"/>
          <w:lang w:eastAsia="zh-CN"/>
        </w:rPr>
        <w:t>。</w:t>
      </w: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ind w:left="0" w:right="0"/>
        <w:jc w:val="left"/>
        <w:textAlignment w:val="auto"/>
        <w:rPr>
          <w:rFonts w:ascii="Times New Roman" w:eastAsia="仿宋_GB2312" w:cs="Times New Roman" w:hAnsi="Times New Roman"/>
          <w:color w:val="auto"/>
          <w:kern w:val="2"/>
          <w:sz w:val="32"/>
          <w:szCs w:val="32"/>
          <w:lang w:val="zh-CN" w:eastAsia="zh-CN" w:bidi="ar-SA"/>
        </w:rPr>
      </w:pPr>
      <w:r>
        <w:rPr>
          <w:rFonts w:ascii="Times New Roman" w:eastAsia="仿宋_GB2312" w:hAnsi="Times New Roman"/>
          <w:kern w:val="2"/>
          <w:sz w:val="32"/>
          <w:szCs w:val="32"/>
          <w:lang w:val="zh-CN"/>
        </w:rPr>
        <w:drawing>
          <wp:inline distT="0" distB="0" distL="114300" distR="114300">
            <wp:extent cx="5859145" cy="2988310"/>
            <wp:effectExtent l="0" t="0" r="0" b="0"/>
            <wp:docPr id="12" name="图表 13"/>
            <wp:cNvGraphicFramePr>
              <a:graphicFrameLocks noChangeAspect="0"/>
            </wp:cNvGraphicFramePr>
            <a:graphic>
              <a:graphicData uri="http://schemas.openxmlformats.org/drawingml/2006/chart">
                <c:chart xmlns:c="http://schemas.openxmlformats.org/drawingml/2006/chart" r:id="rId17"/>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（四）一般公共预算基本支出决算情况说明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2024年度财政拨款基本支出75.35万元，其中：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人员经费72.38万元，主要包括基本工资、津贴补贴、奖金、伙食补助费、绩效工资、机关事业</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公用经费2.97万元，主要包括办公费、印刷费、咨询费、手续费、水费、电费、邮电费、取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五、财政拨款“三公” 经费支出决算情况说明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（一）“三公”经费财政拨款支出决算总体情况说明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本单位2024年度“三公”经费财政拨款支出预算为0万元，支出决算为0万元，决算与预算持平；较2023年度决算增加0万元，与2023年度决算持平。</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（二）“三公”经费财政拨款支出决算具体情况说明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1.因公出国（境）费支出情况。</w:t>
      </w:r>
      <w:r>
        <w:rPr>
          <w:rFonts w:ascii="Times New Roman" w:eastAsia="仿宋_GB2312" w:hAnsi="Times New Roman"/>
          <w:b w:val="0"/>
          <w:sz w:val="32"/>
          <w:szCs w:val="32"/>
        </w:rPr>
        <w:t>本单位2024年度因公出国（境）费支出预算为0万元,支出决算0万元。完成预算的0%。因公出国（境）费支出与预算持平；较上年增加0万元，增长0%,与上年持平。因公出国（境）团组0个、共0人，无本单位组织的出国（境）团组。</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2.公务用车购置及运行维护费支出情况。</w:t>
      </w:r>
      <w:r>
        <w:rPr>
          <w:rFonts w:ascii="Times New Roman" w:eastAsia="仿宋_GB2312" w:hAnsi="Times New Roman"/>
          <w:b w:val="0"/>
          <w:sz w:val="32"/>
          <w:szCs w:val="32"/>
        </w:rPr>
        <w:t>本单位2024年度公务用车购置及运行维护费预算为0万元，支出决算0万元，与预算持平；较上年增加0万元，与上年持平。其中：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公务用车购置费支出0万元：</w:t>
      </w:r>
      <w:r>
        <w:rPr>
          <w:rFonts w:ascii="Times New Roman" w:eastAsia="仿宋_GB2312" w:hAnsi="Times New Roman"/>
          <w:b w:val="0"/>
          <w:sz w:val="32"/>
          <w:szCs w:val="32"/>
        </w:rPr>
        <w:t>本单位2024年度公务用车购置量0辆，发生“公务用车购置”经费支出0 万元。公务用车购置费支出较预算增加0万元，与预算持平；较上年增加0万元，与上年持平。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公务用车运行维护费支出0万元：</w:t>
      </w:r>
      <w:r>
        <w:rPr>
          <w:rFonts w:ascii="Times New Roman" w:eastAsia="仿宋_GB2312" w:hAnsi="Times New Roman"/>
          <w:b w:val="0"/>
          <w:sz w:val="32"/>
          <w:szCs w:val="32"/>
        </w:rPr>
        <w:t>本单位2024年度单位公务用车保有量0辆，发生运行维护费支出0万元。公车运行维护费支出较预算增加0万元，与预算持平；较上年增加0万元，与上年持平。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3.公务接待费支出情况。</w:t>
      </w:r>
      <w:r>
        <w:rPr>
          <w:rFonts w:ascii="Times New Roman" w:eastAsia="仿宋_GB2312" w:hAnsi="Times New Roman"/>
          <w:b w:val="0"/>
          <w:sz w:val="32"/>
          <w:szCs w:val="32"/>
        </w:rPr>
        <w:t>本单位2024年度公务接待费支出预算为0万元，支出决算0万元，完成预算的0%。公务接待费支出较预算增加0万元，与预算持平；较上年度增加0万元，与上年持平。本年度共发生公务接待0批次、0人次。</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本单位2024年度机关运行经费支出0万元，较2023年度增加0万元，与上年持平。</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（一）绩效评价工作开展情况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根据预算绩效管理要求，本单位组织对2024年度本级预算项目支出全面开展绩效自评，共涉及资金</w:t>
      </w:r>
      <w:r>
        <w:rPr>
          <w:rFonts w:ascii="Times New Roman" w:eastAsia="仿宋_GB2312" w:hAnsi="Times New Roman" w:hint="eastAsia"/>
          <w:b w:val="0"/>
          <w:sz w:val="32"/>
          <w:szCs w:val="32"/>
          <w:lang w:val="en-US" w:eastAsia="zh-CN"/>
        </w:rPr>
        <w:t>117.32</w:t>
      </w:r>
      <w:r>
        <w:rPr>
          <w:rFonts w:ascii="Times New Roman" w:eastAsia="仿宋_GB2312" w:hAnsi="Times New Roman"/>
          <w:b w:val="0"/>
          <w:sz w:val="32"/>
          <w:szCs w:val="32"/>
        </w:rPr>
        <w:t>万元（决算金额）。其中，一般公共预算项目</w:t>
      </w:r>
      <w:r>
        <w:rPr>
          <w:rFonts w:ascii="Times New Roman" w:eastAsia="仿宋_GB2312" w:hAnsi="Times New Roman" w:hint="eastAsia"/>
          <w:b w:val="0"/>
          <w:sz w:val="32"/>
          <w:szCs w:val="32"/>
          <w:lang w:val="en-US" w:eastAsia="zh-CN"/>
        </w:rPr>
        <w:t>2</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117.32</w:t>
      </w:r>
      <w:r>
        <w:rPr>
          <w:rFonts w:ascii="Times New Roman" w:eastAsia="仿宋_GB2312" w:hAnsi="Times New Roman"/>
          <w:b w:val="0"/>
          <w:sz w:val="32"/>
          <w:szCs w:val="32"/>
        </w:rPr>
        <w:t>万元，占一般公共预算项目支出总额的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w:t>
      </w:r>
      <w:r>
        <w:rPr>
          <w:rFonts w:ascii="Times New Roman" w:eastAsia="仿宋_GB2312" w:hAnsi="Times New Roman" w:hint="eastAsia"/>
          <w:b/>
          <w:sz w:val="32"/>
          <w:szCs w:val="32"/>
          <w:lang w:val="en-US" w:eastAsia="zh-CN"/>
        </w:rPr>
        <w:t>单位</w:t>
      </w:r>
      <w:r>
        <w:rPr>
          <w:rFonts w:ascii="Times New Roman" w:eastAsia="仿宋_GB2312" w:hAnsi="Times New Roman"/>
          <w:b/>
          <w:sz w:val="32"/>
          <w:szCs w:val="32"/>
        </w:rPr>
        <w:t>决算中项目绩效自评结果</w:t>
      </w: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line="600" w:lineRule="exact"/>
        <w:ind w:left="0" w:right="0" w:firstLineChars="200" w:firstLine="640"/>
        <w:jc w:val="left"/>
        <w:textAlignment w:val="auto"/>
        <w:rPr>
          <w:rFonts w:ascii="Times New Roman" w:eastAsia="仿宋_GB2312" w:cs="Times New Roman" w:hAnsi="Times New Roman"/>
          <w:color w:val="auto"/>
          <w:kern w:val="2"/>
          <w:sz w:val="32"/>
          <w:szCs w:val="32"/>
          <w:lang w:val="zh-CN" w:eastAsia="zh-CN" w:bidi="ar-SA"/>
        </w:rPr>
      </w:pPr>
      <w:r>
        <w:rPr>
          <w:rFonts w:ascii="Times New Roman" w:eastAsia="仿宋_GB2312" w:cs="Times New Roman" w:hAnsi="Times New Roman"/>
          <w:color w:val="auto"/>
          <w:kern w:val="2"/>
          <w:sz w:val="32"/>
          <w:szCs w:val="32"/>
          <w:lang w:val="zh-CN" w:eastAsia="zh-CN" w:bidi="ar-SA"/>
        </w:rPr>
        <w:t>本</w:t>
      </w:r>
      <w:r>
        <w:rPr>
          <w:rFonts w:ascii="Times New Roman" w:eastAsia="仿宋_GB2312" w:cs="Times New Roman" w:hAnsi="Times New Roman" w:hint="eastAsia"/>
          <w:color w:val="auto"/>
          <w:kern w:val="2"/>
          <w:sz w:val="32"/>
          <w:szCs w:val="32"/>
          <w:lang w:val="en-US" w:eastAsia="zh-CN" w:bidi="ar-SA"/>
        </w:rPr>
        <w:t>单位</w:t>
      </w:r>
      <w:r>
        <w:rPr>
          <w:rFonts w:ascii="Times New Roman" w:eastAsia="仿宋_GB2312" w:cs="Times New Roman" w:hAnsi="Times New Roman"/>
          <w:color w:val="auto"/>
          <w:kern w:val="2"/>
          <w:sz w:val="32"/>
          <w:szCs w:val="32"/>
          <w:lang w:val="zh-CN" w:eastAsia="zh-CN" w:bidi="ar-SA"/>
        </w:rPr>
        <w:t>在今年</w:t>
      </w:r>
      <w:r>
        <w:rPr>
          <w:rFonts w:ascii="Times New Roman" w:eastAsia="仿宋_GB2312" w:cs="Times New Roman" w:hAnsi="Times New Roman" w:hint="eastAsia"/>
          <w:color w:val="auto"/>
          <w:kern w:val="2"/>
          <w:sz w:val="32"/>
          <w:szCs w:val="32"/>
          <w:lang w:val="zh-CN" w:eastAsia="zh-CN" w:bidi="ar-SA"/>
        </w:rPr>
        <w:t>单位</w:t>
      </w:r>
      <w:r>
        <w:rPr>
          <w:rFonts w:ascii="Times New Roman" w:eastAsia="仿宋_GB2312" w:cs="Times New Roman" w:hAnsi="Times New Roman"/>
          <w:color w:val="auto"/>
          <w:kern w:val="2"/>
          <w:sz w:val="32"/>
          <w:szCs w:val="32"/>
          <w:lang w:val="zh-CN" w:eastAsia="zh-CN" w:bidi="ar-SA"/>
        </w:rPr>
        <w:t>决算公开中反映招商引资聘用人员经费项目</w:t>
      </w:r>
      <w:r>
        <w:rPr>
          <w:rFonts w:ascii="Times New Roman" w:eastAsia="仿宋_GB2312" w:cs="Times New Roman" w:hAnsi="Times New Roman" w:hint="eastAsia"/>
          <w:color w:val="auto"/>
          <w:kern w:val="2"/>
          <w:sz w:val="32"/>
          <w:szCs w:val="32"/>
          <w:lang w:val="en-US" w:eastAsia="zh-CN" w:bidi="ar-SA"/>
        </w:rPr>
        <w:t>和</w:t>
      </w:r>
      <w:r>
        <w:rPr>
          <w:rFonts w:ascii="Times New Roman" w:eastAsia="仿宋_GB2312" w:cs="Times New Roman" w:hAnsi="Times New Roman"/>
          <w:color w:val="auto"/>
          <w:kern w:val="2"/>
          <w:sz w:val="32"/>
          <w:szCs w:val="32"/>
          <w:lang w:val="zh-CN" w:eastAsia="zh-CN" w:bidi="ar-SA"/>
        </w:rPr>
        <w:t>招商引资工作经费项目</w:t>
      </w:r>
      <w:r>
        <w:rPr>
          <w:rFonts w:ascii="Times New Roman" w:eastAsia="仿宋_GB2312" w:cs="Times New Roman" w:hAnsi="Times New Roman" w:hint="eastAsia"/>
          <w:color w:val="auto"/>
          <w:kern w:val="2"/>
          <w:sz w:val="32"/>
          <w:szCs w:val="32"/>
          <w:lang w:val="en-US" w:eastAsia="zh-CN" w:bidi="ar-SA"/>
        </w:rPr>
        <w:t>2</w:t>
      </w:r>
      <w:r>
        <w:rPr>
          <w:rFonts w:ascii="Times New Roman" w:eastAsia="仿宋_GB2312" w:cs="Times New Roman" w:hAnsi="Times New Roman"/>
          <w:color w:val="auto"/>
          <w:kern w:val="2"/>
          <w:sz w:val="32"/>
          <w:szCs w:val="32"/>
          <w:lang w:val="zh-CN" w:eastAsia="zh-CN" w:bidi="ar-SA"/>
        </w:rPr>
        <w:t>个项目绩效自评结果。</w:t>
      </w:r>
    </w:p>
    <w:p>
      <w:pPr>
        <w:widowControl/>
        <w:spacing w:before="0" w:after="0" w:line="600" w:lineRule="exact"/>
        <w:ind w:firstLineChars="200" w:firstLine="640"/>
        <w:jc w:val="left"/>
        <w:rPr>
          <w:rFonts w:ascii="Times New Roman" w:eastAsia="仿宋_GB2312" w:cs="宋体" w:hAnsi="Times New Roman" w:hint="eastAsia"/>
          <w:b w:val="0"/>
          <w:sz w:val="32"/>
          <w:szCs w:val="32"/>
        </w:rPr>
      </w:pPr>
      <w:r>
        <w:rPr>
          <w:rFonts w:ascii="Times New Roman" w:eastAsia="仿宋_GB2312" w:cs="宋体" w:hAnsi="Times New Roman" w:hint="eastAsia"/>
          <w:b w:val="0"/>
          <w:sz w:val="32"/>
          <w:szCs w:val="32"/>
        </w:rPr>
        <w:t>项目绩效自评情况：根据年初设定的绩效目标，</w:t>
      </w:r>
      <w:r>
        <w:rPr>
          <w:rFonts w:ascii="Times New Roman" w:eastAsia="仿宋_GB2312" w:cs="Times New Roman" w:hAnsi="Times New Roman"/>
          <w:color w:val="auto"/>
          <w:kern w:val="2"/>
          <w:sz w:val="32"/>
          <w:szCs w:val="32"/>
          <w:lang w:val="zh-CN" w:eastAsia="zh-CN" w:bidi="ar-SA"/>
        </w:rPr>
        <w:t>招商引资聘用人员经费</w:t>
      </w:r>
      <w:r>
        <w:rPr>
          <w:rFonts w:ascii="Times New Roman" w:eastAsia="仿宋_GB2312" w:cs="宋体" w:hAnsi="Times New Roman" w:hint="eastAsia"/>
          <w:b w:val="0"/>
          <w:sz w:val="32"/>
          <w:szCs w:val="32"/>
        </w:rPr>
        <w:t>项目绩效自评得分为100分（绩效自评表附后）。全年预算数为</w:t>
      </w:r>
      <w:r>
        <w:rPr>
          <w:rFonts w:ascii="Times New Roman" w:eastAsia="仿宋_GB2312" w:cs="宋体" w:hAnsi="Times New Roman" w:hint="eastAsia"/>
          <w:b w:val="0"/>
          <w:sz w:val="32"/>
          <w:szCs w:val="32"/>
          <w:lang w:val="en-US" w:eastAsia="zh-CN"/>
        </w:rPr>
        <w:t>92.42</w:t>
      </w:r>
      <w:r>
        <w:rPr>
          <w:rFonts w:ascii="Times New Roman" w:eastAsia="仿宋_GB2312" w:cs="宋体" w:hAnsi="Times New Roman" w:hint="eastAsia"/>
          <w:b w:val="0"/>
          <w:sz w:val="32"/>
          <w:szCs w:val="32"/>
        </w:rPr>
        <w:t>万元，执行数为</w:t>
      </w:r>
      <w:r>
        <w:rPr>
          <w:rFonts w:ascii="Times New Roman" w:eastAsia="仿宋_GB2312" w:cs="宋体" w:hAnsi="Times New Roman" w:hint="eastAsia"/>
          <w:b w:val="0"/>
          <w:sz w:val="32"/>
          <w:szCs w:val="32"/>
          <w:lang w:val="en-US" w:eastAsia="zh-CN"/>
        </w:rPr>
        <w:t>92.42</w:t>
      </w:r>
      <w:r>
        <w:rPr>
          <w:rFonts w:ascii="Times New Roman" w:eastAsia="仿宋_GB2312" w:cs="宋体" w:hAnsi="Times New Roman" w:hint="eastAsia"/>
          <w:b w:val="0"/>
          <w:sz w:val="32"/>
          <w:szCs w:val="32"/>
        </w:rPr>
        <w:t>万元，完成预算的100%。项目绩效目标完成情况：一是</w:t>
      </w:r>
      <w:r>
        <w:rPr>
          <w:rFonts w:ascii="Times New Roman" w:eastAsia="仿宋_GB2312" w:cs="宋体" w:hAnsi="Times New Roman" w:hint="eastAsia"/>
          <w:b w:val="0"/>
          <w:sz w:val="32"/>
          <w:szCs w:val="32"/>
          <w:lang w:eastAsia="zh-CN"/>
        </w:rPr>
        <w:t>保证</w:t>
      </w:r>
      <w:r>
        <w:rPr>
          <w:rFonts w:ascii="Times New Roman" w:eastAsia="仿宋_GB2312" w:cs="宋体" w:hAnsi="Times New Roman" w:hint="eastAsia"/>
          <w:b w:val="0"/>
          <w:sz w:val="32"/>
          <w:szCs w:val="32"/>
          <w:lang w:val="en-US" w:eastAsia="zh-CN"/>
        </w:rPr>
        <w:t>了</w:t>
      </w:r>
      <w:r>
        <w:rPr>
          <w:rFonts w:ascii="Times New Roman" w:eastAsia="仿宋_GB2312" w:cs="宋体" w:hAnsi="Times New Roman" w:hint="eastAsia"/>
          <w:b w:val="0"/>
          <w:sz w:val="32"/>
          <w:szCs w:val="32"/>
          <w:lang w:eastAsia="zh-CN"/>
        </w:rPr>
        <w:t>聘用人员工资按时发放</w:t>
      </w:r>
      <w:r>
        <w:rPr>
          <w:rFonts w:ascii="Times New Roman" w:eastAsia="仿宋_GB2312" w:cs="宋体" w:hAnsi="Times New Roman" w:hint="eastAsia"/>
          <w:b w:val="0"/>
          <w:sz w:val="32"/>
          <w:szCs w:val="32"/>
        </w:rPr>
        <w:t>；二是</w:t>
      </w:r>
      <w:r>
        <w:rPr>
          <w:rFonts w:ascii="Times New Roman" w:eastAsia="仿宋_GB2312" w:cs="宋体" w:hAnsi="Times New Roman" w:hint="eastAsia"/>
          <w:b w:val="0"/>
          <w:sz w:val="32"/>
          <w:szCs w:val="32"/>
          <w:lang w:val="en-US" w:eastAsia="zh-CN"/>
        </w:rPr>
        <w:t>完成年度招商任务</w:t>
      </w:r>
      <w:r>
        <w:rPr>
          <w:rFonts w:ascii="Times New Roman" w:eastAsia="仿宋_GB2312" w:cs="宋体" w:hAnsi="Times New Roman" w:hint="eastAsia"/>
          <w:b w:val="0"/>
          <w:sz w:val="32"/>
          <w:szCs w:val="32"/>
        </w:rPr>
        <w:t>。发现的主要问题及原因是：无问题。下一步改进措施：无。</w:t>
      </w:r>
    </w:p>
    <w:p>
      <w:pPr>
        <w:widowControl/>
        <w:spacing w:before="0" w:beforeAutospacing="0" w:after="0" w:afterAutospacing="0" w:line="360" w:lineRule="auto"/>
        <w:jc w:val="left"/>
        <w:rPr>
          <w:rFonts w:ascii="Times New Roman" w:eastAsia="仿宋_GB2312" w:hAnsi="Times New Roman"/>
          <w:b/>
          <w:sz w:val="32"/>
          <w:szCs w:val="32"/>
        </w:rPr>
      </w:pPr>
      <w:r>
        <w:drawing>
          <wp:inline distT="0" distB="0" distL="114300" distR="114300">
            <wp:extent cx="5755004" cy="5469255"/>
            <wp:effectExtent l="0" t="0" r="9" b="12"/>
            <wp:docPr id="13" name="图片 2"/>
            <wp:cNvGraphicFramePr>
              <a:graphicFrameLocks noChangeAspect="1"/>
            </wp:cNvGraphicFramePr>
            <a:graphic>
              <a:graphicData uri="http://schemas.openxmlformats.org/drawingml/2006/picture">
                <pic:pic>
                  <pic:nvPicPr>
                    <pic:cNvPr id="15" name="图片 2 15"/>
                    <pic:cNvPicPr/>
                  </pic:nvPicPr>
                  <pic:blipFill>
                    <a:blip r:embed="rId18"/>
                    <a:stretch>
                      <a:fillRect/>
                    </a:stretch>
                  </pic:blipFill>
                  <pic:spPr>
                    <a:xfrm rot="0">
                      <a:off x="0" y="0"/>
                      <a:ext cx="5755004" cy="5469255"/>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hint="eastAsia"/>
          <w:b w:val="0"/>
          <w:sz w:val="32"/>
          <w:szCs w:val="32"/>
        </w:rPr>
        <w:t>招商引资工作经费项目绩效自评得分为100分（绩效自评表附后）。全年预算数为</w:t>
      </w:r>
      <w:r>
        <w:rPr>
          <w:rFonts w:ascii="Times New Roman" w:eastAsia="仿宋_GB2312" w:hAnsi="Times New Roman" w:hint="eastAsia"/>
          <w:b w:val="0"/>
          <w:sz w:val="32"/>
          <w:szCs w:val="32"/>
          <w:lang w:val="en-US" w:eastAsia="zh-CN"/>
        </w:rPr>
        <w:t>24.9</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24.9</w:t>
      </w:r>
      <w:r>
        <w:rPr>
          <w:rFonts w:ascii="Times New Roman" w:eastAsia="仿宋_GB2312" w:hAnsi="Times New Roman" w:hint="eastAsia"/>
          <w:b w:val="0"/>
          <w:sz w:val="32"/>
          <w:szCs w:val="32"/>
        </w:rPr>
        <w:t>万元，完成预算的100%。项目绩效目标完成情况：一是</w:t>
      </w:r>
      <w:r>
        <w:rPr>
          <w:rFonts w:ascii="Times New Roman" w:eastAsia="仿宋_GB2312" w:hAnsi="Times New Roman" w:hint="eastAsia"/>
          <w:b w:val="0"/>
          <w:sz w:val="32"/>
          <w:szCs w:val="32"/>
          <w:lang w:val="en-US" w:eastAsia="zh-CN"/>
        </w:rPr>
        <w:t>顺利完成年度招商工作</w:t>
      </w:r>
      <w:r>
        <w:rPr>
          <w:rFonts w:ascii="Times New Roman" w:eastAsia="仿宋_GB2312" w:hAnsi="Times New Roman" w:hint="eastAsia"/>
          <w:b w:val="0"/>
          <w:sz w:val="32"/>
          <w:szCs w:val="32"/>
        </w:rPr>
        <w:t>；二是</w:t>
      </w:r>
      <w:r>
        <w:rPr>
          <w:rFonts w:ascii="Times New Roman" w:eastAsia="仿宋_GB2312" w:hAnsi="Times New Roman" w:hint="eastAsia"/>
          <w:b w:val="0"/>
          <w:sz w:val="32"/>
          <w:szCs w:val="32"/>
          <w:lang w:val="en-US" w:eastAsia="zh-CN"/>
        </w:rPr>
        <w:t>引进县外资金9亿元</w:t>
      </w:r>
      <w:r>
        <w:rPr>
          <w:rFonts w:ascii="Times New Roman" w:eastAsia="仿宋_GB2312" w:hAnsi="Times New Roman" w:hint="eastAsia"/>
          <w:b w:val="0"/>
          <w:sz w:val="32"/>
          <w:szCs w:val="32"/>
        </w:rPr>
        <w:t>。发现的主要问题及原因是：无问题。下一步改进措施：无。</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p>
    <w:p>
      <w:pPr>
        <w:widowControl/>
        <w:spacing w:before="0" w:beforeAutospacing="0" w:after="0" w:afterAutospacing="0" w:line="360" w:lineRule="auto"/>
        <w:ind w:firstLineChars="200" w:firstLine="480"/>
        <w:jc w:val="center"/>
        <w:rPr>
          <w:rFonts w:ascii="Times New Roman" w:eastAsia="仿宋_GB2312" w:hAnsi="Times New Roman"/>
          <w:b/>
          <w:sz w:val="32"/>
          <w:szCs w:val="32"/>
        </w:rPr>
      </w:pPr>
      <w:r>
        <w:drawing>
          <wp:inline distT="0" distB="0" distL="114300" distR="114300">
            <wp:extent cx="5755004" cy="5429176"/>
            <wp:effectExtent l="0" t="0" r="8" b="9"/>
            <wp:docPr id="16" name="图片 3"/>
            <wp:cNvGraphicFramePr>
              <a:graphicFrameLocks noChangeAspect="1"/>
            </wp:cNvGraphicFramePr>
            <a:graphic>
              <a:graphicData uri="http://schemas.openxmlformats.org/drawingml/2006/picture">
                <pic:pic>
                  <pic:nvPicPr>
                    <pic:cNvPr id="18" name="图片 3 18"/>
                    <pic:cNvPicPr/>
                  </pic:nvPicPr>
                  <pic:blipFill>
                    <a:blip r:embed="rId19"/>
                    <a:stretch>
                      <a:fillRect/>
                    </a:stretch>
                  </pic:blipFill>
                  <pic:spPr>
                    <a:xfrm rot="0">
                      <a:off x="0" y="0"/>
                      <a:ext cx="5755004" cy="5429176"/>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bookmarkStart w:id="0" w:name="_GoBack"/>
      <w:bookmarkEnd w:id="0"/>
      <w:r>
        <w:rPr>
          <w:rFonts w:ascii="Times New Roman" w:eastAsia="仿宋_GB2312" w:hAnsi="Times New Roman"/>
          <w:b/>
          <w:sz w:val="32"/>
          <w:szCs w:val="32"/>
        </w:rPr>
        <w:t>（三）</w:t>
      </w:r>
      <w:r>
        <w:rPr>
          <w:rFonts w:ascii="Times New Roman" w:eastAsia="仿宋_GB2312" w:hAnsi="Times New Roman" w:hint="eastAsia"/>
          <w:b/>
          <w:sz w:val="32"/>
          <w:szCs w:val="32"/>
          <w:lang w:val="en-US" w:eastAsia="zh-CN"/>
        </w:rPr>
        <w:t>单位</w:t>
      </w:r>
      <w:r>
        <w:rPr>
          <w:rFonts w:ascii="Times New Roman" w:eastAsia="仿宋_GB2312" w:hAnsi="Times New Roman"/>
          <w:b/>
          <w:sz w:val="32"/>
          <w:szCs w:val="32"/>
        </w:rPr>
        <w:t>评价项目绩效评价结果（如有）</w:t>
      </w: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ind w:left="0" w:right="0" w:firstLineChars="200" w:firstLine="640"/>
        <w:jc w:val="left"/>
        <w:textAlignment w:val="auto"/>
        <w:rPr>
          <w:rFonts w:ascii="Times New Roman" w:eastAsia="仿宋_GB2312" w:hAnsi="Times New Roman"/>
          <w:sz w:val="32"/>
          <w:szCs w:val="32"/>
        </w:rPr>
      </w:pPr>
      <w:r>
        <w:rPr>
          <w:rFonts w:ascii="Times New Roman" w:eastAsia="仿宋_GB2312" w:cs="Times New Roman" w:hAnsi="Times New Roman" w:hint="eastAsia"/>
          <w:color w:val="auto"/>
          <w:kern w:val="0"/>
          <w:sz w:val="32"/>
          <w:szCs w:val="32"/>
          <w:lang w:val="en-US" w:eastAsia="zh-CN" w:bidi="ar-SA"/>
        </w:rPr>
        <w:t>本单位2024年度无财政</w:t>
      </w:r>
      <w:r>
        <w:rPr>
          <w:rFonts w:ascii="Times New Roman" w:eastAsia="仿宋_GB2312" w:cs="Times New Roman" w:hAnsi="Times New Roman"/>
          <w:color w:val="auto"/>
          <w:kern w:val="0"/>
          <w:sz w:val="32"/>
          <w:szCs w:val="32"/>
          <w:lang w:val="en-US" w:eastAsia="zh-CN" w:bidi="ar-SA"/>
        </w:rPr>
        <w:t>评价项目绩效评价</w:t>
      </w:r>
      <w:r>
        <w:rPr>
          <w:rFonts w:ascii="Times New Roman" w:eastAsia="仿宋_GB2312" w:cs="Times New Roman" w:hAnsi="Times New Roman" w:hint="eastAsia"/>
          <w:color w:val="auto"/>
          <w:kern w:val="0"/>
          <w:sz w:val="32"/>
          <w:szCs w:val="32"/>
          <w:lang w:val="en-US" w:eastAsia="zh-CN" w:bidi="ar-SA"/>
        </w:rPr>
        <w:t>情况。</w:t>
      </w:r>
    </w:p>
    <w:p>
      <w:pPr>
        <w:widowControl/>
        <w:spacing w:before="0" w:beforeAutospacing="0" w:after="0" w:afterAutospacing="0" w:line="360" w:lineRule="auto"/>
        <w:ind w:firstLineChars="200" w:firstLine="640"/>
        <w:jc w:val="left"/>
        <w:rPr>
          <w:rFonts w:ascii="Times New Roman" w:eastAsia="黑体" w:hAnsi="Times New Roman"/>
          <w:sz w:val="32"/>
          <w:szCs w:val="32"/>
        </w:rPr>
      </w:pPr>
      <w:r>
        <w:rPr>
          <w:rFonts w:ascii="Times New Roman" w:eastAsia="黑体" w:hAnsi="Times New Roman"/>
          <w:b w:val="0"/>
          <w:sz w:val="32"/>
          <w:szCs w:val="32"/>
        </w:rPr>
        <w:t>十、其他需要说明的情况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由于决算公开表格中金额数值应当保留两位小数，公开数据为四舍五入计算结果，个别数据合计项与分项之和存在小数点后差额，特此说明。</w:t>
      </w:r>
    </w:p>
    <w:p>
      <w:pPr>
        <w:rPr>
          <w:rFonts w:ascii="Times New Roman" w:eastAsia="仿宋_GB2312" w:cs="Times New Roman" w:hAnsi="Times New Roman"/>
          <w:sz w:val="32"/>
          <w:szCs w:val="32"/>
        </w:rPr>
      </w:pPr>
      <w:r>
        <w:rPr>
          <w:rFonts w:ascii="Times New Roman" w:eastAsia="仿宋_GB2312" w:cs="Times New Roman" w:hAnsi="Times New Roman"/>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第四部分 名词解释</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一、财政拨款收入：</w:t>
      </w:r>
      <w:r>
        <w:rPr>
          <w:rFonts w:ascii="Times New Roman" w:eastAsia="仿宋_GB2312" w:hAnsi="Times New Roman"/>
          <w:b w:val="0"/>
          <w:sz w:val="32"/>
          <w:szCs w:val="32"/>
        </w:rPr>
        <w:t>指单位从同级财政</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取得的财政预算资金。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二、事业收入：</w:t>
      </w:r>
      <w:r>
        <w:rPr>
          <w:rFonts w:ascii="Times New Roman" w:eastAsia="仿宋_GB2312" w:hAnsi="Times New Roman"/>
          <w:b w:val="0"/>
          <w:sz w:val="32"/>
          <w:szCs w:val="32"/>
        </w:rPr>
        <w:t>指事业单位开展专业业务活动及辅助活动取得的收入。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三、经营收入：</w:t>
      </w:r>
      <w:r>
        <w:rPr>
          <w:rFonts w:ascii="Times New Roman" w:eastAsia="仿宋_GB2312" w:hAnsi="Times New Roman"/>
          <w:b w:val="0"/>
          <w:sz w:val="32"/>
          <w:szCs w:val="32"/>
        </w:rPr>
        <w:t>指事业单位在专业业务活动及其辅助活动之外开展非独立核算经营活动取得的收入。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四、其他收入：</w:t>
      </w:r>
      <w:r>
        <w:rPr>
          <w:rFonts w:ascii="Times New Roman" w:eastAsia="仿宋_GB2312" w:hAnsi="Times New Roman"/>
          <w:b w:val="0"/>
          <w:sz w:val="32"/>
          <w:szCs w:val="32"/>
        </w:rPr>
        <w:t>指单位取得的除上述收入以外的各项收入。主要是事业单位固定资产出租收入、存款利息收入等。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五、使用非财政拨款结余（含专用结余）：</w:t>
      </w:r>
      <w:r>
        <w:rPr>
          <w:rFonts w:ascii="Times New Roman" w:eastAsia="仿宋_GB2312" w:hAnsi="Times New Roman"/>
          <w:b w:val="0"/>
          <w:sz w:val="32"/>
          <w:szCs w:val="32"/>
        </w:rPr>
        <w:t>指事业单位按照预算管理要求使用非财政拨款结余弥补收支差额的金额，以及使用专用结余安排支出的金额。</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六、年初结转和结余：</w:t>
      </w:r>
      <w:r>
        <w:rPr>
          <w:rFonts w:ascii="Times New Roman" w:eastAsia="仿宋_GB2312" w:hAnsi="Times New Roman"/>
          <w:b w:val="0"/>
          <w:sz w:val="32"/>
          <w:szCs w:val="32"/>
        </w:rPr>
        <w:t>指单位以前年度尚未完成、结转到本年仍按原规定用途继续使用的资金，或项目已完成等产生的结余资金。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七、结余分配：</w:t>
      </w:r>
      <w:r>
        <w:rPr>
          <w:rFonts w:ascii="Times New Roman" w:eastAsia="仿宋_GB2312" w:hAnsi="Times New Roman"/>
          <w:b w:val="0"/>
          <w:sz w:val="32"/>
          <w:szCs w:val="32"/>
        </w:rPr>
        <w:t>指事业单位按照会计制度规定缴纳的所得税、提取的专用结余以及转入非财政拨款结余的金额等。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八、年末结转和结余：</w:t>
      </w:r>
      <w:r>
        <w:rPr>
          <w:rFonts w:ascii="Times New Roman" w:eastAsia="仿宋_GB2312" w:hAnsi="Times New Roman"/>
          <w:b w:val="0"/>
          <w:sz w:val="32"/>
          <w:szCs w:val="32"/>
        </w:rPr>
        <w:t>指单位按有关规定结转到下年或以后年度继续使用的资金，或项目已完成等产生的结余资金。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九、基本支出：</w:t>
      </w:r>
      <w:r>
        <w:rPr>
          <w:rFonts w:ascii="Times New Roman" w:eastAsia="仿宋_GB2312" w:hAnsi="Times New Roman"/>
          <w:b w:val="0"/>
          <w:sz w:val="32"/>
          <w:szCs w:val="32"/>
        </w:rPr>
        <w:t>指为保障机构正常运转、完成日常工作任务而发生的人员支出和公用支出。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十、项目支出：</w:t>
      </w:r>
      <w:r>
        <w:rPr>
          <w:rFonts w:ascii="Times New Roman" w:eastAsia="仿宋_GB2312" w:hAnsi="Times New Roman"/>
          <w:b w:val="0"/>
          <w:sz w:val="32"/>
          <w:szCs w:val="32"/>
        </w:rPr>
        <w:t>指在基本支出之外为完成特定行政任务和事业发展目标所发生的支出。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十一、经营支出 ：</w:t>
      </w:r>
      <w:r>
        <w:rPr>
          <w:rFonts w:ascii="Times New Roman" w:eastAsia="仿宋_GB2312" w:hAnsi="Times New Roman"/>
          <w:b w:val="0"/>
          <w:sz w:val="32"/>
          <w:szCs w:val="32"/>
        </w:rPr>
        <w:t>指事业单位在专业业务活动及其辅助活动之外开展非独立核算经营活动发生的支出。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十二、基本建设支出：</w:t>
      </w:r>
      <w:r>
        <w:rPr>
          <w:rFonts w:ascii="Times New Roman" w:eastAsia="仿宋_GB2312" w:hAnsi="Times New Roman"/>
          <w:b w:val="0"/>
          <w:sz w:val="32"/>
          <w:szCs w:val="32"/>
        </w:rPr>
        <w:t>填列由本级发展与改革</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十三、其他资本性支出：</w:t>
      </w:r>
      <w:r>
        <w:rPr>
          <w:rFonts w:ascii="Times New Roman" w:eastAsia="仿宋_GB2312" w:hAnsi="Times New Roman"/>
          <w:b w:val="0"/>
          <w:sz w:val="32"/>
          <w:szCs w:val="32"/>
        </w:rPr>
        <w:t>填列由各级非发展与改革</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集中安排的用于购置固定资产、战备性和应急性储备、土地和无形资产，以及购建基础设施、大型修缮和财政支持企业更新改造所发生的支出。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十四、“三公”经费：</w:t>
      </w:r>
      <w:r>
        <w:rPr>
          <w:rFonts w:ascii="Times New Roman" w:eastAsia="仿宋_GB2312" w:hAnsi="Times New Roman"/>
          <w:b w:val="0"/>
          <w:sz w:val="32"/>
          <w:szCs w:val="32"/>
        </w:rPr>
        <w:t>指</w:t>
      </w:r>
      <w:r>
        <w:rPr>
          <w:rFonts w:ascii="Times New Roman" w:eastAsia="仿宋_GB2312" w:hAnsi="Times New Roman" w:hint="eastAsia"/>
          <w:b w:val="0"/>
          <w:sz w:val="32"/>
          <w:szCs w:val="32"/>
          <w:lang w:eastAsia="zh-CN"/>
        </w:rPr>
        <w:t>单位</w:t>
      </w:r>
      <w:r>
        <w:rPr>
          <w:rFonts w:ascii="Times New Roman" w:eastAsia="仿宋_GB2312" w:hAnsi="Times New Roman"/>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十五、其他交通费用：</w:t>
      </w:r>
      <w:r>
        <w:rPr>
          <w:rFonts w:ascii="Times New Roman" w:eastAsia="仿宋_GB2312" w:hAnsi="Times New Roman"/>
          <w:b w:val="0"/>
          <w:sz w:val="32"/>
          <w:szCs w:val="32"/>
        </w:rPr>
        <w:t>填列单位除公务用车运行维护费以外的其他交通费用。如公务交通补贴、租车费用、出租车费用，飞机、船舶等燃料费、维修费、保险费等。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十六、公务用车购置：</w:t>
      </w:r>
      <w:r>
        <w:rPr>
          <w:rFonts w:ascii="Times New Roman" w:eastAsia="仿宋_GB2312" w:hAnsi="Times New Roman"/>
          <w:b w:val="0"/>
          <w:sz w:val="32"/>
          <w:szCs w:val="32"/>
        </w:rPr>
        <w:t>填列单位公务用车车辆购置支出（含车辆购置税、牌照费）。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十七、其他交通工具购置：</w:t>
      </w:r>
      <w:r>
        <w:rPr>
          <w:rFonts w:ascii="Times New Roman" w:eastAsia="仿宋_GB2312" w:hAnsi="Times New Roman"/>
          <w:b w:val="0"/>
          <w:sz w:val="32"/>
          <w:szCs w:val="32"/>
        </w:rPr>
        <w:t>填列单位除公务用车外的其他各类交通工具（如船舶、飞机等）购置支出（含车辆购置税、牌照费）。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十八、机关运行经费：</w:t>
      </w:r>
      <w:r>
        <w:rPr>
          <w:rFonts w:ascii="Times New Roman" w:eastAsia="仿宋_GB2312" w:hAnsi="Times New Roman"/>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w:type="default" r:id="rId11"/>
      <w:pgSz w:w="11906" w:h="16838"/>
      <w:pgMar w:top="2098" w:right="1474" w:bottom="1871" w:left="1587" w:header="851" w:footer="992" w:gutter="0"/>
      <w:pgNumType w:start="1"/>
      <w:rtlGutter/>
      <w:docGrid w:type="lines" w:linePitch="329" w:charSpace="0"/>
    </w:sectPr>
  </w:body>
</w:document>
</file>

<file path=word/fontTable.xml><?xml version="1.0" encoding="utf-8"?>
<w:fonts xmlns:w="http://schemas.openxmlformats.org/wordprocessingml/2006/main" xmlns:r="http://schemas.openxmlformats.org/officeDocument/2006/relationships">
  <w:font w:name="方正小标宋_GBK">
    <w:altName w:val="Arial Unicode MS"/>
    <w:panose1 w:val="02000000000000000000"/>
    <w:charset w:val="86"/>
    <w:family w:val="script"/>
    <w:pitch w:val="variable"/>
    <w:sig w:usb0="A00002BF" w:usb1="38CF7CFA" w:usb2="00082016" w:usb3="00000000" w:csb0="00040001" w:csb1="00000000"/>
  </w:font>
  <w:font w:name="楷体_GB2312">
    <w:altName w:val="楷体"/>
    <w:panose1 w:val="02010609030101010101"/>
    <w:charset w:val="86"/>
    <w:family w:val="auto"/>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86"/>
    <w:family w:val="auto"/>
    <w:pitch w:val="variable"/>
    <w:sig w:usb0="E0002EFF" w:usb1="C000785B" w:usb2="00000009" w:usb3="00000000" w:csb0="400001FF" w:csb1="FFFF0000"/>
  </w:font>
  <w:font w:name="仿宋_GB2312">
    <w:altName w:val="仿宋"/>
    <w:panose1 w:val="02010609030101010101"/>
    <w:charset w:val="86"/>
    <w:family w:val="auto"/>
    <w:pitch w:val="variable"/>
    <w:sig w:usb0="00000001" w:usb1="080E0000" w:usb2="00000000" w:usb3="00000000" w:csb0="00040000" w:csb1="00000000"/>
  </w:font>
  <w:font w:name="ArialUnicodeMS">
    <w:altName w:val="Malgun Gothic"/>
    <w:panose1 w:val="00000000000000000000"/>
    <w:charset w:val="81"/>
    <w:family w:val="auto"/>
    <w:pitch w:val="variable"/>
    <w:sig w:usb0="00000000" w:usb1="00000000" w:usb2="00000010" w:usb3="00000000" w:csb0="00080001" w:csb1="00000000"/>
  </w:font>
  <w:font w:name="Calibri">
    <w:panose1 w:val="020F0502020204030204"/>
    <w:charset w:val="00"/>
    <w:family w:val="swiss"/>
    <w:pitch w:val="variable"/>
    <w:sig w:usb0="E4002EFF" w:usb1="C200247B" w:usb2="00000009" w:usb3="00000000" w:csb0="200001FF" w:csb1="00000000"/>
  </w:font>
  <w:font w:name="方正仿宋_GB2312">
    <w:altName w:val="Arial Unicode MS"/>
    <w:panose1 w:val="02000000000000000000"/>
    <w:charset w:val="86"/>
    <w:family w:val="auto"/>
    <w:pitch w:val="variable"/>
    <w:sig w:usb0="A00002BF" w:usb1="184F6CFA" w:usb2="00000012" w:usb3="00000000" w:csb0="00040001" w:csb1="00000000"/>
  </w:font>
  <w:font w:name="宋体">
    <w:panose1 w:val="02010600030101010101"/>
    <w:charset w:val="7A"/>
    <w:family w:val="auto"/>
    <w:pitch w:val="variable"/>
    <w:sig w:usb0="000002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Arial">
    <w:panose1 w:val="020B0604020202020204"/>
    <w:charset w:val="01"/>
    <w:family w:val="swiss"/>
    <w:pitch w:val="variable"/>
    <w:sig w:usb0="E0002EFF" w:usb1="C000785B" w:usb2="00000009" w:usb3="00000000" w:csb0="400001FF" w:csb1="FFFF0000"/>
  </w:font>
  <w:font w:name="Calibri Light">
    <w:panose1 w:val="020F0302020204030204"/>
    <w:charset w:val="00"/>
    <w:family w:val="auto"/>
    <w:pitch w:val="variable"/>
    <w:sig w:usb0="E4002EFF" w:usb1="C200247B" w:usb2="00000009" w:usb3="00000000" w:csb0="200001FF" w:csb1="00000000"/>
  </w:font>
  <w:font w:name="华文中宋">
    <w:panose1 w:val="02010600040101010101"/>
    <w:charset w:val="86"/>
    <w:family w:val="auto"/>
    <w:pitch w:val="variable"/>
    <w:sig w:usb0="00000287" w:usb1="080F0000" w:usb2="00000000" w:usb3="00000000" w:csb0="000400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6.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4EC100C"/>
    <w:multiLevelType w:val="multilevel"/>
    <w:tmpl w:val="5F16A424"/>
    <w:lvl w:ilvl="0">
      <w:start w:val="1"/>
      <w:numFmt w:val="decimal"/>
      <w:lvlRestart w:val="0"/>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displayBackgroundShape/>
  <w:bordersDoNotSurroundHeader w:val="0"/>
  <w:bordersDoNotSurroundFooter w:val="0"/>
  <w:documentProtection w:edit="readOnly" w:enforcement="0"/>
  <w:defaultTabStop w:val="420"/>
  <w:drawingGridHorizontalSpacing w:val="120"/>
  <w:drawingGridVerticalSpacing w:val="165"/>
  <w:displayHorizontalDrawingGridEvery w:val="1"/>
  <w:displayVerticalDrawingGridEvery w:val="2"/>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宋体" w:hAnsi="Times New Roman"/>
      <w:color w:val="auto"/>
      <w:kern w:val="0"/>
      <w:sz w:val="24"/>
      <w:szCs w:val="24"/>
      <w:lang w:val="en-US" w:eastAsia="zh-CN" w:bidi="ar-SA"/>
    </w:rPr>
  </w:style>
  <w:style w:type="paragraph" w:styleId="1">
    <w:name w:val="heading 1"/>
    <w:basedOn w:val="0"/>
    <w:next w:val="0"/>
    <w:pPr>
      <w:keepNext/>
      <w:keepLines/>
      <w:widowControl w:val="0"/>
      <w:numPr>
        <w:ilvl w:val="0"/>
        <w:numId w:val="1"/>
      </w:numPr>
      <w:adjustRightInd w:val="0"/>
      <w:snapToGrid w:val="0"/>
      <w:spacing w:before="340" w:afterLines="50" w:after="50" w:line="578" w:lineRule="auto"/>
      <w:ind w:left="425" w:hanging="425"/>
      <w:jc w:val="left"/>
      <w:outlineLvl w:val="0"/>
    </w:pPr>
    <w:rPr>
      <w:rFonts w:ascii="Times New Roman" w:eastAsia="仿宋" w:cs="Times New Roman" w:hAnsi="Times New Roman"/>
      <w:b/>
      <w:bCs/>
      <w:kern w:val="44"/>
      <w:sz w:val="36"/>
      <w:szCs w:val="44"/>
    </w:rPr>
  </w:style>
  <w:style w:type="paragraph" w:styleId="2">
    <w:name w:val="heading 2"/>
    <w:basedOn w:val="0"/>
    <w:next w:val="0"/>
    <w:pPr>
      <w:widowControl w:val="0"/>
      <w:numPr>
        <w:ilvl w:val="1"/>
        <w:numId w:val="1"/>
      </w:numPr>
      <w:spacing w:line="415" w:lineRule="auto"/>
      <w:ind w:left="567" w:hanging="567"/>
      <w:outlineLvl w:val="1"/>
    </w:pPr>
    <w:rPr>
      <w:rFonts w:ascii="Calibri Light" w:eastAsia="宋体" w:cs="Times New Roman" w:hAnsi="Calibri Light"/>
      <w:b/>
      <w:bCs/>
      <w:sz w:val="28"/>
      <w:szCs w:val="32"/>
    </w:rPr>
  </w:style>
  <w:style w:type="paragraph" w:styleId="3">
    <w:name w:val="heading 3"/>
    <w:basedOn w:val="0"/>
    <w:next w:val="0"/>
    <w:pPr>
      <w:keepNext/>
      <w:keepLines/>
      <w:widowControl w:val="0"/>
      <w:numPr>
        <w:ilvl w:val="2"/>
        <w:numId w:val="1"/>
      </w:numPr>
      <w:spacing w:beforeLines="50" w:before="50" w:afterLines="50" w:after="50" w:line="415" w:lineRule="auto"/>
      <w:outlineLvl w:val="2"/>
    </w:pPr>
    <w:rPr>
      <w:rFonts w:ascii="宋体" w:eastAsia="宋体" w:cs="宋体" w:hAnsi="宋体"/>
      <w:b/>
      <w:bCs/>
      <w:sz w:val="32"/>
    </w:rPr>
  </w:style>
  <w:style w:type="paragraph" w:styleId="4">
    <w:name w:val="heading 4"/>
    <w:basedOn w:val="0"/>
    <w:next w:val="0"/>
    <w:pPr>
      <w:keepNext/>
      <w:keepLines/>
      <w:widowControl w:val="0"/>
      <w:numPr>
        <w:ilvl w:val="3"/>
        <w:numId w:val="1"/>
      </w:numPr>
      <w:spacing w:before="120" w:after="120"/>
      <w:outlineLvl w:val="3"/>
    </w:pPr>
    <w:rPr>
      <w:rFonts w:ascii="Calibri Light" w:eastAsia="宋体" w:cs="Times New Roman" w:hAnsi="Calibri Light"/>
      <w:b/>
      <w:bCs/>
      <w:sz w:val="28"/>
      <w:szCs w:val="28"/>
    </w:rPr>
  </w:style>
  <w:style w:type="character" w:default="1" w:styleId="10">
    <w:name w:val="Default Paragraph Font"/>
  </w:style>
  <w:style w:type="paragraph" w:styleId="15">
    <w:name w:val="annotation text"/>
    <w:basedOn w:val="0"/>
    <w:pPr>
      <w:jc w:val="left"/>
    </w:pPr>
  </w:style>
  <w:style w:type="paragraph" w:styleId="16">
    <w:name w:val="Balloon Text"/>
    <w:basedOn w:val="0"/>
    <w:rPr>
      <w:rFonts w:cs="Arial"/>
      <w:kern w:val="2"/>
      <w:sz w:val="18"/>
      <w:szCs w:val="18"/>
    </w:rPr>
  </w:style>
  <w:style w:type="paragraph" w:styleId="17">
    <w:name w:val="footer"/>
    <w:basedOn w:val="0"/>
    <w:pPr>
      <w:tabs>
        <w:tab w:val="center" w:pos="4153"/>
        <w:tab w:val="right" w:pos="8306"/>
      </w:tabs>
      <w:snapToGrid w:val="0"/>
      <w:jc w:val="left"/>
    </w:pPr>
    <w:rPr>
      <w:rFonts w:cs="Arial"/>
      <w:kern w:val="2"/>
      <w:sz w:val="18"/>
      <w:szCs w:val="18"/>
    </w:rPr>
  </w:style>
  <w:style w:type="paragraph" w:styleId="18">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jc w:val="center"/>
    </w:pPr>
    <w:rPr>
      <w:rFonts w:cs="Arial"/>
      <w:kern w:val="2"/>
      <w:sz w:val="18"/>
      <w:szCs w:val="18"/>
    </w:rPr>
  </w:style>
  <w:style w:type="paragraph" w:styleId="19">
    <w:name w:val="Normal (Web)"/>
    <w:basedOn w:val="0"/>
    <w:pPr>
      <w:spacing w:before="0" w:beforeAutospacing="1" w:after="0" w:afterAutospacing="1"/>
      <w:ind w:left="0" w:right="0"/>
      <w:jc w:val="left"/>
    </w:pPr>
    <w:rPr>
      <w:kern w:val="0"/>
      <w:sz w:val="24"/>
      <w:lang w:val="en-US" w:eastAsia="zh-CN"/>
    </w:rPr>
  </w:style>
  <w:style w:type="character" w:styleId="20">
    <w:name w:val="Strong"/>
    <w:basedOn w:val="10"/>
    <w:rPr>
      <w:b/>
    </w:rPr>
  </w:style>
  <w:style w:type="character" w:customStyle="1" w:styleId="21">
    <w:name w:val="font11"/>
    <w:basedOn w:val="10"/>
    <w:rPr>
      <w:rFonts w:ascii="宋体" w:eastAsia="宋体" w:cs="宋体" w:hAnsi="宋体"/>
      <w:color w:val="000000"/>
      <w:sz w:val="20"/>
      <w:szCs w:val="20"/>
      <w:u w:val="none"/>
      <w:lang w:val="en-US" w:eastAsia="zh-CN" w:bidi="ar-SA"/>
    </w:rPr>
  </w:style>
  <w:style w:type="character" w:customStyle="1" w:styleId="22">
    <w:name w:val="font01"/>
    <w:basedOn w:val="10"/>
    <w:rPr>
      <w:rFonts w:ascii="宋体" w:eastAsia="宋体" w:cs="宋体" w:hAnsi="宋体"/>
      <w:color w:val="000000"/>
      <w:sz w:val="22"/>
      <w:szCs w:val="22"/>
      <w:u w:val="none"/>
      <w:lang w:val="en-US" w:eastAsia="zh-CN" w:bidi="ar-SA"/>
    </w:rPr>
  </w:style>
  <w:style w:type="character" w:customStyle="1" w:styleId="23">
    <w:name w:val="font41"/>
    <w:basedOn w:val="10"/>
    <w:rPr>
      <w:rFonts w:ascii="宋体" w:eastAsia="宋体" w:cs="宋体" w:hAnsi="宋体"/>
      <w:color w:val="000000"/>
      <w:sz w:val="24"/>
      <w:szCs w:val="24"/>
      <w:u w:val="none"/>
      <w:lang w:val="en-US" w:eastAsia="zh-CN" w:bidi="ar-SA"/>
    </w:rPr>
  </w:style>
  <w:style w:type="character" w:customStyle="1" w:styleId="24">
    <w:name w:val="font31"/>
    <w:basedOn w:val="10"/>
    <w:rPr>
      <w:rFonts w:ascii="华文中宋" w:eastAsia="华文中宋" w:cs="华文中宋" w:hAnsi="华文中宋"/>
      <w:color w:val="000000"/>
      <w:sz w:val="32"/>
      <w:szCs w:val="32"/>
      <w:u w:val="none"/>
      <w:lang w:val="en-US" w:eastAsia="zh-CN" w:bidi="ar-SA"/>
    </w:rPr>
  </w:style>
  <w:style w:type="character" w:customStyle="1" w:styleId="25">
    <w:name w:val="font91"/>
    <w:basedOn w:val="10"/>
    <w:rPr>
      <w:rFonts w:ascii="华文中宋" w:eastAsia="华文中宋" w:cs="华文中宋" w:hAnsi="华文中宋"/>
      <w:color w:val="000000"/>
      <w:sz w:val="32"/>
      <w:szCs w:val="32"/>
      <w:u w:val="none"/>
      <w:lang w:val="en-US" w:eastAsia="zh-CN" w:bidi="ar-SA"/>
    </w:rPr>
  </w:style>
  <w:style w:type="character" w:customStyle="1" w:styleId="26">
    <w:name w:val="font51"/>
    <w:basedOn w:val="10"/>
    <w:rPr>
      <w:rFonts w:ascii="宋体" w:eastAsia="宋体" w:cs="宋体" w:hAnsi="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image" Target="media/2.jpeg"/><Relationship Id="rId4" Type="http://schemas.openxmlformats.org/officeDocument/2006/relationships/footer" Target="footer2.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header" Target="header3.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chart" Target="charts/chart1.xml"/><Relationship Id="rId13" Type="http://schemas.openxmlformats.org/officeDocument/2006/relationships/chart" Target="charts/chart2.xml"/><Relationship Id="rId14" Type="http://schemas.openxmlformats.org/officeDocument/2006/relationships/chart" Target="charts/chart3.xml"/><Relationship Id="rId15" Type="http://schemas.openxmlformats.org/officeDocument/2006/relationships/chart" Target="charts/chart4.xml"/><Relationship Id="rId16" Type="http://schemas.openxmlformats.org/officeDocument/2006/relationships/chart" Target="charts/chart5.xml"/><Relationship Id="rId17" Type="http://schemas.openxmlformats.org/officeDocument/2006/relationships/chart" Target="charts/chart6.xml"/><Relationship Id="rId18" Type="http://schemas.openxmlformats.org/officeDocument/2006/relationships/image" Target="media/14.png"/><Relationship Id="rId19" Type="http://schemas.openxmlformats.org/officeDocument/2006/relationships/image" Target="media/17.png"/><Relationship Id="rId20" Type="http://schemas.openxmlformats.org/officeDocument/2006/relationships/styles" Target="styles.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char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char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char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char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char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 </a:t>
            </a:r>
            <a:r>
              <a:rPr lang="zh-CN" sz="1400" b="1" i="0" u="none" strike="noStrike" baseline="0">
                <a:solidFill>
                  <a:srgbClr val="404040"/>
                </a:solidFill>
                <a:latin typeface="Times New Roman"/>
                <a:ea typeface="宋体"/>
                <a:cs typeface="Arial"/>
              </a:rPr>
              <a:t>1 </a:t>
            </a:r>
            <a:r>
              <a:rPr lang="zh-CN" sz="1400" b="1" i="0" u="none" strike="noStrike" baseline="0">
                <a:solidFill>
                  <a:srgbClr val="404040"/>
                </a:solidFill>
                <a:latin typeface="Times New Roman"/>
                <a:ea typeface="宋体"/>
                <a:cs typeface="Arial"/>
              </a:rPr>
              <a:t>： </a:t>
            </a:r>
            <a:r>
              <a:rPr lang="zh-CN" sz="1400" b="1" i="0" u="none" strike="noStrike" baseline="0">
                <a:solidFill>
                  <a:srgbClr val="404040"/>
                </a:solidFill>
                <a:latin typeface="Times New Roman"/>
                <a:ea typeface="宋体"/>
                <a:cs typeface="Arial"/>
              </a:rPr>
              <a:t>2023-2024</a:t>
            </a:r>
            <a:r>
              <a:rPr lang="zh-CN" sz="1400" b="1" i="0" u="none" strike="noStrike" baseline="0">
                <a:solidFill>
                  <a:srgbClr val="404040"/>
                </a:solidFill>
                <a:latin typeface="Times New Roman"/>
                <a:ea typeface="宋体"/>
                <a:cs typeface="Arial"/>
              </a:rPr>
              <a:t>年收支总计对比图（万元）</a:t>
            </a:r>
          </a:p>
        </c:rich>
      </c:tx>
      <c:layout/>
      <c:overlay val="0"/>
      <c:spPr>
        <a:noFill/>
        <a:ln>
          <a:noFill/>
        </a:ln>
      </c:spPr>
    </c:title>
    <c:autoTitleDeleted val="1"/>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'Sheet1'!$A$2:$A$3</c:f>
              <c:strCache>
                <c:ptCount val="2"/>
                <c:pt idx="0">
                  <c:v>2023年</c:v>
                </c:pt>
                <c:pt idx="1">
                  <c:v>2024年</c:v>
                </c:pt>
              </c:strCache>
            </c:strRef>
          </c:cat>
          <c:val>
            <c:numRef>
              <c:f>'Sheet1'!$B$2:$B$3</c:f>
              <c:numCache>
                <c:formatCode>General</c:formatCode>
                <c:ptCount val="2"/>
                <c:pt idx="0">
                  <c:v>328.48</c:v>
                </c:pt>
                <c:pt idx="1">
                  <c:v>192.66</c:v>
                </c:pt>
              </c:numCache>
            </c:numRef>
          </c:val>
        </c:ser>
        <c:overlap val="-28"/>
        <c:gapWidth val="246"/>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 </a:t>
            </a:r>
            <a:r>
              <a:rPr lang="zh-CN" sz="1400" b="1" i="0" u="none" strike="noStrike" baseline="0">
                <a:solidFill>
                  <a:srgbClr val="404040"/>
                </a:solidFill>
                <a:latin typeface="Times New Roman"/>
                <a:ea typeface="宋体"/>
                <a:cs typeface="Arial"/>
              </a:rPr>
              <a:t>2 </a:t>
            </a:r>
            <a:r>
              <a:rPr lang="zh-CN" sz="1400" b="1" i="0" u="none" strike="noStrike" baseline="0">
                <a:solidFill>
                  <a:srgbClr val="404040"/>
                </a:solidFill>
                <a:latin typeface="Times New Roman"/>
                <a:ea typeface="宋体"/>
                <a:cs typeface="Arial"/>
              </a:rPr>
              <a:t>：收入决算构成情况图</a:t>
            </a:r>
          </a:p>
        </c:rich>
      </c:tx>
      <c:layout/>
      <c:overlay val="0"/>
      <c:spPr>
        <a:noFill/>
        <a:ln>
          <a:noFill/>
        </a:ln>
      </c:spPr>
    </c:title>
    <c:autoTitleDeleted val="1"/>
    <c:plotArea>
      <c:layout/>
      <c:pieChart>
        <c:varyColors val="1"/>
        <c:ser>
          <c:idx val="0"/>
          <c:order val="0"/>
          <c:tx>
            <c:strRef>
              <c:f>'Sheet1 (2)'!$B$1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2012555"/>
                  <c:y val="0.7269071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1"/>
              <c:layout>
                <c:manualLayout>
                  <c:x val="-0.3080455"/>
                  <c:y val="0.639146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2"/>
              <c:layout>
                <c:manualLayout>
                  <c:x val="0.40541184"/>
                  <c:y val="0.1718550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3"/>
              <c:layout>
                <c:manualLayout>
                  <c:x val="-0.28690514"/>
                  <c:y val="0.2702507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4"/>
              <c:layout>
                <c:manualLayout>
                  <c:x val="-0.29898536"/>
                  <c:y val="0.4491606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5"/>
              <c:layout>
                <c:manualLayout>
                  <c:x val="-0.28847557"/>
                  <c:y val="0.124165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Pos val="ctr"/>
            <c:showLegendKey val="1"/>
            <c:showVal val="0"/>
            <c:showCatName val="1"/>
            <c:showSerName val="0"/>
            <c:showPercent val="1"/>
            <c:showBubbleSize val="0"/>
            <c:separator> </c:separator>
            <c:showLeaderLines val="1"/>
          </c:dLbls>
          <c:cat>
            <c:strRef>
              <c:f>'Sheet1 (2)'!$A$2:$A$7</c:f>
              <c:strCache>
                <c:ptCount val="6"/>
                <c:pt idx="0">
                  <c:v>财政拨款收入</c:v>
                </c:pt>
                <c:pt idx="1">
                  <c:v>上级补助收入</c:v>
                </c:pt>
                <c:pt idx="2">
                  <c:v>事业收入</c:v>
                </c:pt>
                <c:pt idx="3">
                  <c:v>经营收入</c:v>
                </c:pt>
                <c:pt idx="4">
                  <c:v>附属单位上缴收入</c:v>
                </c:pt>
                <c:pt idx="5">
                  <c:v>其他收入</c:v>
                </c:pt>
              </c:strCache>
            </c:strRef>
          </c:cat>
          <c:val>
            <c:numRef>
              <c:f>'Sheet1 (2)'!$B$2:$B$7</c:f>
              <c:numCache>
                <c:formatCode>0.00_);[Red](0.00)</c:formatCode>
                <c:ptCount val="6"/>
                <c:pt idx="0">
                  <c:v>1926642.15</c:v>
                </c:pt>
                <c:pt idx="1">
                  <c:v>0.0</c:v>
                </c:pt>
                <c:pt idx="2">
                  <c:v>0.0</c:v>
                </c:pt>
                <c:pt idx="3">
                  <c:v>0.0</c:v>
                </c:pt>
                <c:pt idx="4">
                  <c:v>0.0</c:v>
                </c:pt>
                <c:pt idx="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 </a:t>
            </a:r>
            <a:r>
              <a:rPr lang="zh-CN" sz="1400" b="1" i="0" u="none" strike="noStrike" baseline="0">
                <a:solidFill>
                  <a:srgbClr val="404040"/>
                </a:solidFill>
                <a:latin typeface="Times New Roman"/>
                <a:ea typeface="宋体"/>
                <a:cs typeface="Arial"/>
              </a:rPr>
              <a:t>3 </a:t>
            </a:r>
            <a:r>
              <a:rPr lang="zh-CN" sz="1400" b="1" i="0" u="none" strike="noStrike" baseline="0">
                <a:solidFill>
                  <a:srgbClr val="404040"/>
                </a:solidFill>
                <a:latin typeface="Times New Roman"/>
                <a:ea typeface="宋体"/>
                <a:cs typeface="Arial"/>
              </a:rPr>
              <a:t>：支出决算构成情况图</a:t>
            </a:r>
          </a:p>
        </c:rich>
      </c:tx>
      <c:layout/>
      <c:overlay val="0"/>
      <c:spPr>
        <a:noFill/>
        <a:ln>
          <a:noFill/>
        </a:ln>
      </c:spPr>
    </c:title>
    <c:autoTitleDeleted val="1"/>
    <c:plotArea>
      <c:layout/>
      <c:pieChart>
        <c:varyColors val="1"/>
        <c:ser>
          <c:idx val="0"/>
          <c:order val="0"/>
          <c:tx>
            <c:strRef>
              <c:f>'Sheet1 (3)'!$B$1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4621888"/>
                  <c:y val="0.71546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1"/>
              <c:layout>
                <c:manualLayout>
                  <c:x val="0.35709593"/>
                  <c:y val="0.09793837"/>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2"/>
              <c:layout>
                <c:manualLayout>
                  <c:x val="-0.29270354"/>
                  <c:y val="0.2668933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3"/>
              <c:layout>
                <c:manualLayout>
                  <c:x val="-0.31523567"/>
                  <c:y val="0.468316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4"/>
              <c:layout>
                <c:manualLayout>
                  <c:x val="-0.27355897"/>
                  <c:y val="0.718210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showLegendKey val="1"/>
            <c:showVal val="0"/>
            <c:showCatName val="1"/>
            <c:showSerName val="0"/>
            <c:showPercent val="1"/>
            <c:showBubbleSize val="0"/>
            <c:showLeaderLines val="1"/>
          </c:dLbls>
          <c:cat>
            <c:strRef>
              <c:f>'Sheet1 (3)'!$A$2:$A$6</c:f>
              <c:strCache>
                <c:ptCount val="5"/>
                <c:pt idx="0">
                  <c:v>基本支出</c:v>
                </c:pt>
                <c:pt idx="1">
                  <c:v>项目支出</c:v>
                </c:pt>
                <c:pt idx="2">
                  <c:v>上缴上级支出</c:v>
                </c:pt>
                <c:pt idx="3">
                  <c:v>经营支出</c:v>
                </c:pt>
                <c:pt idx="4">
                  <c:v>对附属单位补助支出</c:v>
                </c:pt>
              </c:strCache>
            </c:strRef>
          </c:cat>
          <c:val>
            <c:numRef>
              <c:f>'Sheet1 (3)'!$B$2:$B$6</c:f>
              <c:numCache>
                <c:formatCode>General</c:formatCode>
                <c:ptCount val="5"/>
                <c:pt idx="0">
                  <c:v>753487.89</c:v>
                </c:pt>
                <c:pt idx="1">
                  <c:v>1173154.26</c:v>
                </c:pt>
                <c:pt idx="2">
                  <c:v>0.0</c:v>
                </c:pt>
                <c:pt idx="3">
                  <c:v>0.0</c:v>
                </c:pt>
                <c:pt idx="4">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 </a:t>
            </a:r>
            <a:r>
              <a:rPr lang="zh-CN" sz="1400" b="1" i="0" u="none" strike="noStrike" baseline="0">
                <a:solidFill>
                  <a:srgbClr val="404040"/>
                </a:solidFill>
                <a:latin typeface="Times New Roman"/>
                <a:ea typeface="宋体"/>
                <a:cs typeface="Arial"/>
              </a:rPr>
              <a:t>4 </a:t>
            </a:r>
            <a:r>
              <a:rPr lang="zh-CN" sz="1400" b="1" i="0" u="none" strike="noStrike" baseline="0">
                <a:solidFill>
                  <a:srgbClr val="404040"/>
                </a:solidFill>
                <a:latin typeface="Times New Roman"/>
                <a:ea typeface="宋体"/>
                <a:cs typeface="Arial"/>
              </a:rPr>
              <a:t>：</a:t>
            </a:r>
            <a:r>
              <a:rPr lang="zh-CN" sz="1400" b="1" i="0" u="none" strike="noStrike" baseline="0">
                <a:solidFill>
                  <a:srgbClr val="404040"/>
                </a:solidFill>
                <a:latin typeface="Times New Roman"/>
                <a:ea typeface="宋体"/>
                <a:cs typeface="Arial"/>
              </a:rPr>
              <a:t>2023-2024</a:t>
            </a:r>
            <a:r>
              <a:rPr lang="zh-CN" sz="1400" b="1" i="0" u="none" strike="noStrike" baseline="0">
                <a:solidFill>
                  <a:srgbClr val="404040"/>
                </a:solidFill>
                <a:latin typeface="Times New Roman"/>
                <a:ea typeface="宋体"/>
                <a:cs typeface="Arial"/>
              </a:rPr>
              <a:t>年财政拨款收支对比图（万元）</a:t>
            </a:r>
          </a:p>
        </c:rich>
      </c:tx>
      <c:layout/>
      <c:overlay val="0"/>
      <c:spPr>
        <a:noFill/>
        <a:ln>
          <a:noFill/>
        </a:ln>
      </c:spPr>
    </c:title>
    <c:autoTitleDeleted val="1"/>
    <c:plotArea>
      <c:layout/>
      <c:barChart>
        <c:barDir val="col"/>
        <c:grouping val="clustered"/>
        <c:varyColors val="0"/>
        <c:ser>
          <c:idx val="0"/>
          <c:order val="0"/>
          <c:tx>
            <c:strRef>
              <c:f>'Sheet1 (4)'!$B$1</c:f>
              <c:strCache>
                <c:ptCount val="1"/>
                <c:pt idx="0">
                  <c:v>2023年</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(4)'!$B$2:$B$9</c:f>
              <c:numCache>
                <c:formatCode>General</c:formatCode>
                <c:ptCount val="8"/>
                <c:pt idx="0">
                  <c:v>328.48</c:v>
                </c:pt>
                <c:pt idx="1">
                  <c:v>328.48</c:v>
                </c:pt>
                <c:pt idx="2">
                  <c:v>328.48</c:v>
                </c:pt>
                <c:pt idx="3">
                  <c:v>328.48</c:v>
                </c:pt>
                <c:pt idx="4">
                  <c:v>0.0</c:v>
                </c:pt>
                <c:pt idx="5">
                  <c:v>0.0</c:v>
                </c:pt>
                <c:pt idx="6">
                  <c:v>0.0</c:v>
                </c:pt>
                <c:pt idx="7">
                  <c:v>0.0</c:v>
                </c:pt>
              </c:numCache>
            </c:numRef>
          </c:val>
        </c:ser>
        <c:ser>
          <c:idx val="1"/>
          <c:order val="1"/>
          <c:tx>
            <c:strRef>
              <c:f>'Sheet1 (4)'!$C$1</c:f>
              <c:strCache>
                <c:ptCount val="1"/>
                <c:pt idx="0">
                  <c:v>2024年</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(4)'!$C$2:$C$9</c:f>
              <c:numCache>
                <c:formatCode>General</c:formatCode>
                <c:ptCount val="8"/>
                <c:pt idx="0">
                  <c:v>192.66</c:v>
                </c:pt>
                <c:pt idx="1">
                  <c:v>192.66</c:v>
                </c:pt>
                <c:pt idx="2">
                  <c:v>192.66</c:v>
                </c:pt>
                <c:pt idx="3">
                  <c:v>192.66</c:v>
                </c:pt>
                <c:pt idx="4">
                  <c:v>0.0</c:v>
                </c:pt>
                <c:pt idx="5">
                  <c:v>0.0</c:v>
                </c:pt>
                <c:pt idx="6">
                  <c:v>0.0</c:v>
                </c:pt>
                <c:pt idx="7">
                  <c:v>0.0</c:v>
                </c:pt>
              </c:numCache>
            </c:numRef>
          </c:val>
        </c:ser>
        <c:overlap val="-28"/>
        <c:gapWidth val="246"/>
        <c:axId val="0"/>
        <c:axId val="1"/>
      </c:barChart>
      <c:catAx>
        <c:axId val="0"/>
        <c:scaling>
          <c:orientation val="minMax"/>
        </c:scaling>
        <c:delete val="0"/>
        <c:axPos val="b"/>
        <c:numFmt formatCode="General" sourceLinked="0"/>
        <c:majorTickMark val="out"/>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out"/>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legend>
      <c:legendPos val="b"/>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 </a:t>
            </a:r>
            <a:r>
              <a:rPr lang="zh-CN" sz="1400" b="1" i="0" u="none" strike="noStrike" baseline="0">
                <a:solidFill>
                  <a:srgbClr val="404040"/>
                </a:solidFill>
                <a:latin typeface="Times New Roman"/>
                <a:ea typeface="宋体"/>
                <a:cs typeface="Arial"/>
              </a:rPr>
              <a:t>5 :</a:t>
            </a:r>
            <a:r>
              <a:rPr lang="zh-CN" sz="1400" b="1" i="0" u="none" strike="noStrike" baseline="0">
                <a:solidFill>
                  <a:srgbClr val="404040"/>
                </a:solidFill>
                <a:latin typeface="Times New Roman"/>
                <a:ea typeface="宋体"/>
                <a:cs typeface="Arial"/>
              </a:rPr>
              <a:t>财政拨款收支预算对比图（万元）</a:t>
            </a:r>
          </a:p>
        </c:rich>
      </c:tx>
      <c:layout/>
      <c:overlay val="0"/>
      <c:spPr>
        <a:noFill/>
        <a:ln>
          <a:noFill/>
        </a:ln>
      </c:spPr>
    </c:title>
    <c:autoTitleDeleted val="1"/>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 (5)'!$B$1</c:f>
              <c:strCache>
                <c:ptCount val="1"/>
                <c:pt idx="0">
                  <c:v>年初预算数</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(5)'!$B$2:$B$9</c:f>
              <c:numCache>
                <c:formatCode>General</c:formatCode>
                <c:ptCount val="8"/>
                <c:pt idx="0">
                  <c:v>174.22</c:v>
                </c:pt>
                <c:pt idx="1">
                  <c:v>174.22</c:v>
                </c:pt>
                <c:pt idx="2">
                  <c:v>174.22</c:v>
                </c:pt>
                <c:pt idx="3">
                  <c:v>174.22</c:v>
                </c:pt>
                <c:pt idx="4">
                  <c:v>0.0</c:v>
                </c:pt>
                <c:pt idx="5">
                  <c:v>0.0</c:v>
                </c:pt>
                <c:pt idx="6">
                  <c:v>0.0</c:v>
                </c:pt>
                <c:pt idx="7">
                  <c:v>0.0</c:v>
                </c:pt>
              </c:numCache>
            </c:numRef>
          </c:val>
        </c:ser>
        <c:ser>
          <c:idx val="1"/>
          <c:order val="1"/>
          <c:tx>
            <c:strRef>
              <c:f>'Sheet1 (5)'!$C$1</c:f>
              <c:strCache>
                <c:ptCount val="1"/>
                <c:pt idx="0">
                  <c:v>决算数</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(5)'!$C$2:$C$9</c:f>
              <c:numCache>
                <c:formatCode>General</c:formatCode>
                <c:ptCount val="8"/>
                <c:pt idx="0">
                  <c:v>192.66</c:v>
                </c:pt>
                <c:pt idx="1">
                  <c:v>192.66</c:v>
                </c:pt>
                <c:pt idx="2">
                  <c:v>192.66</c:v>
                </c:pt>
                <c:pt idx="3">
                  <c:v>192.66</c:v>
                </c:pt>
                <c:pt idx="4">
                  <c:v>0.0</c:v>
                </c:pt>
                <c:pt idx="5">
                  <c:v>0.0</c:v>
                </c:pt>
                <c:pt idx="6">
                  <c:v>0.0</c:v>
                </c:pt>
                <c:pt idx="7">
                  <c:v>0.0</c:v>
                </c:pt>
              </c:numCache>
            </c:numRef>
          </c:val>
        </c:ser>
        <c:gapWidth val="150"/>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i="0" u="none" strike="noStrike" baseline="0">
                <a:solidFill>
                  <a:srgbClr val="000000"/>
                </a:solidFill>
                <a:latin typeface="Times New Roman"/>
                <a:ea typeface="宋体"/>
                <a:cs typeface="Arial"/>
              </a:defRPr>
            </a:pPr>
            <a:r>
              <a:rPr lang="zh-CN" sz="1400" b="1" i="0" u="none" strike="noStrike" baseline="0">
                <a:solidFill>
                  <a:srgbClr val="404040"/>
                </a:solidFill>
                <a:latin typeface="Times New Roman"/>
                <a:ea typeface="宋体"/>
                <a:cs typeface="Arial"/>
              </a:rPr>
              <a:t>图</a:t>
            </a:r>
            <a:r>
              <a:rPr lang="zh-CN" sz="1400" b="1" i="0" u="none" strike="noStrike" baseline="0">
                <a:solidFill>
                  <a:srgbClr val="404040"/>
                </a:solidFill>
                <a:latin typeface="Times New Roman"/>
                <a:ea typeface="宋体"/>
                <a:cs typeface="Arial"/>
              </a:rPr>
              <a:t>6  : </a:t>
            </a:r>
            <a:r>
              <a:rPr lang="zh-CN" sz="1400" b="1" i="0" u="none" strike="noStrike" baseline="0">
                <a:solidFill>
                  <a:srgbClr val="404040"/>
                </a:solidFill>
                <a:latin typeface="Times New Roman"/>
                <a:ea typeface="宋体"/>
                <a:cs typeface="Arial"/>
              </a:rPr>
              <a:t>财政拨款支出决算构成情况图</a:t>
            </a:r>
          </a:p>
        </c:rich>
      </c:tx>
      <c:layout/>
      <c:overlay val="0"/>
      <c:spPr>
        <a:noFill/>
        <a:ln>
          <a:noFill/>
        </a:ln>
      </c:spPr>
    </c:title>
    <c:autoTitleDeleted val="1"/>
    <c:plotArea>
      <c:layout/>
      <c:pieChart>
        <c:varyColors val="1"/>
        <c:ser>
          <c:idx val="0"/>
          <c:order val="0"/>
          <c:tx>
            <c:strRef>
              <c:f>'Sheet1 (6)'!$B$1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Pt>
            <c:idx val="6"/>
            <c:bubble3D val="0"/>
            <c:spPr>
              <a:solidFill>
                <a:srgbClr val="254380"/>
              </a:solidFill>
              <a:ln w="6350">
                <a:solidFill>
                  <a:srgbClr val="FFFFFF"/>
                </a:solidFill>
                <a:prstDash val="solid"/>
              </a:ln>
            </c:spPr>
          </c:dPt>
          <c:dPt>
            <c:idx val="7"/>
            <c:bubble3D val="0"/>
            <c:spPr>
              <a:solidFill>
                <a:srgbClr val="9E4C0D"/>
              </a:solidFill>
              <a:ln w="6350">
                <a:solidFill>
                  <a:srgbClr val="FFFFFF"/>
                </a:solidFill>
                <a:prstDash val="solid"/>
              </a:ln>
            </c:spPr>
          </c:dPt>
          <c:dPt>
            <c:idx val="8"/>
            <c:bubble3D val="0"/>
            <c:spPr>
              <a:solidFill>
                <a:srgbClr val="917001"/>
              </a:solidFill>
              <a:ln w="6350">
                <a:solidFill>
                  <a:srgbClr val="FFFFFF"/>
                </a:solidFill>
                <a:prstDash val="solid"/>
              </a:ln>
            </c:spPr>
          </c:dPt>
          <c:dPt>
            <c:idx val="9"/>
            <c:bubble3D val="0"/>
            <c:spPr>
              <a:solidFill>
                <a:srgbClr val="467128"/>
              </a:solidFill>
              <a:ln w="6350">
                <a:solidFill>
                  <a:srgbClr val="FFFFFF"/>
                </a:solidFill>
                <a:prstDash val="solid"/>
              </a:ln>
            </c:spPr>
          </c:dPt>
          <c:dPt>
            <c:idx val="10"/>
            <c:bubble3D val="0"/>
            <c:spPr>
              <a:solidFill>
                <a:srgbClr val="1D736C"/>
              </a:solidFill>
              <a:ln w="6350">
                <a:solidFill>
                  <a:srgbClr val="FFFFFF"/>
                </a:solidFill>
                <a:prstDash val="solid"/>
              </a:ln>
            </c:spPr>
          </c:dPt>
          <c:dPt>
            <c:idx val="11"/>
            <c:bubble3D val="0"/>
            <c:spPr>
              <a:solidFill>
                <a:srgbClr val="A01727"/>
              </a:solidFill>
              <a:ln w="6350">
                <a:solidFill>
                  <a:srgbClr val="FFFFFF"/>
                </a:solidFill>
                <a:prstDash val="solid"/>
              </a:ln>
            </c:spPr>
          </c:dPt>
          <c:dPt>
            <c:idx val="12"/>
            <c:bubble3D val="0"/>
            <c:spPr>
              <a:solidFill>
                <a:srgbClr val="6D90D5"/>
              </a:solidFill>
              <a:ln w="6350">
                <a:solidFill>
                  <a:srgbClr val="FFFFFF"/>
                </a:solidFill>
                <a:prstDash val="solid"/>
              </a:ln>
            </c:spPr>
          </c:dPt>
          <c:dPt>
            <c:idx val="13"/>
            <c:bubble3D val="0"/>
            <c:spPr>
              <a:solidFill>
                <a:srgbClr val="F19B59"/>
              </a:solidFill>
              <a:ln w="6350">
                <a:solidFill>
                  <a:srgbClr val="FFFFFF"/>
                </a:solidFill>
                <a:prstDash val="solid"/>
              </a:ln>
            </c:spPr>
          </c:dPt>
          <c:dPt>
            <c:idx val="14"/>
            <c:bubble3D val="0"/>
            <c:spPr>
              <a:solidFill>
                <a:srgbClr val="FDCC2C"/>
              </a:solidFill>
              <a:ln w="6350">
                <a:solidFill>
                  <a:srgbClr val="FFFFFF"/>
                </a:solidFill>
                <a:prstDash val="solid"/>
              </a:ln>
            </c:spPr>
          </c:dPt>
          <c:dPt>
            <c:idx val="15"/>
            <c:bubble3D val="0"/>
            <c:spPr>
              <a:solidFill>
                <a:srgbClr val="91CA68"/>
              </a:solidFill>
              <a:ln w="6350">
                <a:solidFill>
                  <a:srgbClr val="FFFFFF"/>
                </a:solidFill>
                <a:prstDash val="solid"/>
              </a:ln>
            </c:spPr>
          </c:dPt>
          <c:dPt>
            <c:idx val="16"/>
            <c:bubble3D val="0"/>
            <c:spPr>
              <a:solidFill>
                <a:srgbClr val="52D4C9"/>
              </a:solidFill>
              <a:ln w="6350">
                <a:solidFill>
                  <a:srgbClr val="FFFFFF"/>
                </a:solidFill>
                <a:prstDash val="solid"/>
              </a:ln>
            </c:spPr>
          </c:dPt>
          <c:dPt>
            <c:idx val="17"/>
            <c:bubble3D val="0"/>
            <c:spPr>
              <a:solidFill>
                <a:srgbClr val="EA707E"/>
              </a:solidFill>
              <a:ln w="6350">
                <a:solidFill>
                  <a:srgbClr val="FFFFFF"/>
                </a:solidFill>
                <a:prstDash val="solid"/>
              </a:ln>
            </c:spPr>
          </c:dPt>
          <c:dPt>
            <c:idx val="18"/>
            <c:bubble3D val="0"/>
            <c:spPr>
              <a:solidFill>
                <a:srgbClr val="315AAB"/>
              </a:solidFill>
              <a:ln w="6350">
                <a:solidFill>
                  <a:srgbClr val="FFFFFF"/>
                </a:solidFill>
                <a:prstDash val="solid"/>
              </a:ln>
            </c:spPr>
          </c:dPt>
          <c:dPt>
            <c:idx val="19"/>
            <c:bubble3D val="0"/>
            <c:spPr>
              <a:solidFill>
                <a:srgbClr val="D36511"/>
              </a:solidFill>
              <a:ln w="6350">
                <a:solidFill>
                  <a:srgbClr val="FFFFFF"/>
                </a:solidFill>
                <a:prstDash val="solid"/>
              </a:ln>
            </c:spPr>
          </c:dPt>
          <c:dPt>
            <c:idx val="20"/>
            <c:bubble3D val="0"/>
            <c:spPr>
              <a:solidFill>
                <a:srgbClr val="C29502"/>
              </a:solidFill>
              <a:ln w="6350">
                <a:solidFill>
                  <a:srgbClr val="FFFFFF"/>
                </a:solidFill>
                <a:prstDash val="solid"/>
              </a:ln>
            </c:spPr>
          </c:dPt>
          <c:dPt>
            <c:idx val="21"/>
            <c:bubble3D val="0"/>
            <c:spPr>
              <a:solidFill>
                <a:srgbClr val="5E9735"/>
              </a:solidFill>
              <a:ln w="6350">
                <a:solidFill>
                  <a:srgbClr val="FFFFFF"/>
                </a:solidFill>
                <a:prstDash val="solid"/>
              </a:ln>
            </c:spPr>
          </c:dPt>
          <c:dPt>
            <c:idx val="22"/>
            <c:bubble3D val="0"/>
            <c:spPr>
              <a:solidFill>
                <a:srgbClr val="269A90"/>
              </a:solidFill>
              <a:ln w="6350">
                <a:solidFill>
                  <a:srgbClr val="FFFFFF"/>
                </a:solidFill>
                <a:prstDash val="solid"/>
              </a:ln>
            </c:spPr>
          </c:dPt>
          <c:dPt>
            <c:idx val="23"/>
            <c:bubble3D val="0"/>
            <c:spPr>
              <a:solidFill>
                <a:srgbClr val="D51F34"/>
              </a:solidFill>
              <a:ln w="6350">
                <a:solidFill>
                  <a:srgbClr val="FFFFFF"/>
                </a:solidFill>
                <a:prstDash val="solid"/>
              </a:ln>
            </c:spPr>
          </c:dPt>
          <c:dPt>
            <c:idx val="24"/>
            <c:bubble3D val="0"/>
            <c:spPr>
              <a:solidFill>
                <a:srgbClr val="91ACE0"/>
              </a:solidFill>
              <a:ln w="6350">
                <a:solidFill>
                  <a:srgbClr val="FFFFFF"/>
                </a:solidFill>
                <a:prstDash val="solid"/>
              </a:ln>
            </c:spPr>
          </c:dPt>
          <c:dPt>
            <c:idx val="25"/>
            <c:bubble3D val="0"/>
            <c:spPr>
              <a:solidFill>
                <a:srgbClr val="F5B482"/>
              </a:solidFill>
              <a:ln w="6350">
                <a:solidFill>
                  <a:srgbClr val="FFFFFF"/>
                </a:solidFill>
                <a:prstDash val="solid"/>
              </a:ln>
            </c:spPr>
          </c:dPt>
          <c:dLbls>
            <c:showLegendKey val="0"/>
            <c:showVal val="0"/>
            <c:showCatName val="0"/>
            <c:showSerName val="0"/>
            <c:showPercent val="0"/>
            <c:showBubbleSize val="0"/>
            <c:showLeaderLines val="0"/>
          </c:dLbls>
          <c:cat>
            <c:strRef>
              <c:f>'Sheet1 (6)'!$A$2:$A$27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 (6)'!$B$2:$B$27</c:f>
              <c:numCache>
                <c:formatCode>General</c:formatCode>
                <c:ptCount val="26"/>
                <c:pt idx="0">
                  <c:v>174.02</c:v>
                </c:pt>
                <c:pt idx="1">
                  <c:v>0.0</c:v>
                </c:pt>
                <c:pt idx="2">
                  <c:v>0.0</c:v>
                </c:pt>
                <c:pt idx="3">
                  <c:v>0.0</c:v>
                </c:pt>
                <c:pt idx="4">
                  <c:v>0.0</c:v>
                </c:pt>
                <c:pt idx="5">
                  <c:v>0.0</c:v>
                </c:pt>
                <c:pt idx="6">
                  <c:v>0.0</c:v>
                </c:pt>
                <c:pt idx="7">
                  <c:v>8.26</c:v>
                </c:pt>
                <c:pt idx="8">
                  <c:v>4.15</c:v>
                </c:pt>
                <c:pt idx="9">
                  <c:v>0.0</c:v>
                </c:pt>
                <c:pt idx="10">
                  <c:v>0.0</c:v>
                </c:pt>
                <c:pt idx="11">
                  <c:v>0.0</c:v>
                </c:pt>
                <c:pt idx="12">
                  <c:v>0.0</c:v>
                </c:pt>
                <c:pt idx="13">
                  <c:v>0.0</c:v>
                </c:pt>
                <c:pt idx="14">
                  <c:v>0.0</c:v>
                </c:pt>
                <c:pt idx="15">
                  <c:v>0.0</c:v>
                </c:pt>
                <c:pt idx="16">
                  <c:v>0.0</c:v>
                </c:pt>
                <c:pt idx="17">
                  <c:v>0.0</c:v>
                </c:pt>
                <c:pt idx="18">
                  <c:v>6.23</c:v>
                </c:pt>
                <c:pt idx="19">
                  <c:v>0.0</c:v>
                </c:pt>
                <c:pt idx="20">
                  <c:v>0.0</c:v>
                </c:pt>
                <c:pt idx="21">
                  <c:v>0.0</c:v>
                </c:pt>
                <c:pt idx="22">
                  <c:v>0.0</c:v>
                </c:pt>
                <c:pt idx="23">
                  <c:v>0.0</c:v>
                </c:pt>
                <c:pt idx="24">
                  <c:v>0.0</c:v>
                </c:pt>
                <c:pt idx="2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FBFFA527-C5F2-47D1-89AB-931595C2CFF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TotalTime>
  <Application>Yozo_Office27021597764231179</Application>
  <Pages>40</Pages>
  <Words>0</Words>
  <Characters>9396</Characters>
  <Lines>0</Lines>
  <Paragraphs>183</Paragraphs>
  <CharactersWithSpaces>12529</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pc</cp:lastModifiedBy>
  <cp:revision>15</cp:revision>
  <cp:lastPrinted>2023-08-04T01:00:00Z</cp:lastPrinted>
  <dcterms:created xsi:type="dcterms:W3CDTF">2023-08-04T07:55:00Z</dcterms:created>
  <dcterms:modified xsi:type="dcterms:W3CDTF">2025-09-28T06:34:10Z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eyJoZGlkIjoiNTNkNTQ4MTNhZWI0NjQ2ZjUyOGNhZGQ0ZWMwZTMxNzIiLCJ1c2VySWQiOiI0Mzc4Nzg2MjIifQ==</vt:lpwstr>
  </property>
</Properties>
</file>