
<file path=[Content_Types].xml><?xml version="1.0" encoding="utf-8"?>
<Types xmlns="http://schemas.openxmlformats.org/package/2006/content-types">
  <Default Extension="rels" ContentType="application/vnd.openxmlformats-package.relationships+xml"/>
  <Default Extension="xml" ContentType="application/xml"/>
  <Default Extension="jpeg" ContentType="image/jpeg"/>
  <Default Extension="xlsx" ContentType="application/vnd.openxmlformats-officedocument.spreadsheetml.sheet"/>
  <Default Extension="png" ContentType="image/png"/>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line="600" w:lineRule="auto"/>
        <w:jc w:val="both"/>
        <w:rPr>
          <w:rFonts w:ascii="楷体_GB2312" w:eastAsia="楷体_GB2312" w:cs="楷体_GB2312" w:hAnsi="楷体_GB2312" w:hint="eastAsia"/>
          <w:color w:val="000000"/>
          <w:sz w:val="40"/>
          <w:szCs w:val="40"/>
        </w:rPr>
      </w:pPr>
      <w:r>
        <w:drawing>
          <wp:anchor distT="0" distB="0" distL="114300" distR="114300" simplePos="0" relativeHeight="2" behindDoc="1" locked="0" layoutInCell="1" hidden="0" allowOverlap="1">
            <wp:simplePos x="0" y="0"/>
            <wp:positionH relativeFrom="column">
              <wp:posOffset>-1692910</wp:posOffset>
            </wp:positionH>
            <wp:positionV relativeFrom="paragraph">
              <wp:posOffset>-1319530</wp:posOffset>
            </wp:positionV>
            <wp:extent cx="8646795" cy="11107419"/>
            <wp:effectExtent l="0" t="0" r="0" b="0"/>
            <wp:wrapNone/>
            <wp:docPr id="1" name="图片 15" descr="7b0a202020202266696c746572223a202230220a7d0a"/>
            <wp:cNvGraphicFramePr>
              <a:graphicFrameLocks noChangeAspect="0"/>
            </wp:cNvGraphicFramePr>
            <a:graphic>
              <a:graphicData uri="http://schemas.openxmlformats.org/drawingml/2006/picture">
                <pic:pic>
                  <pic:nvPicPr>
                    <pic:cNvPr id="3" name="图片 15 3"/>
                    <pic:cNvPicPr/>
                  </pic:nvPicPr>
                  <pic:blipFill>
                    <a:blip r:embed="rId3">
                      <a:lum bright="5999"/>
                    </a:blip>
                    <a:srcRect t="559" b="3637"/>
                    <a:stretch>
                      <a:fillRect/>
                    </a:stretch>
                  </pic:blipFill>
                  <pic:spPr>
                    <a:xfrm rot="0">
                      <a:off x="0" y="0"/>
                      <a:ext cx="8646795" cy="11107419"/>
                    </a:xfrm>
                    <a:prstGeom prst="rect"/>
                    <a:noFill/>
                    <a:ln w="9525" cmpd="sng" cap="flat">
                      <a:noFill/>
                      <a:prstDash val="solid"/>
                      <a:miter/>
                    </a:ln>
                  </pic:spPr>
                </pic:pic>
              </a:graphicData>
            </a:graphic>
          </wp:anchor>
        </w:drawing>
      </w:r>
      <w:r>
        <mc:AlternateContent>
          <mc:Choice Requires="wps">
            <w:drawing>
              <wp:anchor distT="0" distB="0" distL="114298" distR="114298" simplePos="0" relativeHeight="61" behindDoc="0" locked="0" layoutInCell="1" hidden="0" allowOverlap="1">
                <wp:simplePos x="0" y="0"/>
                <wp:positionH relativeFrom="column">
                  <wp:posOffset>-546735</wp:posOffset>
                </wp:positionH>
                <wp:positionV relativeFrom="paragraph">
                  <wp:posOffset>253365</wp:posOffset>
                </wp:positionV>
                <wp:extent cx="6431279" cy="2862579"/>
                <wp:effectExtent l="0" t="0" r="0" b="0"/>
                <wp:wrapNone/>
                <wp:docPr id="4" name="文本框 1" descr="7b0a2020202022776f7264617274223a20227b5c2269645c223a32353030323136362c5c227469645c223a5c225c227d220a7d0a"/>
                <wp:cNvGraphicFramePr>
                  <a:graphicFrameLocks noChangeAspect="0"/>
                </wp:cNvGraphicFramePr>
                <a:graphic>
                  <a:graphicData uri="http://schemas.microsoft.com/office/word/2010/wordprocessingShape">
                    <wps:wsp>
                      <wps:cNvSpPr/>
                      <wps:spPr>
                        <a:xfrm rot="0">
                          <a:off x="0" y="0"/>
                          <a:ext cx="6431279" cy="2862579"/>
                        </a:xfrm>
                        <a:prstGeom prst="rect"/>
                        <a:noFill/>
                        <a:ln w="9525" cmpd="sng" cap="flat">
                          <a:noFill/>
                          <a:prstDash val="solid"/>
                          <a:round/>
                        </a:ln>
                      </wps:spPr>
                      <wps:txbx id="5">
                        <w:txbxContent>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2024年度</w:t>
                            </w:r>
                          </w:p>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部门决算公开文本</w:t>
                            </w:r>
                          </w:p>
                        </w:txbxContent>
                      </wps:txbx>
                      <wps:bodyPr vert="horz" wrap="square" lIns="91440" tIns="45720" rIns="91440" bIns="45720" anchor="t" anchorCtr="0" upright="0">
                        <a:noAutofit/>
                      </wps:bodyPr>
                    </wps:wsp>
                  </a:graphicData>
                </a:graphic>
              </wp:anchor>
            </w:drawing>
          </mc:Choice>
          <mc:Fallback>
            <w:pict>
              <v:rect type="#_x0000_t1" id="文本框 1 6" o:spid="_x0000_s6" filled="f" stroked="f" alt="7b0a2020202022776f7264617274223a20227b5c2269645c223a32353030323136362c5c227469645c223a5c225c227d220a7d0a" style="position:absolute;margin-left:-43.05pt;margin-top:19.95pt;width:506.4pt;height:225.4pt;z-index:61;mso-position-horizontal:absolute;mso-position-vertical:absolute;mso-wrap-distance-left:8.999863pt;mso-wrap-distance-right:8.999863pt;mso-wrap-style:square;">
                <v:stroke color="#000000"/>
                <v:textbox id="865" inset="2.54mm,1.27mm,2.54mm,1.27mm" o:insetmode="custom" style="layout-flow:horizontal;v-text-anchor:top;">
                  <w:txbxContent>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2024年度</w:t>
                      </w:r>
                    </w:p>
                    <w:p>
                      <w:pPr>
                        <w:spacing w:line="1400" w:lineRule="exact"/>
                        <w:jc w:val="left"/>
                        <w:rPr>
                          <w:rFonts w:ascii="方正小标宋_GBK" w:eastAsia="方正小标宋_GBK" w:cs="方正小标宋_GBK" w:hAnsi="方正小标宋_GBK"/>
                          <w:b/>
                          <w:bCs/>
                          <w:color w:val="0D0D0D"/>
                          <w:sz w:val="112"/>
                          <w:szCs w:val="112"/>
                        </w:rPr>
                      </w:pPr>
                      <w:r>
                        <w:rPr>
                          <w:rFonts w:ascii="方正小标宋_GBK" w:eastAsia="方正小标宋_GBK" w:cs="方正小标宋_GBK" w:hAnsi="方正小标宋_GBK" w:hint="eastAsia"/>
                          <w:b/>
                          <w:bCs/>
                          <w:color w:val="0D0D0D"/>
                          <w:sz w:val="112"/>
                          <w:szCs w:val="112"/>
                        </w:rPr>
                        <w:t>部门决算公开文本</w:t>
                      </w:r>
                    </w:p>
                  </w:txbxContent>
                </v:textbox>
              </v:rect>
            </w:pict>
          </mc:Fallback>
        </mc:AlternateContent>
      </w: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both"/>
        <w:rPr>
          <w:rFonts w:ascii="楷体_GB2312" w:eastAsia="楷体_GB2312" w:cs="楷体_GB2312" w:hAnsi="楷体_GB2312" w:hint="eastAsia"/>
          <w:color w:val="000000"/>
          <w:sz w:val="40"/>
          <w:szCs w:val="40"/>
        </w:rPr>
      </w:pPr>
    </w:p>
    <w:p>
      <w:pPr>
        <w:spacing w:line="600" w:lineRule="auto"/>
        <w:jc w:val="left"/>
        <w:rPr>
          <w:rFonts w:ascii="楷体_GB2312" w:eastAsia="楷体_GB2312" w:cs="楷体_GB2312" w:hAnsi="楷体_GB2312" w:hint="eastAsia"/>
          <w:color w:val="000000"/>
          <w:sz w:val="40"/>
          <w:szCs w:val="40"/>
          <w:lang w:val="en-US" w:eastAsia="zh-CN"/>
        </w:rPr>
      </w:pPr>
      <w:r>
        <w:rPr>
          <w:rFonts w:ascii="黑体" w:eastAsia="黑体" w:cs="黑体" w:hAnsi="黑体" w:hint="eastAsia"/>
          <w:color w:val="000000"/>
          <w:sz w:val="40"/>
          <w:szCs w:val="40"/>
        </w:rPr>
        <w:t>预算代码</w:t>
      </w:r>
      <w:r>
        <w:rPr>
          <w:rFonts w:ascii="楷体_GB2312" w:eastAsia="楷体_GB2312" w:cs="楷体_GB2312" w:hAnsi="楷体_GB2312" w:hint="eastAsia"/>
          <w:color w:val="000000"/>
          <w:sz w:val="40"/>
          <w:szCs w:val="40"/>
        </w:rPr>
        <w:t>：</w:t>
      </w:r>
      <w:r>
        <w:rPr>
          <w:rFonts w:ascii="楷体_GB2312" w:eastAsia="楷体_GB2312" w:cs="楷体_GB2312" w:hAnsi="楷体_GB2312" w:hint="eastAsia"/>
          <w:color w:val="000000"/>
          <w:sz w:val="40"/>
          <w:szCs w:val="40"/>
          <w:lang w:val="en-US" w:eastAsia="zh-CN"/>
        </w:rPr>
        <w:t>303</w:t>
      </w:r>
    </w:p>
    <w:p>
      <w:pPr>
        <w:spacing w:line="600" w:lineRule="auto"/>
        <w:jc w:val="left"/>
        <w:rPr>
          <w:rFonts w:ascii="楷体_GB2312" w:eastAsia="楷体_GB2312" w:cs="楷体_GB2312" w:hAnsi="楷体_GB2312" w:hint="eastAsia"/>
          <w:color w:val="000000"/>
          <w:sz w:val="40"/>
          <w:szCs w:val="40"/>
        </w:rPr>
      </w:pPr>
      <w:r>
        <w:rPr>
          <w:rFonts w:ascii="黑体" w:eastAsia="黑体" w:cs="黑体" w:hAnsi="黑体" w:hint="eastAsia"/>
          <w:color w:val="000000"/>
          <w:sz w:val="40"/>
          <w:szCs w:val="40"/>
        </w:rPr>
        <w:t>单位名称</w:t>
      </w:r>
      <w:r>
        <w:rPr>
          <w:rFonts w:ascii="楷体_GB2312" w:eastAsia="楷体_GB2312" w:cs="楷体_GB2312" w:hAnsi="楷体_GB2312" w:hint="eastAsia"/>
          <w:color w:val="000000"/>
          <w:sz w:val="40"/>
          <w:szCs w:val="40"/>
        </w:rPr>
        <w:t>：行唐县发展改革局（汇总）</w:t>
      </w:r>
    </w:p>
    <w:p>
      <w:pPr>
        <w:spacing w:line="600" w:lineRule="auto"/>
        <w:jc w:val="both"/>
        <w:rPr>
          <w:rFonts w:ascii="楷体_GB2312" w:eastAsia="楷体_GB2312" w:cs="楷体_GB2312" w:hAnsi="楷体_GB2312" w:hint="eastAsia"/>
          <w:color w:val="000000"/>
          <w:sz w:val="40"/>
          <w:szCs w:val="40"/>
        </w:rPr>
        <w:sectPr>
          <w:footerReference w:type="default" r:id="rId2"/>
          <w:pgSz w:w="11906" w:h="16838"/>
          <w:pgMar w:top="2098" w:right="1417" w:bottom="1871" w:left="1417" w:header="851" w:footer="992" w:gutter="0"/>
          <w:docGrid w:type="lines" w:linePitch="312" w:charSpace="0"/>
        </w:sectPr>
      </w:pPr>
    </w:p>
    <w:p>
      <w:pPr>
        <w:spacing w:line="600" w:lineRule="auto"/>
        <w:jc w:val="center"/>
        <w:rPr>
          <w:rFonts w:ascii="楷体_GB2312" w:eastAsia="楷体_GB2312" w:cs="楷体_GB2312" w:hAnsi="楷体_GB2312" w:hint="eastAsia"/>
          <w:color w:val="000000"/>
          <w:sz w:val="40"/>
          <w:szCs w:val="40"/>
        </w:rPr>
      </w:pPr>
    </w:p>
    <w:p>
      <w:pPr>
        <w:rPr>
          <w:rFonts w:ascii="黑体" w:eastAsia="黑体" w:cs="黑体" w:hAnsi="黑体" w:hint="eastAsia"/>
          <w:b/>
          <w:bCs/>
          <w:sz w:val="32"/>
          <w:szCs w:val="36"/>
          <w:highlight w:val="yellow"/>
        </w:rPr>
      </w:pPr>
    </w:p>
    <w:p>
      <w:pPr>
        <w:widowControl/>
        <w:spacing w:before="0" w:beforeAutospacing="0" w:after="0" w:afterAutospacing="0" w:line="360" w:lineRule="auto"/>
        <w:jc w:val="center"/>
        <w:rPr>
          <w:rFonts w:ascii="Times New Roman" w:eastAsia="方正小标宋_GBK" w:hAnsi="Times New Roman"/>
          <w:b w:val="0"/>
          <w:sz w:val="72"/>
          <w:szCs w:val="72"/>
        </w:rPr>
      </w:pPr>
      <w:r>
        <w:rPr>
          <w:rFonts w:ascii="Times New Roman" w:eastAsia="方正小标宋_GBK" w:hAnsi="Times New Roman"/>
          <w:b w:val="0"/>
          <w:sz w:val="72"/>
          <w:szCs w:val="72"/>
        </w:rPr>
        <w:t>行唐县发展改革局</w:t>
      </w:r>
    </w:p>
    <w:p>
      <w:pPr>
        <w:widowControl/>
        <w:spacing w:before="0" w:beforeAutospacing="0" w:after="0" w:afterAutospacing="0" w:line="360" w:lineRule="auto"/>
        <w:jc w:val="center"/>
        <w:rPr>
          <w:rFonts w:ascii="Times New Roman" w:eastAsia="方正小标宋_GBK" w:hAnsi="Times New Roman"/>
          <w:sz w:val="72"/>
          <w:szCs w:val="72"/>
        </w:rPr>
      </w:pPr>
      <w:r>
        <w:rPr>
          <w:rFonts w:ascii="Times New Roman" w:eastAsia="方正小标宋_GBK" w:hAnsi="Times New Roman"/>
          <w:b w:val="0"/>
          <w:sz w:val="72"/>
          <w:szCs w:val="72"/>
        </w:rPr>
        <w:t>（汇总）</w:t>
      </w:r>
    </w:p>
    <w:p>
      <w:pPr>
        <w:widowControl/>
        <w:spacing w:before="0" w:beforeAutospacing="0" w:after="0" w:afterAutospacing="0" w:line="360" w:lineRule="auto"/>
        <w:jc w:val="center"/>
        <w:rPr>
          <w:rFonts w:ascii="Times New Roman" w:eastAsia="方正小标宋_GBK" w:hAnsi="Times New Roman"/>
          <w:sz w:val="72"/>
          <w:szCs w:val="72"/>
        </w:rPr>
      </w:pPr>
      <w:r>
        <w:rPr>
          <w:rFonts w:ascii="Times New Roman" w:eastAsia="仿宋_GB2312" w:hAnsi="Times New Roman"/>
          <w:b w:val="0"/>
          <w:sz w:val="72"/>
          <w:szCs w:val="72"/>
        </w:rPr>
        <w:t>2024</w:t>
      </w:r>
      <w:r>
        <w:rPr>
          <w:rFonts w:ascii="Times New Roman" w:eastAsia="方正小标宋_GBK" w:hAnsi="Times New Roman"/>
          <w:b w:val="0"/>
          <w:sz w:val="72"/>
          <w:szCs w:val="72"/>
        </w:rPr>
        <w:t>年度部门决算公开文本</w:t>
      </w:r>
    </w:p>
    <w:p>
      <w:pPr>
        <w:spacing w:line="36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600" w:lineRule="auto"/>
        <w:jc w:val="center"/>
        <w:rPr>
          <w:rFonts w:ascii="黑体" w:eastAsia="黑体" w:cs="黑体" w:hAnsi="黑体"/>
          <w:sz w:val="56"/>
          <w:szCs w:val="72"/>
        </w:rPr>
      </w:pPr>
    </w:p>
    <w:p>
      <w:pPr>
        <w:spacing w:line="480" w:lineRule="auto"/>
        <w:jc w:val="both"/>
        <w:rPr>
          <w:rFonts w:ascii="黑体" w:eastAsia="黑体" w:cs="黑体" w:hAnsi="黑体"/>
          <w:sz w:val="56"/>
          <w:szCs w:val="72"/>
        </w:rPr>
      </w:pPr>
    </w:p>
    <w:p>
      <w:pPr>
        <w:widowControl/>
        <w:spacing w:before="0" w:beforeAutospacing="0" w:after="0" w:afterAutospacing="0" w:line="360" w:lineRule="auto"/>
        <w:jc w:val="center"/>
        <w:rPr>
          <w:rFonts w:ascii="Times New Roman" w:eastAsia="楷体_GB2312" w:hAnsi="Times New Roman"/>
          <w:b w:val="0"/>
          <w:sz w:val="44"/>
          <w:szCs w:val="44"/>
        </w:rPr>
      </w:pPr>
      <w:r>
        <w:rPr>
          <w:rFonts w:ascii="Times New Roman" w:eastAsia="楷体_GB2312" w:hAnsi="Times New Roman"/>
          <w:b w:val="0"/>
          <w:sz w:val="44"/>
          <w:szCs w:val="44"/>
        </w:rPr>
        <w:t>行唐县发展改革局（汇总）</w:t>
      </w:r>
    </w:p>
    <w:p>
      <w:pPr>
        <w:widowControl/>
        <w:spacing w:before="0" w:beforeAutospacing="0" w:after="0" w:afterAutospacing="0" w:line="360" w:lineRule="auto"/>
        <w:jc w:val="center"/>
        <w:rPr>
          <w:rFonts w:ascii="Times New Roman" w:eastAsia="楷体_GB2312" w:hAnsi="Times New Roman"/>
          <w:sz w:val="44"/>
          <w:szCs w:val="44"/>
        </w:rPr>
      </w:pPr>
      <w:r>
        <w:rPr>
          <w:rFonts w:ascii="Times New Roman" w:eastAsia="楷体_GB2312" w:hAnsi="Times New Roman"/>
          <w:b w:val="0"/>
          <w:sz w:val="44"/>
          <w:szCs w:val="44"/>
        </w:rPr>
        <w:t>二〇二五年八月</w:t>
      </w:r>
    </w:p>
    <w:p>
      <w:pPr>
        <w:snapToGrid w:val="0"/>
        <w:jc w:val="left"/>
        <w:rPr>
          <w:rFonts w:ascii="楷体_GB2312" w:eastAsia="楷体_GB2312" w:cs="楷体_GB2312" w:hAnsi="楷体_GB2312" w:hint="eastAsia"/>
          <w:color w:val="000000"/>
          <w:kern w:val="0"/>
          <w:sz w:val="44"/>
          <w:szCs w:val="44"/>
          <w14:shadow w14:sx="100000" w14:sy="100000" w14:blurRad="38100" w14:dir="2700000" w14:dist="19050" w14:algn="tl">
            <w14:srgbClr w14:val="000000">
              <w14:alpha w14:val="60000"/>
            </w14:srgbClr>
          </w14:shadow>
          <w:lang w:val="en-US" w:eastAsia="zh-CN"/>
        </w:rPr>
      </w:pPr>
    </w:p>
    <w:p>
      <w:pPr>
        <w:snapToGrid w:val="0"/>
        <w:jc w:val="left"/>
        <w:rPr>
          <w:rFonts w:ascii="楷体_GB2312" w:eastAsia="楷体_GB2312" w:cs="楷体_GB2312" w:hAnsi="楷体_GB2312"/>
          <w:color w:val="000000"/>
          <w:kern w:val="0"/>
          <w:sz w:val="44"/>
          <w:szCs w:val="44"/>
          <w14:shadow w14:sx="100000" w14:sy="100000" w14:blurRad="38100" w14:dir="2700000" w14:dist="19050" w14:algn="tl">
            <w14:srgbClr w14:val="000000">
              <w14:alpha w14:val="60000"/>
            </w14:srgbClr>
          </w14:shadow>
          <w:lang w:val="en-US" w:eastAsia="zh-CN"/>
        </w:rPr>
        <w:sectPr>
          <w:footerReference w:type="default" r:id="rId4"/>
          <w:pgSz w:w="11906" w:h="16838"/>
          <w:pgMar w:top="1531" w:right="1984" w:bottom="1531" w:left="2098" w:header="851" w:footer="992" w:gutter="0"/>
          <w:pgNumType w:start="1"/>
          <w:docGrid w:type="lines" w:linePitch="312" w:charSpace="0"/>
        </w:sectPr>
      </w:pPr>
    </w:p>
    <w:p>
      <w:pPr>
        <w:widowControl/>
        <w:spacing w:line="600" w:lineRule="exact"/>
        <w:jc w:val="left"/>
        <w:rPr>
          <w:rFonts w:ascii="黑体" w:eastAsia="黑体" w:cs="黑体" w:hAnsi="黑体"/>
          <w:bCs/>
          <w:sz w:val="32"/>
          <w:szCs w:val="32"/>
        </w:rPr>
      </w:pPr>
    </w:p>
    <w:p>
      <w:pPr>
        <w:tabs>
          <w:tab w:val="left" w:pos="2728"/>
        </w:tabs>
        <w:jc w:val="center"/>
        <w:rPr>
          <w:rFonts w:ascii="黑体" w:eastAsia="黑体" w:cs="Times New Roman" w:hAnsi="Times New Roman"/>
          <w:sz w:val="48"/>
          <w:szCs w:val="48"/>
        </w:r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目    录</w:t>
      </w:r>
    </w:p>
    <w:p>
      <w:pPr>
        <w:widowControl/>
        <w:spacing w:after="160" w:line="580" w:lineRule="exact"/>
        <w:ind w:firstLineChars="200" w:firstLine="640"/>
        <w:rPr>
          <w:rFonts w:ascii="Times New Roman" w:eastAsia="黑体" w:cs="Times New Roman" w:hAnsi="Times New Roman"/>
          <w:sz w:val="32"/>
          <w:szCs w:val="32"/>
        </w:rPr>
      </w:pP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第一部分   部门概况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一、部门职责</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二、机构设置</w:t>
      </w:r>
    </w:p>
    <w:p>
      <w:pPr>
        <w:widowControl/>
        <w:spacing w:before="0" w:beforeAutospacing="0" w:after="0" w:afterAutospacing="0" w:line="360" w:lineRule="auto"/>
        <w:jc w:val="left"/>
        <w:outlineLvl w:val="0"/>
        <w:rPr>
          <w:rFonts w:ascii="Times New Roman" w:eastAsia="黑体" w:hAnsi="Times New Roman"/>
          <w:sz w:val="32"/>
          <w:szCs w:val="32"/>
        </w:rPr>
      </w:pPr>
      <w:r>
        <w:rPr>
          <w:rFonts w:ascii="Times New Roman" w:eastAsia="黑体" w:hAnsi="Times New Roman"/>
          <w:b w:val="0"/>
          <w:sz w:val="32"/>
          <w:szCs w:val="32"/>
        </w:rPr>
        <w:t>第二部分   2024年度部门决算报表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一、收入支出决算总表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二、收入决算表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三、支出决算表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四、财政拨款收入支出决算总表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五、一般公共预算财政拨款支出决算表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六、一般公共预算财政拨款基本支出决算明细表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七、政府性基金预算财政拨款收入支出决算表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八、国有资本经营预算财政拨款支出决算表</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九、财政拨款“三公”经费支出决算表</w:t>
      </w: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第三部分   2024年度部门决算情况说明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二、收入决算情况说明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三、支出决算情况说明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四、财政拨款收入支出决算总体情况说明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五、财政拨款“三公”经费支出决算情况说明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六、机关运行经费支出说明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七、政府采购支出说明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八、国有资产占用情况说明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九、关于2024年度绩效评价情况的说明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十、其他需要说明的情况</w:t>
      </w:r>
    </w:p>
    <w:p>
      <w:pPr>
        <w:widowControl/>
        <w:spacing w:before="0" w:beforeAutospacing="0" w:after="0" w:afterAutospacing="0" w:line="360" w:lineRule="auto"/>
        <w:jc w:val="left"/>
        <w:rPr>
          <w:rFonts w:ascii="Times New Roman" w:eastAsia="黑体" w:hAnsi="Times New Roman"/>
          <w:sz w:val="32"/>
          <w:szCs w:val="32"/>
        </w:rPr>
      </w:pPr>
      <w:r>
        <w:rPr>
          <w:rFonts w:ascii="Times New Roman" w:eastAsia="黑体" w:hAnsi="Times New Roman"/>
          <w:b w:val="0"/>
          <w:sz w:val="32"/>
          <w:szCs w:val="32"/>
        </w:rPr>
        <w:t>第四部分   名词解释</w:t>
      </w:r>
    </w:p>
    <w:p>
      <w:pPr>
        <w:widowControl/>
        <w:spacing w:after="160" w:line="580" w:lineRule="exact"/>
        <w:rPr>
          <w:rFonts w:ascii="Times New Roman" w:eastAsia="黑体" w:cs="Times New Roman" w:hAnsi="Times New Roman" w:hint="eastAsia"/>
          <w:sz w:val="32"/>
          <w:szCs w:val="32"/>
          <w:lang w:val="en-US" w:eastAsia="zh-CN"/>
        </w:rPr>
        <w:sectPr>
          <w:headerReference w:type="default" r:id="rId5"/>
          <w:headerReference w:type="first" r:id="rId6"/>
          <w:footerReference w:type="default" r:id="rId7"/>
          <w:footerReference w:type="first" r:id="rId8"/>
          <w:pgSz w:w="11906" w:h="16838"/>
          <w:pgMar w:top="1474" w:right="1531" w:bottom="1474" w:left="1531" w:header="851" w:footer="992" w:gutter="0"/>
          <w:titlePg/>
          <w:docGrid w:type="lines" w:linePitch="312" w:charSpace="0"/>
        </w:sect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第一部分   部门概况</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一、部门职责</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1、组织拟订全县经济社会发展战略中长期、规划、年度计划及重点领域、区域经济的规划；落实国民经济和社会发展有关地方性法规，起草相关规章。</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2、推进经济体制改革，实施经济体制改革、对外开放有关地方性法规，以及对相关规章的起草和实施。</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3、综合协调和监测调节经济社会协调发展，实施重大调控政策，实施促进就业、调整收入分配、完善社会保障与经济协调发展的政策措施，推进社会公共服务均等化；实施产业政策；组织实施全县国民经济、装备动员。</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4、推进区域经济协调发展、加快城镇化、县域经济发展；负责区域经济合作统筹协调；推动沿海、京津冀两大区域发展。</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5、实施综合性产业政策，负责协调全县第一、二、三产业发展的重大问题并衔接平衡相关发展规划和重大政策，推进经济结构战略性调整。按照经济和社会发展要求，引导产业升级和转型，支持重点领域和行业建设。</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6、拟订社会固定资产投资规模和投资结构的调控目标、及措施，衔接政府投资和重大建设项目的专项规划；按规定权限审批、核准、审核重大建设项目，提出预算内基建建设项目安排建议；开展重点建设项目管理。</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7、保障发展改革一般性日常业务开展和机关事务的基本运转。</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8、负责加强与国家、省、市和京津沟通对接，组织协调京津冀协同发展政策研究、规划编制、对接跑办、项目建设、督导落实等工作。</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9、推进全县信息化建设与应用；指导协调电子政务发展；促进三网融合、信息消费；维护网络与信息安全。</w:t>
      </w:r>
    </w:p>
    <w:p>
      <w:pPr>
        <w:pBdr>
          <w:top w:val="none" w:sz="0" w:space="0" w:color="auto"/>
          <w:left w:val="none" w:sz="0" w:space="0" w:color="auto"/>
          <w:bottom w:val="none" w:sz="0" w:space="0" w:color="auto"/>
          <w:right w:val="none" w:sz="0" w:space="0" w:color="auto"/>
        </w:pBd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w:t>
      </w:r>
      <w:r>
        <w:rPr>
          <w:rFonts w:ascii="仿宋_GB2312" w:eastAsia="仿宋_GB2312"/>
          <w:sz w:val="32"/>
          <w:szCs w:val="32"/>
        </w:rPr>
        <w:t>0</w:t>
      </w:r>
      <w:r>
        <w:rPr>
          <w:rFonts w:ascii="仿宋_GB2312" w:eastAsia="仿宋_GB2312" w:hint="eastAsia"/>
          <w:sz w:val="32"/>
          <w:szCs w:val="32"/>
        </w:rPr>
        <w:t>、落实粮食购销政策，落实粮食最低收购价政策，保证军供等政策性粮食供应，负责县储粮行政管理，确保粮食流通规范有序。</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1</w:t>
      </w:r>
      <w:r>
        <w:rPr>
          <w:rFonts w:ascii="仿宋_GB2312" w:eastAsia="仿宋_GB2312"/>
          <w:sz w:val="32"/>
          <w:szCs w:val="32"/>
        </w:rPr>
        <w:t>1</w:t>
      </w:r>
      <w:r>
        <w:rPr>
          <w:rFonts w:ascii="仿宋_GB2312" w:eastAsia="仿宋_GB2312" w:hint="eastAsia"/>
          <w:sz w:val="32"/>
          <w:szCs w:val="32"/>
        </w:rPr>
        <w:t>、指导全县粮食储存保管及安全生产，负责对粮食收购、储存环节的粮食质量安全和原粮卫生进行监督管理。</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1</w:t>
      </w:r>
      <w:r>
        <w:rPr>
          <w:rFonts w:ascii="仿宋_GB2312" w:eastAsia="仿宋_GB2312"/>
          <w:sz w:val="32"/>
          <w:szCs w:val="32"/>
        </w:rPr>
        <w:t>2</w:t>
      </w:r>
      <w:r>
        <w:rPr>
          <w:rFonts w:ascii="仿宋_GB2312" w:eastAsia="仿宋_GB2312" w:hint="eastAsia"/>
          <w:sz w:val="32"/>
          <w:szCs w:val="32"/>
        </w:rPr>
        <w:t>、对社会粮食流通进行行政执法，依法实施行政处罚；指导行业监督检查和行业执法工作。</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hint="eastAsia"/>
          <w:sz w:val="32"/>
          <w:szCs w:val="32"/>
        </w:rPr>
        <w:t>1</w:t>
      </w:r>
      <w:r>
        <w:rPr>
          <w:rFonts w:ascii="仿宋_GB2312" w:eastAsia="仿宋_GB2312"/>
          <w:sz w:val="32"/>
          <w:szCs w:val="32"/>
        </w:rPr>
        <w:t>3</w:t>
      </w:r>
      <w:r>
        <w:rPr>
          <w:rFonts w:ascii="仿宋_GB2312" w:eastAsia="仿宋_GB2312" w:hint="eastAsia"/>
          <w:sz w:val="32"/>
          <w:szCs w:val="32"/>
        </w:rPr>
        <w:t>、拟定全县国内贸易发展规划，推进农村市场体系建设，推动流通标准化和现代流通方式的发展，组织实施重要生产资料流通管理的责任。</w:t>
      </w:r>
    </w:p>
    <w:p>
      <w:pPr>
        <w:pBdr>
          <w:top w:val="none" w:sz="0" w:space="0" w:color="auto"/>
          <w:left w:val="none" w:sz="0" w:space="0" w:color="auto"/>
          <w:bottom w:val="none" w:sz="0" w:space="0" w:color="auto"/>
          <w:right w:val="none" w:sz="0" w:space="0" w:color="auto"/>
        </w:pBdr>
        <w:snapToGrid w:val="0"/>
        <w:spacing w:line="560" w:lineRule="exact"/>
        <w:ind w:firstLineChars="200" w:firstLine="640"/>
        <w:rPr>
          <w:rFonts w:ascii="仿宋_GB2312" w:eastAsia="仿宋_GB2312" w:hint="eastAsia"/>
          <w:sz w:val="32"/>
          <w:szCs w:val="32"/>
        </w:rPr>
      </w:pPr>
      <w:r>
        <w:rPr>
          <w:rFonts w:ascii="仿宋_GB2312" w:eastAsia="仿宋_GB2312" w:hint="eastAsia"/>
          <w:sz w:val="32"/>
          <w:szCs w:val="32"/>
        </w:rPr>
        <w:t>1</w:t>
      </w:r>
      <w:r>
        <w:rPr>
          <w:rFonts w:ascii="仿宋_GB2312" w:eastAsia="仿宋_GB2312"/>
          <w:sz w:val="32"/>
          <w:szCs w:val="32"/>
        </w:rPr>
        <w:t>4</w:t>
      </w:r>
      <w:r>
        <w:rPr>
          <w:rFonts w:ascii="仿宋_GB2312" w:eastAsia="仿宋_GB2312" w:hint="eastAsia"/>
          <w:sz w:val="32"/>
          <w:szCs w:val="32"/>
        </w:rPr>
        <w:t>、根据国民经济发展需要和社会承受能力，拟订全县价格总水平年度调控计划和中长期调控目标，监测预测全县价格总水平及其结构变动趋势，提出调控建议。管理全县与国民经济和人民生活关系重大、资源稀缺、自然垄断经营的商品价格，拟订作价原则、办法。</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sz w:val="32"/>
          <w:szCs w:val="32"/>
        </w:rPr>
        <w:t>15</w:t>
      </w:r>
      <w:r>
        <w:rPr>
          <w:rFonts w:ascii="仿宋_GB2312" w:eastAsia="仿宋_GB2312" w:hint="eastAsia"/>
          <w:sz w:val="32"/>
          <w:szCs w:val="32"/>
        </w:rPr>
        <w:t>、建立健全产品成本信息网络，组织成本汇总和成本分析；对列入《县价格成本监审管理目录》的商品和收费项目进行调定价监审。</w:t>
      </w:r>
    </w:p>
    <w:p>
      <w:pPr>
        <w:pBdr>
          <w:top w:val="none" w:sz="0" w:space="0" w:color="auto"/>
          <w:left w:val="none" w:sz="0" w:space="0" w:color="auto"/>
          <w:bottom w:val="none" w:sz="0" w:space="0" w:color="auto"/>
          <w:right w:val="none" w:sz="0" w:space="0" w:color="auto"/>
        </w:pBdr>
        <w:snapToGrid w:val="0"/>
        <w:spacing w:beforeAutospacing="0" w:afterAutospacing="0" w:line="560" w:lineRule="exact"/>
        <w:ind w:firstLineChars="200" w:firstLine="640"/>
        <w:jc w:val="both"/>
        <w:rPr>
          <w:rFonts w:ascii="仿宋_GB2312" w:eastAsia="仿宋_GB2312" w:hint="eastAsia"/>
          <w:sz w:val="32"/>
          <w:szCs w:val="32"/>
        </w:rPr>
      </w:pPr>
      <w:r>
        <w:rPr>
          <w:rFonts w:ascii="仿宋_GB2312" w:eastAsia="仿宋_GB2312"/>
          <w:sz w:val="32"/>
          <w:szCs w:val="32"/>
        </w:rPr>
        <w:t>16</w:t>
      </w:r>
      <w:r>
        <w:rPr>
          <w:rFonts w:ascii="仿宋_GB2312" w:eastAsia="仿宋_GB2312" w:hint="eastAsia"/>
          <w:sz w:val="32"/>
          <w:szCs w:val="32"/>
        </w:rPr>
        <w:t>、组织价格和收费监督检查；受理价格处罚的复议案件和申诉案件；依法办理价格举报案件；推行明码标价和价格、收费公示制度，对市场放开商品实施价格监管，加强反价格欺诈反垄断工作。</w:t>
      </w:r>
    </w:p>
    <w:p>
      <w:pPr>
        <w:snapToGrid w:val="0"/>
        <w:spacing w:line="560" w:lineRule="exact"/>
        <w:ind w:left="0" w:firstLineChars="200" w:firstLine="640"/>
        <w:rPr>
          <w:rFonts w:ascii="仿宋_GB2312" w:eastAsia="仿宋_GB2312" w:hAnsi="仿宋_GB2312"/>
          <w:sz w:val="32"/>
          <w:szCs w:val="32"/>
        </w:rPr>
      </w:pPr>
      <w:r>
        <w:rPr>
          <w:rFonts w:ascii="仿宋_GB2312" w:eastAsia="仿宋_GB2312" w:hAnsi="仿宋_GB2312"/>
          <w:sz w:val="32"/>
          <w:szCs w:val="32"/>
        </w:rPr>
        <w:t>17、</w:t>
      </w:r>
      <w:r>
        <w:rPr>
          <w:rFonts w:ascii="仿宋_GB2312" w:eastAsia="仿宋_GB2312" w:hAnsi="仿宋_GB2312" w:hint="eastAsia"/>
          <w:sz w:val="32"/>
          <w:szCs w:val="32"/>
        </w:rPr>
        <w:t>组织谋划、实施全县项目建设规划；指导、监督、管理全县项目建设工作；负责推荐争列省、市重点项目申报工作并组织、协调实施及动态管理。</w:t>
      </w:r>
    </w:p>
    <w:p>
      <w:pPr>
        <w:snapToGrid w:val="0"/>
        <w:spacing w:line="560" w:lineRule="exact"/>
        <w:ind w:firstLineChars="200" w:firstLine="640"/>
        <w:rPr>
          <w:rFonts w:ascii="仿宋_GB2312" w:eastAsia="仿宋_GB2312" w:hint="eastAsia"/>
          <w:sz w:val="32"/>
          <w:szCs w:val="32"/>
        </w:rPr>
      </w:pPr>
      <w:r>
        <w:rPr>
          <w:rFonts w:ascii="仿宋_GB2312" w:eastAsia="仿宋_GB2312" w:hAnsi="仿宋_GB2312"/>
          <w:sz w:val="32"/>
          <w:szCs w:val="32"/>
        </w:rPr>
        <w:t>18、</w:t>
      </w:r>
      <w:r>
        <w:rPr>
          <w:rFonts w:ascii="仿宋_GB2312" w:eastAsia="仿宋_GB2312" w:hAnsi="仿宋_GB2312" w:hint="eastAsia"/>
          <w:sz w:val="32"/>
          <w:szCs w:val="32"/>
        </w:rPr>
        <w:t>负责落实上级制定的招商引资、利用外资、区域协作、项目管理中长期发展规划、年度计划；负责招商项目的谋划、包装、发布、推介、组织实施工作，牵头组织专业性、行业性投资促进活动；负责利用国内外资金项目洽谈、签约工作的组织、指导、协调、调度，负责签约项目的履约落实。</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二、机构设置</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从决算编报单位构成看，纳入2024年度本部门决算汇编范围的独立核算单位（以下简称“单位”）共3个，具体情况如下：</w:t>
      </w:r>
    </w:p>
    <w:tbl>
      <w:tblPr>
        <w:tblpPr w:leftFromText="180" w:rightFromText="180" w:vertAnchor="text" w:horzAnchor="page" w:tblpXSpec="center" w:tblpY="10"/>
        <w:tblOverlap w:val="never"/>
        <w:tblW w:w="8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0" w:type="dxa"/>
          <w:left w:w="108" w:type="dxa"/>
          <w:bottom w:w="0" w:type="dxa"/>
          <w:right w:w="108" w:type="dxa"/>
        </w:tblCellMar>
      </w:tblPr>
      <w:tblGrid>
        <w:gridCol w:w="1015"/>
        <w:gridCol w:w="3744"/>
        <w:gridCol w:w="2616"/>
        <w:gridCol w:w="1214"/>
      </w:tblGrid>
      <w:tr>
        <w:trPr>
          <w:trHeight w:val="811"/>
        </w:trPr>
        <w:tc>
          <w:tcPr>
            <w:tcW w:w="1015"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序号</w:t>
            </w:r>
          </w:p>
        </w:tc>
        <w:tc>
          <w:tcPr>
            <w:tcW w:w="3744"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单位名称</w:t>
            </w:r>
          </w:p>
        </w:tc>
        <w:tc>
          <w:tcPr>
            <w:tcW w:w="2616"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单位基本性质</w:t>
            </w:r>
          </w:p>
        </w:tc>
        <w:tc>
          <w:tcPr>
            <w:tcW w:w="1214" w:type="dxa"/>
            <w:vAlign w:val="center"/>
          </w:tcPr>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经费</w:t>
            </w:r>
          </w:p>
          <w:p>
            <w:pPr>
              <w:spacing w:line="560" w:lineRule="exact"/>
              <w:jc w:val="center"/>
              <w:rPr>
                <w:rFonts w:ascii="仿宋_GB2312" w:eastAsia="仿宋_GB2312" w:cs="ArialUnicodeMS" w:hAnsi="Calibri"/>
                <w:b/>
                <w:bCs/>
                <w:kern w:val="0"/>
                <w:sz w:val="28"/>
                <w:szCs w:val="28"/>
              </w:rPr>
            </w:pPr>
            <w:r>
              <w:rPr>
                <w:rFonts w:ascii="仿宋_GB2312" w:eastAsia="仿宋_GB2312" w:cs="ArialUnicodeMS" w:hAnsi="Calibri" w:hint="eastAsia"/>
                <w:b/>
                <w:bCs/>
                <w:kern w:val="0"/>
                <w:sz w:val="28"/>
                <w:szCs w:val="28"/>
              </w:rPr>
              <w:t>形式</w:t>
            </w:r>
          </w:p>
        </w:tc>
      </w:tr>
      <w:tr>
        <w:trPr>
          <w:trHeight w:val="596"/>
        </w:trPr>
        <w:tc>
          <w:tcPr>
            <w:tcW w:w="101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1</w:t>
            </w:r>
          </w:p>
        </w:tc>
        <w:tc>
          <w:tcPr>
            <w:tcW w:w="3744"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行唐县发展和改革局（本级）</w:t>
            </w:r>
          </w:p>
        </w:tc>
        <w:tc>
          <w:tcPr>
            <w:tcW w:w="2616"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sz w:val="28"/>
                <w:szCs w:val="28"/>
              </w:rPr>
            </w:pPr>
            <w:r>
              <w:rPr>
                <w:rFonts w:ascii="仿宋_GB2312" w:eastAsia="仿宋_GB2312" w:cs="ArialUnicodeMS"/>
                <w:sz w:val="28"/>
                <w:szCs w:val="28"/>
              </w:rPr>
              <w:t>行政单位</w:t>
            </w:r>
          </w:p>
        </w:tc>
        <w:tc>
          <w:tcPr>
            <w:tcW w:w="1214"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全额</w:t>
            </w:r>
          </w:p>
        </w:tc>
      </w:tr>
      <w:tr>
        <w:trPr>
          <w:trHeight w:val="596"/>
        </w:trPr>
        <w:tc>
          <w:tcPr>
            <w:tcW w:w="101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2</w:t>
            </w:r>
          </w:p>
        </w:tc>
        <w:tc>
          <w:tcPr>
            <w:tcW w:w="3744"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行唐县重点项目服务中心</w:t>
            </w:r>
          </w:p>
        </w:tc>
        <w:tc>
          <w:tcPr>
            <w:tcW w:w="2616"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sz w:val="28"/>
                <w:szCs w:val="28"/>
              </w:rPr>
            </w:pPr>
            <w:r>
              <w:rPr>
                <w:rFonts w:ascii="仿宋_GB2312" w:eastAsia="仿宋_GB2312" w:cs="ArialUnicodeMS"/>
                <w:sz w:val="28"/>
                <w:szCs w:val="28"/>
              </w:rPr>
              <w:t>财政补助事业单位</w:t>
            </w:r>
          </w:p>
        </w:tc>
        <w:tc>
          <w:tcPr>
            <w:tcW w:w="1214"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全额</w:t>
            </w:r>
          </w:p>
        </w:tc>
      </w:tr>
      <w:tr>
        <w:trPr>
          <w:trHeight w:val="596"/>
        </w:trPr>
        <w:tc>
          <w:tcPr>
            <w:tcW w:w="1015"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3</w:t>
            </w:r>
          </w:p>
        </w:tc>
        <w:tc>
          <w:tcPr>
            <w:tcW w:w="3744"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行唐县投资促进服务中心</w:t>
            </w:r>
          </w:p>
        </w:tc>
        <w:tc>
          <w:tcPr>
            <w:tcW w:w="2616"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sz w:val="28"/>
                <w:szCs w:val="28"/>
              </w:rPr>
            </w:pPr>
            <w:r>
              <w:rPr>
                <w:rFonts w:ascii="仿宋_GB2312" w:eastAsia="仿宋_GB2312" w:cs="ArialUnicodeMS"/>
                <w:sz w:val="28"/>
                <w:szCs w:val="28"/>
              </w:rPr>
              <w:t>财政补助事业单位</w:t>
            </w:r>
          </w:p>
        </w:tc>
        <w:tc>
          <w:tcPr>
            <w:tcW w:w="1214" w:type="dxa"/>
            <w:tcBorders>
              <w:top w:val="single" w:sz="4" w:space="0" w:color="auto"/>
              <w:left w:val="single" w:sz="4" w:space="0" w:color="auto"/>
              <w:right w:val="single" w:sz="4" w:space="0" w:color="auto"/>
            </w:tcBorders>
          </w:tcPr>
          <w:p>
            <w:pPr>
              <w:spacing w:line="560" w:lineRule="exact"/>
              <w:jc w:val="center"/>
              <w:rPr>
                <w:rFonts w:ascii="仿宋_GB2312" w:eastAsia="仿宋_GB2312" w:cs="ArialUnicodeMS" w:hAnsi="Calibri"/>
                <w:kern w:val="0"/>
                <w:sz w:val="28"/>
                <w:szCs w:val="28"/>
              </w:rPr>
            </w:pPr>
            <w:r>
              <w:rPr>
                <w:rFonts w:ascii="仿宋_GB2312" w:eastAsia="仿宋_GB2312" w:cs="ArialUnicodeMS" w:hAnsi="Calibri" w:hint="eastAsia"/>
                <w:kern w:val="0"/>
                <w:sz w:val="28"/>
                <w:szCs w:val="28"/>
                <w:lang w:val="en-US" w:eastAsia="zh-CN"/>
              </w:rPr>
              <w:t>全额</w:t>
            </w:r>
          </w:p>
        </w:tc>
      </w:tr>
    </w:tbl>
    <w:p>
      <w:pPr>
        <w:rPr>
          <w:rFonts w:ascii="Times New Roman" w:eastAsia="黑体" w:cs="Times New Roman" w:hAnsi="Times New Roman" w:hint="eastAsia"/>
          <w:sz w:val="32"/>
          <w:szCs w:val="32"/>
        </w:rPr>
      </w:pPr>
      <w:r>
        <w:rPr>
          <w:rFonts w:ascii="Times New Roman" w:eastAsia="黑体" w:cs="Times New Roman" w:hAnsi="Times New Roman" w:hint="eastAsia"/>
          <w:sz w:val="32"/>
          <w:szCs w:val="32"/>
        </w:rPr>
        <w:br w:type="page"/>
      </w: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第二部分   </w:t>
      </w:r>
      <w:r>
        <w:rPr>
          <w:rFonts w:ascii="Times New Roman" w:eastAsia="仿宋_GB2312" w:hAnsi="Times New Roman"/>
          <w:b w:val="0"/>
          <w:sz w:val="44"/>
          <w:szCs w:val="44"/>
        </w:rPr>
        <w:t>2024</w:t>
      </w:r>
      <w:r>
        <w:rPr>
          <w:rFonts w:ascii="Times New Roman" w:eastAsia="黑体" w:hAnsi="Times New Roman"/>
          <w:b w:val="0"/>
          <w:sz w:val="44"/>
          <w:szCs w:val="44"/>
        </w:rPr>
        <w:t>年度部门决算表</w:t>
      </w:r>
    </w:p>
    <w:tbl>
      <w:tblPr>
        <w:jc w:val="left"/>
        <w:tblInd w:w="0" w:type="dxa"/>
        <w:tblW w:w="8322" w:type="dxa"/>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2825"/>
        <w:gridCol w:w="914"/>
        <w:gridCol w:w="1194"/>
        <w:gridCol w:w="1756"/>
        <w:gridCol w:w="564"/>
        <w:gridCol w:w="1069"/>
      </w:tblGrid>
      <w:tr>
        <w:trPr>
          <w:trHeight w:val="361"/>
        </w:trPr>
        <w:tc>
          <w:tcPr>
            <w:tcW w:w="8322" w:type="dxa"/>
            <w:gridSpan w:val="6"/>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收入支出决算总表</w:t>
            </w:r>
          </w:p>
        </w:tc>
      </w:tr>
      <w:tr>
        <w:trPr>
          <w:trHeight w:val="357"/>
        </w:trPr>
        <w:tc>
          <w:tcPr>
            <w:tcW w:w="8322" w:type="dxa"/>
            <w:gridSpan w:val="6"/>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公开</w:t>
            </w:r>
            <w:r>
              <w:rPr>
                <w:rFonts w:ascii="Times New Roman" w:eastAsia="宋体" w:cs="Times New Roman" w:hAnsi="Times New Roman" w:hint="eastAsia"/>
                <w:i w:val="0"/>
                <w:iCs w:val="0"/>
                <w:color w:val="000000"/>
                <w:sz w:val="20"/>
                <w:szCs w:val="20"/>
                <w:u w:val="none"/>
                <w:lang w:val="en-US" w:eastAsia="zh-CN"/>
                <w:highlight w:val="auto"/>
              </w:rPr>
              <w:t>01</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51"/>
        </w:trPr>
        <w:tc>
          <w:tcPr>
            <w:tcW w:w="3739" w:type="dxa"/>
            <w:gridSpan w:val="2"/>
            <w:tcBorders>
              <w:top w:val="nil"/>
              <w:left w:val="nil"/>
              <w:bottom w:val="single" w:sz="4" w:space="0" w:color="auto"/>
              <w:right w:val="nil"/>
            </w:tcBorders>
            <w:noWrap/>
            <w:vAlign w:val="bottom"/>
          </w:tcPr>
          <w:p>
            <w:pPr>
              <w:jc w:val="both"/>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部门（单位）：行唐县发展改革局（汇总）</w:t>
            </w:r>
          </w:p>
        </w:tc>
        <w:tc>
          <w:tcPr>
            <w:tcW w:w="2950" w:type="dxa"/>
            <w:gridSpan w:val="2"/>
            <w:tcBorders>
              <w:top w:val="nil"/>
              <w:left w:val="nil"/>
              <w:bottom w:val="single" w:sz="4" w:space="0" w:color="auto"/>
              <w:right w:val="nil"/>
            </w:tcBorders>
            <w:noWrap/>
            <w:vAlign w:val="bottom"/>
          </w:tcPr>
          <w:p>
            <w:pPr>
              <w:jc w:val="center"/>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hint="eastAsia"/>
                <w:i w:val="0"/>
                <w:iCs w:val="0"/>
                <w:color w:val="000000"/>
                <w:sz w:val="20"/>
                <w:szCs w:val="20"/>
                <w:u w:val="none"/>
                <w:lang w:val="en-US" w:eastAsia="zh-CN"/>
                <w:highlight w:val="auto"/>
              </w:rPr>
              <w:t>2024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633" w:type="dxa"/>
            <w:gridSpan w:val="2"/>
            <w:tcBorders>
              <w:top w:val="nil"/>
              <w:left w:val="nil"/>
              <w:bottom w:val="single" w:sz="4" w:space="0" w:color="auto"/>
              <w:right w:val="nil"/>
            </w:tcBorders>
            <w:noWrap/>
            <w:vAlign w:val="bottom"/>
          </w:tcPr>
          <w:p>
            <w:pPr>
              <w:jc w:val="right"/>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44"/>
        </w:trPr>
        <w:tc>
          <w:tcPr>
            <w:tcW w:w="4933" w:type="dxa"/>
            <w:gridSpan w:val="3"/>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收入</w:t>
            </w:r>
          </w:p>
        </w:tc>
        <w:tc>
          <w:tcPr>
            <w:tcW w:w="3389" w:type="dxa"/>
            <w:gridSpan w:val="3"/>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支出</w:t>
            </w:r>
          </w:p>
        </w:tc>
      </w:tr>
      <w:tr>
        <w:trPr>
          <w:trHeight w:val="308"/>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119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决算数</w:t>
            </w: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1069"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决算数</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914" w:type="dxa"/>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119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Times New Roman" w:eastAsia="宋体" w:cs="Times New Roman" w:hAnsi="Times New Roman" w:hint="eastAsia"/>
                <w:i w:val="0"/>
                <w:iCs w:val="0"/>
                <w:color w:val="000000"/>
                <w:sz w:val="20"/>
                <w:szCs w:val="20"/>
                <w:u w:val="none"/>
                <w:lang w:val="en-US" w:eastAsia="zh-CN"/>
                <w:highlight w:val="auto"/>
              </w:rPr>
              <w:t>1</w:t>
            </w: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564" w:type="dxa"/>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1069"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Times New Roman" w:eastAsia="宋体" w:cs="Times New Roman" w:hAnsi="Times New Roman" w:hint="eastAsia"/>
                <w:i w:val="0"/>
                <w:iCs w:val="0"/>
                <w:color w:val="000000"/>
                <w:sz w:val="20"/>
                <w:szCs w:val="20"/>
                <w:u w:val="none"/>
                <w:lang w:val="en-US" w:eastAsia="zh-CN"/>
                <w:highlight w:val="auto"/>
              </w:rPr>
              <w:t>2</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一、一般公共预算财政拨款收入</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宋体" w:eastAsia="宋体" w:cs="宋体" w:hAnsi="宋体"/>
                <w:i w:val="0"/>
                <w:iCs w:val="0"/>
                <w:color w:val="000000"/>
                <w:sz w:val="20"/>
                <w:szCs w:val="20"/>
                <w:u w:val="none"/>
                <w:lang w:val="en-US" w:eastAsia="zh-CN"/>
                <w:highlight w:val="auto"/>
              </w:rPr>
              <w:t>1</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11,368.01</w:t>
            </w: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一、一般公共服务支出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32</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1,313.28</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二、政府性基金预算财政拨款收入</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二、外交支出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33</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三、国有资本经营预算财政拨款收入</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三、国防支出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34</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四、上级补助收入</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四、公共安全支出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35</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五、事业收入</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五、教育支出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36</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六、经营收入</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六、科学技术支出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37</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1,310.05</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七、附属单位上缴收入</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7</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七、文化旅游体育与传媒支出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38</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八、其他收入</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8</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八、社会保障和就业支出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39</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58.50</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9</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九、卫生健康支出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40</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27.14</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10</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十、节能环保支出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41</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3,808.59</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11</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十一、城乡社区支出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42</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362.90</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12</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十二、农林水支出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43</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4,266.82</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13</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十三、交通运输支出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44</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auto"/>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14</w:t>
            </w:r>
          </w:p>
        </w:tc>
        <w:tc>
          <w:tcPr>
            <w:tcW w:w="1194" w:type="dxa"/>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auto"/>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十四、资源勘探工业信息等支出</w:t>
            </w:r>
          </w:p>
        </w:tc>
        <w:tc>
          <w:tcPr>
            <w:tcW w:w="564" w:type="dxa"/>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45</w:t>
            </w:r>
          </w:p>
        </w:tc>
        <w:tc>
          <w:tcPr>
            <w:tcW w:w="1069" w:type="dxa"/>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15</w:t>
            </w:r>
          </w:p>
        </w:tc>
        <w:tc>
          <w:tcPr>
            <w:tcW w:w="1194"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十五、商业服务业等支出</w:t>
            </w:r>
          </w:p>
        </w:tc>
        <w:tc>
          <w:tcPr>
            <w:tcW w:w="56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46</w:t>
            </w:r>
          </w:p>
        </w:tc>
        <w:tc>
          <w:tcPr>
            <w:tcW w:w="1069"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16</w:t>
            </w:r>
          </w:p>
        </w:tc>
        <w:tc>
          <w:tcPr>
            <w:tcW w:w="1194"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十六、金融支出</w:t>
            </w:r>
          </w:p>
        </w:tc>
        <w:tc>
          <w:tcPr>
            <w:tcW w:w="56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47</w:t>
            </w:r>
          </w:p>
        </w:tc>
        <w:tc>
          <w:tcPr>
            <w:tcW w:w="1069"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17</w:t>
            </w:r>
          </w:p>
        </w:tc>
        <w:tc>
          <w:tcPr>
            <w:tcW w:w="1194"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十七、援助其他地区支出</w:t>
            </w:r>
          </w:p>
        </w:tc>
        <w:tc>
          <w:tcPr>
            <w:tcW w:w="56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48</w:t>
            </w:r>
          </w:p>
        </w:tc>
        <w:tc>
          <w:tcPr>
            <w:tcW w:w="1069"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18</w:t>
            </w:r>
          </w:p>
        </w:tc>
        <w:tc>
          <w:tcPr>
            <w:tcW w:w="1194"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十八、自然资源海洋气象等支出</w:t>
            </w:r>
          </w:p>
        </w:tc>
        <w:tc>
          <w:tcPr>
            <w:tcW w:w="56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49</w:t>
            </w:r>
          </w:p>
        </w:tc>
        <w:tc>
          <w:tcPr>
            <w:tcW w:w="1069"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19</w:t>
            </w:r>
          </w:p>
        </w:tc>
        <w:tc>
          <w:tcPr>
            <w:tcW w:w="1194"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十九、住房保障支出</w:t>
            </w:r>
          </w:p>
        </w:tc>
        <w:tc>
          <w:tcPr>
            <w:tcW w:w="56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50</w:t>
            </w:r>
          </w:p>
        </w:tc>
        <w:tc>
          <w:tcPr>
            <w:tcW w:w="1069"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46.48</w:t>
            </w:r>
          </w:p>
        </w:tc>
      </w:tr>
      <w:tr>
        <w:trPr>
          <w:trHeight w:val="476"/>
        </w:trPr>
        <w:tc>
          <w:tcPr>
            <w:tcW w:w="2825" w:type="dxa"/>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20</w:t>
            </w:r>
          </w:p>
        </w:tc>
        <w:tc>
          <w:tcPr>
            <w:tcW w:w="1194"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二十、粮油物资储备支出</w:t>
            </w:r>
          </w:p>
        </w:tc>
        <w:tc>
          <w:tcPr>
            <w:tcW w:w="564" w:type="dxa"/>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51</w:t>
            </w:r>
          </w:p>
        </w:tc>
        <w:tc>
          <w:tcPr>
            <w:tcW w:w="1069" w:type="dxa"/>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174.26</w:t>
            </w:r>
          </w:p>
        </w:tc>
      </w:tr>
      <w:tr>
        <w:trPr>
          <w:trHeight w:val="476"/>
        </w:trPr>
        <w:tc>
          <w:tcPr>
            <w:tcW w:w="2825" w:type="dxa"/>
            <w:tcBorders>
              <w:top w:val="single" w:sz="4" w:space="0" w:color="auto"/>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21</w:t>
            </w:r>
          </w:p>
        </w:tc>
        <w:tc>
          <w:tcPr>
            <w:tcW w:w="1194" w:type="dxa"/>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二十一、国有资本经营预算支出</w:t>
            </w:r>
          </w:p>
        </w:tc>
        <w:tc>
          <w:tcPr>
            <w:tcW w:w="564" w:type="dxa"/>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52</w:t>
            </w:r>
          </w:p>
        </w:tc>
        <w:tc>
          <w:tcPr>
            <w:tcW w:w="1069" w:type="dxa"/>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22</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二十二、灾害防治及应急管理支出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53</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23</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二十三、其他支出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54</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24</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二十四、债务还本支出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55</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25</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二十五、债务付息支出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56</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26</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二十六、抗疫特别国债安排的支出</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57</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本年收入合计</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27</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本年支出合计</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58</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使用非财政拨款结余（含专用结余）</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28</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结余分配</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59</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年初结转和结余</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29</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年末结转和结余</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宋体" w:cs="Times New Roman" w:hAnsi="Times New Roman"/>
                <w:i w:val="0"/>
                <w:iCs w:val="0"/>
                <w:color w:val="000000"/>
                <w:sz w:val="20"/>
                <w:szCs w:val="20"/>
                <w:u w:val="none"/>
                <w:lang w:val="en-US" w:eastAsia="zh-CN"/>
                <w:highlight w:val="auto"/>
              </w:rPr>
              <w:t>60</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476"/>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pP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30</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pP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61</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2825" w:type="dxa"/>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91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31</w:t>
            </w:r>
          </w:p>
        </w:tc>
        <w:tc>
          <w:tcPr>
            <w:tcW w:w="1194"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c>
          <w:tcPr>
            <w:tcW w:w="1756"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564" w:type="dxa"/>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lang w:val="en-US"/>
                <w:highlight w:val="auto"/>
              </w:rPr>
            </w:pPr>
            <w:r>
              <w:rPr>
                <w:rFonts w:ascii="Times New Roman" w:eastAsia="宋体" w:cs="Times New Roman" w:hAnsi="Times New Roman"/>
                <w:i w:val="0"/>
                <w:iCs w:val="0"/>
                <w:color w:val="000000"/>
                <w:kern w:val="0"/>
                <w:sz w:val="20"/>
                <w:szCs w:val="20"/>
                <w:u w:val="none"/>
                <w:lang w:val="en-US" w:eastAsia="zh-CN"/>
                <w:highlight w:val="auto"/>
              </w:rPr>
              <w:t>62</w:t>
            </w:r>
          </w:p>
        </w:tc>
        <w:tc>
          <w:tcPr>
            <w:tcW w:w="1069" w:type="dxa"/>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r>
      <w:tr>
        <w:trPr>
          <w:trHeight w:val="308"/>
        </w:trPr>
        <w:tc>
          <w:tcPr>
            <w:tcW w:w="8322" w:type="dxa"/>
            <w:gridSpan w:val="6"/>
            <w:tcBorders>
              <w:top w:val="nil"/>
              <w:left w:val="nil"/>
              <w:bottom w:val="nil"/>
              <w:right w:val="nil"/>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注：1.本表反映部门本年度的总收支和年末结转结余情况。</w:t>
            </w:r>
          </w:p>
          <w:p>
            <w:pPr>
              <w:keepNext w:val="0"/>
              <w:keepLines w:val="0"/>
              <w:widowControl/>
              <w:suppressLineNumbers w:val="0"/>
              <w:ind w:firstLineChars="200" w:firstLine="40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center"/>
        <w:tblW w:w="4900" w:type="pc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903"/>
        <w:gridCol w:w="1509"/>
        <w:gridCol w:w="1106"/>
        <w:gridCol w:w="1069"/>
        <w:gridCol w:w="694"/>
        <w:gridCol w:w="495"/>
        <w:gridCol w:w="179"/>
        <w:gridCol w:w="692"/>
        <w:gridCol w:w="653"/>
        <w:gridCol w:w="581"/>
      </w:tblGrid>
      <w:tr>
        <w:trPr>
          <w:trHeight w:val="550"/>
        </w:trPr>
        <w:tc>
          <w:tcPr>
            <w:tcW w:w="5000" w:type="pct"/>
            <w:gridSpan w:val="10"/>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收入决算表</w:t>
            </w:r>
          </w:p>
        </w:tc>
      </w:tr>
      <w:tr>
        <w:trPr>
          <w:trHeight w:val="300"/>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hint="eastAsia"/>
                <w:i w:val="0"/>
                <w:iCs w:val="0"/>
                <w:color w:val="000000"/>
                <w:sz w:val="20"/>
                <w:szCs w:val="20"/>
                <w:u w:val="none"/>
                <w:lang w:val="en-US" w:eastAsia="zh-CN"/>
                <w:highlight w:val="auto"/>
              </w:rPr>
              <w:t>02</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2231" w:type="pct"/>
            <w:gridSpan w:val="3"/>
            <w:tcBorders>
              <w:top w:val="nil"/>
              <w:left w:val="nil"/>
              <w:bottom w:val="single" w:sz="4" w:space="0" w:color="auto"/>
              <w:right w:val="nil"/>
            </w:tcBorders>
            <w:noWrap/>
            <w:vAlign w:val="bottom"/>
          </w:tcPr>
          <w:p>
            <w:pP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部门（单位）：行唐县发展改革局（汇总）                                                                                                         </w:t>
            </w:r>
          </w:p>
        </w:tc>
        <w:tc>
          <w:tcPr>
            <w:tcW w:w="1432" w:type="pct"/>
            <w:gridSpan w:val="3"/>
            <w:tcBorders>
              <w:top w:val="nil"/>
              <w:left w:val="nil"/>
              <w:bottom w:val="single" w:sz="4" w:space="0" w:color="auto"/>
              <w:right w:val="nil"/>
            </w:tcBorders>
            <w:noWrap/>
            <w:vAlign w:val="bottom"/>
          </w:tcPr>
          <w:p>
            <w:pPr>
              <w:jc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Times New Roman" w:eastAsia="方正仿宋_GB2312" w:cs="Times New Roman" w:hAnsi="Times New Roman"/>
                <w:i w:val="0"/>
                <w:iCs w:val="0"/>
                <w:color w:val="000000"/>
                <w:sz w:val="20"/>
                <w:szCs w:val="20"/>
                <w:u w:val="none"/>
                <w:lang w:val="en-US" w:eastAsia="zh-CN"/>
                <w:highlight w:val="auto"/>
              </w:rPr>
              <w:t>202</w:t>
            </w:r>
            <w:r>
              <w:rPr>
                <w:rFonts w:ascii="Times New Roman" w:eastAsia="方正仿宋_GB2312" w:cs="Times New Roman" w:hAnsi="Times New Roman" w:hint="eastAsia"/>
                <w:i w:val="0"/>
                <w:iCs w:val="0"/>
                <w:color w:val="00000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335" w:type="pct"/>
            <w:gridSpan w:val="4"/>
            <w:tcBorders>
              <w:top w:val="nil"/>
              <w:left w:val="nil"/>
              <w:bottom w:val="single" w:sz="4" w:space="0" w:color="auto"/>
              <w:right w:val="nil"/>
            </w:tcBorders>
            <w:noWrap/>
            <w:vAlign w:val="bottom"/>
          </w:tcPr>
          <w:p>
            <w:pPr>
              <w:jc w:val="right"/>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10"/>
        </w:trPr>
        <w:tc>
          <w:tcPr>
            <w:tcW w:w="1530"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701"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本年收入合计</w:t>
            </w:r>
          </w:p>
        </w:tc>
        <w:tc>
          <w:tcPr>
            <w:tcW w:w="678"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财政拨款收入</w:t>
            </w:r>
          </w:p>
        </w:tc>
        <w:tc>
          <w:tcPr>
            <w:tcW w:w="440"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上级补助收入</w:t>
            </w:r>
          </w:p>
        </w:tc>
        <w:tc>
          <w:tcPr>
            <w:tcW w:w="427" w:type="pct"/>
            <w:gridSpan w:val="2"/>
            <w:vMerge w:val="restart"/>
            <w:tcBorders>
              <w:top w:val="single" w:sz="4" w:space="0" w:color="auto"/>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事业收入</w:t>
            </w:r>
          </w:p>
        </w:tc>
        <w:tc>
          <w:tcPr>
            <w:tcW w:w="438"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经营收入</w:t>
            </w:r>
          </w:p>
        </w:tc>
        <w:tc>
          <w:tcPr>
            <w:tcW w:w="414"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附属单位上缴收入</w:t>
            </w:r>
          </w:p>
        </w:tc>
        <w:tc>
          <w:tcPr>
            <w:tcW w:w="368"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其他收入</w:t>
            </w:r>
          </w:p>
        </w:tc>
      </w:tr>
      <w:tr>
        <w:trPr>
          <w:trHeight w:val="312"/>
        </w:trPr>
        <w:tc>
          <w:tcPr>
            <w:tcW w:w="572"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957"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561" w:type="pct"/>
            <w:vMerge/>
            <w:tcBorders>
              <w:top w:val="single" w:sz="4" w:space="0" w:color="000000"/>
              <w:left w:val="nil"/>
              <w:bottom w:val="single" w:sz="4" w:space="0" w:color="000000"/>
              <w:right w:val="single" w:sz="4" w:space="0" w:color="000000"/>
            </w:tcBorders>
            <w:noWrap/>
            <w:vAlign w:val="center"/>
          </w:tcPr>
          <w:p/>
        </w:tc>
        <w:tc>
          <w:tcPr>
            <w:tcW w:w="561" w:type="pct"/>
            <w:vMerge/>
            <w:tcBorders>
              <w:top w:val="single" w:sz="4" w:space="0" w:color="000000"/>
              <w:left w:val="nil"/>
              <w:bottom w:val="single" w:sz="4" w:space="0" w:color="000000"/>
              <w:right w:val="single" w:sz="4" w:space="0" w:color="000000"/>
            </w:tcBorders>
            <w:noWrap/>
            <w:vAlign w:val="center"/>
          </w:tcPr>
          <w:p/>
        </w:tc>
        <w:tc>
          <w:tcPr>
            <w:tcW w:w="561" w:type="pct"/>
            <w:vMerge/>
            <w:tcBorders>
              <w:top w:val="single" w:sz="4" w:space="0" w:color="000000"/>
              <w:left w:val="nil"/>
              <w:bottom w:val="single" w:sz="4" w:space="0" w:color="000000"/>
              <w:right w:val="single" w:sz="4" w:space="0" w:color="000000"/>
            </w:tcBorders>
            <w:noWrap/>
            <w:vAlign w:val="center"/>
          </w:tcPr>
          <w:p/>
        </w:tc>
        <w:tc>
          <w:tcPr>
            <w:tcW w:w="522" w:type="pct"/>
            <w:gridSpan w:val="2"/>
            <w:vMerge/>
            <w:tcBorders>
              <w:left w:val="nil"/>
              <w:right w:val="single" w:sz="4" w:space="0" w:color="000000"/>
            </w:tcBorders>
            <w:noWrap/>
            <w:vAlign w:val="center"/>
          </w:tcPr>
          <w:p/>
        </w:tc>
        <w:tc>
          <w:tcPr>
            <w:vMerge/>
            <w:tcBorders>
              <w:top w:val="single" w:sz="4" w:space="0" w:color="auto"/>
              <w:left w:val="nil"/>
              <w:bottom w:val="single" w:sz="4" w:space="0" w:color="000000"/>
              <w:right w:val="single" w:sz="4" w:space="0" w:color="000000"/>
            </w:tcBorders>
            <w:noWrap/>
            <w:vAlign w:val="center"/>
          </w:tcPr>
          <w:p/>
        </w:tc>
        <w:tc>
          <w:tcPr>
            <w:tcW w:w="556" w:type="pct"/>
            <w:vMerge/>
            <w:tcBorders>
              <w:top w:val="single" w:sz="4" w:space="0" w:color="000000"/>
              <w:left w:val="nil"/>
              <w:bottom w:val="single" w:sz="4" w:space="0" w:color="000000"/>
              <w:right w:val="single" w:sz="4" w:space="0" w:color="000000"/>
            </w:tcBorders>
            <w:noWrap/>
            <w:vAlign w:val="center"/>
          </w:tcPr>
          <w:p/>
        </w:tc>
        <w:tc>
          <w:tcPr>
            <w:tcW w:w="522" w:type="pct"/>
            <w:vMerge/>
            <w:tcBorders>
              <w:top w:val="single" w:sz="4" w:space="0" w:color="000000"/>
              <w:left w:val="nil"/>
              <w:bottom w:val="single" w:sz="4" w:space="0" w:color="000000"/>
              <w:right w:val="single" w:sz="4" w:space="0" w:color="000000"/>
            </w:tcBorders>
            <w:noWrap/>
            <w:vAlign w:val="center"/>
          </w:tcPr>
          <w:p/>
        </w:tc>
      </w:tr>
      <w:tr>
        <w:trPr>
          <w:trHeight w:val="312"/>
        </w:trPr>
        <w:tc>
          <w:tcPr>
            <w:tcW w:w="563" w:type="pct"/>
            <w:vMerge/>
            <w:tcBorders>
              <w:top w:val="nil"/>
              <w:left w:val="single" w:sz="4" w:space="0" w:color="000000"/>
              <w:bottom w:val="single" w:sz="4" w:space="0" w:color="000000"/>
              <w:right w:val="single" w:sz="4" w:space="0" w:color="000000"/>
            </w:tcBorders>
            <w:noWrap/>
            <w:vAlign w:val="center"/>
          </w:tcPr>
          <w:p/>
        </w:tc>
        <w:tc>
          <w:tcPr>
            <w:tcW w:w="628" w:type="pct"/>
            <w:vMerge/>
            <w:tcBorders>
              <w:top w:val="nil"/>
              <w:left w:val="nil"/>
              <w:bottom w:val="single" w:sz="4" w:space="0" w:color="000000"/>
              <w:right w:val="single" w:sz="4" w:space="0" w:color="000000"/>
            </w:tcBorders>
            <w:noWrap/>
            <w:vAlign w:val="center"/>
          </w:tcPr>
          <w:p/>
        </w:tc>
        <w:tc>
          <w:tcPr>
            <w:tcW w:w="561" w:type="pct"/>
            <w:vMerge/>
            <w:tcBorders>
              <w:top w:val="single" w:sz="4" w:space="0" w:color="000000"/>
              <w:left w:val="nil"/>
              <w:bottom w:val="single" w:sz="4" w:space="0" w:color="000000"/>
              <w:right w:val="single" w:sz="4" w:space="0" w:color="000000"/>
            </w:tcBorders>
            <w:noWrap/>
            <w:vAlign w:val="center"/>
          </w:tcPr>
          <w:p/>
        </w:tc>
        <w:tc>
          <w:tcPr>
            <w:tcW w:w="561" w:type="pct"/>
            <w:vMerge/>
            <w:tcBorders>
              <w:top w:val="single" w:sz="4" w:space="0" w:color="000000"/>
              <w:left w:val="nil"/>
              <w:bottom w:val="single" w:sz="4" w:space="0" w:color="000000"/>
              <w:right w:val="single" w:sz="4" w:space="0" w:color="000000"/>
            </w:tcBorders>
            <w:noWrap/>
            <w:vAlign w:val="center"/>
          </w:tcPr>
          <w:p/>
        </w:tc>
        <w:tc>
          <w:tcPr>
            <w:tcW w:w="561" w:type="pct"/>
            <w:vMerge/>
            <w:tcBorders>
              <w:top w:val="single" w:sz="4" w:space="0" w:color="000000"/>
              <w:left w:val="nil"/>
              <w:bottom w:val="single" w:sz="4" w:space="0" w:color="000000"/>
              <w:right w:val="single" w:sz="4" w:space="0" w:color="000000"/>
            </w:tcBorders>
            <w:noWrap/>
            <w:vAlign w:val="center"/>
          </w:tcPr>
          <w:p/>
        </w:tc>
        <w:tc>
          <w:tcPr>
            <w:tcW w:w="522" w:type="pct"/>
            <w:gridSpan w:val="2"/>
            <w:vMerge/>
            <w:tcBorders>
              <w:left w:val="nil"/>
              <w:right w:val="single" w:sz="4" w:space="0" w:color="000000"/>
            </w:tcBorders>
            <w:noWrap/>
            <w:vAlign w:val="center"/>
          </w:tcPr>
          <w:p/>
        </w:tc>
        <w:tc>
          <w:tcPr>
            <w:vMerge/>
            <w:tcBorders>
              <w:top w:val="single" w:sz="4" w:space="0" w:color="auto"/>
              <w:left w:val="nil"/>
              <w:bottom w:val="single" w:sz="4" w:space="0" w:color="000000"/>
              <w:right w:val="single" w:sz="4" w:space="0" w:color="000000"/>
            </w:tcBorders>
            <w:noWrap/>
            <w:vAlign w:val="center"/>
          </w:tcPr>
          <w:p/>
        </w:tc>
        <w:tc>
          <w:tcPr>
            <w:tcW w:w="556" w:type="pct"/>
            <w:vMerge/>
            <w:tcBorders>
              <w:top w:val="single" w:sz="4" w:space="0" w:color="000000"/>
              <w:left w:val="nil"/>
              <w:bottom w:val="single" w:sz="4" w:space="0" w:color="000000"/>
              <w:right w:val="single" w:sz="4" w:space="0" w:color="000000"/>
            </w:tcBorders>
            <w:noWrap/>
            <w:vAlign w:val="center"/>
          </w:tcPr>
          <w:p/>
        </w:tc>
        <w:tc>
          <w:tcPr>
            <w:tcW w:w="522" w:type="pct"/>
            <w:vMerge/>
            <w:tcBorders>
              <w:top w:val="single" w:sz="4" w:space="0" w:color="000000"/>
              <w:left w:val="nil"/>
              <w:bottom w:val="single" w:sz="4" w:space="0" w:color="000000"/>
              <w:right w:val="single" w:sz="4" w:space="0" w:color="000000"/>
            </w:tcBorders>
            <w:noWrap/>
            <w:vAlign w:val="center"/>
          </w:tcPr>
          <w:p/>
        </w:tc>
      </w:tr>
      <w:tr>
        <w:trPr>
          <w:trHeight w:val="312"/>
        </w:trPr>
        <w:tc>
          <w:tcPr>
            <w:tcW w:w="563" w:type="pct"/>
            <w:vMerge/>
            <w:tcBorders>
              <w:top w:val="nil"/>
              <w:left w:val="single" w:sz="4" w:space="0" w:color="000000"/>
              <w:bottom w:val="single" w:sz="4" w:space="0" w:color="000000"/>
              <w:right w:val="single" w:sz="4" w:space="0" w:color="000000"/>
            </w:tcBorders>
            <w:noWrap/>
            <w:vAlign w:val="center"/>
          </w:tcPr>
          <w:p/>
        </w:tc>
        <w:tc>
          <w:tcPr>
            <w:tcW w:w="628" w:type="pct"/>
            <w:vMerge/>
            <w:tcBorders>
              <w:top w:val="nil"/>
              <w:left w:val="nil"/>
              <w:bottom w:val="single" w:sz="4" w:space="0" w:color="000000"/>
              <w:right w:val="single" w:sz="4" w:space="0" w:color="000000"/>
            </w:tcBorders>
            <w:noWrap/>
            <w:vAlign w:val="center"/>
          </w:tcPr>
          <w:p/>
        </w:tc>
        <w:tc>
          <w:tcPr>
            <w:tcW w:w="561" w:type="pct"/>
            <w:vMerge/>
            <w:tcBorders>
              <w:top w:val="single" w:sz="4" w:space="0" w:color="000000"/>
              <w:left w:val="nil"/>
              <w:bottom w:val="single" w:sz="4" w:space="0" w:color="000000"/>
              <w:right w:val="single" w:sz="4" w:space="0" w:color="000000"/>
            </w:tcBorders>
            <w:noWrap/>
            <w:vAlign w:val="center"/>
          </w:tcPr>
          <w:p/>
        </w:tc>
        <w:tc>
          <w:tcPr>
            <w:tcW w:w="561" w:type="pct"/>
            <w:vMerge/>
            <w:tcBorders>
              <w:top w:val="single" w:sz="4" w:space="0" w:color="000000"/>
              <w:left w:val="nil"/>
              <w:bottom w:val="single" w:sz="4" w:space="0" w:color="000000"/>
              <w:right w:val="single" w:sz="4" w:space="0" w:color="000000"/>
            </w:tcBorders>
            <w:noWrap/>
            <w:vAlign w:val="center"/>
          </w:tcPr>
          <w:p/>
        </w:tc>
        <w:tc>
          <w:tcPr>
            <w:tcW w:w="561" w:type="pct"/>
            <w:vMerge/>
            <w:tcBorders>
              <w:top w:val="single" w:sz="4" w:space="0" w:color="000000"/>
              <w:left w:val="nil"/>
              <w:bottom w:val="single" w:sz="4" w:space="0" w:color="000000"/>
              <w:right w:val="single" w:sz="4" w:space="0" w:color="000000"/>
            </w:tcBorders>
            <w:noWrap/>
            <w:vAlign w:val="center"/>
          </w:tcPr>
          <w:p/>
        </w:tc>
        <w:tc>
          <w:tcPr>
            <w:tcW w:w="522" w:type="pct"/>
            <w:gridSpan w:val="2"/>
            <w:vMerge/>
            <w:tcBorders>
              <w:left w:val="nil"/>
              <w:bottom w:val="single" w:sz="4" w:space="0" w:color="000000"/>
              <w:right w:val="single" w:sz="4" w:space="0" w:color="000000"/>
            </w:tcBorders>
            <w:noWrap/>
            <w:vAlign w:val="center"/>
          </w:tcPr>
          <w:p/>
        </w:tc>
        <w:tc>
          <w:tcPr>
            <w:vMerge/>
            <w:tcBorders>
              <w:top w:val="single" w:sz="4" w:space="0" w:color="auto"/>
              <w:left w:val="nil"/>
              <w:bottom w:val="single" w:sz="4" w:space="0" w:color="000000"/>
              <w:right w:val="single" w:sz="4" w:space="0" w:color="000000"/>
            </w:tcBorders>
            <w:noWrap/>
            <w:vAlign w:val="center"/>
          </w:tcPr>
          <w:p/>
        </w:tc>
        <w:tc>
          <w:tcPr>
            <w:tcW w:w="556" w:type="pct"/>
            <w:vMerge/>
            <w:tcBorders>
              <w:top w:val="single" w:sz="4" w:space="0" w:color="000000"/>
              <w:left w:val="nil"/>
              <w:bottom w:val="single" w:sz="4" w:space="0" w:color="000000"/>
              <w:right w:val="single" w:sz="4" w:space="0" w:color="000000"/>
            </w:tcBorders>
            <w:noWrap/>
            <w:vAlign w:val="center"/>
          </w:tcPr>
          <w:p/>
        </w:tc>
        <w:tc>
          <w:tcPr>
            <w:tcW w:w="522" w:type="pct"/>
            <w:vMerge/>
            <w:tcBorders>
              <w:top w:val="single" w:sz="4" w:space="0" w:color="000000"/>
              <w:left w:val="nil"/>
              <w:bottom w:val="single" w:sz="4" w:space="0" w:color="000000"/>
              <w:right w:val="single" w:sz="4" w:space="0" w:color="000000"/>
            </w:tcBorders>
            <w:noWrap/>
            <w:vAlign w:val="center"/>
          </w:tcPr>
          <w:p/>
        </w:tc>
      </w:tr>
      <w:tr>
        <w:trPr>
          <w:trHeight w:val="454"/>
        </w:trPr>
        <w:tc>
          <w:tcPr>
            <w:tcW w:w="1530"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701"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1</w:t>
            </w:r>
          </w:p>
        </w:tc>
        <w:tc>
          <w:tcPr>
            <w:tcW w:w="67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2</w:t>
            </w:r>
          </w:p>
        </w:tc>
        <w:tc>
          <w:tcPr>
            <w:tcW w:w="440"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3</w:t>
            </w:r>
          </w:p>
        </w:tc>
        <w:tc>
          <w:tcPr>
            <w:tcW w:w="427"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4</w:t>
            </w:r>
          </w:p>
        </w:tc>
        <w:tc>
          <w:tcPr>
            <w:tcW w:w="4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5</w:t>
            </w:r>
          </w:p>
        </w:tc>
        <w:tc>
          <w:tcPr>
            <w:tcW w:w="414"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6</w:t>
            </w:r>
          </w:p>
        </w:tc>
        <w:tc>
          <w:tcPr>
            <w:tcW w:w="36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7</w:t>
            </w:r>
          </w:p>
        </w:tc>
      </w:tr>
      <w:tr>
        <w:trPr>
          <w:trHeight w:val="567"/>
        </w:trPr>
        <w:tc>
          <w:tcPr>
            <w:tcW w:w="1530"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13,268.01</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13,268.01</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一般公共服务支出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1,313.28</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1,313.28</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发展与改革事务</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1,303.28</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1,303.28</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2010401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行政运行</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557.36</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557.36</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2010402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一般行政管理事务</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649.18</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649.18</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2010450</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事业运行</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96.74</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96.74</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其他一般公共服务支出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10.00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10.00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2019999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其他一般公共服务支出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10.00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10.00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科学技术支出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1,310.05</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1,310.05</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科学技术管理事务</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290.63</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290.63</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2060102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一般行政管理事务</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278.84</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278.84</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2060199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其他科学技术管理事务支出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11.79</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11.79</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基础研究</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941.81</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941.81</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2060299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其他基础研究支出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941.81</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941.81</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20604</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技术研究与开发</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39.07</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39.07</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2060404</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科技成果转化与扩散</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39.07</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39.07</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20605</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科技条件与服务</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14.00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14.00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2060599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其他科技条件与服务支出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14.00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14.00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其他科学技术支出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24.54</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24.54</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2069999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其他科学技术支出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24.54</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24.54</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社会保障和就业支出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58.50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58.50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20805</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行政事业单位养老支出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55.73</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55.73</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2080505</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机关事业单位基本养老保险缴费支出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55.73</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55.73</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财政对其他社会保险基金的补助</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2.76</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2.76</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2082701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财政对失业保险基金的补助</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1.11</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1.11</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2082702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财政对工伤保险基金的补助</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1.66</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1.66</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卫生健康支出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27.14</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27.14</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行政事业单位医疗</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27.14</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27.14</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2101101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行政单位医疗</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2.34</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2.34</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2101102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事业单位医疗</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24.80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24.80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节能环保支出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21103</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污染防治</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2110301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大气</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3,808.59</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城乡社区支出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362.90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362.90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21203</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城乡社区公共设施</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362.90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362.90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2120303</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小城镇基础设施建设</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290.88</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290.88</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2120399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其他城乡社区公共设施支出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72.02</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72.02</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213</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农林水支出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4,266.82</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4,266.82</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21305</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巩固脱贫攻坚成果衔接乡村振兴</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4,266.82</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4,266.82</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2130504</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农村基础设施建设</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166.82</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166.82</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2130599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其他巩固脱贫攻坚成果衔接乡村振兴支出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4,100.00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4,100.00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住房保障支出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46.48</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46.48</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22102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住房改革支出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46.48</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46.48</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2210201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住房公积金</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46.48</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46.48</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粮油物资储备支出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174.26</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174.26</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22201</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粮油物资事务</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85.06</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85.06</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2220115</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粮食风险基金</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85.06</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85.06</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22204</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粮油储备</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89.20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89.20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2220402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储备粮油差价补贴</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89.20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89.20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229</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22904</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其他政府性基金及对应专项债务收入安排的支出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72"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2290402</w:t>
            </w:r>
          </w:p>
        </w:tc>
        <w:tc>
          <w:tcPr>
            <w:tcW w:w="957"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kern w:val="0"/>
                <w:sz w:val="20"/>
                <w:szCs w:val="20"/>
                <w:u w:val="none"/>
                <w:lang w:val="en-US" w:eastAsia="zh-CN" w:bidi="ar-SA"/>
                <w:highlight w:val="auto"/>
              </w:rPr>
            </w:pPr>
            <w:r>
              <w:rPr>
                <w:rFonts w:ascii="方正仿宋_GB2312" w:eastAsia="方正仿宋_GB2312" w:cs="方正仿宋_GB2312" w:hAnsi="方正仿宋_GB2312" w:hint="eastAsia"/>
                <w:spacing w:val="-2"/>
                <w:sz w:val="20"/>
                <w:szCs w:val="20"/>
                <w:lang w:val="en-US" w:eastAsia="zh-CN"/>
              </w:rPr>
              <w:t>其他地方自行试点项目收益专项债券收入安排的支出</w:t>
            </w:r>
          </w:p>
        </w:tc>
        <w:tc>
          <w:tcPr>
            <w:tcW w:w="70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67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r>
              <w:rPr>
                <w:rFonts w:ascii="Times New Roman" w:eastAsia="宋体" w:cs="Times New Roman" w:hAnsi="Times New Roman"/>
                <w:spacing w:val="-2"/>
                <w:sz w:val="20"/>
                <w:szCs w:val="20"/>
                <w:lang w:val="en-US" w:eastAsia="zh-CN"/>
              </w:rPr>
              <w:t>1,900.00</w:t>
            </w:r>
          </w:p>
        </w:tc>
        <w:tc>
          <w:tcPr>
            <w:tcW w:w="440"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2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3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41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c>
          <w:tcPr>
            <w:tcW w:w="36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kern w:val="0"/>
                <w:sz w:val="20"/>
                <w:szCs w:val="20"/>
                <w:u w:val="none"/>
                <w:lang w:val="en-US" w:eastAsia="zh-CN" w:bidi="ar-SA"/>
                <w:highlight w:val="auto"/>
              </w:rPr>
            </w:pPr>
          </w:p>
        </w:tc>
      </w:tr>
      <w:tr>
        <w:trPr>
          <w:trHeight w:val="308"/>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黑体" w:eastAsia="黑体" w:cs="宋体" w:hAnsi="黑体" w:hint="eastAsia"/>
          <w:bCs/>
          <w:kern w:val="0"/>
          <w:sz w:val="32"/>
          <w:szCs w:val="32"/>
          <w:highlight w:val="auto"/>
        </w:rPr>
      </w:pPr>
      <w:r>
        <w:rPr>
          <w:rFonts w:ascii="仿宋_GB2312" w:eastAsia="仿宋_GB2312" w:hAnsi="宋体" w:hint="eastAsia"/>
          <w:b/>
          <w:color w:val="auto"/>
          <w:kern w:val="0"/>
          <w:sz w:val="32"/>
          <w:szCs w:val="32"/>
          <w:highlight w:val="auto"/>
        </w:rPr>
        <w:br w:type="page"/>
      </w:r>
    </w:p>
    <w:tbl>
      <w:tblPr>
        <w:jc w:val="center"/>
        <w:tblW w:w="4997" w:type="pc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890"/>
        <w:gridCol w:w="1936"/>
        <w:gridCol w:w="1106"/>
        <w:gridCol w:w="900"/>
        <w:gridCol w:w="408"/>
        <w:gridCol w:w="642"/>
        <w:gridCol w:w="787"/>
        <w:gridCol w:w="730"/>
        <w:gridCol w:w="636"/>
      </w:tblGrid>
      <w:tr>
        <w:trPr>
          <w:trHeight w:val="550"/>
        </w:trPr>
        <w:tc>
          <w:tcPr>
            <w:tcW w:w="5000" w:type="pct"/>
            <w:gridSpan w:val="9"/>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br w:type="page"/>
              <w:t>支出决算表</w:t>
            </w:r>
          </w:p>
        </w:tc>
      </w:tr>
      <w:tr>
        <w:trPr>
          <w:trHeight w:val="30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i w:val="0"/>
                <w:iCs w:val="0"/>
                <w:color w:val="000000"/>
                <w:kern w:val="0"/>
                <w:sz w:val="20"/>
                <w:szCs w:val="20"/>
                <w:u w:val="none"/>
                <w:lang w:val="en-US" w:eastAsia="zh-CN"/>
                <w:highlight w:val="auto"/>
              </w:rPr>
              <w:t>03</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2447"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部门（单位）：行唐县发展改革局（汇总） </w:t>
            </w:r>
            <w:r>
              <w:rPr>
                <w:rFonts w:ascii="宋体" w:eastAsia="宋体" w:cs="宋体" w:hint="eastAsia"/>
                <w:i w:val="0"/>
                <w:iCs w:val="0"/>
                <w:color w:val="000000"/>
                <w:kern w:val="0"/>
                <w:sz w:val="20"/>
                <w:szCs w:val="20"/>
                <w:u w:val="none"/>
                <w:lang w:val="en-US" w:eastAsia="zh-CN"/>
                <w:highlight w:val="auto"/>
              </w:rPr>
              <w:t xml:space="preserve">                                                                                                         </w:t>
            </w:r>
          </w:p>
        </w:tc>
        <w:tc>
          <w:tcPr>
            <w:tcW w:w="813" w:type="pct"/>
            <w:gridSpan w:val="2"/>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int="eastAsia"/>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739" w:type="pct"/>
            <w:gridSpan w:val="4"/>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金额单位：万元</w:t>
            </w:r>
          </w:p>
        </w:tc>
      </w:tr>
      <w:tr>
        <w:trPr>
          <w:trHeight w:val="510"/>
        </w:trPr>
        <w:tc>
          <w:tcPr>
            <w:tcW w:w="1758"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688"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本年支出合计</w:t>
            </w:r>
          </w:p>
        </w:tc>
        <w:tc>
          <w:tcPr>
            <w:tcW w:w="559"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653" w:type="pct"/>
            <w:gridSpan w:val="2"/>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c>
          <w:tcPr>
            <w:tcW w:w="489"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上缴上级支出</w:t>
            </w:r>
          </w:p>
        </w:tc>
        <w:tc>
          <w:tcPr>
            <w:tcW w:w="454"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经营支出</w:t>
            </w:r>
          </w:p>
        </w:tc>
        <w:tc>
          <w:tcPr>
            <w:tcW w:w="395"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对附属单位补助支出</w:t>
            </w:r>
          </w:p>
        </w:tc>
      </w:tr>
      <w:tr>
        <w:trPr>
          <w:trHeight w:val="308"/>
        </w:trPr>
        <w:tc>
          <w:tcPr>
            <w:tcW w:w="553"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204"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603" w:type="pct"/>
            <w:vMerge/>
            <w:tcBorders>
              <w:top w:val="single" w:sz="4" w:space="0" w:color="000000"/>
              <w:left w:val="nil"/>
              <w:bottom w:val="single" w:sz="4" w:space="0" w:color="000000"/>
              <w:right w:val="single" w:sz="4" w:space="0" w:color="000000"/>
            </w:tcBorders>
            <w:noWrap/>
            <w:vAlign w:val="center"/>
          </w:tcPr>
          <w:p/>
        </w:tc>
        <w:tc>
          <w:tcPr>
            <w:tcW w:w="2492" w:type="pct"/>
            <w:vMerge/>
            <w:tcBorders>
              <w:top w:val="single" w:sz="4" w:space="0" w:color="auto"/>
              <w:left w:val="nil"/>
              <w:bottom w:val="single" w:sz="4" w:space="0" w:color="000000"/>
              <w:right w:val="single" w:sz="4" w:space="0" w:color="000000"/>
            </w:tcBorders>
            <w:noWrap/>
            <w:vAlign w:val="center"/>
          </w:tcPr>
          <w:p/>
        </w:tc>
        <w:tc>
          <w:tcPr>
            <w:tcW w:w="601" w:type="pct"/>
            <w:gridSpan w:val="2"/>
            <w:vMerge/>
            <w:tcBorders>
              <w:top w:val="single" w:sz="4" w:space="0" w:color="000000"/>
              <w:left w:val="nil"/>
              <w:bottom w:val="single" w:sz="4" w:space="0" w:color="000000"/>
              <w:right w:val="single" w:sz="4" w:space="0" w:color="000000"/>
            </w:tcBorders>
            <w:noWrap/>
            <w:vAlign w:val="center"/>
          </w:tcPr>
          <w:p/>
        </w:tc>
        <w:tc>
          <w:tcPr>
            <w:vMerge/>
            <w:tcBorders>
              <w:top w:val="single" w:sz="4" w:space="0" w:color="auto"/>
              <w:left w:val="nil"/>
              <w:bottom w:val="single" w:sz="4" w:space="0" w:color="000000"/>
              <w:right w:val="single" w:sz="4" w:space="0" w:color="000000"/>
            </w:tcBorders>
            <w:noWrap/>
            <w:vAlign w:val="center"/>
          </w:tcPr>
          <w:p/>
        </w:tc>
        <w:tc>
          <w:tcPr>
            <w:tcW w:w="601" w:type="pct"/>
            <w:vMerge/>
            <w:tcBorders>
              <w:top w:val="single" w:sz="4" w:space="0" w:color="000000"/>
              <w:left w:val="nil"/>
              <w:bottom w:val="single" w:sz="4" w:space="0" w:color="000000"/>
              <w:right w:val="single" w:sz="4" w:space="0" w:color="000000"/>
            </w:tcBorders>
            <w:noWrap/>
            <w:vAlign w:val="center"/>
          </w:tcPr>
          <w:p/>
        </w:tc>
        <w:tc>
          <w:tcPr>
            <w:tcW w:w="798" w:type="pct"/>
            <w:vMerge/>
            <w:tcBorders>
              <w:top w:val="single" w:sz="4" w:space="0" w:color="000000"/>
              <w:left w:val="nil"/>
              <w:bottom w:val="single" w:sz="4" w:space="0" w:color="000000"/>
              <w:right w:val="single" w:sz="4" w:space="0" w:color="000000"/>
            </w:tcBorders>
            <w:noWrap/>
            <w:vAlign w:val="center"/>
          </w:tcPr>
          <w:p/>
        </w:tc>
      </w:tr>
      <w:tr>
        <w:trPr>
          <w:trHeight w:val="308"/>
        </w:trPr>
        <w:tc>
          <w:tcPr>
            <w:tcW w:w="555" w:type="pct"/>
            <w:vMerge/>
            <w:tcBorders>
              <w:top w:val="nil"/>
              <w:left w:val="single" w:sz="4" w:space="0" w:color="000000"/>
              <w:bottom w:val="single" w:sz="4" w:space="0" w:color="000000"/>
              <w:right w:val="single" w:sz="4" w:space="0" w:color="000000"/>
            </w:tcBorders>
            <w:noWrap/>
            <w:vAlign w:val="center"/>
          </w:tcPr>
          <w:p/>
        </w:tc>
        <w:tc>
          <w:tcPr>
            <w:tcW w:w="635" w:type="pct"/>
            <w:vMerge/>
            <w:tcBorders>
              <w:top w:val="nil"/>
              <w:left w:val="nil"/>
              <w:bottom w:val="single" w:sz="4" w:space="0" w:color="000000"/>
              <w:right w:val="single" w:sz="4" w:space="0" w:color="000000"/>
            </w:tcBorders>
            <w:noWrap/>
            <w:vAlign w:val="center"/>
          </w:tcPr>
          <w:p/>
        </w:tc>
        <w:tc>
          <w:tcPr>
            <w:tcW w:w="603" w:type="pct"/>
            <w:vMerge/>
            <w:tcBorders>
              <w:top w:val="single" w:sz="4" w:space="0" w:color="000000"/>
              <w:left w:val="nil"/>
              <w:bottom w:val="single" w:sz="4" w:space="0" w:color="000000"/>
              <w:right w:val="single" w:sz="4" w:space="0" w:color="000000"/>
            </w:tcBorders>
            <w:noWrap/>
            <w:vAlign w:val="center"/>
          </w:tcPr>
          <w:p/>
        </w:tc>
        <w:tc>
          <w:tcPr>
            <w:tcW w:w="2492" w:type="pct"/>
            <w:vMerge/>
            <w:tcBorders>
              <w:top w:val="single" w:sz="4" w:space="0" w:color="auto"/>
              <w:left w:val="nil"/>
              <w:bottom w:val="single" w:sz="4" w:space="0" w:color="000000"/>
              <w:right w:val="single" w:sz="4" w:space="0" w:color="000000"/>
            </w:tcBorders>
            <w:noWrap/>
            <w:vAlign w:val="center"/>
          </w:tcPr>
          <w:p/>
        </w:tc>
        <w:tc>
          <w:tcPr>
            <w:tcW w:w="601" w:type="pct"/>
            <w:gridSpan w:val="2"/>
            <w:vMerge/>
            <w:tcBorders>
              <w:top w:val="single" w:sz="4" w:space="0" w:color="000000"/>
              <w:left w:val="nil"/>
              <w:bottom w:val="single" w:sz="4" w:space="0" w:color="000000"/>
              <w:right w:val="single" w:sz="4" w:space="0" w:color="000000"/>
            </w:tcBorders>
            <w:noWrap/>
            <w:vAlign w:val="center"/>
          </w:tcPr>
          <w:p/>
        </w:tc>
        <w:tc>
          <w:tcPr>
            <w:vMerge/>
            <w:tcBorders>
              <w:top w:val="single" w:sz="4" w:space="0" w:color="auto"/>
              <w:left w:val="nil"/>
              <w:bottom w:val="single" w:sz="4" w:space="0" w:color="000000"/>
              <w:right w:val="single" w:sz="4" w:space="0" w:color="000000"/>
            </w:tcBorders>
            <w:noWrap/>
            <w:vAlign w:val="center"/>
          </w:tcPr>
          <w:p/>
        </w:tc>
        <w:tc>
          <w:tcPr>
            <w:tcW w:w="601" w:type="pct"/>
            <w:vMerge/>
            <w:tcBorders>
              <w:top w:val="single" w:sz="4" w:space="0" w:color="000000"/>
              <w:left w:val="nil"/>
              <w:bottom w:val="single" w:sz="4" w:space="0" w:color="000000"/>
              <w:right w:val="single" w:sz="4" w:space="0" w:color="000000"/>
            </w:tcBorders>
            <w:noWrap/>
            <w:vAlign w:val="center"/>
          </w:tcPr>
          <w:p/>
        </w:tc>
        <w:tc>
          <w:tcPr>
            <w:tcW w:w="798" w:type="pct"/>
            <w:vMerge/>
            <w:tcBorders>
              <w:top w:val="single" w:sz="4" w:space="0" w:color="000000"/>
              <w:left w:val="nil"/>
              <w:bottom w:val="single" w:sz="4" w:space="0" w:color="000000"/>
              <w:right w:val="single" w:sz="4" w:space="0" w:color="000000"/>
            </w:tcBorders>
            <w:noWrap/>
            <w:vAlign w:val="center"/>
          </w:tcPr>
          <w:p/>
        </w:tc>
      </w:tr>
      <w:tr>
        <w:trPr>
          <w:trHeight w:val="308"/>
        </w:trPr>
        <w:tc>
          <w:tcPr>
            <w:tcW w:w="555" w:type="pct"/>
            <w:vMerge/>
            <w:tcBorders>
              <w:top w:val="nil"/>
              <w:left w:val="single" w:sz="4" w:space="0" w:color="000000"/>
              <w:bottom w:val="single" w:sz="4" w:space="0" w:color="000000"/>
              <w:right w:val="single" w:sz="4" w:space="0" w:color="000000"/>
            </w:tcBorders>
            <w:noWrap/>
            <w:vAlign w:val="center"/>
          </w:tcPr>
          <w:p/>
        </w:tc>
        <w:tc>
          <w:tcPr>
            <w:tcW w:w="635" w:type="pct"/>
            <w:vMerge/>
            <w:tcBorders>
              <w:top w:val="nil"/>
              <w:left w:val="nil"/>
              <w:bottom w:val="single" w:sz="4" w:space="0" w:color="000000"/>
              <w:right w:val="single" w:sz="4" w:space="0" w:color="000000"/>
            </w:tcBorders>
            <w:noWrap/>
            <w:vAlign w:val="center"/>
          </w:tcPr>
          <w:p/>
        </w:tc>
        <w:tc>
          <w:tcPr>
            <w:tcW w:w="603" w:type="pct"/>
            <w:vMerge/>
            <w:tcBorders>
              <w:top w:val="single" w:sz="4" w:space="0" w:color="000000"/>
              <w:left w:val="nil"/>
              <w:bottom w:val="single" w:sz="4" w:space="0" w:color="000000"/>
              <w:right w:val="single" w:sz="4" w:space="0" w:color="000000"/>
            </w:tcBorders>
            <w:noWrap/>
            <w:vAlign w:val="center"/>
          </w:tcPr>
          <w:p/>
        </w:tc>
        <w:tc>
          <w:tcPr>
            <w:tcW w:w="2492" w:type="pct"/>
            <w:vMerge/>
            <w:tcBorders>
              <w:top w:val="single" w:sz="4" w:space="0" w:color="auto"/>
              <w:left w:val="nil"/>
              <w:bottom w:val="single" w:sz="4" w:space="0" w:color="000000"/>
              <w:right w:val="single" w:sz="4" w:space="0" w:color="000000"/>
            </w:tcBorders>
            <w:noWrap/>
            <w:vAlign w:val="center"/>
          </w:tcPr>
          <w:p/>
        </w:tc>
        <w:tc>
          <w:tcPr>
            <w:tcW w:w="601" w:type="pct"/>
            <w:gridSpan w:val="2"/>
            <w:vMerge/>
            <w:tcBorders>
              <w:top w:val="single" w:sz="4" w:space="0" w:color="000000"/>
              <w:left w:val="nil"/>
              <w:bottom w:val="single" w:sz="4" w:space="0" w:color="000000"/>
              <w:right w:val="single" w:sz="4" w:space="0" w:color="000000"/>
            </w:tcBorders>
            <w:noWrap/>
            <w:vAlign w:val="center"/>
          </w:tcPr>
          <w:p/>
        </w:tc>
        <w:tc>
          <w:tcPr>
            <w:vMerge/>
            <w:tcBorders>
              <w:top w:val="single" w:sz="4" w:space="0" w:color="auto"/>
              <w:left w:val="nil"/>
              <w:bottom w:val="single" w:sz="4" w:space="0" w:color="000000"/>
              <w:right w:val="single" w:sz="4" w:space="0" w:color="000000"/>
            </w:tcBorders>
            <w:noWrap/>
            <w:vAlign w:val="center"/>
          </w:tcPr>
          <w:p/>
        </w:tc>
        <w:tc>
          <w:tcPr>
            <w:tcW w:w="601" w:type="pct"/>
            <w:vMerge/>
            <w:tcBorders>
              <w:top w:val="single" w:sz="4" w:space="0" w:color="000000"/>
              <w:left w:val="nil"/>
              <w:bottom w:val="single" w:sz="4" w:space="0" w:color="000000"/>
              <w:right w:val="single" w:sz="4" w:space="0" w:color="000000"/>
            </w:tcBorders>
            <w:noWrap/>
            <w:vAlign w:val="center"/>
          </w:tcPr>
          <w:p/>
        </w:tc>
        <w:tc>
          <w:tcPr>
            <w:tcW w:w="798" w:type="pct"/>
            <w:vMerge/>
            <w:tcBorders>
              <w:top w:val="single" w:sz="4" w:space="0" w:color="000000"/>
              <w:left w:val="nil"/>
              <w:bottom w:val="single" w:sz="4" w:space="0" w:color="000000"/>
              <w:right w:val="single" w:sz="4" w:space="0" w:color="000000"/>
            </w:tcBorders>
            <w:noWrap/>
            <w:vAlign w:val="center"/>
          </w:tcPr>
          <w:p/>
        </w:tc>
      </w:tr>
      <w:tr>
        <w:trPr>
          <w:trHeight w:val="454"/>
        </w:trPr>
        <w:tc>
          <w:tcPr>
            <w:tcW w:w="1758"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68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w:t>
            </w:r>
          </w:p>
        </w:tc>
        <w:tc>
          <w:tcPr>
            <w:tcW w:w="55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653"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48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454"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395"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r>
      <w:tr>
        <w:trPr>
          <w:trHeight w:val="308"/>
        </w:trPr>
        <w:tc>
          <w:tcPr>
            <w:tcW w:w="1758" w:type="pct"/>
            <w:gridSpan w:val="2"/>
            <w:tcBorders>
              <w:top w:val="single" w:sz="4" w:space="0" w:color="000000"/>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786.21</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12,481.80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一般公共服务支出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1,313.28</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654.10</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659.18</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发展与改革事务</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1,303.28</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654.10</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649.18</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行政运行</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649.18</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649.18</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2010450</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事业运行</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96.74</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96.74</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其他一般公共服务支出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2019999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其他一般公共服务支出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1,310.05</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1,310.05</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科学技术管理事务</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290.63</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290.63</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2060102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278.84</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278.84</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其他科学技术管理事务支出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11.79</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11.79</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基础研究</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2060299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其他基础研究支出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20604</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技术研究与开发</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2060404</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科技成果转化与扩散</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20605</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科技条件与服务</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2060599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其他科技条件与服务支出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2069999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社会保障和就业支出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58.50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58.50</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行政事业单位养老支出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2080505</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机关事业单位基本养老保险缴费支出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财政对其他社会保险基金的补助</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2.76</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2.76</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财政对失业保险基金的补助</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1.11</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1.11</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财政对工伤保险基金的补助</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卫生健康支出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27.14</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27.14</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行政事业单位医疗</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27.14</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27.14</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行政单位医疗</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2.34</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2.34</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事业单位医疗</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24.80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24.80</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节能环保支出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21103</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污染防治</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2110301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大气</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城乡社区支出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城乡社区公共设施</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2120303</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小城镇基础设施建设</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290.88</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290.88</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其他城乡社区公共设施支出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72.02</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72.02</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农林水支出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巩固脱贫攻坚成果衔接乡村振兴</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2130504</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农村基础设施建设</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166.82</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166.82</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2130599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其他巩固脱贫攻坚成果衔接乡村振兴支出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4,100.00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4,100.00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住房保障支出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住房改革支出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2210201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住房公积金</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粮油物资储备支出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174.26</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174.26</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22201</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粮油物资事务</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2220115</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粮食风险基金</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22204</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粮油储备</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2220402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储备粮油差价补贴</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22904</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其他政府性基金及对应专项债务收入安排的支出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53"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2290402</w:t>
            </w:r>
          </w:p>
        </w:tc>
        <w:tc>
          <w:tcPr>
            <w:tcW w:w="1204"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其他地方自行试点项目收益专项债券收入安排的支出</w:t>
            </w:r>
          </w:p>
        </w:tc>
        <w:tc>
          <w:tcPr>
            <w:tcW w:w="688"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55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653"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1,900.00</w:t>
            </w:r>
          </w:p>
        </w:tc>
        <w:tc>
          <w:tcPr>
            <w:tcW w:w="489"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454"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95"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0" w:type="dxa"/>
        <w:tblW w:w="4995"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1361"/>
        <w:gridCol w:w="424"/>
        <w:gridCol w:w="969"/>
        <w:gridCol w:w="1151"/>
        <w:gridCol w:w="442"/>
        <w:gridCol w:w="544"/>
        <w:gridCol w:w="53"/>
        <w:gridCol w:w="1034"/>
        <w:gridCol w:w="919"/>
        <w:gridCol w:w="600"/>
        <w:gridCol w:w="537"/>
      </w:tblGrid>
      <w:tr>
        <w:trPr>
          <w:trHeight w:val="550"/>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财政拨款收入支出决算总表</w:t>
            </w:r>
          </w:p>
        </w:tc>
      </w:tr>
      <w:tr>
        <w:trPr>
          <w:trHeight w:val="300"/>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公开04表</w:t>
            </w:r>
          </w:p>
        </w:tc>
      </w:tr>
      <w:tr>
        <w:trPr>
          <w:trHeight w:val="300"/>
        </w:trPr>
        <w:tc>
          <w:tcPr>
            <w:tcW w:w="2429" w:type="pct"/>
            <w:gridSpan w:val="4"/>
            <w:tcBorders>
              <w:top w:val="nil"/>
              <w:left w:val="nil"/>
              <w:bottom w:val="single" w:sz="4" w:space="0" w:color="auto"/>
              <w:right w:val="nil"/>
            </w:tcBorders>
            <w:noWrap/>
            <w:vAlign w:val="bottom"/>
          </w:tcPr>
          <w:p>
            <w:pPr>
              <w:rPr>
                <w:rFonts w:ascii="仿宋" w:eastAsia="仿宋" w:cs="仿宋" w:hAnsi="仿宋"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部门（单位）：行唐县发展改革局（汇总） </w:t>
            </w:r>
            <w:r>
              <w:rPr>
                <w:rFonts w:ascii="宋体" w:eastAsia="宋体" w:cs="宋体" w:hint="eastAsia"/>
                <w:i w:val="0"/>
                <w:iCs w:val="0"/>
                <w:color w:val="000000"/>
                <w:kern w:val="0"/>
                <w:sz w:val="20"/>
                <w:szCs w:val="20"/>
                <w:u w:val="none"/>
                <w:lang w:val="en-US" w:eastAsia="zh-CN"/>
                <w:highlight w:val="auto"/>
              </w:rPr>
              <w:t xml:space="preserve">                                                                                                   </w:t>
            </w:r>
          </w:p>
        </w:tc>
        <w:tc>
          <w:tcPr>
            <w:tcW w:w="646" w:type="pct"/>
            <w:gridSpan w:val="3"/>
            <w:tcBorders>
              <w:top w:val="nil"/>
              <w:left w:val="nil"/>
              <w:bottom w:val="single" w:sz="4" w:space="0" w:color="auto"/>
              <w:right w:val="nil"/>
            </w:tcBorders>
            <w:noWrap/>
            <w:vAlign w:val="bottom"/>
          </w:tcPr>
          <w:p>
            <w:pPr>
              <w:jc w:val="center"/>
              <w:rPr>
                <w:rFonts w:ascii="宋体" w:eastAsia="宋体" w:cs="宋体"/>
                <w:i w:val="0"/>
                <w:iCs w:val="0"/>
                <w:color w:val="000000"/>
                <w:kern w:val="0"/>
                <w:sz w:val="20"/>
                <w:szCs w:val="20"/>
                <w:u w:val="none"/>
                <w:lang w:val="en-US" w:eastAsia="zh-CN"/>
                <w:highlight w:val="auto"/>
              </w:rPr>
            </w:pPr>
            <w:r>
              <w:rPr>
                <w:rFonts w:ascii="Times New Roman"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923" w:type="pct"/>
            <w:gridSpan w:val="4"/>
            <w:tcBorders>
              <w:top w:val="nil"/>
              <w:left w:val="nil"/>
              <w:bottom w:val="single" w:sz="4" w:space="0" w:color="auto"/>
              <w:right w:val="nil"/>
            </w:tcBorders>
            <w:noWrap/>
            <w:vAlign w:val="bottom"/>
          </w:tcPr>
          <w:p>
            <w:pPr>
              <w:jc w:val="right"/>
              <w:rPr>
                <w:rFonts w:ascii="宋体" w:eastAsia="宋体" w:cs="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08"/>
        </w:trPr>
        <w:tc>
          <w:tcPr>
            <w:tcW w:w="1713" w:type="pct"/>
            <w:gridSpan w:val="3"/>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收入</w:t>
            </w:r>
          </w:p>
        </w:tc>
        <w:tc>
          <w:tcPr>
            <w:tcW w:w="3286" w:type="pct"/>
            <w:gridSpan w:val="8"/>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支出</w:t>
            </w:r>
          </w:p>
        </w:tc>
      </w:tr>
      <w:tr>
        <w:trPr>
          <w:trHeight w:val="312"/>
        </w:trPr>
        <w:tc>
          <w:tcPr>
            <w:tcW w:w="847"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    目</w:t>
            </w:r>
          </w:p>
        </w:tc>
        <w:tc>
          <w:tcPr>
            <w:tcW w:w="263"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603"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金额</w:t>
            </w:r>
          </w:p>
        </w:tc>
        <w:tc>
          <w:tcPr>
            <w:tcW w:w="991"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33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行次</w:t>
            </w:r>
          </w:p>
        </w:tc>
        <w:tc>
          <w:tcPr>
            <w:tcW w:w="676" w:type="pct"/>
            <w:gridSpan w:val="2"/>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合计</w:t>
            </w:r>
          </w:p>
        </w:tc>
        <w:tc>
          <w:tcPr>
            <w:tcW w:w="571"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一般公共预算财政拨款</w:t>
            </w:r>
          </w:p>
        </w:tc>
        <w:tc>
          <w:tcPr>
            <w:tcW w:w="373"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政府性基金预算财政拨款</w:t>
            </w:r>
          </w:p>
        </w:tc>
        <w:tc>
          <w:tcPr>
            <w:tcW w:w="334" w:type="pct"/>
            <w:vMerge w:val="restart"/>
            <w:tcBorders>
              <w:top w:val="nil"/>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highlight w:val="auto"/>
              </w:rPr>
              <w:t>国有资本经营预算财政拨款</w:t>
            </w:r>
          </w:p>
        </w:tc>
      </w:tr>
      <w:tr>
        <w:trPr>
          <w:trHeight w:val="312"/>
        </w:trPr>
        <w:tc>
          <w:tcPr>
            <w:tcW w:w="847" w:type="pct"/>
            <w:vMerge/>
            <w:tcBorders>
              <w:top w:val="nil"/>
              <w:left w:val="single" w:sz="4" w:space="0" w:color="000000"/>
              <w:bottom w:val="single" w:sz="4" w:space="0" w:color="000000"/>
              <w:right w:val="single" w:sz="4" w:space="0" w:color="000000"/>
            </w:tcBorders>
            <w:noWrap/>
            <w:vAlign w:val="center"/>
          </w:tcPr>
          <w:p/>
        </w:tc>
        <w:tc>
          <w:tcPr>
            <w:tcW w:w="265" w:type="pct"/>
            <w:vMerge/>
            <w:tcBorders>
              <w:top w:val="nil"/>
              <w:left w:val="nil"/>
              <w:bottom w:val="single" w:sz="4" w:space="0" w:color="000000"/>
              <w:right w:val="single" w:sz="4" w:space="0" w:color="000000"/>
            </w:tcBorders>
            <w:noWrap/>
            <w:vAlign w:val="center"/>
          </w:tcPr>
          <w:p/>
        </w:tc>
        <w:tc>
          <w:tcPr>
            <w:tcW w:w="610" w:type="pct"/>
            <w:vMerge/>
            <w:tcBorders>
              <w:top w:val="nil"/>
              <w:left w:val="nil"/>
              <w:bottom w:val="single" w:sz="4" w:space="0" w:color="000000"/>
              <w:right w:val="single" w:sz="4" w:space="0" w:color="000000"/>
            </w:tcBorders>
            <w:noWrap/>
            <w:vAlign w:val="center"/>
          </w:tcPr>
          <w:p/>
        </w:tc>
        <w:tc>
          <w:tcPr>
            <w:tcW w:w="895" w:type="pct"/>
            <w:gridSpan w:val="2"/>
            <w:vMerge/>
            <w:tcBorders>
              <w:top w:val="nil"/>
              <w:left w:val="nil"/>
              <w:bottom w:val="single" w:sz="4" w:space="0" w:color="000000"/>
              <w:right w:val="single" w:sz="4" w:space="0" w:color="000000"/>
            </w:tcBorders>
            <w:noWrap/>
            <w:vAlign w:val="center"/>
          </w:tcPr>
          <w:p/>
        </w:tc>
        <w:tc>
          <w:tcPr>
            <w:tcW w:w="265" w:type="pct"/>
            <w:vMerge/>
            <w:tcBorders>
              <w:top w:val="nil"/>
              <w:left w:val="nil"/>
              <w:bottom w:val="single" w:sz="4" w:space="0" w:color="000000"/>
              <w:right w:val="single" w:sz="4" w:space="0" w:color="000000"/>
            </w:tcBorders>
            <w:noWrap/>
            <w:vAlign w:val="center"/>
          </w:tcPr>
          <w:p/>
        </w:tc>
        <w:tc>
          <w:tcPr>
            <w:tcW w:w="551" w:type="pct"/>
            <w:gridSpan w:val="2"/>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c>
          <w:tcPr>
            <w:tcW w:w="520" w:type="pct"/>
            <w:vMerge/>
            <w:tcBorders>
              <w:left w:val="nil"/>
              <w:bottom w:val="single" w:sz="4" w:space="0" w:color="000000"/>
              <w:right w:val="single" w:sz="8" w:space="0" w:color="000000"/>
            </w:tcBorders>
            <w:noWrap/>
            <w:vAlign w:val="center"/>
          </w:tcPr>
          <w:p/>
        </w:tc>
        <w:tc>
          <w:tcPr>
            <w:tcW w:w="524" w:type="pct"/>
            <w:vMerge/>
            <w:tcBorders>
              <w:left w:val="nil"/>
              <w:bottom w:val="single" w:sz="4" w:space="0" w:color="000000"/>
              <w:right w:val="single" w:sz="8" w:space="0" w:color="000000"/>
            </w:tcBorders>
            <w:noWrap/>
            <w:vAlign w:val="center"/>
          </w:tc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    次</w:t>
            </w:r>
          </w:p>
        </w:tc>
        <w:tc>
          <w:tcPr>
            <w:tcW w:w="263"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60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1</w:t>
            </w: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    次</w:t>
            </w:r>
          </w:p>
        </w:tc>
        <w:tc>
          <w:tcPr>
            <w:tcW w:w="338" w:type="pct"/>
            <w:tcBorders>
              <w:top w:val="nil"/>
              <w:left w:val="nil"/>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67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2</w:t>
            </w:r>
          </w:p>
        </w:tc>
        <w:tc>
          <w:tcPr>
            <w:tcW w:w="571"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3</w:t>
            </w:r>
          </w:p>
        </w:tc>
        <w:tc>
          <w:tcPr>
            <w:tcW w:w="37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4</w:t>
            </w:r>
          </w:p>
        </w:tc>
        <w:tc>
          <w:tcPr>
            <w:tcW w:w="334" w:type="pct"/>
            <w:tcBorders>
              <w:top w:val="nil"/>
              <w:left w:val="nil"/>
              <w:bottom w:val="single" w:sz="4" w:space="0" w:color="000000"/>
              <w:right w:val="single" w:sz="8" w:space="0" w:color="000000"/>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highlight w:val="auto"/>
              </w:rPr>
            </w:pPr>
            <w:r>
              <w:rPr>
                <w:rFonts w:ascii="宋体" w:eastAsia="宋体" w:cs="宋体" w:hAnsi="宋体" w:hint="eastAsia"/>
                <w:i w:val="0"/>
                <w:iCs w:val="0"/>
                <w:color w:val="000000"/>
                <w:kern w:val="0"/>
                <w:sz w:val="20"/>
                <w:szCs w:val="20"/>
                <w:u w:val="none"/>
                <w:lang w:val="en-US" w:eastAsia="zh-CN"/>
                <w:highlight w:val="auto"/>
              </w:rPr>
              <w:t>5</w:t>
            </w: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w:t>
            </w: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11,368.01</w:t>
            </w: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一、一般公共服务支出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33</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1,313.28</w:t>
            </w: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1,313.28</w:t>
            </w: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w:t>
            </w: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二、外交支出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34</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w:t>
            </w: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三、国防支出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35</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四、公共安全支出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36</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五、教育支出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37</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六、科学技术支出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38</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1,310.05</w:t>
            </w: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1,310.05</w:t>
            </w: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7</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七、文化旅游体育与传媒支出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39</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8</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八、社会保障和就业支出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40</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58.50</w:t>
            </w: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58.50</w:t>
            </w: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9</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九、卫生健康支出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41</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27.14</w:t>
            </w: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27.14</w:t>
            </w: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10</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十、节能环保支出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42</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3,808.59</w:t>
            </w: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3,808.59</w:t>
            </w: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11</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十一、城乡社区支出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43</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362.90</w:t>
            </w: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362.90</w:t>
            </w: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auto"/>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12</w:t>
            </w:r>
          </w:p>
        </w:tc>
        <w:tc>
          <w:tcPr>
            <w:tcW w:w="603"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auto"/>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十二、农林水支出</w:t>
            </w:r>
          </w:p>
        </w:tc>
        <w:tc>
          <w:tcPr>
            <w:tcW w:w="338" w:type="pct"/>
            <w:tcBorders>
              <w:top w:val="nil"/>
              <w:left w:val="nil"/>
              <w:bottom w:val="single" w:sz="4" w:space="0" w:color="auto"/>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44</w:t>
            </w:r>
          </w:p>
        </w:tc>
        <w:tc>
          <w:tcPr>
            <w:tcW w:w="676" w:type="pct"/>
            <w:gridSpan w:val="2"/>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4,266.82</w:t>
            </w:r>
          </w:p>
        </w:tc>
        <w:tc>
          <w:tcPr>
            <w:tcW w:w="571"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4,266.82</w:t>
            </w:r>
          </w:p>
        </w:tc>
        <w:tc>
          <w:tcPr>
            <w:tcW w:w="373" w:type="pct"/>
            <w:tcBorders>
              <w:top w:val="nil"/>
              <w:left w:val="nil"/>
              <w:bottom w:val="single" w:sz="4" w:space="0" w:color="auto"/>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auto"/>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13</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十三、交通运输支出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45</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14</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十四、资源勘探工业信息等支出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46</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15</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十五、商业服务业等支出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47</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16</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十六、金融支出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48</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17</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十七、援助其他地区支出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49</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18</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十八、自然资源海洋气象等支出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50</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19</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十九、住房保障支出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51</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46.48</w:t>
            </w: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46.48</w:t>
            </w: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20</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二十、粮油物资储备支出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52</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174.26</w:t>
            </w: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174.26</w:t>
            </w: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21</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二十一、国有资本经营预算支出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53</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22</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二十二、灾害防治及应急管理支出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54</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23</w:t>
            </w:r>
          </w:p>
        </w:tc>
        <w:tc>
          <w:tcPr>
            <w:tcW w:w="60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二十三、其他支出</w:t>
            </w:r>
          </w:p>
        </w:tc>
        <w:tc>
          <w:tcPr>
            <w:tcW w:w="338"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55</w:t>
            </w:r>
          </w:p>
        </w:tc>
        <w:tc>
          <w:tcPr>
            <w:tcW w:w="676"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571"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334"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single" w:sz="4" w:space="0" w:color="auto"/>
              <w:left w:val="single" w:sz="4" w:space="0" w:color="000000"/>
              <w:bottom w:val="single" w:sz="4" w:space="0" w:color="000000"/>
              <w:right w:val="single" w:sz="4" w:space="0" w:color="000000"/>
            </w:tcBorders>
            <w:noWrap/>
            <w:vAlign w:val="center"/>
          </w:tcPr>
          <w:p>
            <w:pPr>
              <w:jc w:val="left"/>
              <w:rPr>
                <w:rFonts w:ascii="宋体" w:eastAsia="宋体" w:cs="宋体" w:hAnsi="宋体" w:hint="eastAsia"/>
                <w:i w:val="0"/>
                <w:iCs w:val="0"/>
                <w:color w:val="000000"/>
                <w:sz w:val="20"/>
                <w:szCs w:val="20"/>
                <w:u w:val="none"/>
                <w:highlight w:val="auto"/>
              </w:rPr>
            </w:pPr>
          </w:p>
        </w:tc>
        <w:tc>
          <w:tcPr>
            <w:tcW w:w="263"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24</w:t>
            </w:r>
          </w:p>
        </w:tc>
        <w:tc>
          <w:tcPr>
            <w:tcW w:w="603"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二十四、债务还本支出</w:t>
            </w:r>
          </w:p>
        </w:tc>
        <w:tc>
          <w:tcPr>
            <w:tcW w:w="338" w:type="pc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56</w:t>
            </w:r>
          </w:p>
        </w:tc>
        <w:tc>
          <w:tcPr>
            <w:tcW w:w="676" w:type="pct"/>
            <w:gridSpan w:val="2"/>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single" w:sz="4" w:space="0" w:color="auto"/>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single" w:sz="4" w:space="0" w:color="auto"/>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center"/>
              <w:rPr>
                <w:rFonts w:ascii="宋体" w:eastAsia="宋体" w:cs="宋体" w:hAnsi="宋体" w:hint="eastAsia"/>
                <w:b/>
                <w:bCs/>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25</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二十五、债务付息支出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57</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jc w:val="center"/>
              <w:rPr>
                <w:rFonts w:ascii="宋体" w:eastAsia="宋体" w:cs="宋体" w:hAnsi="宋体" w:hint="eastAsia"/>
                <w:i w:val="0"/>
                <w:iCs w:val="0"/>
                <w:color w:val="000000"/>
                <w:sz w:val="20"/>
                <w:szCs w:val="20"/>
                <w:u w:val="none"/>
                <w:highlight w:val="auto"/>
              </w:rPr>
            </w:pP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26</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二十六、抗疫特别国债安排的支出</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58</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本年收入合计</w:t>
            </w: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27</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本年支出合计</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59</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11,368.01</w:t>
            </w: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334" w:type="pct"/>
            <w:tcBorders>
              <w:top w:val="nil"/>
              <w:left w:val="nil"/>
              <w:bottom w:val="single" w:sz="4"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年初财政拨款结转和结余</w:t>
            </w: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28</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年末财政拨款结转和结余</w:t>
            </w: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60</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both"/>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both"/>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一、一般公共预算财政拨款</w:t>
            </w: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29</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61</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二、政府性基金预算财政拨款</w:t>
            </w: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30</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62</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三、国有资本经营预算财政拨款</w:t>
            </w:r>
          </w:p>
        </w:tc>
        <w:tc>
          <w:tcPr>
            <w:tcW w:w="2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31</w:t>
            </w:r>
          </w:p>
        </w:tc>
        <w:tc>
          <w:tcPr>
            <w:tcW w:w="60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91" w:type="pct"/>
            <w:gridSpan w:val="2"/>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p>
        </w:tc>
        <w:tc>
          <w:tcPr>
            <w:tcW w:w="33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63</w:t>
            </w:r>
          </w:p>
        </w:tc>
        <w:tc>
          <w:tcPr>
            <w:tcW w:w="676"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334" w:type="pct"/>
            <w:tcBorders>
              <w:top w:val="nil"/>
              <w:left w:val="nil"/>
              <w:bottom w:val="single" w:sz="4" w:space="0" w:color="000000"/>
              <w:right w:val="single" w:sz="8" w:space="0" w:color="000000"/>
            </w:tcBorders>
            <w:noWrap/>
            <w:vAlign w:val="center"/>
          </w:tcPr>
          <w:p>
            <w:pPr>
              <w:jc w:val="left"/>
              <w:rPr>
                <w:rFonts w:ascii="Times New Roman" w:eastAsia="宋体" w:cs="Times New Roman" w:hAnsi="Times New Roman"/>
                <w:i w:val="0"/>
                <w:iCs w:val="0"/>
                <w:color w:val="000000"/>
                <w:sz w:val="20"/>
                <w:szCs w:val="20"/>
                <w:u w:val="none"/>
                <w:highlight w:val="auto"/>
              </w:rPr>
            </w:pPr>
          </w:p>
        </w:tc>
      </w:tr>
      <w:tr>
        <w:trPr>
          <w:trHeight w:val="308"/>
        </w:trPr>
        <w:tc>
          <w:tcPr>
            <w:tcW w:w="847" w:type="pct"/>
            <w:tcBorders>
              <w:top w:val="nil"/>
              <w:left w:val="single" w:sz="4" w:space="0" w:color="000000"/>
              <w:bottom w:val="single" w:sz="8"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263" w:type="pct"/>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32</w:t>
            </w:r>
          </w:p>
        </w:tc>
        <w:tc>
          <w:tcPr>
            <w:tcW w:w="603" w:type="pct"/>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c>
          <w:tcPr>
            <w:tcW w:w="991" w:type="pct"/>
            <w:gridSpan w:val="2"/>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b/>
                <w:bCs/>
                <w:i w:val="0"/>
                <w:iCs w:val="0"/>
                <w:color w:val="000000"/>
                <w:sz w:val="20"/>
                <w:szCs w:val="20"/>
                <w:u w:val="none"/>
                <w:highlight w:val="auto"/>
              </w:rPr>
            </w:pPr>
            <w:r>
              <w:rPr>
                <w:rFonts w:ascii="方正仿宋_GB2312" w:eastAsia="方正仿宋_GB2312" w:cs="方正仿宋_GB2312" w:hAnsi="方正仿宋_GB2312" w:hint="eastAsia"/>
                <w:b/>
                <w:bCs/>
                <w:i w:val="0"/>
                <w:iCs w:val="0"/>
                <w:color w:val="000000"/>
                <w:kern w:val="0"/>
                <w:sz w:val="20"/>
                <w:szCs w:val="20"/>
                <w:u w:val="none"/>
                <w:lang w:val="en-US" w:eastAsia="zh-CN"/>
                <w:highlight w:val="auto"/>
              </w:rPr>
              <w:t>总计</w:t>
            </w:r>
          </w:p>
        </w:tc>
        <w:tc>
          <w:tcPr>
            <w:tcW w:w="338" w:type="pct"/>
            <w:tcBorders>
              <w:top w:val="nil"/>
              <w:left w:val="nil"/>
              <w:bottom w:val="single" w:sz="8" w:space="0" w:color="000000"/>
              <w:right w:val="single" w:sz="4" w:space="0" w:color="000000"/>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kern w:val="0"/>
                <w:sz w:val="20"/>
                <w:szCs w:val="20"/>
                <w:u w:val="none"/>
                <w:lang w:val="en-US" w:eastAsia="zh-CN"/>
                <w:highlight w:val="auto"/>
              </w:rPr>
              <w:t>64</w:t>
            </w:r>
          </w:p>
        </w:tc>
        <w:tc>
          <w:tcPr>
            <w:tcW w:w="676" w:type="pct"/>
            <w:gridSpan w:val="2"/>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13,268.01</w:t>
            </w:r>
          </w:p>
        </w:tc>
        <w:tc>
          <w:tcPr>
            <w:tcW w:w="571" w:type="pct"/>
            <w:tcBorders>
              <w:top w:val="nil"/>
              <w:left w:val="nil"/>
              <w:bottom w:val="single" w:sz="8" w:space="0" w:color="000000"/>
              <w:right w:val="single" w:sz="4" w:space="0" w:color="000000"/>
            </w:tcBorders>
            <w:noWrap/>
            <w:vAlign w:val="center"/>
          </w:tcPr>
          <w:p>
            <w:pPr>
              <w:jc w:val="right"/>
              <w:rPr>
                <w:rFonts w:ascii="Times New Roman" w:cs="Times New Roman" w:hAnsi="Times New Roman"/>
                <w:sz w:val="20"/>
                <w:szCs w:val="20"/>
                <w:highlight w:val="auto"/>
              </w:rPr>
            </w:pPr>
          </w:p>
          <w:p>
            <w:pPr>
              <w:jc w:val="right"/>
              <w:rPr>
                <w:rFonts w:ascii="Times New Roman" w:cs="Times New Roman" w:hAnsi="Times New Roman"/>
                <w:sz w:val="20"/>
                <w:szCs w:val="20"/>
                <w:highlight w:val="auto"/>
              </w:rPr>
            </w:pPr>
            <w:r>
              <w:rPr>
                <w:rFonts w:ascii="Times New Roman" w:cs="Times New Roman" w:hAnsi="Times New Roman"/>
                <w:sz w:val="20"/>
                <w:szCs w:val="20"/>
                <w:highlight w:val="auto"/>
              </w:rPr>
              <w:t>11,368.01</w:t>
            </w:r>
          </w:p>
          <w:p>
            <w:pPr>
              <w:jc w:val="right"/>
              <w:rPr>
                <w:rFonts w:ascii="Times New Roman" w:eastAsia="宋体" w:cs="Times New Roman" w:hAnsi="Times New Roman"/>
                <w:i w:val="0"/>
                <w:iCs w:val="0"/>
                <w:color w:val="000000"/>
                <w:sz w:val="20"/>
                <w:szCs w:val="20"/>
                <w:u w:val="none"/>
                <w:highlight w:val="auto"/>
              </w:rPr>
            </w:pPr>
          </w:p>
        </w:tc>
        <w:tc>
          <w:tcPr>
            <w:tcW w:w="373" w:type="pct"/>
            <w:tcBorders>
              <w:top w:val="nil"/>
              <w:left w:val="nil"/>
              <w:bottom w:val="single" w:sz="8"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1,900.00</w:t>
            </w:r>
          </w:p>
        </w:tc>
        <w:tc>
          <w:tcPr>
            <w:tcW w:w="334" w:type="pct"/>
            <w:tcBorders>
              <w:top w:val="nil"/>
              <w:left w:val="nil"/>
              <w:bottom w:val="single" w:sz="8" w:space="0" w:color="000000"/>
              <w:right w:val="single" w:sz="8"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0" w:type="dxa"/>
        <w:tblW w:w="4999" w:type="pc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1130"/>
        <w:gridCol w:w="1773"/>
        <w:gridCol w:w="98"/>
        <w:gridCol w:w="1495"/>
        <w:gridCol w:w="982"/>
        <w:gridCol w:w="855"/>
        <w:gridCol w:w="1705"/>
      </w:tblGrid>
      <w:tr>
        <w:trPr>
          <w:trHeight w:val="657"/>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一般公共预算财政拨款支出决算表</w:t>
            </w:r>
          </w:p>
        </w:tc>
      </w:tr>
      <w:tr>
        <w:trPr>
          <w:trHeight w:val="329"/>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方正仿宋_GB2312" w:cs="Times New Roman" w:hAnsi="Times New Roman"/>
                <w:i w:val="0"/>
                <w:iCs w:val="0"/>
                <w:color w:val="000000"/>
                <w:kern w:val="0"/>
                <w:sz w:val="20"/>
                <w:szCs w:val="20"/>
                <w:u w:val="none"/>
                <w:lang w:val="en-US" w:eastAsia="zh-CN"/>
                <w:highlight w:val="auto"/>
              </w:rPr>
              <w:t>05</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29"/>
        </w:trPr>
        <w:tc>
          <w:tcPr>
            <w:tcW w:w="1866"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编制部门（单位）：行唐县发展改革局（汇总）</w:t>
            </w:r>
          </w:p>
        </w:tc>
        <w:tc>
          <w:tcPr>
            <w:tcW w:w="1540" w:type="pct"/>
            <w:gridSpan w:val="2"/>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i w:val="0"/>
                <w:iCs w:val="0"/>
                <w:color w:val="000000"/>
                <w:kern w:val="0"/>
                <w:sz w:val="20"/>
                <w:szCs w:val="20"/>
                <w:u w:val="none"/>
                <w:lang w:val="en-US" w:eastAsia="zh-CN"/>
                <w:highlight w:val="auto"/>
              </w:rPr>
            </w:pPr>
            <w:r>
              <w:rPr>
                <w:rFonts w:ascii="Times New Roman" w:cs="Times New Roman" w:hAnsi="Times New Roman"/>
                <w:i w:val="0"/>
                <w:iCs w:val="0"/>
                <w:color w:val="000000"/>
                <w:kern w:val="0"/>
                <w:sz w:val="20"/>
                <w:szCs w:val="20"/>
                <w:u w:val="none"/>
                <w:lang w:val="en-US" w:eastAsia="zh-CN"/>
                <w:highlight w:val="auto"/>
              </w:rPr>
              <w:t>202</w:t>
            </w:r>
            <w:r>
              <w:rPr>
                <w:rFonts w:ascii="Times New Roman"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592" w:type="pct"/>
            <w:gridSpan w:val="2"/>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510"/>
        </w:trPr>
        <w:tc>
          <w:tcPr>
            <w:tcW w:w="180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3194" w:type="pct"/>
            <w:gridSpan w:val="5"/>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w:t>
            </w:r>
          </w:p>
        </w:tc>
      </w:tr>
      <w:tr>
        <w:trPr>
          <w:trHeight w:val="369"/>
        </w:trPr>
        <w:tc>
          <w:tcPr>
            <w:tcW w:w="702"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科目代码</w:t>
            </w:r>
          </w:p>
        </w:tc>
        <w:tc>
          <w:tcPr>
            <w:tcW w:w="1102"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991" w:type="pct"/>
            <w:gridSpan w:val="2"/>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小计</w:t>
            </w:r>
          </w:p>
        </w:tc>
        <w:tc>
          <w:tcPr>
            <w:tcW w:w="1142" w:type="pct"/>
            <w:gridSpan w:val="2"/>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1060" w:type="pct"/>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r>
      <w:tr>
        <w:trPr>
          <w:trHeight w:val="346"/>
        </w:trPr>
        <w:tc>
          <w:tcPr>
            <w:tcW w:w="703" w:type="pct"/>
            <w:vMerge/>
            <w:tcBorders>
              <w:top w:val="single" w:sz="4" w:space="0" w:color="auto"/>
              <w:left w:val="single" w:sz="4" w:space="0" w:color="auto"/>
              <w:bottom w:val="single" w:sz="4" w:space="0" w:color="auto"/>
              <w:right w:val="single" w:sz="4" w:space="0" w:color="auto"/>
            </w:tcBorders>
            <w:noWrap/>
            <w:vAlign w:val="center"/>
          </w:tcPr>
          <w:p/>
        </w:tc>
        <w:tc>
          <w:tcPr>
            <w:tcW w:w="757" w:type="pct"/>
            <w:vMerge/>
            <w:tcBorders>
              <w:top w:val="single" w:sz="4" w:space="0" w:color="auto"/>
              <w:left w:val="single" w:sz="4" w:space="0" w:color="auto"/>
              <w:bottom w:val="single" w:sz="4" w:space="0" w:color="auto"/>
              <w:right w:val="single" w:sz="4" w:space="0" w:color="auto"/>
            </w:tcBorders>
            <w:noWrap/>
            <w:vAlign w:val="center"/>
          </w:tcPr>
          <w:p/>
        </w:tc>
        <w:tc>
          <w:tcPr>
            <w:tcW w:w="1159"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219" w:type="pct"/>
            <w:vMerge/>
            <w:tcBorders>
              <w:top w:val="single" w:sz="4" w:space="0" w:color="auto"/>
              <w:left w:val="single" w:sz="4" w:space="0" w:color="auto"/>
              <w:bottom w:val="single" w:sz="4" w:space="0" w:color="auto"/>
              <w:right w:val="single" w:sz="4" w:space="0" w:color="auto"/>
            </w:tcBorders>
            <w:noWrap/>
            <w:vAlign w:val="center"/>
          </w:tcPr>
          <w:p/>
        </w:tc>
      </w:tr>
      <w:tr>
        <w:trPr>
          <w:trHeight w:val="369"/>
        </w:trPr>
        <w:tc>
          <w:tcPr>
            <w:tcW w:w="703" w:type="pct"/>
            <w:vMerge/>
            <w:tcBorders>
              <w:top w:val="single" w:sz="4" w:space="0" w:color="auto"/>
              <w:left w:val="single" w:sz="4" w:space="0" w:color="auto"/>
              <w:bottom w:val="single" w:sz="4" w:space="0" w:color="auto"/>
              <w:right w:val="single" w:sz="4" w:space="0" w:color="auto"/>
            </w:tcBorders>
            <w:noWrap/>
            <w:vAlign w:val="center"/>
          </w:tcPr>
          <w:p/>
        </w:tc>
        <w:tc>
          <w:tcPr>
            <w:tcW w:w="757" w:type="pct"/>
            <w:vMerge/>
            <w:tcBorders>
              <w:top w:val="single" w:sz="4" w:space="0" w:color="auto"/>
              <w:left w:val="single" w:sz="4" w:space="0" w:color="auto"/>
              <w:bottom w:val="single" w:sz="4" w:space="0" w:color="auto"/>
              <w:right w:val="single" w:sz="4" w:space="0" w:color="auto"/>
            </w:tcBorders>
            <w:noWrap/>
            <w:vAlign w:val="center"/>
          </w:tcPr>
          <w:p/>
        </w:tc>
        <w:tc>
          <w:tcPr>
            <w:tcW w:w="1159"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160" w:type="pct"/>
            <w:gridSpan w:val="2"/>
            <w:vMerge/>
            <w:tcBorders>
              <w:top w:val="single" w:sz="4" w:space="0" w:color="auto"/>
              <w:left w:val="single" w:sz="4" w:space="0" w:color="auto"/>
              <w:bottom w:val="single" w:sz="4" w:space="0" w:color="auto"/>
              <w:right w:val="single" w:sz="4" w:space="0" w:color="auto"/>
            </w:tcBorders>
            <w:noWrap/>
            <w:vAlign w:val="center"/>
          </w:tcPr>
          <w:p/>
        </w:tc>
        <w:tc>
          <w:tcPr>
            <w:tcW w:w="1219" w:type="pct"/>
            <w:vMerge/>
            <w:tcBorders>
              <w:top w:val="single" w:sz="4" w:space="0" w:color="auto"/>
              <w:left w:val="single" w:sz="4" w:space="0" w:color="auto"/>
              <w:bottom w:val="single" w:sz="4" w:space="0" w:color="auto"/>
              <w:right w:val="single" w:sz="4" w:space="0" w:color="auto"/>
            </w:tcBorders>
            <w:noWrap/>
            <w:vAlign w:val="center"/>
          </w:tcPr>
          <w:p/>
        </w:tc>
      </w:tr>
      <w:tr>
        <w:trPr>
          <w:trHeight w:val="369"/>
        </w:trPr>
        <w:tc>
          <w:tcPr>
            <w:tcW w:w="180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1</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2</w:t>
            </w:r>
          </w:p>
        </w:tc>
        <w:tc>
          <w:tcPr>
            <w:tcW w:w="106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宋体" w:eastAsia="宋体" w:cs="宋体" w:hAnsi="宋体" w:hint="eastAsia"/>
                <w:i w:val="0"/>
                <w:iCs w:val="0"/>
                <w:color w:val="000000"/>
                <w:sz w:val="20"/>
                <w:szCs w:val="20"/>
                <w:u w:val="none"/>
                <w:lang w:val="en-US" w:eastAsia="zh-CN"/>
                <w:highlight w:val="auto"/>
              </w:rPr>
            </w:pPr>
            <w:r>
              <w:rPr>
                <w:rFonts w:ascii="宋体" w:eastAsia="宋体" w:cs="宋体" w:hAnsi="宋体" w:hint="eastAsia"/>
                <w:i w:val="0"/>
                <w:iCs w:val="0"/>
                <w:color w:val="000000"/>
                <w:sz w:val="20"/>
                <w:szCs w:val="20"/>
                <w:u w:val="none"/>
                <w:lang w:val="en-US" w:eastAsia="zh-CN"/>
                <w:highlight w:val="auto"/>
              </w:rPr>
              <w:t>3</w:t>
            </w:r>
          </w:p>
        </w:tc>
      </w:tr>
      <w:tr>
        <w:trPr>
          <w:trHeight w:val="369"/>
        </w:trPr>
        <w:tc>
          <w:tcPr>
            <w:tcW w:w="1805"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11,368.01</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786.21</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cs="Times New Roman" w:hAnsi="Times New Roman"/>
                <w:sz w:val="20"/>
                <w:szCs w:val="20"/>
                <w:highlight w:val="auto"/>
              </w:rPr>
              <w:t>10,581.80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一般公共服务支出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1,313.28</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654.10</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659.18</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发展与改革事务</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1,303.28</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654.10</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649.18</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行政运行</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557.36</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2010402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649.18</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649.18</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2010450</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事业运行</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96.74</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96.74</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其他一般公共服务支出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2019999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其他一般公共服务支出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10.00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1,310.05</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1,310.05</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科学技术管理事务</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290.63</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290.63</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2060102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一般行政管理事务</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278.84</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278.84</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2060199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其他科学技术管理事务支出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11.79</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11.79</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基础研究</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2060299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其他基础研究支出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941.81</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20604</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技术研究与开发</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2060404</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科技成果转化与扩散</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39.07</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20605</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科技条件与服务</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2060599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其他科技条件与服务支出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14.00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2069999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其他科学技术支出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24.54</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社会保障和就业支出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58.50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58.50</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行政事业单位养老支出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2080505</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机关事业单位基本养老保险缴费支出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55.73</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财政对其他社会保险基金的补助</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2.76</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2.76</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财政对失业保险基金的补助</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1.11</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1.11</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2082702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财政对工伤保险基金的补助</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卫生健康支出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27.14</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27.14</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行政事业单位医疗</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27.14</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27.14</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行政单位医疗</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2.34</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2.34</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2101102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事业单位医疗</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24.80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24.80</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节能环保支出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21103</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污染防治</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2110301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大气</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3,808.59</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城乡社区支出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城乡社区公共设施</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362.90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2120303</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小城镇基础设施建设</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290.88</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290.88</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2120399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其他城乡社区公共设施支出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72.02</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72.02</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农林水支出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巩固脱贫攻坚成果衔接乡村振兴</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4,266.82</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2130504</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农村基础设施建设</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166.82</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166.82</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2130599</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其他巩固脱贫攻坚成果衔接乡村振兴支出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4,100.00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4,100.00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住房保障支出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住房改革支出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2210201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住房公积金</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46.48</w:t>
            </w: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粮油物资储备支出</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174.26</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174.26</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22201</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粮油物资事务</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2220115</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粮食风险基金</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85.06</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22204</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粮油储备</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r>
      <w:tr>
        <w:trPr>
          <w:trHeight w:val="661"/>
        </w:trPr>
        <w:tc>
          <w:tcPr>
            <w:tcW w:w="7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2220402</w:t>
            </w:r>
          </w:p>
        </w:tc>
        <w:tc>
          <w:tcPr>
            <w:tcW w:w="1102" w:type="pct"/>
            <w:tcBorders>
              <w:top w:val="single" w:sz="4" w:space="0" w:color="auto"/>
              <w:left w:val="single" w:sz="4" w:space="0" w:color="auto"/>
              <w:bottom w:val="single" w:sz="4" w:space="0" w:color="auto"/>
              <w:right w:val="single" w:sz="4" w:space="0" w:color="auto"/>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储备粮油差价补贴</w:t>
            </w:r>
          </w:p>
        </w:tc>
        <w:tc>
          <w:tcPr>
            <w:tcW w:w="991"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c>
          <w:tcPr>
            <w:tcW w:w="1142"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106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lang w:val="en-US" w:eastAsia="zh-CN"/>
                <w:highlight w:val="auto"/>
              </w:rPr>
              <w:t>89.20</w:t>
            </w:r>
          </w:p>
        </w:tc>
      </w:tr>
      <w:tr>
        <w:trPr>
          <w:trHeight w:val="661"/>
        </w:trPr>
        <w:tc>
          <w:tcPr>
            <w:tcW w:w="5000" w:type="pct"/>
            <w:gridSpan w:val="7"/>
            <w:tcBorders>
              <w:top w:val="single" w:sz="4" w:space="0" w:color="auto"/>
              <w:left w:val="nil"/>
              <w:bottom w:val="nil"/>
              <w:right w:val="nil"/>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0" w:type="dxa"/>
        <w:tblW w:w="5000" w:type="pc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683"/>
        <w:gridCol w:w="1286"/>
        <w:gridCol w:w="722"/>
        <w:gridCol w:w="683"/>
        <w:gridCol w:w="310"/>
        <w:gridCol w:w="973"/>
        <w:gridCol w:w="416"/>
        <w:gridCol w:w="265"/>
        <w:gridCol w:w="683"/>
        <w:gridCol w:w="1290"/>
        <w:gridCol w:w="727"/>
      </w:tblGrid>
      <w:tr>
        <w:trPr>
          <w:trHeight w:val="624"/>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一般公共预算财政拨款基本支出决算明细表</w:t>
            </w:r>
          </w:p>
        </w:tc>
      </w:tr>
      <w:tr>
        <w:trPr>
          <w:trHeight w:val="300"/>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公开</w:t>
            </w:r>
            <w:r>
              <w:rPr>
                <w:rFonts w:ascii="Times New Roman" w:eastAsia="方正仿宋_GB2312" w:cs="Times New Roman" w:hAnsi="Times New Roman"/>
                <w:i w:val="0"/>
                <w:iCs w:val="0"/>
                <w:color w:val="000000"/>
                <w:kern w:val="0"/>
                <w:sz w:val="18"/>
                <w:szCs w:val="18"/>
                <w:u w:val="none"/>
                <w:lang w:val="en-US" w:eastAsia="zh-CN"/>
                <w:highlight w:val="auto"/>
              </w:rPr>
              <w:t>06</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表</w:t>
            </w:r>
          </w:p>
        </w:tc>
      </w:tr>
      <w:tr>
        <w:trPr>
          <w:trHeight w:val="90"/>
        </w:trPr>
        <w:tc>
          <w:tcPr>
            <w:tcW w:w="2292" w:type="pct"/>
            <w:gridSpan w:val="5"/>
            <w:tcBorders>
              <w:top w:val="nil"/>
              <w:left w:val="nil"/>
              <w:bottom w:val="single" w:sz="4" w:space="0" w:color="auto"/>
              <w:right w:val="nil"/>
            </w:tcBorders>
            <w:noWrap/>
            <w:vAlign w:val="bottom"/>
          </w:tcPr>
          <w:p>
            <w:pP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部门（单位）：行唐县发展改革局（汇总） </w:t>
            </w:r>
            <w:r>
              <w:rPr>
                <w:rFonts w:ascii="宋体" w:cs="宋体" w:hint="eastAsia"/>
                <w:i w:val="0"/>
                <w:iCs w:val="0"/>
                <w:color w:val="000000"/>
                <w:kern w:val="0"/>
                <w:sz w:val="18"/>
                <w:szCs w:val="18"/>
                <w:u w:val="none"/>
                <w:lang w:val="en-US" w:eastAsia="zh-CN"/>
                <w:highlight w:val="auto"/>
              </w:rPr>
              <w:t xml:space="preserve">                                                                   </w:t>
            </w:r>
          </w:p>
        </w:tc>
        <w:tc>
          <w:tcPr>
            <w:tcW w:w="864" w:type="pct"/>
            <w:gridSpan w:val="2"/>
            <w:tcBorders>
              <w:top w:val="nil"/>
              <w:left w:val="nil"/>
              <w:bottom w:val="single" w:sz="4" w:space="0" w:color="auto"/>
              <w:right w:val="nil"/>
            </w:tcBorders>
            <w:noWrap/>
            <w:vAlign w:val="bottom"/>
          </w:tcPr>
          <w:p>
            <w:pPr>
              <w:jc w:val="center"/>
              <w:rPr>
                <w:rFonts w:ascii="宋体" w:eastAsia="宋体" w:cs="宋体"/>
                <w:i w:val="0"/>
                <w:iCs w:val="0"/>
                <w:color w:val="000000"/>
                <w:kern w:val="0"/>
                <w:sz w:val="18"/>
                <w:szCs w:val="18"/>
                <w:u w:val="none"/>
                <w:lang w:val="en-US" w:eastAsia="zh-CN"/>
                <w:highlight w:val="auto"/>
              </w:rPr>
            </w:pPr>
            <w:r>
              <w:rPr>
                <w:rFonts w:ascii="宋体" w:cs="宋体" w:hint="eastAsia"/>
                <w:i w:val="0"/>
                <w:iCs w:val="0"/>
                <w:color w:val="000000"/>
                <w:kern w:val="0"/>
                <w:sz w:val="18"/>
                <w:szCs w:val="18"/>
                <w:u w:val="none"/>
                <w:lang w:val="en-US" w:eastAsia="zh-CN"/>
                <w:highlight w:val="auto"/>
              </w:rPr>
              <w:t>2024</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年度</w:t>
            </w:r>
          </w:p>
        </w:tc>
        <w:tc>
          <w:tcPr>
            <w:tcW w:w="1842" w:type="pct"/>
            <w:gridSpan w:val="4"/>
            <w:tcBorders>
              <w:top w:val="nil"/>
              <w:left w:val="nil"/>
              <w:bottom w:val="single" w:sz="4" w:space="0" w:color="auto"/>
              <w:right w:val="nil"/>
            </w:tcBorders>
            <w:noWrap/>
            <w:vAlign w:val="bottom"/>
          </w:tcPr>
          <w:p>
            <w:pPr>
              <w:jc w:val="right"/>
              <w:rPr>
                <w:rFonts w:ascii="宋体" w:eastAsia="宋体" w:cs="宋体"/>
                <w:i w:val="0"/>
                <w:iCs w:val="0"/>
                <w:color w:val="000000"/>
                <w:kern w:val="0"/>
                <w:sz w:val="18"/>
                <w:szCs w:val="18"/>
                <w:u w:val="none"/>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金额单位：万元</w:t>
            </w:r>
          </w:p>
        </w:tc>
      </w:tr>
      <w:tr>
        <w:trPr>
          <w:trHeight w:val="510"/>
        </w:trPr>
        <w:tc>
          <w:tcPr>
            <w:tcW w:w="1674" w:type="pct"/>
            <w:gridSpan w:val="3"/>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人员经费</w:t>
            </w:r>
          </w:p>
        </w:tc>
        <w:tc>
          <w:tcPr>
            <w:tcW w:w="3325" w:type="pct"/>
            <w:gridSpan w:val="8"/>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公用经费</w:t>
            </w: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科目代码</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49"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eastAsia="zh-CN"/>
                <w:highlight w:val="auto"/>
              </w:rPr>
            </w:pPr>
            <w:r>
              <w:rPr>
                <w:rFonts w:ascii="方正仿宋_GB2312" w:eastAsia="方正仿宋_GB2312" w:cs="方正仿宋_GB2312" w:hAnsi="方正仿宋_GB2312" w:hint="eastAsia"/>
                <w:i w:val="0"/>
                <w:iCs w:val="0"/>
                <w:color w:val="000000"/>
                <w:sz w:val="18"/>
                <w:szCs w:val="18"/>
                <w:u w:val="none"/>
                <w:lang w:val="en-US" w:eastAsia="zh-CN"/>
                <w:highlight w:val="auto"/>
              </w:rPr>
              <w:t>科目代码</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lang w:val="en-US" w:eastAsia="zh-CN"/>
                <w:highlight w:val="auto"/>
              </w:rPr>
            </w:pPr>
            <w:r>
              <w:rPr>
                <w:rFonts w:ascii="方正仿宋_GB2312" w:eastAsia="方正仿宋_GB2312" w:cs="方正仿宋_GB2312" w:hAnsi="方正仿宋_GB2312" w:hint="eastAsia"/>
                <w:i w:val="0"/>
                <w:iCs w:val="0"/>
                <w:color w:val="000000"/>
                <w:sz w:val="18"/>
                <w:szCs w:val="18"/>
                <w:u w:val="none"/>
                <w:lang w:val="en-US" w:eastAsia="zh-CN"/>
                <w:highlight w:val="auto"/>
              </w:rPr>
              <w:t>科目代码</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科目名称</w:t>
            </w:r>
          </w:p>
        </w:tc>
        <w:tc>
          <w:tcPr>
            <w:tcW w:w="45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w:t>
            </w: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607.29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商品和服务支出</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36.51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债务利息及费用支出</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30101</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基本工资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173.30</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30201</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办公费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4.99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30701</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国内债务付息</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30102</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津贴补贴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60.06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30202</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印刷费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1.74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30702</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国外债务付息</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30103</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奖金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141.73</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30203</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咨询费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资本性支出</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30106</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伙食补助费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30204</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手续费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31001</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房屋建筑物购建</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30107</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绩效工资</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cs="Times New Roman" w:hAnsi="Times New Roman" w:hint="eastAsia"/>
                <w:sz w:val="18"/>
                <w:szCs w:val="18"/>
                <w:lang w:eastAsia="zh-CN"/>
                <w:highlight w:val="auto"/>
              </w:rPr>
              <w:t>94.30</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30205</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水费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0.16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31002</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办公设备购置</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30108</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机关事业单位基本养老保险缴费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55.85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30206</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电费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0.78</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31003</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专用设备购置</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30109</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职业年金缴费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0.46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30207</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邮电费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cs="Times New Roman" w:hAnsi="Times New Roman" w:hint="eastAsia"/>
                <w:sz w:val="18"/>
                <w:szCs w:val="18"/>
                <w:lang w:eastAsia="zh-CN"/>
                <w:highlight w:val="auto"/>
              </w:rPr>
            </w:pPr>
            <w:r>
              <w:rPr>
                <w:rFonts w:ascii="Times New Roman" w:cs="Times New Roman" w:hAnsi="Times New Roman" w:hint="eastAsia"/>
                <w:sz w:val="18"/>
                <w:szCs w:val="18"/>
                <w:lang w:eastAsia="zh-CN"/>
                <w:highlight w:val="auto"/>
              </w:rPr>
              <w:t>1.51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31005</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基础设施建设</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30110</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职工基本医疗保险缴费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27.02</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30208</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取暖费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2.54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31006</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大型修缮</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30111</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公务员医疗补助缴费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30209</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物业管理费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31007</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信息网络及软件购置更新</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30112</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其他社会保障缴费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2.91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30211</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差旅费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0.61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31008</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物资储备</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30113</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住房公积金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46.48</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30212</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因公出国（境）费用</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31009</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土地补偿</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30114</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医疗费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30213</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维修（护）费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0.59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31010</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安置补助</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30199</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其他工资福利支出</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5.19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30214</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 xml:space="preserve">  租赁费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31011</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地上附着物和青苗补偿</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142.41</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30215</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会议费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31012</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拆迁补偿</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30301</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离休费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10.82</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30216</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培训费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31013</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30302</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退休费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102.67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30217</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31019</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其他交通工具购置</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30303</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退职（役）费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30218</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专用材料费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31021</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文物和陈列品购置</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30304</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抚恤金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18.64</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30224</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被装购置费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31022</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无形资产购置</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30305</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生活补助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10.27</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30225</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专用燃料费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31099</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其他资本性支出</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30306</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救济费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30226</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劳务费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对企业补助</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30307</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医疗费补助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30227</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委托业务费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31201</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资本金注入</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30308</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助学金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30228</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工会经费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0.26</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31203</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政府投资基金股权投资</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30309</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奖励金</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30229</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福利费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31204</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费用补贴</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30310</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个人农业生产补贴</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30231</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6.39</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31205</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利息补贴</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30311</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代缴社会保险费</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30239</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其他交通费用</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16.60</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31299</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其他对企业补助</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30399</w:t>
            </w:r>
          </w:p>
        </w:tc>
        <w:tc>
          <w:tcPr>
            <w:tcW w:w="800"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其他对个人和家庭的补助</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30240</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税金及附加费用</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其他支出</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800"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30299</w:t>
            </w: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其他商品和服务支出</w:t>
            </w: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sz w:val="18"/>
                <w:szCs w:val="18"/>
                <w:highlight w:val="auto"/>
              </w:rPr>
              <w:t>0.35</w:t>
            </w: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39907</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国家赔偿费用支出</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800"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39908</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对民间非营利组织和群众性自治组织补贴</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800"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39909</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经常性赠与</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800"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39910</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资本性赠与</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425" w:type="pct"/>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p>
        </w:tc>
        <w:tc>
          <w:tcPr>
            <w:tcW w:w="800"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49"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798"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宋体" w:eastAsia="宋体" w:cs="宋体" w:hint="eastAsia"/>
                <w:i w:val="0"/>
                <w:iCs w:val="0"/>
                <w:color w:val="000000"/>
                <w:sz w:val="18"/>
                <w:szCs w:val="18"/>
                <w:u w:val="none"/>
                <w:highlight w:val="auto"/>
              </w:rPr>
            </w:pPr>
          </w:p>
        </w:tc>
        <w:tc>
          <w:tcPr>
            <w:tcW w:w="424" w:type="pct"/>
            <w:gridSpan w:val="2"/>
            <w:tcBorders>
              <w:top w:val="single" w:sz="4" w:space="0" w:color="auto"/>
              <w:left w:val="single" w:sz="4" w:space="0" w:color="auto"/>
              <w:bottom w:val="single" w:sz="4" w:space="0" w:color="auto"/>
              <w:right w:val="single" w:sz="4" w:space="0" w:color="auto"/>
            </w:tcBorders>
            <w:noWrap/>
            <w:vAlign w:val="center"/>
          </w:tcPr>
          <w:p>
            <w:pPr>
              <w:jc w:val="left"/>
              <w:rPr>
                <w:rFonts w:ascii="Times New Roman" w:eastAsia="宋体" w:cs="Times New Roman" w:hAnsi="Times New Roman"/>
                <w:i w:val="0"/>
                <w:iCs w:val="0"/>
                <w:color w:val="000000"/>
                <w:sz w:val="18"/>
                <w:szCs w:val="18"/>
                <w:u w:val="none"/>
                <w:highlight w:val="auto"/>
              </w:rPr>
            </w:pPr>
          </w:p>
        </w:tc>
        <w:tc>
          <w:tcPr>
            <w:tcW w:w="425"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Times New Roman" w:eastAsia="宋体" w:cs="Times New Roman" w:hAnsi="Times New Roman"/>
                <w:i w:val="0"/>
                <w:iCs w:val="0"/>
                <w:color w:val="000000"/>
                <w:sz w:val="18"/>
                <w:szCs w:val="18"/>
                <w:u w:val="none"/>
                <w:highlight w:val="auto"/>
              </w:rPr>
            </w:pPr>
            <w:r>
              <w:rPr>
                <w:rFonts w:ascii="Times New Roman" w:eastAsia="宋体" w:cs="Times New Roman" w:hAnsi="Times New Roman"/>
                <w:i w:val="0"/>
                <w:iCs w:val="0"/>
                <w:color w:val="000000"/>
                <w:kern w:val="0"/>
                <w:sz w:val="18"/>
                <w:szCs w:val="18"/>
                <w:u w:val="none"/>
                <w:lang w:val="en-US" w:eastAsia="zh-CN"/>
                <w:highlight w:val="auto"/>
              </w:rPr>
              <w:t>39999</w:t>
            </w:r>
          </w:p>
        </w:tc>
        <w:tc>
          <w:tcPr>
            <w:tcW w:w="801" w:type="pc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left"/>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其他支出</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i w:val="0"/>
                <w:iCs w:val="0"/>
                <w:color w:val="000000"/>
                <w:sz w:val="18"/>
                <w:szCs w:val="18"/>
                <w:u w:val="none"/>
                <w:highlight w:val="auto"/>
              </w:rPr>
            </w:pPr>
          </w:p>
        </w:tc>
      </w:tr>
      <w:tr>
        <w:trPr>
          <w:trHeight w:val="510"/>
        </w:trPr>
        <w:tc>
          <w:tcPr>
            <w:tcW w:w="1225" w:type="pct"/>
            <w:gridSpan w:val="2"/>
            <w:tcBorders>
              <w:top w:val="single" w:sz="4" w:space="0" w:color="auto"/>
              <w:left w:val="single" w:sz="4" w:space="0" w:color="auto"/>
              <w:bottom w:val="single" w:sz="4" w:space="0" w:color="auto"/>
              <w:right w:val="single" w:sz="4" w:space="0" w:color="auto"/>
            </w:tcBorders>
            <w:noWrap/>
            <w:vAlign w:val="center"/>
          </w:tcPr>
          <w:p>
            <w:pPr>
              <w:jc w:val="center"/>
              <w:rPr>
                <w:rFonts w:ascii="Times New Roman" w:eastAsia="宋体" w:cs="Times New Roman" w:hAnsi="Times New Roman"/>
                <w:sz w:val="18"/>
                <w:szCs w:val="18"/>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人员经费合计</w:t>
            </w:r>
          </w:p>
        </w:tc>
        <w:tc>
          <w:tcPr>
            <w:tcW w:w="449" w:type="pct"/>
            <w:tcBorders>
              <w:top w:val="single" w:sz="4" w:space="0" w:color="auto"/>
              <w:left w:val="single" w:sz="4" w:space="0" w:color="auto"/>
              <w:bottom w:val="single" w:sz="4" w:space="0" w:color="auto"/>
              <w:right w:val="single" w:sz="4" w:space="0" w:color="auto"/>
            </w:tcBorders>
            <w:noWrap/>
            <w:vAlign w:val="center"/>
          </w:tcPr>
          <w:p>
            <w:pPr>
              <w:jc w:val="right"/>
              <w:rPr>
                <w:rFonts w:ascii="Times New Roman" w:eastAsia="宋体" w:cs="Times New Roman" w:hAnsi="Times New Roman"/>
                <w:sz w:val="18"/>
                <w:szCs w:val="18"/>
                <w:highlight w:val="auto"/>
              </w:rPr>
            </w:pPr>
            <w:r>
              <w:rPr>
                <w:rFonts w:ascii="Times New Roman" w:eastAsia="宋体" w:cs="Times New Roman" w:hAnsi="Times New Roman"/>
                <w:sz w:val="18"/>
                <w:szCs w:val="18"/>
                <w:highlight w:val="auto"/>
              </w:rPr>
              <w:t>749.70</w:t>
            </w:r>
          </w:p>
        </w:tc>
        <w:tc>
          <w:tcPr>
            <w:tcW w:w="2874" w:type="pct"/>
            <w:gridSpan w:val="7"/>
            <w:tcBorders>
              <w:top w:val="single" w:sz="4" w:space="0" w:color="auto"/>
              <w:left w:val="single" w:sz="4" w:space="0" w:color="auto"/>
              <w:bottom w:val="single" w:sz="4" w:space="0" w:color="auto"/>
              <w:right w:val="single" w:sz="4" w:space="0" w:color="auto"/>
            </w:tcBorders>
            <w:noWrap/>
            <w:vAlign w:val="center"/>
          </w:tcPr>
          <w:p>
            <w:pPr>
              <w:jc w:val="cente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公用经费合计</w:t>
            </w:r>
          </w:p>
        </w:tc>
        <w:tc>
          <w:tcPr>
            <w:tcW w:w="450" w:type="pct"/>
            <w:tcBorders>
              <w:top w:val="single" w:sz="4" w:space="0" w:color="auto"/>
              <w:left w:val="single" w:sz="4" w:space="0" w:color="auto"/>
              <w:bottom w:val="single" w:sz="4" w:space="0" w:color="auto"/>
              <w:right w:val="single" w:sz="4" w:space="0" w:color="auto"/>
            </w:tcBorders>
            <w:noWrap/>
            <w:vAlign w:val="center"/>
          </w:tcPr>
          <w:p>
            <w:pPr>
              <w:jc w:val="right"/>
              <w:rPr>
                <w:rFonts w:ascii="宋体" w:eastAsia="宋体" w:cs="宋体" w:hint="eastAsia"/>
                <w:i w:val="0"/>
                <w:iCs w:val="0"/>
                <w:color w:val="000000"/>
                <w:sz w:val="18"/>
                <w:szCs w:val="18"/>
                <w:u w:val="none"/>
                <w:highlight w:val="auto"/>
              </w:rPr>
            </w:pPr>
            <w:r>
              <w:rPr>
                <w:rFonts w:ascii="Times New Roman" w:eastAsia="宋体" w:cs="Times New Roman" w:hAnsi="Times New Roman"/>
                <w:sz w:val="18"/>
                <w:szCs w:val="18"/>
                <w:highlight w:val="auto"/>
              </w:rPr>
              <w:t>36.51</w:t>
            </w:r>
          </w:p>
        </w:tc>
      </w:tr>
      <w:tr>
        <w:trPr>
          <w:trHeight w:val="510"/>
        </w:trPr>
        <w:tc>
          <w:tcPr>
            <w:tcW w:w="5000" w:type="pct"/>
            <w:gridSpan w:val="11"/>
            <w:tcBorders>
              <w:top w:val="single" w:sz="4" w:space="0" w:color="auto"/>
              <w:left w:val="nil"/>
              <w:bottom w:val="nil"/>
              <w:right w:val="nil"/>
            </w:tcBorders>
            <w:noWrap/>
            <w:vAlign w:val="center"/>
          </w:tcPr>
          <w:p>
            <w:pPr>
              <w:keepNext w:val="0"/>
              <w:keepLines w:val="0"/>
              <w:widowControl/>
              <w:suppressLineNumbers w:val="0"/>
              <w:jc w:val="left"/>
              <w:textAlignment w:val="center"/>
              <w:rPr>
                <w:rFonts w:ascii="宋体" w:eastAsia="宋体" w:cs="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jc w:val="left"/>
        <w:tblInd w:w="0" w:type="dxa"/>
        <w:tblW w:w="4998"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966"/>
        <w:gridCol w:w="1656"/>
        <w:gridCol w:w="750"/>
        <w:gridCol w:w="919"/>
        <w:gridCol w:w="758"/>
        <w:gridCol w:w="123"/>
        <w:gridCol w:w="862"/>
        <w:gridCol w:w="937"/>
        <w:gridCol w:w="1066"/>
      </w:tblGrid>
      <w:tr>
        <w:trPr>
          <w:trHeight w:val="550"/>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政府性基金预算财政拨款收入支出决算表</w:t>
            </w:r>
          </w:p>
        </w:tc>
      </w:tr>
      <w:tr>
        <w:trPr>
          <w:trHeight w:val="9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宋体" w:cs="Times New Roman" w:hAnsi="Times New Roman"/>
                <w:i w:val="0"/>
                <w:iCs w:val="0"/>
                <w:color w:val="000000"/>
                <w:kern w:val="0"/>
                <w:sz w:val="20"/>
                <w:szCs w:val="20"/>
                <w:u w:val="none"/>
                <w:lang w:val="en-US" w:eastAsia="zh-CN"/>
                <w:highlight w:val="auto"/>
              </w:rPr>
              <w:t>07</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2098" w:type="pct"/>
            <w:gridSpan w:val="3"/>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部门（单位）：行唐县发展改革局（汇总） </w:t>
            </w:r>
            <w:r>
              <w:rPr>
                <w:rFonts w:ascii="宋体" w:eastAsia="宋体" w:cs="宋体" w:hAnsi="宋体" w:hint="eastAsia"/>
                <w:i w:val="0"/>
                <w:iCs w:val="0"/>
                <w:color w:val="000000"/>
                <w:kern w:val="0"/>
                <w:sz w:val="20"/>
                <w:szCs w:val="20"/>
                <w:u w:val="none"/>
                <w:lang w:val="en-US" w:eastAsia="zh-CN"/>
                <w:highlight w:val="auto"/>
              </w:rPr>
              <w:t xml:space="preserve">                                                                                     </w:t>
            </w:r>
          </w:p>
        </w:tc>
        <w:tc>
          <w:tcPr>
            <w:tcW w:w="1042" w:type="pct"/>
            <w:gridSpan w:val="2"/>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eastAsia="宋体"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859" w:type="pct"/>
            <w:gridSpan w:val="4"/>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08"/>
        </w:trPr>
        <w:tc>
          <w:tcPr>
            <w:tcW w:w="1631" w:type="pct"/>
            <w:gridSpan w:val="2"/>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w:t>
            </w:r>
          </w:p>
        </w:tc>
        <w:tc>
          <w:tcPr>
            <w:tcW w:w="466"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年初结转和结余</w:t>
            </w:r>
          </w:p>
        </w:tc>
        <w:tc>
          <w:tcPr>
            <w:tcW w:w="571" w:type="pct"/>
            <w:vMerge w:val="restart"/>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本年收入</w:t>
            </w:r>
          </w:p>
        </w:tc>
        <w:tc>
          <w:tcPr>
            <w:tcW w:w="1667" w:type="pct"/>
            <w:gridSpan w:val="4"/>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本年支出</w:t>
            </w:r>
          </w:p>
        </w:tc>
        <w:tc>
          <w:tcPr>
            <w:tcW w:w="663" w:type="pct"/>
            <w:vMerge w:val="restart"/>
            <w:tcBorders>
              <w:top w:val="single" w:sz="4" w:space="0" w:color="auto"/>
              <w:left w:val="nil"/>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年末结转和结余</w:t>
            </w:r>
          </w:p>
        </w:tc>
      </w:tr>
      <w:tr>
        <w:trPr>
          <w:trHeight w:val="312"/>
        </w:trPr>
        <w:tc>
          <w:tcPr>
            <w:tcW w:w="601"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030"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科目名称</w:t>
            </w:r>
          </w:p>
        </w:tc>
        <w:tc>
          <w:tcPr>
            <w:tcW w:w="622" w:type="pct"/>
            <w:vMerge/>
            <w:tcBorders>
              <w:top w:val="single" w:sz="4" w:space="0" w:color="000000"/>
              <w:left w:val="nil"/>
              <w:bottom w:val="single" w:sz="4" w:space="0" w:color="000000"/>
              <w:right w:val="single" w:sz="4" w:space="0" w:color="000000"/>
            </w:tcBorders>
            <w:noWrap/>
            <w:vAlign w:val="center"/>
          </w:tcPr>
          <w:p/>
        </w:tc>
        <w:tc>
          <w:tcPr>
            <w:tcW w:w="488" w:type="pct"/>
            <w:vMerge/>
            <w:tcBorders>
              <w:top w:val="single" w:sz="4" w:space="0" w:color="000000"/>
              <w:left w:val="nil"/>
              <w:bottom w:val="single" w:sz="4" w:space="0" w:color="000000"/>
              <w:right w:val="single" w:sz="4" w:space="0" w:color="000000"/>
            </w:tcBorders>
            <w:noWrap/>
            <w:vAlign w:val="center"/>
          </w:tcPr>
          <w:p/>
        </w:tc>
        <w:tc>
          <w:tcPr>
            <w:tcW w:w="547"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小计</w:t>
            </w:r>
          </w:p>
        </w:tc>
        <w:tc>
          <w:tcPr>
            <w:tcW w:w="536"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基本支出</w:t>
            </w:r>
          </w:p>
        </w:tc>
        <w:tc>
          <w:tcPr>
            <w:tcW w:w="583"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项目支出</w:t>
            </w:r>
          </w:p>
        </w:tc>
        <w:tc>
          <w:tcPr>
            <w:tcW w:w="975" w:type="pct"/>
            <w:vMerge/>
            <w:tcBorders>
              <w:left w:val="nil"/>
              <w:right w:val="single" w:sz="4" w:space="0" w:color="000000"/>
            </w:tcBorders>
            <w:noWrap/>
            <w:vAlign w:val="center"/>
          </w:tcPr>
          <w:p/>
        </w:tc>
      </w:tr>
      <w:tr>
        <w:trPr>
          <w:trHeight w:val="312"/>
        </w:trPr>
        <w:tc>
          <w:tcPr>
            <w:tcW w:w="601" w:type="pct"/>
            <w:vMerge/>
            <w:tcBorders>
              <w:top w:val="nil"/>
              <w:left w:val="single" w:sz="4" w:space="0" w:color="000000"/>
              <w:bottom w:val="single" w:sz="4" w:space="0" w:color="000000"/>
              <w:right w:val="single" w:sz="4" w:space="0" w:color="000000"/>
            </w:tcBorders>
            <w:noWrap/>
            <w:vAlign w:val="center"/>
          </w:tcPr>
          <w:p/>
        </w:tc>
        <w:tc>
          <w:tcPr>
            <w:tcW w:w="703" w:type="pct"/>
            <w:vMerge/>
            <w:tcBorders>
              <w:top w:val="nil"/>
              <w:left w:val="nil"/>
              <w:bottom w:val="single" w:sz="4" w:space="0" w:color="000000"/>
              <w:right w:val="single" w:sz="4" w:space="0" w:color="000000"/>
            </w:tcBorders>
            <w:noWrap/>
            <w:vAlign w:val="center"/>
          </w:tcPr>
          <w:p/>
        </w:tc>
        <w:tc>
          <w:tcPr>
            <w:tcW w:w="622" w:type="pct"/>
            <w:vMerge/>
            <w:tcBorders>
              <w:top w:val="single" w:sz="4" w:space="0" w:color="000000"/>
              <w:left w:val="nil"/>
              <w:bottom w:val="single" w:sz="4" w:space="0" w:color="000000"/>
              <w:right w:val="single" w:sz="4" w:space="0" w:color="000000"/>
            </w:tcBorders>
            <w:noWrap/>
            <w:vAlign w:val="center"/>
          </w:tcPr>
          <w:p/>
        </w:tc>
        <w:tc>
          <w:tcPr>
            <w:tcW w:w="488" w:type="pct"/>
            <w:vMerge/>
            <w:tcBorders>
              <w:top w:val="single" w:sz="4" w:space="0" w:color="000000"/>
              <w:left w:val="nil"/>
              <w:bottom w:val="single" w:sz="4" w:space="0" w:color="000000"/>
              <w:right w:val="single" w:sz="4" w:space="0" w:color="000000"/>
            </w:tcBorders>
            <w:noWrap/>
            <w:vAlign w:val="center"/>
          </w:tcPr>
          <w:p/>
        </w:tc>
        <w:tc>
          <w:tcPr>
            <w:tcW w:w="527" w:type="pct"/>
            <w:gridSpan w:val="2"/>
            <w:vMerge/>
            <w:tcBorders>
              <w:top w:val="nil"/>
              <w:left w:val="nil"/>
              <w:bottom w:val="single" w:sz="4" w:space="0" w:color="000000"/>
              <w:right w:val="single" w:sz="4" w:space="0" w:color="000000"/>
            </w:tcBorders>
            <w:noWrap/>
            <w:vAlign w:val="center"/>
          </w:tcPr>
          <w:p/>
        </w:tc>
        <w:tc>
          <w:tcPr>
            <w:vMerge/>
            <w:tcBorders>
              <w:top w:val="nil"/>
              <w:left w:val="nil"/>
              <w:bottom w:val="single" w:sz="4" w:space="0" w:color="000000"/>
              <w:right w:val="single" w:sz="4" w:space="0" w:color="000000"/>
            </w:tcBorders>
            <w:noWrap/>
            <w:vAlign w:val="center"/>
          </w:tcPr>
          <w:p/>
        </w:tc>
        <w:tc>
          <w:tcPr>
            <w:tcW w:w="546" w:type="pct"/>
            <w:vMerge/>
            <w:tcBorders>
              <w:top w:val="nil"/>
              <w:left w:val="nil"/>
              <w:bottom w:val="single" w:sz="4" w:space="0" w:color="000000"/>
              <w:right w:val="single" w:sz="4" w:space="0" w:color="000000"/>
            </w:tcBorders>
            <w:noWrap/>
            <w:vAlign w:val="center"/>
          </w:tcPr>
          <w:p/>
        </w:tc>
        <w:tc>
          <w:tcPr>
            <w:tcW w:w="975" w:type="pct"/>
            <w:vMerge/>
            <w:tcBorders>
              <w:left w:val="nil"/>
              <w:right w:val="single" w:sz="4" w:space="0" w:color="000000"/>
            </w:tcBorders>
            <w:noWrap/>
            <w:vAlign w:val="center"/>
          </w:tcPr>
          <w:p/>
        </w:tc>
      </w:tr>
      <w:tr>
        <w:trPr>
          <w:trHeight w:val="312"/>
        </w:trPr>
        <w:tc>
          <w:tcPr>
            <w:tcW w:w="601" w:type="pct"/>
            <w:vMerge/>
            <w:tcBorders>
              <w:top w:val="nil"/>
              <w:left w:val="single" w:sz="4" w:space="0" w:color="000000"/>
              <w:bottom w:val="single" w:sz="4" w:space="0" w:color="auto"/>
              <w:right w:val="single" w:sz="4" w:space="0" w:color="000000"/>
            </w:tcBorders>
            <w:noWrap/>
            <w:vAlign w:val="center"/>
          </w:tcPr>
          <w:p/>
        </w:tc>
        <w:tc>
          <w:tcPr>
            <w:tcW w:w="703" w:type="pct"/>
            <w:vMerge/>
            <w:tcBorders>
              <w:top w:val="nil"/>
              <w:left w:val="nil"/>
              <w:bottom w:val="single" w:sz="4" w:space="0" w:color="auto"/>
              <w:right w:val="single" w:sz="4" w:space="0" w:color="000000"/>
            </w:tcBorders>
            <w:noWrap/>
            <w:vAlign w:val="center"/>
          </w:tcPr>
          <w:p/>
        </w:tc>
        <w:tc>
          <w:tcPr>
            <w:tcW w:w="622" w:type="pct"/>
            <w:vMerge/>
            <w:tcBorders>
              <w:top w:val="single" w:sz="4" w:space="0" w:color="000000"/>
              <w:left w:val="nil"/>
              <w:bottom w:val="single" w:sz="4" w:space="0" w:color="000000"/>
              <w:right w:val="single" w:sz="4" w:space="0" w:color="000000"/>
            </w:tcBorders>
            <w:noWrap/>
            <w:vAlign w:val="center"/>
          </w:tcPr>
          <w:p/>
        </w:tc>
        <w:tc>
          <w:tcPr>
            <w:tcW w:w="488" w:type="pct"/>
            <w:vMerge/>
            <w:tcBorders>
              <w:top w:val="single" w:sz="4" w:space="0" w:color="000000"/>
              <w:left w:val="nil"/>
              <w:bottom w:val="single" w:sz="4" w:space="0" w:color="000000"/>
              <w:right w:val="single" w:sz="4" w:space="0" w:color="000000"/>
            </w:tcBorders>
            <w:noWrap/>
            <w:vAlign w:val="center"/>
          </w:tcPr>
          <w:p/>
        </w:tc>
        <w:tc>
          <w:tcPr>
            <w:tcW w:w="527" w:type="pct"/>
            <w:gridSpan w:val="2"/>
            <w:vMerge/>
            <w:tcBorders>
              <w:top w:val="nil"/>
              <w:left w:val="nil"/>
              <w:bottom w:val="single" w:sz="4" w:space="0" w:color="000000"/>
              <w:right w:val="single" w:sz="4" w:space="0" w:color="000000"/>
            </w:tcBorders>
            <w:noWrap/>
            <w:vAlign w:val="center"/>
          </w:tcPr>
          <w:p/>
        </w:tc>
        <w:tc>
          <w:tcPr>
            <w:vMerge/>
            <w:tcBorders>
              <w:top w:val="nil"/>
              <w:left w:val="nil"/>
              <w:bottom w:val="single" w:sz="4" w:space="0" w:color="000000"/>
              <w:right w:val="single" w:sz="4" w:space="0" w:color="000000"/>
            </w:tcBorders>
            <w:noWrap/>
            <w:vAlign w:val="center"/>
          </w:tcPr>
          <w:p/>
        </w:tc>
        <w:tc>
          <w:tcPr>
            <w:tcW w:w="546" w:type="pct"/>
            <w:vMerge/>
            <w:tcBorders>
              <w:top w:val="nil"/>
              <w:left w:val="nil"/>
              <w:bottom w:val="single" w:sz="4" w:space="0" w:color="000000"/>
              <w:right w:val="single" w:sz="4" w:space="0" w:color="000000"/>
            </w:tcBorders>
            <w:noWrap/>
            <w:vAlign w:val="center"/>
          </w:tcPr>
          <w:p/>
        </w:tc>
        <w:tc>
          <w:tcPr>
            <w:tcW w:w="975" w:type="pct"/>
            <w:vMerge/>
            <w:tcBorders>
              <w:left w:val="nil"/>
              <w:bottom w:val="single" w:sz="4" w:space="0" w:color="000000"/>
              <w:right w:val="single" w:sz="4" w:space="0" w:color="000000"/>
            </w:tcBorders>
            <w:noWrap/>
            <w:vAlign w:val="center"/>
          </w:tcPr>
          <w:p/>
        </w:tc>
      </w:tr>
      <w:tr>
        <w:trPr>
          <w:trHeight w:val="308"/>
        </w:trPr>
        <w:tc>
          <w:tcPr>
            <w:tcW w:w="163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栏次</w:t>
            </w:r>
          </w:p>
        </w:tc>
        <w:tc>
          <w:tcPr>
            <w:tcW w:w="466" w:type="pct"/>
            <w:tcBorders>
              <w:top w:val="nil"/>
              <w:left w:val="single" w:sz="4" w:space="0" w:color="auto"/>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1</w:t>
            </w:r>
          </w:p>
        </w:tc>
        <w:tc>
          <w:tcPr>
            <w:tcW w:w="571"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2</w:t>
            </w:r>
          </w:p>
        </w:tc>
        <w:tc>
          <w:tcPr>
            <w:tcW w:w="547"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3</w:t>
            </w:r>
          </w:p>
        </w:tc>
        <w:tc>
          <w:tcPr>
            <w:tcW w:w="53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4</w:t>
            </w:r>
          </w:p>
        </w:tc>
        <w:tc>
          <w:tcPr>
            <w:tcW w:w="58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highlight w:val="auto"/>
              </w:rPr>
            </w:pPr>
            <w:r>
              <w:rPr>
                <w:rFonts w:ascii="Times New Roman" w:eastAsia="方正仿宋_GB2312" w:cs="Times New Roman" w:hAnsi="Times New Roman"/>
                <w:i w:val="0"/>
                <w:iCs w:val="0"/>
                <w:color w:val="000000"/>
                <w:kern w:val="0"/>
                <w:sz w:val="20"/>
                <w:szCs w:val="20"/>
                <w:u w:val="none"/>
                <w:lang w:val="en-US" w:eastAsia="zh-CN"/>
                <w:highlight w:val="auto"/>
              </w:rPr>
              <w:t>5</w:t>
            </w:r>
          </w:p>
        </w:tc>
        <w:tc>
          <w:tcPr>
            <w:tcW w:w="66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20"/>
                <w:szCs w:val="20"/>
                <w:u w:val="none"/>
                <w:lang w:val="en-US" w:eastAsia="zh-CN"/>
                <w:highlight w:val="auto"/>
              </w:rPr>
            </w:pPr>
            <w:r>
              <w:rPr>
                <w:rFonts w:ascii="Times New Roman" w:eastAsia="方正仿宋_GB2312" w:cs="Times New Roman" w:hAnsi="Times New Roman"/>
                <w:i w:val="0"/>
                <w:iCs w:val="0"/>
                <w:color w:val="000000"/>
                <w:sz w:val="20"/>
                <w:szCs w:val="20"/>
                <w:u w:val="none"/>
                <w:lang w:val="en-US" w:eastAsia="zh-CN"/>
                <w:highlight w:val="auto"/>
              </w:rPr>
              <w:t>6</w:t>
            </w:r>
          </w:p>
        </w:tc>
      </w:tr>
      <w:tr>
        <w:trPr>
          <w:trHeight w:val="869"/>
        </w:trPr>
        <w:tc>
          <w:tcPr>
            <w:tcW w:w="1631" w:type="pct"/>
            <w:gridSpan w:val="2"/>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合计</w:t>
            </w:r>
          </w:p>
        </w:tc>
        <w:tc>
          <w:tcPr>
            <w:tcW w:w="466" w:type="pct"/>
            <w:tcBorders>
              <w:top w:val="nil"/>
              <w:left w:val="single" w:sz="4" w:space="0" w:color="auto"/>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1,900.00</w:t>
            </w:r>
          </w:p>
        </w:tc>
        <w:tc>
          <w:tcPr>
            <w:tcW w:w="54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1,900.00</w:t>
            </w:r>
          </w:p>
        </w:tc>
        <w:tc>
          <w:tcPr>
            <w:tcW w:w="53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8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i w:val="0"/>
                <w:iCs w:val="0"/>
                <w:color w:val="000000"/>
                <w:sz w:val="20"/>
                <w:szCs w:val="20"/>
                <w:u w:val="none"/>
                <w:highlight w:val="auto"/>
              </w:rPr>
              <w:t>1,900.00</w:t>
            </w:r>
          </w:p>
        </w:tc>
        <w:tc>
          <w:tcPr>
            <w:tcW w:w="66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601"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w:t>
            </w:r>
          </w:p>
        </w:tc>
        <w:tc>
          <w:tcPr>
            <w:tcW w:w="1030"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其他支出</w:t>
            </w:r>
          </w:p>
        </w:tc>
        <w:tc>
          <w:tcPr>
            <w:tcW w:w="46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4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3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8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66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601"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22904</w:t>
            </w:r>
          </w:p>
        </w:tc>
        <w:tc>
          <w:tcPr>
            <w:tcW w:w="1030"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其他政府性基金及对应专项债务收入安排的支出</w:t>
            </w:r>
          </w:p>
        </w:tc>
        <w:tc>
          <w:tcPr>
            <w:tcW w:w="46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4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3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8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66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601" w:type="pct"/>
            <w:tcBorders>
              <w:top w:val="nil"/>
              <w:left w:val="single" w:sz="4" w:space="0" w:color="000000"/>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2290402</w:t>
            </w:r>
          </w:p>
        </w:tc>
        <w:tc>
          <w:tcPr>
            <w:tcW w:w="1030" w:type="pct"/>
            <w:tcBorders>
              <w:top w:val="nil"/>
              <w:left w:val="nil"/>
              <w:bottom w:val="single" w:sz="4" w:space="0" w:color="000000"/>
              <w:right w:val="single" w:sz="4" w:space="0" w:color="000000"/>
            </w:tcBorders>
            <w:noWrap/>
            <w:vAlign w:val="center"/>
          </w:tcPr>
          <w:p>
            <w:pPr>
              <w:jc w:val="left"/>
              <w:rPr>
                <w:rFonts w:ascii="方正仿宋_GB2312" w:eastAsia="方正仿宋_GB2312" w:cs="方正仿宋_GB2312" w:hAnsi="方正仿宋_GB2312"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其他地方自行试点项目收益专项债券收入安排的支出</w:t>
            </w:r>
          </w:p>
        </w:tc>
        <w:tc>
          <w:tcPr>
            <w:tcW w:w="46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71"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47" w:type="pct"/>
            <w:gridSpan w:val="2"/>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536"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58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r>
              <w:rPr>
                <w:rFonts w:ascii="Times New Roman" w:eastAsia="宋体" w:cs="Times New Roman" w:hAnsi="Times New Roman"/>
                <w:spacing w:val="-2"/>
                <w:sz w:val="20"/>
                <w:szCs w:val="20"/>
                <w:lang w:val="en-US" w:eastAsia="zh-CN"/>
                <w:highlight w:val="auto"/>
              </w:rPr>
              <w:t>1,900.00</w:t>
            </w:r>
          </w:p>
        </w:tc>
        <w:tc>
          <w:tcPr>
            <w:tcW w:w="663" w:type="pct"/>
            <w:tcBorders>
              <w:top w:val="nil"/>
              <w:left w:val="nil"/>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注：本表反映部门本年度政府性基金预算财政拨款收入、支出及结转和结余情况。</w:t>
              <w:br w:type="page"/>
            </w:r>
          </w:p>
        </w:tc>
      </w:tr>
    </w:tbl>
    <w:p>
      <w:pPr>
        <w:rPr>
          <w:rFonts w:ascii="仿宋_GB2312" w:eastAsia="仿宋_GB2312" w:hAnsi="宋体" w:hint="eastAsia"/>
          <w:b/>
          <w:color w:val="auto"/>
          <w:kern w:val="0"/>
          <w:sz w:val="32"/>
          <w:szCs w:val="32"/>
          <w:highlight w:val="auto"/>
        </w:rPr>
      </w:pPr>
    </w:p>
    <w:tbl>
      <w:tblPr>
        <w:jc w:val="left"/>
        <w:tblInd w:w="0" w:type="dxa"/>
        <w:tblW w:w="4999" w:type="pct"/>
        <w:tblBorders>
          <w:top w:val="none" w:sz="0" w:space="0" w:color="auto"/>
          <w:left w:val="none" w:sz="0" w:space="0" w:color="auto"/>
          <w:bottom w:val="none" w:sz="0" w:space="0" w:color="auto"/>
          <w:right w:val="none" w:sz="0" w:space="0" w:color="auto"/>
        </w:tblBorders>
        <w:tblCellMar>
          <w:top w:w="0" w:type="dxa"/>
          <w:left w:w="108" w:type="dxa"/>
          <w:bottom w:w="0" w:type="dxa"/>
          <w:right w:w="108" w:type="dxa"/>
        </w:tblCellMar>
      </w:tblPr>
      <w:tblGrid>
        <w:gridCol w:w="2172"/>
        <w:gridCol w:w="1002"/>
        <w:gridCol w:w="723"/>
        <w:gridCol w:w="1518"/>
        <w:gridCol w:w="3"/>
        <w:gridCol w:w="39"/>
        <w:gridCol w:w="1092"/>
        <w:gridCol w:w="8"/>
        <w:gridCol w:w="1483"/>
      </w:tblGrid>
      <w:tr>
        <w:trPr>
          <w:trHeight w:val="550"/>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国有资本经营预算财政拨款支出决算表</w:t>
            </w:r>
          </w:p>
        </w:tc>
      </w:tr>
      <w:tr>
        <w:trPr>
          <w:trHeight w:val="300"/>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公开</w:t>
            </w:r>
            <w:r>
              <w:rPr>
                <w:rFonts w:ascii="Times New Roman" w:eastAsia="方正仿宋_GB2312" w:cs="Times New Roman" w:hAnsi="Times New Roman"/>
                <w:i w:val="0"/>
                <w:iCs w:val="0"/>
                <w:color w:val="000000"/>
                <w:kern w:val="0"/>
                <w:sz w:val="20"/>
                <w:szCs w:val="20"/>
                <w:u w:val="none"/>
                <w:lang w:val="en-US" w:eastAsia="zh-CN"/>
                <w:highlight w:val="auto"/>
              </w:rPr>
              <w:t>08</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表</w:t>
            </w:r>
          </w:p>
        </w:tc>
      </w:tr>
      <w:tr>
        <w:trPr>
          <w:trHeight w:val="300"/>
        </w:trPr>
        <w:tc>
          <w:tcPr>
            <w:tcW w:w="1974" w:type="pct"/>
            <w:gridSpan w:val="2"/>
            <w:tcBorders>
              <w:top w:val="nil"/>
              <w:left w:val="nil"/>
              <w:bottom w:val="single" w:sz="4" w:space="0" w:color="auto"/>
              <w:right w:val="nil"/>
            </w:tcBorders>
            <w:noWrap/>
            <w:vAlign w:val="bottom"/>
          </w:tcPr>
          <w:p>
            <w:pPr>
              <w:keepNext w:val="0"/>
              <w:keepLines w:val="0"/>
              <w:widowControl/>
              <w:suppressLineNumbers w:val="0"/>
              <w:jc w:val="both"/>
              <w:textAlignment w:val="bottom"/>
              <w:rPr>
                <w:rFonts w:ascii="宋体" w:eastAsia="宋体" w:cs="宋体" w:hAnsi="宋体" w:hint="eastAsia"/>
                <w:i w:val="0"/>
                <w:iCs w:val="0"/>
                <w:color w:val="000000"/>
                <w:sz w:val="20"/>
                <w:szCs w:val="20"/>
                <w:u w:val="none"/>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部门（单位）：行唐县发展改革局（汇总）</w:t>
            </w:r>
          </w:p>
        </w:tc>
        <w:tc>
          <w:tcPr>
            <w:tcW w:w="1419" w:type="pct"/>
            <w:gridSpan w:val="4"/>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20"/>
                <w:szCs w:val="20"/>
                <w:u w:val="none"/>
                <w:lang w:val="en-US" w:eastAsia="zh-CN"/>
                <w:highlight w:val="auto"/>
              </w:rPr>
            </w:pPr>
            <w:r>
              <w:rPr>
                <w:rFonts w:ascii="Times New Roman" w:eastAsia="宋体" w:cs="Times New Roman" w:hAnsi="Times New Roman"/>
                <w:i w:val="0"/>
                <w:iCs w:val="0"/>
                <w:color w:val="000000"/>
                <w:kern w:val="0"/>
                <w:sz w:val="20"/>
                <w:szCs w:val="20"/>
                <w:u w:val="none"/>
                <w:lang w:val="en-US" w:eastAsia="zh-CN"/>
                <w:highlight w:val="auto"/>
              </w:rPr>
              <w:t>202</w:t>
            </w:r>
            <w:r>
              <w:rPr>
                <w:rFonts w:ascii="Times New Roman" w:eastAsia="宋体" w:cs="Times New Roman" w:hAnsi="Times New Roman" w:hint="eastAsia"/>
                <w:i w:val="0"/>
                <w:iCs w:val="0"/>
                <w:color w:val="000000"/>
                <w:kern w:val="0"/>
                <w:sz w:val="20"/>
                <w:szCs w:val="20"/>
                <w:u w:val="none"/>
                <w:lang w:val="en-US" w:eastAsia="zh-CN"/>
                <w:highlight w:val="auto"/>
              </w:rPr>
              <w:t>4</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年度</w:t>
            </w:r>
          </w:p>
        </w:tc>
        <w:tc>
          <w:tcPr>
            <w:tcW w:w="1606" w:type="pct"/>
            <w:gridSpan w:val="3"/>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金额单位：万元</w:t>
            </w:r>
          </w:p>
        </w:tc>
      </w:tr>
      <w:tr>
        <w:trPr>
          <w:trHeight w:val="312"/>
        </w:trPr>
        <w:tc>
          <w:tcPr>
            <w:tcW w:w="2423" w:type="pct"/>
            <w:gridSpan w:val="3"/>
            <w:vMerge w:val="restart"/>
            <w:tcBorders>
              <w:top w:val="single" w:sz="4" w:space="0" w:color="auto"/>
              <w:left w:val="single" w:sz="4" w:space="0" w:color="auto"/>
              <w:bottom w:val="single" w:sz="4" w:space="0" w:color="auto"/>
              <w:right w:val="single" w:sz="4" w:space="0" w:color="auto"/>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 xml:space="preserve"> 项目</w:t>
            </w:r>
          </w:p>
        </w:tc>
        <w:tc>
          <w:tcPr>
            <w:tcW w:w="2576" w:type="pct"/>
            <w:gridSpan w:val="6"/>
            <w:vMerge w:val="restart"/>
            <w:tcBorders>
              <w:top w:val="single" w:sz="4" w:space="0" w:color="auto"/>
              <w:left w:val="single" w:sz="4" w:space="0" w:color="auto"/>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本年支出</w:t>
            </w:r>
          </w:p>
        </w:tc>
      </w:tr>
      <w:tr>
        <w:trPr>
          <w:trHeight w:val="312"/>
        </w:trPr>
        <w:tc>
          <w:tcPr>
            <w:tcW w:w="2662" w:type="pct"/>
            <w:gridSpan w:val="3"/>
            <w:vMerge/>
            <w:tcBorders>
              <w:top w:val="single" w:sz="4" w:space="0" w:color="auto"/>
              <w:left w:val="single" w:sz="4" w:space="0" w:color="auto"/>
              <w:bottom w:val="single" w:sz="4" w:space="0" w:color="auto"/>
              <w:right w:val="single" w:sz="4" w:space="0" w:color="auto"/>
            </w:tcBorders>
            <w:noWrap/>
            <w:vAlign w:val="center"/>
          </w:tcPr>
          <w:p/>
        </w:tc>
        <w:tc>
          <w:tcPr>
            <w:tcW w:w="2337" w:type="pct"/>
            <w:gridSpan w:val="6"/>
            <w:vMerge/>
            <w:tcBorders>
              <w:left w:val="single" w:sz="4" w:space="0" w:color="auto"/>
              <w:bottom w:val="single" w:sz="4" w:space="0" w:color="000000"/>
              <w:right w:val="single" w:sz="4" w:space="0" w:color="000000"/>
            </w:tcBorders>
            <w:noWrap/>
            <w:vAlign w:val="center"/>
          </w:tcPr>
          <w:p/>
        </w:tc>
      </w:tr>
      <w:tr>
        <w:trPr>
          <w:trHeight w:val="312"/>
        </w:trPr>
        <w:tc>
          <w:tcPr>
            <w:tcW w:w="1350" w:type="pct"/>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科目代码</w:t>
            </w:r>
          </w:p>
        </w:tc>
        <w:tc>
          <w:tcPr>
            <w:tcW w:w="1072" w:type="pct"/>
            <w:gridSpan w:val="2"/>
            <w:vMerge w:val="restart"/>
            <w:tcBorders>
              <w:top w:val="single" w:sz="4" w:space="0" w:color="auto"/>
              <w:left w:val="single" w:sz="4" w:space="0" w:color="auto"/>
              <w:bottom w:val="single" w:sz="4" w:space="0" w:color="auto"/>
              <w:right w:val="single" w:sz="4" w:space="0" w:color="auto"/>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科目名称</w:t>
            </w:r>
          </w:p>
        </w:tc>
        <w:tc>
          <w:tcPr>
            <w:tcW w:w="946" w:type="pct"/>
            <w:gridSpan w:val="2"/>
            <w:vMerge w:val="restart"/>
            <w:tcBorders>
              <w:top w:val="nil"/>
              <w:left w:val="single" w:sz="4" w:space="0" w:color="auto"/>
              <w:right w:val="single" w:sz="4" w:space="0" w:color="000000"/>
            </w:tcBorders>
            <w:noWrap/>
            <w:vAlign w:val="center"/>
          </w:tcPr>
          <w:p>
            <w:pPr>
              <w:jc w:val="center"/>
              <w:rPr>
                <w:rFonts w:ascii="方正仿宋_GB2312" w:eastAsia="方正仿宋_GB2312" w:cs="方正仿宋_GB2312" w:hAnsi="方正仿宋_GB2312" w:hint="eastAsia"/>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合计</w:t>
            </w:r>
          </w:p>
        </w:tc>
        <w:tc>
          <w:tcPr>
            <w:tcW w:w="707" w:type="pct"/>
            <w:gridSpan w:val="3"/>
            <w:vMerge w:val="restart"/>
            <w:tcBorders>
              <w:top w:val="nil"/>
              <w:left w:val="nil"/>
              <w:right w:val="single" w:sz="4" w:space="0" w:color="000000"/>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基本支出</w:t>
            </w:r>
          </w:p>
        </w:tc>
        <w:tc>
          <w:tcPr>
            <w:tcW w:w="922" w:type="pct"/>
            <w:vMerge w:val="restart"/>
            <w:tcBorders>
              <w:top w:val="nil"/>
              <w:left w:val="nil"/>
              <w:right w:val="single" w:sz="4" w:space="0" w:color="000000"/>
            </w:tcBorders>
            <w:noWrap/>
            <w:vAlign w:val="center"/>
          </w:tcPr>
          <w:p>
            <w:pPr>
              <w:jc w:val="center"/>
              <w:rPr>
                <w:rFonts w:ascii="方正仿宋_GB2312" w:eastAsia="方正仿宋_GB2312" w:cs="方正仿宋_GB2312" w:hAnsi="方正仿宋_GB2312"/>
                <w:i w:val="0"/>
                <w:iCs w:val="0"/>
                <w:color w:val="000000"/>
                <w:sz w:val="20"/>
                <w:szCs w:val="20"/>
                <w:u w:val="none"/>
                <w:lang w:val="en-US" w:eastAsia="zh-CN"/>
                <w:highlight w:val="auto"/>
              </w:rPr>
            </w:pPr>
            <w:r>
              <w:rPr>
                <w:rFonts w:ascii="方正仿宋_GB2312" w:eastAsia="方正仿宋_GB2312" w:cs="方正仿宋_GB2312" w:hAnsi="方正仿宋_GB2312" w:hint="eastAsia"/>
                <w:i w:val="0"/>
                <w:iCs w:val="0"/>
                <w:color w:val="000000"/>
                <w:sz w:val="20"/>
                <w:szCs w:val="20"/>
                <w:u w:val="none"/>
                <w:lang w:val="en-US" w:eastAsia="zh-CN"/>
                <w:highlight w:val="auto"/>
              </w:rPr>
              <w:t>项目支出</w:t>
            </w:r>
          </w:p>
        </w:tc>
      </w:tr>
      <w:tr>
        <w:trPr>
          <w:trHeight w:val="312"/>
        </w:trPr>
        <w:tc>
          <w:tcPr>
            <w:tcW w:w="1587" w:type="pct"/>
            <w:vMerge/>
            <w:tcBorders>
              <w:top w:val="single" w:sz="4" w:space="0" w:color="auto"/>
              <w:left w:val="single" w:sz="4" w:space="0" w:color="auto"/>
              <w:bottom w:val="single" w:sz="4" w:space="0" w:color="auto"/>
              <w:right w:val="single" w:sz="4" w:space="0" w:color="000000"/>
            </w:tcBorders>
            <w:noWrap/>
            <w:vAlign w:val="center"/>
          </w:tcPr>
          <w:p/>
        </w:tc>
        <w:tc>
          <w:tcPr>
            <w:tcW w:w="1074" w:type="pct"/>
            <w:gridSpan w:val="2"/>
            <w:vMerge/>
            <w:tcBorders>
              <w:top w:val="single" w:sz="4" w:space="0" w:color="auto"/>
              <w:left w:val="nil"/>
              <w:bottom w:val="single" w:sz="4" w:space="0" w:color="auto"/>
              <w:right w:val="single" w:sz="4" w:space="0" w:color="auto"/>
            </w:tcBorders>
            <w:noWrap/>
            <w:vAlign w:val="center"/>
          </w:tcPr>
          <w:p/>
        </w:tc>
        <w:tc>
          <w:tcPr>
            <w:tcW w:w="708" w:type="pct"/>
            <w:gridSpan w:val="2"/>
            <w:vMerge/>
            <w:tcBorders>
              <w:left w:val="single" w:sz="4" w:space="0" w:color="auto"/>
              <w:bottom w:val="single" w:sz="4" w:space="0" w:color="000000"/>
              <w:right w:val="single" w:sz="4" w:space="0" w:color="000000"/>
            </w:tcBorders>
            <w:noWrap/>
            <w:vAlign w:val="center"/>
          </w:tcPr>
          <w:p/>
        </w:tc>
        <w:tc>
          <w:tcPr>
            <w:tcW w:w="708" w:type="pct"/>
            <w:gridSpan w:val="3"/>
            <w:vMerge/>
            <w:tcBorders>
              <w:left w:val="nil"/>
              <w:bottom w:val="single" w:sz="4" w:space="0" w:color="000000"/>
              <w:right w:val="single" w:sz="4" w:space="0" w:color="000000"/>
            </w:tcBorders>
            <w:noWrap/>
            <w:vAlign w:val="center"/>
          </w:tcPr>
          <w:p/>
        </w:tc>
        <w:tc>
          <w:tcPr>
            <w:tcW w:w="920" w:type="pct"/>
            <w:vMerge/>
            <w:tcBorders>
              <w:left w:val="nil"/>
              <w:bottom w:val="single" w:sz="4" w:space="0" w:color="000000"/>
              <w:right w:val="single" w:sz="4" w:space="0" w:color="000000"/>
            </w:tcBorders>
            <w:noWrap/>
            <w:vAlign w:val="center"/>
          </w:tcPr>
          <w:p/>
        </w:tc>
      </w:tr>
      <w:tr>
        <w:trPr>
          <w:trHeight w:val="308"/>
        </w:trPr>
        <w:tc>
          <w:tcPr>
            <w:tcW w:w="2423" w:type="pct"/>
            <w:gridSpan w:val="3"/>
            <w:tcBorders>
              <w:top w:val="single" w:sz="4" w:space="0" w:color="auto"/>
              <w:left w:val="single" w:sz="4" w:space="0" w:color="auto"/>
              <w:bottom w:val="single" w:sz="4" w:space="0" w:color="000000"/>
              <w:right w:val="single" w:sz="4" w:space="0" w:color="auto"/>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栏次</w:t>
            </w:r>
          </w:p>
        </w:tc>
        <w:tc>
          <w:tcPr>
            <w:tcW w:w="944" w:type="pct"/>
            <w:tcBorders>
              <w:top w:val="nil"/>
              <w:left w:val="single" w:sz="4" w:space="0" w:color="auto"/>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1</w:t>
            </w:r>
          </w:p>
        </w:tc>
        <w:tc>
          <w:tcPr>
            <w:tcW w:w="704" w:type="pct"/>
            <w:gridSpan w:val="3"/>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2</w:t>
            </w:r>
          </w:p>
        </w:tc>
        <w:tc>
          <w:tcPr>
            <w:tcW w:w="927"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hint="eastAsia"/>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3</w:t>
            </w:r>
          </w:p>
        </w:tc>
      </w:tr>
      <w:tr>
        <w:trPr>
          <w:trHeight w:val="308"/>
        </w:trPr>
        <w:tc>
          <w:tcPr>
            <w:tcW w:w="2423" w:type="pct"/>
            <w:gridSpan w:val="3"/>
            <w:tcBorders>
              <w:top w:val="single" w:sz="4" w:space="0" w:color="000000"/>
              <w:left w:val="single" w:sz="4" w:space="0" w:color="000000"/>
              <w:bottom w:val="single" w:sz="4" w:space="0" w:color="000000"/>
              <w:right w:val="single" w:sz="4" w:space="0" w:color="000000"/>
            </w:tcBorders>
            <w:noWrap/>
            <w:vAlign w:val="center"/>
          </w:tcPr>
          <w:p>
            <w:pPr>
              <w:jc w:val="center"/>
              <w:rPr>
                <w:rFonts w:ascii="Times New Roman" w:eastAsia="宋体" w:cs="Times New Roman" w:hAnsi="Times New Roman"/>
                <w:i w:val="0"/>
                <w:iCs w:val="0"/>
                <w:color w:val="000000"/>
                <w:sz w:val="20"/>
                <w:szCs w:val="20"/>
                <w:u w:val="none"/>
                <w:lang w:val="en-US" w:eastAsia="zh-CN"/>
                <w:highlight w:val="auto"/>
              </w:rPr>
            </w:pPr>
            <w:r>
              <w:rPr>
                <w:rFonts w:ascii="Times New Roman" w:eastAsia="方正仿宋_GB2312" w:cs="Times New Roman" w:hAnsi="Times New Roman" w:hint="eastAsia"/>
                <w:i w:val="0"/>
                <w:iCs w:val="0"/>
                <w:color w:val="000000"/>
                <w:sz w:val="20"/>
                <w:szCs w:val="20"/>
                <w:u w:val="none"/>
                <w:lang w:val="en-US" w:eastAsia="zh-CN"/>
                <w:highlight w:val="auto"/>
              </w:rPr>
              <w:t>合计</w:t>
            </w:r>
          </w:p>
        </w:tc>
        <w:tc>
          <w:tcPr>
            <w:tcW w:w="944" w:type="pct"/>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704" w:type="pct"/>
            <w:gridSpan w:val="3"/>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c>
          <w:tcPr>
            <w:tcW w:w="927" w:type="pct"/>
            <w:gridSpan w:val="2"/>
            <w:tcBorders>
              <w:top w:val="single" w:sz="4" w:space="0" w:color="000000"/>
              <w:left w:val="single" w:sz="4" w:space="0" w:color="000000"/>
              <w:bottom w:val="single" w:sz="4" w:space="0" w:color="000000"/>
              <w:right w:val="single" w:sz="4" w:space="0" w:color="000000"/>
            </w:tcBorders>
            <w:noWrap/>
            <w:vAlign w:val="center"/>
          </w:tcPr>
          <w:p>
            <w:pPr>
              <w:jc w:val="right"/>
              <w:rPr>
                <w:rFonts w:ascii="Times New Roman" w:eastAsia="宋体" w:cs="Times New Roman" w:hAnsi="Times New Roman"/>
                <w:i w:val="0"/>
                <w:iCs w:val="0"/>
                <w:color w:val="000000"/>
                <w:sz w:val="20"/>
                <w:szCs w:val="20"/>
                <w:u w:val="none"/>
                <w:highlight w:val="auto"/>
              </w:rPr>
            </w:pPr>
          </w:p>
        </w:tc>
      </w:tr>
      <w:tr>
        <w:trPr>
          <w:trHeight w:val="308"/>
        </w:trPr>
        <w:tc>
          <w:tcPr>
            <w:tcW w:w="5000" w:type="pct"/>
            <w:gridSpan w:val="9"/>
            <w:tcBorders>
              <w:top w:val="nil"/>
              <w:left w:val="nil"/>
              <w:bottom w:val="nil"/>
              <w:right w:val="nil"/>
            </w:tcBorders>
            <w:noWrap/>
            <w:vAlign w:val="center"/>
          </w:tcPr>
          <w:p>
            <w:pPr>
              <w:rPr>
                <w:rFonts w:ascii="方正仿宋_GB2312" w:eastAsia="方正仿宋_GB2312" w:cs="方正仿宋_GB2312" w:hAnsi="方正仿宋_GB2312" w:hint="eastAsia"/>
                <w:color w:val="000000"/>
                <w:sz w:val="20"/>
                <w:szCs w:val="20"/>
              </w:rPr>
            </w:pPr>
            <w:r>
              <w:rPr>
                <w:rFonts w:ascii="方正仿宋_GB2312" w:eastAsia="方正仿宋_GB2312" w:cs="方正仿宋_GB2312" w:hAnsi="方正仿宋_GB2312" w:hint="eastAsia"/>
                <w:i w:val="0"/>
                <w:iCs w:val="0"/>
                <w:color w:val="000000"/>
                <w:kern w:val="0"/>
                <w:sz w:val="20"/>
                <w:szCs w:val="20"/>
                <w:u w:val="none"/>
                <w:lang w:val="en-US" w:eastAsia="zh-CN"/>
                <w:highlight w:val="auto"/>
              </w:rPr>
              <w:t>注：本表反映部门本年度国有资本经营预算财政拨款支出情况。</w:t>
            </w:r>
            <w:r>
              <w:rPr>
                <w:rFonts w:ascii="方正仿宋_GB2312" w:eastAsia="方正仿宋_GB2312" w:cs="方正仿宋_GB2312" w:hAnsi="方正仿宋_GB2312" w:hint="eastAsia"/>
                <w:color w:val="000000"/>
                <w:sz w:val="20"/>
                <w:szCs w:val="20"/>
              </w:rPr>
              <w:t>本</w:t>
            </w:r>
            <w:r>
              <w:rPr>
                <w:rFonts w:ascii="方正仿宋_GB2312" w:eastAsia="方正仿宋_GB2312" w:cs="方正仿宋_GB2312" w:hAnsi="方正仿宋_GB2312"/>
                <w:color w:val="000000"/>
                <w:sz w:val="20"/>
                <w:szCs w:val="20"/>
              </w:rPr>
              <w:t>部门</w:t>
            </w:r>
            <w:r>
              <w:rPr>
                <w:rFonts w:ascii="方正仿宋_GB2312" w:eastAsia="方正仿宋_GB2312" w:cs="方正仿宋_GB2312" w:hAnsi="方正仿宋_GB2312" w:hint="eastAsia"/>
                <w:color w:val="000000"/>
                <w:sz w:val="20"/>
                <w:szCs w:val="20"/>
              </w:rPr>
              <w:t>本年度无</w:t>
            </w:r>
            <w:r>
              <w:rPr>
                <w:rFonts w:ascii="方正仿宋_GB2312" w:eastAsia="方正仿宋_GB2312" w:cs="方正仿宋_GB2312" w:hAnsi="方正仿宋_GB2312" w:hint="eastAsia"/>
                <w:i w:val="0"/>
                <w:iCs w:val="0"/>
                <w:color w:val="000000"/>
                <w:kern w:val="0"/>
                <w:sz w:val="20"/>
                <w:szCs w:val="20"/>
                <w:u w:val="none"/>
                <w:lang w:val="en-US" w:eastAsia="zh-CN"/>
                <w:highlight w:val="auto"/>
              </w:rPr>
              <w:t>国有资本经营预算财政拨款</w:t>
            </w:r>
            <w:r>
              <w:rPr>
                <w:rFonts w:ascii="方正仿宋_GB2312" w:eastAsia="方正仿宋_GB2312" w:cs="方正仿宋_GB2312" w:hAnsi="方正仿宋_GB2312"/>
                <w:color w:val="000000"/>
                <w:sz w:val="20"/>
                <w:szCs w:val="20"/>
              </w:rPr>
              <w:t>支出</w:t>
            </w:r>
            <w:r>
              <w:rPr>
                <w:rFonts w:ascii="方正仿宋_GB2312" w:eastAsia="方正仿宋_GB2312" w:cs="方正仿宋_GB2312" w:hAnsi="方正仿宋_GB2312" w:hint="eastAsia"/>
                <w:color w:val="000000"/>
                <w:sz w:val="20"/>
                <w:szCs w:val="20"/>
              </w:rPr>
              <w:t>情况，按要求以空表列式。</w:t>
            </w:r>
          </w:p>
          <w:p>
            <w:pPr>
              <w:keepNext w:val="0"/>
              <w:keepLines w:val="0"/>
              <w:widowControl/>
              <w:suppressLineNumbers w:val="0"/>
              <w:jc w:val="left"/>
              <w:textAlignment w:val="center"/>
              <w:rPr>
                <w:rFonts w:ascii="宋体" w:eastAsia="宋体" w:cs="宋体" w:hAnsi="宋体" w:hint="eastAsia"/>
                <w:i w:val="0"/>
                <w:iCs w:val="0"/>
                <w:color w:val="000000"/>
                <w:sz w:val="20"/>
                <w:szCs w:val="20"/>
                <w:u w:val="none"/>
                <w:highlight w:val="auto"/>
              </w:rPr>
            </w:pP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tbl>
      <w:tblPr>
        <w:tblpPr w:leftFromText="180" w:rightFromText="180" w:vertAnchor="text" w:horzAnchor="page" w:tblpXSpec="center" w:tblpY="39"/>
        <w:tblOverlap w:val="never"/>
        <w:tblW w:w="4998" w:type="pct"/>
        <w:tblBorders>
          <w:top w:val="none" w:sz="0" w:space="0" w:color="auto"/>
          <w:left w:val="none" w:sz="0" w:space="0" w:color="auto"/>
          <w:bottom w:val="none" w:sz="0" w:space="0" w:color="auto"/>
          <w:right w:val="none" w:sz="0" w:space="0" w:color="auto"/>
        </w:tblBorders>
        <w:tblLayout w:type="fixed"/>
        <w:tblCellMar>
          <w:top w:w="0" w:type="dxa"/>
          <w:left w:w="108" w:type="dxa"/>
          <w:bottom w:w="0" w:type="dxa"/>
          <w:right w:w="108" w:type="dxa"/>
        </w:tblCellMar>
      </w:tblPr>
      <w:tblGrid>
        <w:gridCol w:w="682"/>
        <w:gridCol w:w="849"/>
        <w:gridCol w:w="561"/>
        <w:gridCol w:w="654"/>
        <w:gridCol w:w="366"/>
        <w:gridCol w:w="371"/>
        <w:gridCol w:w="603"/>
        <w:gridCol w:w="522"/>
        <w:gridCol w:w="114"/>
        <w:gridCol w:w="673"/>
        <w:gridCol w:w="637"/>
        <w:gridCol w:w="598"/>
        <w:gridCol w:w="675"/>
        <w:gridCol w:w="731"/>
      </w:tblGrid>
      <w:tr>
        <w:trPr>
          <w:trHeight w:val="550"/>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b w:val="0"/>
                <w:bCs/>
                <w:color w:val="auto"/>
                <w:kern w:val="0"/>
                <w:sz w:val="32"/>
                <w:szCs w:val="32"/>
                <w:lang w:val="en-US" w:eastAsia="zh-CN"/>
                <w:highlight w:val="auto"/>
              </w:rPr>
              <w:t>财政拨款“三公”经费支出决算表</w:t>
            </w:r>
          </w:p>
        </w:tc>
      </w:tr>
      <w:tr>
        <w:trPr>
          <w:trHeight w:val="260"/>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公开</w:t>
            </w:r>
            <w:r>
              <w:rPr>
                <w:rFonts w:ascii="Times New Roman" w:eastAsia="方正仿宋_GB2312" w:cs="Times New Roman" w:hAnsi="Times New Roman"/>
                <w:i w:val="0"/>
                <w:iCs w:val="0"/>
                <w:color w:val="000000"/>
                <w:kern w:val="0"/>
                <w:sz w:val="18"/>
                <w:szCs w:val="18"/>
                <w:u w:val="none"/>
                <w:lang w:val="en-US" w:eastAsia="zh-CN"/>
                <w:highlight w:val="auto"/>
              </w:rPr>
              <w:t>09</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表</w:t>
            </w:r>
          </w:p>
        </w:tc>
      </w:tr>
      <w:tr>
        <w:trPr>
          <w:trHeight w:val="260"/>
        </w:trPr>
        <w:tc>
          <w:tcPr>
            <w:tcW w:w="1936" w:type="pct"/>
            <w:gridSpan w:val="5"/>
            <w:tcBorders>
              <w:top w:val="nil"/>
              <w:left w:val="nil"/>
              <w:bottom w:val="single" w:sz="4" w:space="0" w:color="auto"/>
              <w:right w:val="nil"/>
            </w:tcBorders>
            <w:noWrap/>
            <w:vAlign w:val="bottom"/>
          </w:tcPr>
          <w:p>
            <w:pPr>
              <w:keepNext w:val="0"/>
              <w:keepLines w:val="0"/>
              <w:widowControl/>
              <w:suppressLineNumbers w:val="0"/>
              <w:jc w:val="left"/>
              <w:textAlignment w:val="bottom"/>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部门（单位）：行唐县发展改革局（汇总）</w:t>
            </w:r>
          </w:p>
        </w:tc>
        <w:tc>
          <w:tcPr>
            <w:tcW w:w="931" w:type="pct"/>
            <w:gridSpan w:val="3"/>
            <w:tcBorders>
              <w:top w:val="nil"/>
              <w:left w:val="nil"/>
              <w:bottom w:val="single" w:sz="4" w:space="0" w:color="auto"/>
              <w:right w:val="nil"/>
            </w:tcBorders>
            <w:noWrap/>
            <w:vAlign w:val="bottom"/>
          </w:tcPr>
          <w:p>
            <w:pPr>
              <w:keepNext w:val="0"/>
              <w:keepLines w:val="0"/>
              <w:widowControl/>
              <w:suppressLineNumbers w:val="0"/>
              <w:jc w:val="center"/>
              <w:textAlignment w:val="bottom"/>
              <w:rPr>
                <w:rFonts w:ascii="宋体" w:eastAsia="宋体" w:cs="宋体" w:hAnsi="宋体"/>
                <w:i w:val="0"/>
                <w:iCs w:val="0"/>
                <w:color w:val="000000"/>
                <w:kern w:val="0"/>
                <w:sz w:val="18"/>
                <w:szCs w:val="18"/>
                <w:u w:val="none"/>
                <w:lang w:val="en-US" w:eastAsia="zh-CN"/>
                <w:highlight w:val="auto"/>
              </w:rPr>
            </w:pPr>
            <w:r>
              <w:rPr>
                <w:rFonts w:ascii="Times New Roman" w:eastAsia="宋体" w:cs="Times New Roman" w:hAnsi="Times New Roman"/>
                <w:i w:val="0"/>
                <w:iCs w:val="0"/>
                <w:color w:val="000000"/>
                <w:kern w:val="0"/>
                <w:sz w:val="18"/>
                <w:szCs w:val="18"/>
                <w:u w:val="none"/>
                <w:lang w:val="en-US" w:eastAsia="zh-CN"/>
                <w:highlight w:val="auto"/>
              </w:rPr>
              <w:t>202</w:t>
            </w:r>
            <w:r>
              <w:rPr>
                <w:rFonts w:ascii="Times New Roman" w:eastAsia="宋体" w:cs="Times New Roman" w:hAnsi="Times New Roman" w:hint="eastAsia"/>
                <w:i w:val="0"/>
                <w:iCs w:val="0"/>
                <w:color w:val="000000"/>
                <w:kern w:val="0"/>
                <w:sz w:val="18"/>
                <w:szCs w:val="18"/>
                <w:u w:val="none"/>
                <w:lang w:val="en-US" w:eastAsia="zh-CN"/>
                <w:highlight w:val="auto"/>
              </w:rPr>
              <w:t>4</w:t>
            </w:r>
            <w:r>
              <w:rPr>
                <w:rFonts w:ascii="方正仿宋_GB2312" w:eastAsia="方正仿宋_GB2312" w:cs="方正仿宋_GB2312" w:hAnsi="方正仿宋_GB2312" w:hint="eastAsia"/>
                <w:i w:val="0"/>
                <w:iCs w:val="0"/>
                <w:color w:val="000000"/>
                <w:kern w:val="0"/>
                <w:sz w:val="18"/>
                <w:szCs w:val="18"/>
                <w:u w:val="none"/>
                <w:lang w:val="en-US" w:eastAsia="zh-CN"/>
                <w:highlight w:val="auto"/>
              </w:rPr>
              <w:t>年度</w:t>
            </w:r>
          </w:p>
        </w:tc>
        <w:tc>
          <w:tcPr>
            <w:tcW w:w="2132" w:type="pct"/>
            <w:gridSpan w:val="6"/>
            <w:tcBorders>
              <w:top w:val="nil"/>
              <w:left w:val="nil"/>
              <w:bottom w:val="single" w:sz="4" w:space="0" w:color="auto"/>
              <w:right w:val="nil"/>
            </w:tcBorders>
            <w:noWrap/>
            <w:vAlign w:val="bottom"/>
          </w:tcPr>
          <w:p>
            <w:pPr>
              <w:keepNext w:val="0"/>
              <w:keepLines w:val="0"/>
              <w:widowControl/>
              <w:suppressLineNumbers w:val="0"/>
              <w:jc w:val="right"/>
              <w:textAlignment w:val="bottom"/>
              <w:rPr>
                <w:rFonts w:ascii="宋体" w:eastAsia="宋体" w:cs="宋体" w:hAnsi="宋体"/>
                <w:i w:val="0"/>
                <w:iCs w:val="0"/>
                <w:color w:val="000000"/>
                <w:kern w:val="0"/>
                <w:sz w:val="18"/>
                <w:szCs w:val="18"/>
                <w:u w:val="none"/>
                <w:lang w:val="en-US" w:eastAsia="zh-CN"/>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金额单位：万元</w:t>
            </w:r>
          </w:p>
        </w:tc>
      </w:tr>
      <w:tr>
        <w:trPr>
          <w:trHeight w:val="431"/>
        </w:trPr>
        <w:tc>
          <w:tcPr>
            <w:tcW w:w="2542" w:type="pct"/>
            <w:gridSpan w:val="7"/>
            <w:tcBorders>
              <w:top w:val="single" w:sz="4" w:space="0" w:color="auto"/>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预算数</w:t>
            </w:r>
          </w:p>
        </w:tc>
        <w:tc>
          <w:tcPr>
            <w:tcW w:w="2457" w:type="pct"/>
            <w:gridSpan w:val="7"/>
            <w:tcBorders>
              <w:top w:val="single" w:sz="4" w:space="0" w:color="auto"/>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决算数</w:t>
            </w:r>
          </w:p>
        </w:tc>
      </w:tr>
      <w:tr>
        <w:trPr>
          <w:trHeight w:val="431"/>
        </w:trPr>
        <w:tc>
          <w:tcPr>
            <w:tcW w:w="424" w:type="pct"/>
            <w:vMerge w:val="restar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合计</w:t>
            </w:r>
          </w:p>
        </w:tc>
        <w:tc>
          <w:tcPr>
            <w:tcW w:w="528"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w:t>
            </w:r>
          </w:p>
        </w:tc>
        <w:tc>
          <w:tcPr>
            <w:tcW w:w="1215" w:type="pct"/>
            <w:gridSpan w:val="4"/>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公务用车购置及运行维护费</w:t>
            </w:r>
          </w:p>
        </w:tc>
        <w:tc>
          <w:tcPr>
            <w:tcW w:w="373"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c>
          <w:tcPr>
            <w:tcW w:w="396" w:type="pct"/>
            <w:gridSpan w:val="2"/>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合计</w:t>
            </w:r>
          </w:p>
        </w:tc>
        <w:tc>
          <w:tcPr>
            <w:tcW w:w="419"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因公出国（境）费</w:t>
            </w:r>
          </w:p>
        </w:tc>
        <w:tc>
          <w:tcPr>
            <w:tcW w:w="1188" w:type="pct"/>
            <w:gridSpan w:val="3"/>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公务用车购置及运行维护费</w:t>
            </w:r>
          </w:p>
        </w:tc>
        <w:tc>
          <w:tcPr>
            <w:tcW w:w="452" w:type="pct"/>
            <w:vMerge w:val="restar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公务接待费</w:t>
            </w:r>
          </w:p>
        </w:tc>
      </w:tr>
      <w:tr>
        <w:trPr>
          <w:trHeight w:val="431"/>
        </w:trPr>
        <w:tc>
          <w:tcPr>
            <w:tcW w:w="425" w:type="pct"/>
            <w:vMerge/>
            <w:tcBorders>
              <w:top w:val="nil"/>
              <w:left w:val="single" w:sz="4" w:space="0" w:color="000000"/>
              <w:bottom w:val="single" w:sz="4" w:space="0" w:color="000000"/>
              <w:right w:val="single" w:sz="4" w:space="0" w:color="000000"/>
            </w:tcBorders>
            <w:noWrap/>
            <w:vAlign w:val="center"/>
          </w:tcPr>
          <w:p/>
        </w:tc>
        <w:tc>
          <w:tcPr>
            <w:tcW w:w="528" w:type="pct"/>
            <w:vMerge/>
            <w:tcBorders>
              <w:top w:val="nil"/>
              <w:left w:val="nil"/>
              <w:bottom w:val="single" w:sz="4" w:space="0" w:color="000000"/>
              <w:right w:val="single" w:sz="4" w:space="0" w:color="000000"/>
            </w:tcBorders>
            <w:noWrap/>
            <w:vAlign w:val="center"/>
          </w:tcPr>
          <w:p/>
        </w:tc>
        <w:tc>
          <w:tcPr>
            <w:tcW w:w="34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小计</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公务用车购置费</w:t>
            </w:r>
          </w:p>
        </w:tc>
        <w:tc>
          <w:tcPr>
            <w:tcW w:w="458"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335" w:type="pct"/>
            <w:vMerge/>
            <w:tcBorders>
              <w:top w:val="nil"/>
              <w:left w:val="nil"/>
              <w:bottom w:val="single" w:sz="4" w:space="0" w:color="000000"/>
              <w:right w:val="single" w:sz="4" w:space="0" w:color="000000"/>
            </w:tcBorders>
            <w:noWrap/>
            <w:vAlign w:val="center"/>
          </w:tcPr>
          <w:p/>
        </w:tc>
        <w:tc>
          <w:tcPr>
            <w:tcW w:w="365" w:type="pct"/>
            <w:gridSpan w:val="2"/>
            <w:vMerge/>
            <w:tcBorders>
              <w:top w:val="nil"/>
              <w:left w:val="nil"/>
              <w:bottom w:val="single" w:sz="4" w:space="0" w:color="000000"/>
              <w:right w:val="single" w:sz="4" w:space="0" w:color="000000"/>
            </w:tcBorders>
            <w:noWrap/>
            <w:vAlign w:val="center"/>
          </w:tcPr>
          <w:p/>
        </w:tc>
        <w:tc>
          <w:tcPr>
            <w:tcW w:w="488" w:type="pct"/>
            <w:vMerge/>
            <w:tcBorders>
              <w:top w:val="nil"/>
              <w:left w:val="nil"/>
              <w:bottom w:val="single" w:sz="4" w:space="0" w:color="000000"/>
              <w:right w:val="single" w:sz="4" w:space="0" w:color="000000"/>
            </w:tcBorders>
            <w:noWrap/>
            <w:vAlign w:val="center"/>
          </w:tcPr>
          <w:p/>
        </w:tc>
        <w:tc>
          <w:tcPr>
            <w:tcW w:w="39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小计</w:t>
            </w:r>
          </w:p>
        </w:tc>
        <w:tc>
          <w:tcPr>
            <w:tcW w:w="37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公务用车购置费</w:t>
            </w:r>
          </w:p>
        </w:tc>
        <w:tc>
          <w:tcPr>
            <w:tcW w:w="41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方正仿宋_GB2312" w:eastAsia="方正仿宋_GB2312" w:cs="方正仿宋_GB2312" w:hAnsi="方正仿宋_GB2312"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公务用车运行维护费</w:t>
            </w:r>
          </w:p>
        </w:tc>
        <w:tc>
          <w:tcPr>
            <w:tcW w:w="514" w:type="pct"/>
            <w:vMerge/>
            <w:tcBorders>
              <w:top w:val="nil"/>
              <w:left w:val="nil"/>
              <w:bottom w:val="single" w:sz="4" w:space="0" w:color="000000"/>
              <w:right w:val="single" w:sz="4" w:space="0" w:color="000000"/>
            </w:tcBorders>
            <w:noWrap/>
            <w:vAlign w:val="center"/>
          </w:tcPr>
          <w:p/>
        </w:tc>
      </w:tr>
      <w:tr>
        <w:trPr>
          <w:trHeight w:val="431"/>
        </w:trPr>
        <w:tc>
          <w:tcPr>
            <w:tcW w:w="424" w:type="pct"/>
            <w:tcBorders>
              <w:top w:val="nil"/>
              <w:left w:val="single" w:sz="4" w:space="0" w:color="000000"/>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w:t>
            </w:r>
          </w:p>
        </w:tc>
        <w:tc>
          <w:tcPr>
            <w:tcW w:w="528"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2</w:t>
            </w:r>
          </w:p>
        </w:tc>
        <w:tc>
          <w:tcPr>
            <w:tcW w:w="34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3</w:t>
            </w:r>
          </w:p>
        </w:tc>
        <w:tc>
          <w:tcPr>
            <w:tcW w:w="407"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4</w:t>
            </w:r>
          </w:p>
        </w:tc>
        <w:tc>
          <w:tcPr>
            <w:tcW w:w="458"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5</w:t>
            </w:r>
          </w:p>
        </w:tc>
        <w:tc>
          <w:tcPr>
            <w:tcW w:w="373"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6</w:t>
            </w:r>
          </w:p>
        </w:tc>
        <w:tc>
          <w:tcPr>
            <w:tcW w:w="396" w:type="pct"/>
            <w:gridSpan w:val="2"/>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7</w:t>
            </w:r>
          </w:p>
        </w:tc>
        <w:tc>
          <w:tcPr>
            <w:tcW w:w="41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8</w:t>
            </w:r>
          </w:p>
        </w:tc>
        <w:tc>
          <w:tcPr>
            <w:tcW w:w="396"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9</w:t>
            </w:r>
          </w:p>
        </w:tc>
        <w:tc>
          <w:tcPr>
            <w:tcW w:w="37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10</w:t>
            </w:r>
          </w:p>
        </w:tc>
        <w:tc>
          <w:tcPr>
            <w:tcW w:w="419"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11</w:t>
            </w:r>
          </w:p>
        </w:tc>
        <w:tc>
          <w:tcPr>
            <w:tcW w:w="452" w:type="pct"/>
            <w:tcBorders>
              <w:top w:val="nil"/>
              <w:left w:val="nil"/>
              <w:bottom w:val="single" w:sz="4" w:space="0" w:color="000000"/>
              <w:right w:val="single" w:sz="4" w:space="0" w:color="000000"/>
            </w:tcBorders>
            <w:noWrap/>
            <w:vAlign w:val="center"/>
          </w:tcPr>
          <w:p>
            <w:pPr>
              <w:keepNext w:val="0"/>
              <w:keepLines w:val="0"/>
              <w:widowControl/>
              <w:suppressLineNumbers w:val="0"/>
              <w:jc w:val="center"/>
              <w:textAlignment w:val="center"/>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kern w:val="0"/>
                <w:sz w:val="18"/>
                <w:szCs w:val="18"/>
                <w:u w:val="none"/>
                <w:lang w:val="en-US" w:eastAsia="zh-CN"/>
                <w:highlight w:val="auto"/>
              </w:rPr>
              <w:t>12</w:t>
            </w:r>
          </w:p>
        </w:tc>
      </w:tr>
      <w:tr>
        <w:trPr>
          <w:trHeight w:val="431"/>
        </w:trPr>
        <w:tc>
          <w:tcPr>
            <w:tcW w:w="424" w:type="pct"/>
            <w:tcBorders>
              <w:top w:val="nil"/>
              <w:left w:val="single" w:sz="4" w:space="0" w:color="000000"/>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8.46</w:t>
            </w:r>
          </w:p>
        </w:tc>
        <w:tc>
          <w:tcPr>
            <w:tcW w:w="528"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349"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8.15</w:t>
            </w:r>
          </w:p>
        </w:tc>
        <w:tc>
          <w:tcPr>
            <w:tcW w:w="407"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58" w:type="pct"/>
            <w:gridSpan w:val="2"/>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8.15</w:t>
            </w:r>
          </w:p>
        </w:tc>
        <w:tc>
          <w:tcPr>
            <w:tcW w:w="373"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0.31</w:t>
            </w:r>
          </w:p>
        </w:tc>
        <w:tc>
          <w:tcPr>
            <w:tcW w:w="396" w:type="pct"/>
            <w:gridSpan w:val="2"/>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6.39</w:t>
            </w:r>
          </w:p>
        </w:tc>
        <w:tc>
          <w:tcPr>
            <w:tcW w:w="419"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396"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6.39</w:t>
            </w:r>
          </w:p>
        </w:tc>
        <w:tc>
          <w:tcPr>
            <w:tcW w:w="372"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c>
          <w:tcPr>
            <w:tcW w:w="419"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r>
              <w:rPr>
                <w:rFonts w:ascii="Times New Roman" w:eastAsia="方正仿宋_GB2312" w:cs="Times New Roman" w:hAnsi="Times New Roman"/>
                <w:i w:val="0"/>
                <w:iCs w:val="0"/>
                <w:color w:val="000000"/>
                <w:sz w:val="18"/>
                <w:szCs w:val="18"/>
                <w:u w:val="none"/>
                <w:highlight w:val="auto"/>
              </w:rPr>
              <w:t>6.39</w:t>
            </w:r>
          </w:p>
        </w:tc>
        <w:tc>
          <w:tcPr>
            <w:tcW w:w="452" w:type="pct"/>
            <w:tcBorders>
              <w:top w:val="nil"/>
              <w:left w:val="nil"/>
              <w:bottom w:val="single" w:sz="4" w:space="0" w:color="000000"/>
              <w:right w:val="single" w:sz="4" w:space="0" w:color="000000"/>
            </w:tcBorders>
            <w:noWrap/>
            <w:vAlign w:val="center"/>
          </w:tcPr>
          <w:p>
            <w:pPr>
              <w:jc w:val="right"/>
              <w:rPr>
                <w:rFonts w:ascii="Times New Roman" w:eastAsia="方正仿宋_GB2312" w:cs="Times New Roman" w:hAnsi="Times New Roman"/>
                <w:i w:val="0"/>
                <w:iCs w:val="0"/>
                <w:color w:val="000000"/>
                <w:sz w:val="18"/>
                <w:szCs w:val="18"/>
                <w:u w:val="none"/>
                <w:highlight w:val="auto"/>
              </w:rPr>
            </w:pPr>
          </w:p>
        </w:tc>
      </w:tr>
      <w:tr>
        <w:trPr>
          <w:trHeight w:val="431"/>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ascii="宋体" w:eastAsia="宋体" w:cs="宋体" w:hAnsi="宋体" w:hint="eastAsia"/>
                <w:i w:val="0"/>
                <w:iCs w:val="0"/>
                <w:color w:val="000000"/>
                <w:sz w:val="18"/>
                <w:szCs w:val="18"/>
                <w:u w:val="none"/>
                <w:highlight w:val="auto"/>
              </w:rPr>
            </w:pPr>
            <w:r>
              <w:rPr>
                <w:rFonts w:ascii="方正仿宋_GB2312" w:eastAsia="方正仿宋_GB2312" w:cs="方正仿宋_GB2312" w:hAnsi="方正仿宋_GB2312" w:hint="eastAsia"/>
                <w:i w:val="0"/>
                <w:iCs w:val="0"/>
                <w:color w:val="000000"/>
                <w:kern w:val="0"/>
                <w:sz w:val="18"/>
                <w:szCs w:val="18"/>
                <w:u w:val="none"/>
                <w:lang w:val="en-US" w:eastAsia="zh-CN"/>
                <w:highlight w:val="auto"/>
              </w:rPr>
              <w:t>注：本表反映部门本年度财政拨款“三公”经费支出预决算情况。其中：预算数为“三公”经费全年预算数，反映按规定程序调整后的预算数；决算数是包括当年财政拨款和以前年度结转资金安排的实际支出。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pPr>
    </w:p>
    <w:p>
      <w:pPr>
        <w:rPr>
          <w:rFonts w:ascii="仿宋_GB2312" w:eastAsia="仿宋_GB2312" w:hAnsi="宋体" w:hint="eastAsia"/>
          <w:b/>
          <w:color w:val="auto"/>
          <w:kern w:val="0"/>
          <w:sz w:val="32"/>
          <w:szCs w:val="32"/>
          <w:highlight w:val="auto"/>
        </w:rPr>
      </w:pPr>
      <w:r>
        <w:rPr>
          <w:rFonts w:ascii="仿宋_GB2312" w:eastAsia="仿宋_GB2312" w:hAnsi="宋体" w:hint="eastAsia"/>
          <w:b/>
          <w:color w:val="auto"/>
          <w:kern w:val="0"/>
          <w:sz w:val="32"/>
          <w:szCs w:val="32"/>
          <w:highlight w:val="auto"/>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ascii="仿宋_GB2312" w:eastAsia="仿宋_GB2312" w:hAnsi="宋体" w:hint="eastAsia"/>
          <w:b/>
          <w:color w:val="auto"/>
          <w:kern w:val="0"/>
          <w:sz w:val="32"/>
          <w:szCs w:val="32"/>
          <w:highlight w:val="auto"/>
        </w:rPr>
        <w:sectPr>
          <w:headerReference w:type="default" r:id="rId9"/>
          <w:footerReference w:type="default" r:id="rId10"/>
          <w:pgSz w:w="11906" w:h="16838"/>
          <w:pgMar w:top="1531" w:right="1984" w:bottom="1531" w:left="2098" w:header="851" w:footer="992" w:gutter="0"/>
          <w:docGrid w:type="lines" w:linePitch="312" w:charSpace="0"/>
        </w:sectPr>
      </w:pP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第三部分   </w:t>
      </w:r>
      <w:r>
        <w:rPr>
          <w:rFonts w:ascii="Times New Roman" w:eastAsia="仿宋_GB2312" w:hAnsi="Times New Roman"/>
          <w:b w:val="0"/>
          <w:sz w:val="44"/>
          <w:szCs w:val="44"/>
        </w:rPr>
        <w:t>2024</w:t>
      </w:r>
      <w:r>
        <w:rPr>
          <w:rFonts w:ascii="Times New Roman" w:eastAsia="黑体" w:hAnsi="Times New Roman"/>
          <w:b w:val="0"/>
          <w:sz w:val="44"/>
          <w:szCs w:val="44"/>
        </w:rPr>
        <w:t>年度部门决算情况说明</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一、收入支出决算总体情况说明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本部门2024年度收、支总计（含结转和结余）均为13,268.01万元。与2023年度决算相比，收支各减少1,343.75万元，下降9.2%，主要原因是科学技术支出</w:t>
      </w:r>
      <w:r>
        <w:rPr>
          <w:rFonts w:ascii="仿宋_GB2312" w:eastAsia="仿宋_GB2312" w:hint="eastAsia"/>
          <w:sz w:val="32"/>
          <w:szCs w:val="32"/>
        </w:rPr>
        <w:t>减少</w:t>
      </w:r>
      <w:r>
        <w:rPr>
          <w:rFonts w:ascii="Times New Roman" w:eastAsia="仿宋_GB2312" w:hAnsi="Times New Roman"/>
          <w:b w:val="0"/>
          <w:sz w:val="32"/>
          <w:szCs w:val="32"/>
        </w:rPr>
        <w:t>。</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Arial" w:cs="Times New Roman" w:hAnsi="Times New Roman"/>
          <w:highlight w:val="auto"/>
        </w:rPr>
      </w:pPr>
      <w:r>
        <w:rPr>
          <w:rFonts w:ascii="Times New Roman" w:eastAsia="宋体" w:hAnsi="Times New Roman" w:hint="eastAsia"/>
        </w:rPr>
        <w:drawing>
          <wp:inline distT="0" distB="0" distL="114300" distR="114300">
            <wp:extent cx="5256530" cy="2988310"/>
            <wp:effectExtent l="0" t="0" r="0" b="0"/>
            <wp:docPr id="7" name="图表 5"/>
            <wp:cNvGraphicFramePr>
              <a:graphicFrameLocks noChangeAspect="0"/>
            </wp:cNvGraphicFramePr>
            <a:graphic>
              <a:graphicData uri="http://schemas.openxmlformats.org/drawingml/2006/chart">
                <c:chart xmlns:c="http://schemas.openxmlformats.org/drawingml/2006/chart" r:id="rId11"/>
              </a:graphicData>
            </a:graphic>
          </wp:inline>
        </w:drawing>
      </w:r>
      <w:r>
        <w:rPr>
          <w:rFonts w:ascii="Times New Roman" w:eastAsia="Arial" w:cs="Times New Roman" w:hAnsi="Times New Roman"/>
          <w:i w:val="0"/>
          <w:iCs w:val="0"/>
          <w:caps w:val="0"/>
          <w:smallCaps w:val="0"/>
          <w:color w:val="000000"/>
          <w:spacing w:val="0"/>
          <w:sz w:val="18"/>
          <w:szCs w:val="18"/>
          <w:shd w:val="clear" w:color="auto" w:fill="FFFFFF"/>
          <w:highlight w:val="auto"/>
        </w:rPr>
        <w:t> </w:t>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二、收入决算情况说明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本年收入合计13,268.01万元，其中：财政拨款收入13,268.01万元，占100%​；上级补助收入0万元，占0%；事业收入0万元，占0%；经营收入0万元，占0%；附属单位上缴收入0万元，占0%；其他收入0万元，占0%。</w:t>
      </w:r>
    </w:p>
    <w:p>
      <w:pPr>
        <w:adjustRightInd w:val="0"/>
        <w:snapToGrid w:val="0"/>
        <w:spacing w:line="580" w:lineRule="exact"/>
        <w:jc w:val="both"/>
        <w:rPr>
          <w:rFonts w:ascii="Times New Roman" w:eastAsia="仿宋_GB2312" w:cs="Times New Roman" w:hAnsi="Times New Roman"/>
          <w:kern w:val="2"/>
          <w:sz w:val="32"/>
          <w:szCs w:val="32"/>
          <w:lang w:val="zh-CN"/>
          <w:highlight w:val="yellow"/>
        </w:rPr>
      </w:pPr>
      <w:r>
        <w:rPr>
          <w:rFonts w:ascii="Times New Roman" w:eastAsia="仿宋_GB2312" w:hAnsi="Times New Roman"/>
          <w:kern w:val="2"/>
          <w:sz w:val="32"/>
          <w:szCs w:val="32"/>
          <w:lang w:val="zh-CN"/>
          <w:highlight w:val="yellow"/>
        </w:rPr>
        <w:drawing>
          <wp:anchor distT="0" distB="0" distL="114300" distR="114300" simplePos="0" relativeHeight="63" behindDoc="0" locked="0" layoutInCell="1" hidden="0" allowOverlap="1">
            <wp:simplePos x="0" y="0"/>
            <wp:positionH relativeFrom="column">
              <wp:posOffset>-16510</wp:posOffset>
            </wp:positionH>
            <wp:positionV relativeFrom="paragraph">
              <wp:posOffset>201930</wp:posOffset>
            </wp:positionV>
            <wp:extent cx="5256530" cy="2988310"/>
            <wp:effectExtent l="0" t="0" r="0" b="0"/>
            <wp:wrapTopAndBottom/>
            <wp:docPr id="8" name="图表 9"/>
            <wp:cNvGraphicFramePr>
              <a:graphicFrameLocks noChangeAspect="0"/>
            </wp:cNvGraphicFramePr>
            <a:graphic>
              <a:graphicData uri="http://schemas.openxmlformats.org/drawingml/2006/chart">
                <c:chart xmlns:c="http://schemas.openxmlformats.org/drawingml/2006/chart" r:id="rId12"/>
              </a:graphicData>
            </a:graphic>
          </wp:anchor>
        </w:drawing>
      </w:r>
    </w:p>
    <w:p>
      <w:pPr>
        <w:widowControl/>
        <w:spacing w:before="0" w:beforeAutospacing="0" w:after="0" w:afterAutospacing="0" w:line="360" w:lineRule="auto"/>
        <w:jc w:val="left"/>
        <w:outlineLvl w:val="1"/>
        <w:rPr>
          <w:rFonts w:ascii="Times New Roman" w:eastAsia="黑体" w:hAnsi="Times New Roman"/>
          <w:sz w:val="32"/>
          <w:szCs w:val="32"/>
        </w:rPr>
      </w:pPr>
      <w:r>
        <w:rPr>
          <w:rFonts w:ascii="Times New Roman" w:eastAsia="黑体" w:hAnsi="Times New Roman"/>
          <w:b w:val="0"/>
          <w:sz w:val="32"/>
          <w:szCs w:val="32"/>
        </w:rPr>
        <w:t>三、支出决算情况说明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本部门2024年度本年支出合计13,268.01万元，其中：基本支出786.21万元，占5.9%；项目支出12,481.8万元，占94.1%；上缴上级支出0万元，占0%；经营支出0万元，占0%；对附属单位补助支出0万元，占0%。</w:t>
      </w:r>
    </w:p>
    <w:p>
      <w:pPr>
        <w:autoSpaceDE w:val="0"/>
        <w:autoSpaceDN w:val="0"/>
        <w:adjustRightInd w:val="0"/>
        <w:jc w:val="center"/>
        <w:rPr>
          <w:rFonts w:ascii="Times New Roman" w:eastAsia="仿宋_GB2312" w:cs="Times New Roman" w:hAnsi="Times New Roman"/>
          <w:color w:val="auto"/>
          <w:kern w:val="0"/>
          <w:sz w:val="32"/>
          <w:szCs w:val="32"/>
          <w:lang w:val="en-US" w:eastAsia="zh-CN" w:bidi="ar-SA"/>
          <w:highlight w:val="auto"/>
        </w:rPr>
      </w:pPr>
      <w:r>
        <w:rPr>
          <w:rFonts w:ascii="Times New Roman" w:eastAsia="仿宋_GB2312" w:cs="Times New Roman" w:hAnsi="Times New Roman"/>
          <w:sz w:val="32"/>
          <w:szCs w:val="32"/>
          <w:highlight w:val="auto"/>
        </w:rPr>
        <w:drawing>
          <wp:inline distT="0" distB="0" distL="114300" distR="114300">
            <wp:extent cx="5256530" cy="2988310"/>
            <wp:effectExtent l="0" t="0" r="0" b="0"/>
            <wp:docPr id="9" name="图表 7"/>
            <wp:cNvGraphicFramePr>
              <a:graphicFrameLocks noChangeAspect="0"/>
            </wp:cNvGraphicFramePr>
            <a:graphic>
              <a:graphicData uri="http://schemas.openxmlformats.org/drawingml/2006/chart">
                <c:chart xmlns:c="http://schemas.openxmlformats.org/drawingml/2006/chart" r:id="rId13"/>
              </a:graphicData>
            </a:graphic>
          </wp:inline>
        </w:drawing>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四、财政拨款收入支出决算总体情况说明</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（一）财政拨款收支与</w:t>
      </w:r>
      <w:r>
        <w:rPr>
          <w:rFonts w:ascii="Times New Roman" w:eastAsia="仿宋_GB2312" w:hAnsi="Times New Roman"/>
          <w:b/>
          <w:sz w:val="32"/>
          <w:szCs w:val="32"/>
        </w:rPr>
        <w:t>2023</w:t>
      </w:r>
      <w:r>
        <w:rPr>
          <w:rFonts w:ascii="Times New Roman" w:eastAsia="楷体_GB2312" w:hAnsi="Times New Roman"/>
          <w:b/>
          <w:sz w:val="32"/>
          <w:szCs w:val="32"/>
        </w:rPr>
        <w:t>年度决算对比情况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本部门2024年度财政拨款收、支总计（含结转和结余）均为13,268.01万元。与2023年度相比，财政拨款收支各减少1,343.75万元，降低9.2%，主要原因是科学技术支出</w:t>
      </w:r>
      <w:r>
        <w:rPr>
          <w:rFonts w:ascii="仿宋_GB2312" w:eastAsia="仿宋_GB2312" w:hint="eastAsia"/>
          <w:sz w:val="32"/>
          <w:szCs w:val="32"/>
        </w:rPr>
        <w:t>减少</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本部门2024年度财政拨款本年收入13,268.01万元,比上年减少1,343.75万元，降低9.2%，主要原因是科学技术支出</w:t>
      </w:r>
      <w:r>
        <w:rPr>
          <w:rFonts w:ascii="仿宋_GB2312" w:eastAsia="仿宋_GB2312" w:hint="eastAsia"/>
          <w:sz w:val="32"/>
          <w:szCs w:val="32"/>
        </w:rPr>
        <w:t>减少</w:t>
      </w:r>
      <w:r>
        <w:rPr>
          <w:rFonts w:ascii="Times New Roman" w:eastAsia="仿宋_GB2312" w:hAnsi="Times New Roman"/>
          <w:b w:val="0"/>
          <w:sz w:val="32"/>
          <w:szCs w:val="32"/>
        </w:rPr>
        <w:t>；本年支出13,268.01万元，比上年减少1,343.75万元，降低9.2%，主要原因是科学技术支出</w:t>
      </w:r>
      <w:r>
        <w:rPr>
          <w:rFonts w:ascii="仿宋_GB2312" w:eastAsia="仿宋_GB2312" w:hint="eastAsia"/>
          <w:sz w:val="32"/>
          <w:szCs w:val="32"/>
        </w:rPr>
        <w:t>减少</w:t>
      </w:r>
      <w:r>
        <w:rPr>
          <w:rFonts w:ascii="Times New Roman" w:eastAsia="仿宋_GB2312" w:hAnsi="Times New Roman"/>
          <w:b w:val="0"/>
          <w:sz w:val="32"/>
          <w:szCs w:val="32"/>
        </w:rPr>
        <w:t>。具体情况如下：</w:t>
      </w:r>
    </w:p>
    <w:p>
      <w:pPr>
        <w:widowControl/>
        <w:spacing w:before="0" w:beforeAutospacing="0" w:after="0" w:afterAutospacing="0" w:line="360" w:lineRule="auto"/>
        <w:ind w:firstLineChars="200" w:firstLine="640"/>
        <w:jc w:val="left"/>
        <w:outlineLvl w:val="1"/>
        <w:rPr>
          <w:rFonts w:ascii="Times New Roman" w:eastAsia="仿宋_GB2312" w:hAnsi="Times New Roman"/>
          <w:sz w:val="32"/>
          <w:szCs w:val="32"/>
        </w:rPr>
      </w:pPr>
      <w:r>
        <w:rPr>
          <w:rFonts w:ascii="Times New Roman" w:eastAsia="仿宋_GB2312" w:hAnsi="Times New Roman"/>
          <w:b w:val="0"/>
          <w:sz w:val="32"/>
          <w:szCs w:val="32"/>
        </w:rPr>
        <w:t>1. 一般公共预算财政拨款本年收入11,368.01​​万元,比上年减少813.75万元，降低6.7%，主要原因是科学技术支出</w:t>
      </w:r>
      <w:r>
        <w:rPr>
          <w:rFonts w:ascii="仿宋_GB2312" w:eastAsia="仿宋_GB2312" w:hint="eastAsia"/>
          <w:sz w:val="32"/>
          <w:szCs w:val="32"/>
        </w:rPr>
        <w:t>减少</w:t>
      </w:r>
      <w:r>
        <w:rPr>
          <w:rFonts w:ascii="Times New Roman" w:eastAsia="仿宋_GB2312" w:hAnsi="Times New Roman"/>
          <w:b w:val="0"/>
          <w:sz w:val="32"/>
          <w:szCs w:val="32"/>
        </w:rPr>
        <w:t>；本年支出11,368.01​​ 万元，比上年减少813.75万元，降低6.7%，主要原因是科学技术支出</w:t>
      </w:r>
      <w:r>
        <w:rPr>
          <w:rFonts w:ascii="仿宋_GB2312" w:eastAsia="仿宋_GB2312" w:hint="eastAsia"/>
          <w:sz w:val="32"/>
          <w:szCs w:val="32"/>
        </w:rPr>
        <w:t>减少</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政府性基金预算财政拨款本年收入1,900万元，比上年减少530万元，降低21.8%，主要原因是城乡社区支出需求政府性基金减少；本年支出1,900万元，比上年减少530万元，降低21.8%，主要原因是城乡社区支出需求政府性基金减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3. 国有资本经营预算财政拨款本年收入0万元，与上年持平；本年支出0万元，与上年持平。</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仿宋_GB2312" w:cs="Times New Roman" w:hAnsi="Times New Roman"/>
          <w:sz w:val="32"/>
          <w:szCs w:val="32"/>
          <w:lang w:val="en-US" w:eastAsia="zh-CN"/>
          <w:highlight w:val="auto"/>
        </w:rPr>
      </w:pPr>
      <w:r>
        <w:rPr>
          <w:rFonts w:ascii="Times New Roman" w:eastAsia="仿宋_GB2312" w:hAnsi="Times New Roman"/>
          <w:sz w:val="32"/>
          <w:szCs w:val="32"/>
        </w:rPr>
        <w:drawing>
          <wp:inline distT="0" distB="0" distL="114300" distR="114300">
            <wp:extent cx="5256530" cy="2988310"/>
            <wp:effectExtent l="0" t="0" r="0" b="0"/>
            <wp:docPr id="10" name="图表 3"/>
            <wp:cNvGraphicFramePr>
              <a:graphicFrameLocks noChangeAspect="0"/>
            </wp:cNvGraphicFramePr>
            <a:graphic>
              <a:graphicData uri="http://schemas.openxmlformats.org/drawingml/2006/chart">
                <c:chart xmlns:c="http://schemas.openxmlformats.org/drawingml/2006/chart" r:id="rId14"/>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（二）财政拨款收支与年初预算数对比情况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本部门2024年度财政拨款本年收入13,268.01万元，完成年初预算的248.2%，比年初预算增加7,923.23万元，决算数大于预算数主要原因是农林水支出增多 ；本年支出13,268.01万元，完成年初预算的248.2%，比年初预算增加7,923.23万元，决算数大于预算数主要原因是农林水支出增多 。具体情况如下：</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1. 一般公共预算财政拨款本年收入完成年初预算的212.9%，比年初预算增加6,028.23万元，主要原因是农林水支出增多；支出完成年初预算的212.9%，比年初预算增加6,028.23万元，主要原因是农林水支出增多。</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政府性基金预算财政拨款本年收入完成年初预算的0%，比年初预算增加1,900万元，主要原因是增加其他地方自行试点项目收益专项债券收入安排支出；支出完成年初预算的0%，比年初预算增加1,900万元，主要原因是增加其他地方自行试点项目收益专项债券收入安排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3. 国有资本经营预算财政拨款本年收入完成年初预算的0 %，比年初预算减少5万元，主要原因是未使用国有资本经营预算财政拨款；支出完成年初预算的0%，比年初预算减少5万元，主要原因是未使用国有资本经营预算财政拨款。</w:t>
      </w: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left"/>
        <w:rPr>
          <w:rFonts w:ascii="Times New Roman" w:eastAsia="Arial" w:cs="Times New Roman" w:hAnsi="Times New Roman"/>
          <w:highlight w:val="auto"/>
        </w:rPr>
      </w:pPr>
    </w:p>
    <w:p>
      <w:pPr>
        <w:pStyle w:val="19"/>
        <w:keepNext w:val="0"/>
        <w:keepLines w:val="0"/>
        <w:widowControl/>
        <w:suppressLineNumbers w:val="0"/>
        <w:pBdr>
          <w:top w:val="none" w:sz="0" w:space="0" w:color="auto"/>
          <w:left w:val="none" w:sz="0" w:space="0" w:color="auto"/>
          <w:bottom w:val="none" w:sz="0" w:space="0" w:color="auto"/>
          <w:right w:val="none" w:sz="0" w:space="0" w:color="auto"/>
        </w:pBdr>
        <w:spacing w:before="0" w:beforeAutospacing="0" w:after="0" w:afterAutospacing="0"/>
        <w:ind w:left="0" w:right="0"/>
        <w:jc w:val="center"/>
        <w:rPr>
          <w:rFonts w:ascii="Times New Roman" w:eastAsia="仿宋_GB2312" w:cs="Times New Roman" w:hAnsi="Times New Roman"/>
          <w:color w:val="auto"/>
          <w:kern w:val="0"/>
          <w:sz w:val="32"/>
          <w:szCs w:val="32"/>
          <w:lang w:val="en-US" w:eastAsia="zh-CN" w:bidi="ar-SA"/>
          <w:highlight w:val="auto"/>
        </w:rPr>
      </w:pPr>
      <w:r>
        <w:rPr>
          <w:rFonts w:ascii="Times New Roman" w:eastAsia="仿宋_GB2312" w:hAnsi="Times New Roman"/>
          <w:sz w:val="32"/>
          <w:szCs w:val="32"/>
          <w:highlight w:val="auto"/>
        </w:rPr>
        <w:drawing>
          <wp:inline distT="0" distB="0" distL="114300" distR="114300">
            <wp:extent cx="5256530" cy="2988310"/>
            <wp:effectExtent l="0" t="0" r="0" b="0"/>
            <wp:docPr id="11" name="图表 11"/>
            <wp:cNvGraphicFramePr>
              <a:graphicFrameLocks noChangeAspect="0"/>
            </wp:cNvGraphicFramePr>
            <a:graphic>
              <a:graphicData uri="http://schemas.openxmlformats.org/drawingml/2006/chart">
                <c:chart xmlns:c="http://schemas.openxmlformats.org/drawingml/2006/chart" r:id="rId15"/>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（三）财政拨款支出决算结构情况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  2024年度财政拨款支出13,268.01万元，主要用于以下方面：</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一般公共预算财政拨款支出：</w:t>
      </w:r>
    </w:p>
    <w:p>
      <w:pPr>
        <w:widowControl/>
        <w:spacing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一般公共服务（类）支出​1,313.28万元，占​9.9​%，主要用于劳务派遣人员工资及解决信访遗留问题工作经费等支出；科学技术（类）支出​​1,310.05万元，占​​9.9​%，主要用于四上企业奖励和县域科技创新跃升服务协议资金等支出；社会保障和就业 （类）支出58.5万元，占​​0.4​%，主要用于单位养老保险、工伤保险等支出；卫生健康（类）支出​​27.14万元，占​​0.2%，主要用于单位医疗保险等支出；节能环保（类）支出​​3,808.59​万元，占28.7​​%，主要用于洁净煤及炉具市级补助资金和农村地区气代煤电代煤改造任务及洁净煤补助资金等支出；城乡社区（类）支出362.9​​万元，占2.7​%，主要用于行唐县消防救援大队特勤消防站工程款和行唐县一二三产融合发展示范园项目城市基础设施配套费等支出；农林水（类）支出4,266.82​万元，占​​32.2%，主要用于易地搬迁社区供暖保障项目衔接资金等支出；住房保障（类）支出46.48​​​万元，占0.4​​​%，主要用于单位住房公积金等支出；粮油物资储备（类）支出​​174.26万元，占​​1.3​%，主要用于超标粮小麦收购资金和政策性新增粮食财务挂账占用贷款利息补贴等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政府性基金预算财政拨款支出：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其他（类）支出​​​​1,900​​万元，占​​​14.3​​%，主要用于行唐县口头镇污水处理厂提标改造工程支出。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国有资本经营预算财政拨款支出：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未支出。</w:t>
      </w:r>
    </w:p>
    <w:p>
      <w:pPr>
        <w:pStyle w:val="19"/>
        <w:keepNext w:val="0"/>
        <w:keepLines w:val="0"/>
        <w:pageBreakBefore w:val="0"/>
        <w:widowControl/>
        <w:suppressLineNumbers w:val="0"/>
        <w:pBdr>
          <w:top w:val="none" w:sz="0" w:space="0" w:color="auto"/>
          <w:left w:val="none" w:sz="0" w:space="0" w:color="auto"/>
          <w:bottom w:val="none" w:sz="0" w:space="0" w:color="auto"/>
          <w:right w:val="none" w:sz="0" w:space="0" w:color="auto"/>
        </w:pBdr>
        <w:kinsoku/>
        <w:wordWrap/>
        <w:overflowPunct/>
        <w:topLinePunct w:val="0"/>
        <w:autoSpaceDE/>
        <w:autoSpaceDN/>
        <w:bidi w:val="0"/>
        <w:spacing w:before="0" w:beforeAutospacing="0" w:after="0" w:afterAutospacing="0"/>
        <w:ind w:left="0" w:right="0"/>
        <w:jc w:val="left"/>
        <w:textAlignment w:val="auto"/>
        <w:rPr>
          <w:rFonts w:ascii="Times New Roman" w:eastAsia="仿宋_GB2312" w:cs="Times New Roman" w:hAnsi="Times New Roman"/>
          <w:color w:val="auto"/>
          <w:kern w:val="2"/>
          <w:sz w:val="32"/>
          <w:szCs w:val="32"/>
          <w:lang w:val="zh-CN" w:eastAsia="zh-CN" w:bidi="ar-SA"/>
        </w:rPr>
      </w:pPr>
      <w:r>
        <w:rPr>
          <w:rFonts w:ascii="Times New Roman" w:eastAsia="仿宋_GB2312" w:hAnsi="Times New Roman"/>
          <w:kern w:val="2"/>
          <w:sz w:val="32"/>
          <w:szCs w:val="32"/>
          <w:lang w:val="zh-CN"/>
        </w:rPr>
        <w:drawing>
          <wp:inline distT="0" distB="0" distL="114300" distR="114300">
            <wp:extent cx="5859145" cy="2988310"/>
            <wp:effectExtent l="0" t="0" r="0" b="0"/>
            <wp:docPr id="12" name="图表 13"/>
            <wp:cNvGraphicFramePr>
              <a:graphicFrameLocks noChangeAspect="0"/>
            </wp:cNvGraphicFramePr>
            <a:graphic>
              <a:graphicData uri="http://schemas.openxmlformats.org/drawingml/2006/chart">
                <c:chart xmlns:c="http://schemas.openxmlformats.org/drawingml/2006/chart" r:id="rId16"/>
              </a:graphicData>
            </a:graphic>
          </wp:inline>
        </w:drawing>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（四）一般公共预算基本支出决算情况说明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  2024年度财政拨款基本支出786.21万元，其中：</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人员经费​749.7万元，主要包括基本工资、津贴补贴、奖金、绩效工资、机关事业部门基本养老保险缴费、职业年金缴费、职工基本医疗保险缴费、住房公积金、医疗费、其他社会保障缴费、其他工资福利支出、离休费、 退休费、 抚恤金、生活补助、医疗费补助、奖励金、其他对个人和家庭的补助支出。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公用经费​​36.51​万元，主要包括办公费、印刷费、咨询费、手续费、水费、电费、邮电费、取暖费、差旅费、因公出国（境）费用、维修（护）费、租赁费、会议费、培训费、公务接待费、劳务费、委托业务费、工会经费、福利费、公务用车运行维护费、其他交通费用、税金及附加费用、其他商品和服务支出、办公设备购置、专用设备购置、信息网络及软件购置更新、公务用车购置、其他资本性支出。</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五、财政拨款“三公” 经费支出决算情况说明</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（一）“三公”经费财政拨款支出决算总体情况说明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本部门2024年度“三公”经费财政拨款支出预算为8.46万元，支出决算为6.39万元，完成预算的75.5%，较预算减少2.07万元，降低24.5%，主要原因是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；较2023年度决算减少5.01万元，降低43.9%，主要原因是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楷体_GB2312" w:hAnsi="Times New Roman"/>
          <w:sz w:val="32"/>
          <w:szCs w:val="32"/>
        </w:rPr>
      </w:pPr>
      <w:r>
        <w:rPr>
          <w:rFonts w:ascii="Times New Roman" w:eastAsia="楷体_GB2312" w:hAnsi="Times New Roman"/>
          <w:b/>
          <w:sz w:val="32"/>
          <w:szCs w:val="32"/>
        </w:rPr>
        <w:t>（二）“三公”经费财政拨款支出决算具体情况说明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 1.因公出国（境）费支出情况。</w:t>
      </w:r>
      <w:r>
        <w:rPr>
          <w:rFonts w:ascii="Times New Roman" w:eastAsia="仿宋_GB2312" w:hAnsi="Times New Roman"/>
          <w:b w:val="0"/>
          <w:sz w:val="32"/>
          <w:szCs w:val="32"/>
        </w:rPr>
        <w:t>本单位2024年度因公出国（境）费支出预算为0万元,支出决算0万元，决算较预算增加0万元，与预算持平；较上年增加0万元，与上年持平。无本部门组织的出国（境）团组。</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 2.公务用车购置及运行维护费支出情况。</w:t>
      </w:r>
      <w:r>
        <w:rPr>
          <w:rFonts w:ascii="Times New Roman" w:eastAsia="仿宋_GB2312" w:hAnsi="Times New Roman"/>
          <w:b w:val="0"/>
          <w:sz w:val="32"/>
          <w:szCs w:val="32"/>
        </w:rPr>
        <w:t>本部门2024年度公务用车购置及运行维护费预算为8.15万元，支出决算6.39万元，完成预算的78.4%,较预算减少1.76万元，降低21.6%,主要原因是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；较上年减少5.01万元，降低43.9%,主要原因是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。其中：</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公务用车购置费支出0万元：</w:t>
      </w:r>
      <w:r>
        <w:rPr>
          <w:rFonts w:ascii="Times New Roman" w:eastAsia="仿宋_GB2312" w:hAnsi="Times New Roman"/>
          <w:b w:val="0"/>
          <w:sz w:val="32"/>
          <w:szCs w:val="32"/>
        </w:rPr>
        <w:t>本部门2024年度公务用车购置量0辆，发生“公务用车购置”经费支出0 万元。公务用车购置费支出较预算增加0万元，与预算持平；较上年增加0万元，增长0%,与上年持平。</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公务用车运行维护费支出6.39万元：</w:t>
      </w:r>
      <w:r>
        <w:rPr>
          <w:rFonts w:ascii="Times New Roman" w:eastAsia="仿宋_GB2312" w:hAnsi="Times New Roman"/>
          <w:b w:val="0"/>
          <w:sz w:val="32"/>
          <w:szCs w:val="32"/>
        </w:rPr>
        <w:t>本部门2024年度单位公务用车保有量3辆，发生运行维护费支出6.39万元。公车运行维护费支出较预算减少1.76万元，降低21.6%,主要原因是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；较上年减少5.01万元，降低43.9%，主要原因是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楷体_GB2312" w:hAnsi="Times New Roman"/>
          <w:b/>
          <w:sz w:val="32"/>
          <w:szCs w:val="32"/>
        </w:rPr>
        <w:t>3.公务接待费支出情况。</w:t>
      </w:r>
      <w:r>
        <w:rPr>
          <w:rFonts w:ascii="Times New Roman" w:eastAsia="仿宋_GB2312" w:hAnsi="Times New Roman"/>
          <w:b w:val="0"/>
          <w:sz w:val="32"/>
          <w:szCs w:val="32"/>
        </w:rPr>
        <w:t>本部门2024年度公务接待费支出预算为0.31万元，支出决算0万元，完成预算的0%。公务接待费支出较预算减少0.31万元，降低100%,主要原因是</w:t>
      </w:r>
      <w:r>
        <w:rPr>
          <w:rFonts w:ascii="仿宋_GB2312" w:eastAsia="仿宋_GB2312" w:hint="eastAsia"/>
          <w:sz w:val="32"/>
          <w:szCs w:val="32"/>
        </w:rPr>
        <w:t>认真贯彻落实中央八项规定精神和厉行节约要求，从严控制“三公”经费开支</w:t>
      </w:r>
      <w:r>
        <w:rPr>
          <w:rFonts w:ascii="Times New Roman" w:eastAsia="仿宋_GB2312" w:hAnsi="Times New Roman"/>
          <w:b w:val="0"/>
          <w:sz w:val="32"/>
          <w:szCs w:val="32"/>
        </w:rPr>
        <w:t>；较上年度增加0万元，增长0%,与上年持平。本年度共发生公务接待0批次、0人次。</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六、机关运行经费支出说明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本部门2024年度机关运行经费支出31.35万元，较2023年度减少40.12万元，降低56.1%。主要原因是</w:t>
      </w:r>
      <w:r>
        <w:rPr>
          <w:rFonts w:ascii="仿宋_GB2312" w:eastAsia="仿宋_GB2312" w:hint="eastAsia"/>
          <w:sz w:val="32"/>
          <w:szCs w:val="32"/>
        </w:rPr>
        <w:t>认真贯彻落实中央八项规定精神和厉行节约要求，从严控制经费开支</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七、政府采购支出说明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部门2024年度政府采购支出总额4,776.35万元，从采购类型来看，政府采购货物支出4,607.45万元、政府采购工程支出168.90万元、政府采购服务支出0万元。授予中小企业合同金额4,776.35万元，占政府采购支出总额的100%，其中授予小微企业合同金额4,776.35万元，占政府采购支出总额的100%。</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八、国有资产占用情况说明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截至2024年12月31日，本部门共有车辆3辆，比上年减少1辆，主要是。其中，副部（省）级及以上领导用车0辆，主要负责人用车0辆，机要通信用车1辆，应急保障用车1辆，执法执勤用车0辆，特种专业技术用车1辆，离退休干部用车0辆，其他用车0辆，其他用车主要是。单位价值100万元（含）以上设备（不含车辆）0台（套）。</w:t>
      </w:r>
    </w:p>
    <w:p>
      <w:pPr>
        <w:widowControl/>
        <w:spacing w:before="0" w:beforeAutospacing="0" w:after="0" w:afterAutospacing="0" w:line="360" w:lineRule="auto"/>
        <w:ind w:firstLineChars="200" w:firstLine="640"/>
        <w:jc w:val="left"/>
        <w:outlineLvl w:val="1"/>
        <w:rPr>
          <w:rFonts w:ascii="Times New Roman" w:eastAsia="黑体" w:hAnsi="Times New Roman"/>
          <w:sz w:val="32"/>
          <w:szCs w:val="32"/>
        </w:rPr>
      </w:pPr>
      <w:r>
        <w:rPr>
          <w:rFonts w:ascii="Times New Roman" w:eastAsia="黑体" w:hAnsi="Times New Roman"/>
          <w:b w:val="0"/>
          <w:sz w:val="32"/>
          <w:szCs w:val="32"/>
        </w:rPr>
        <w:t>九、关于2024年度绩效评价情况的说明</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（一）绩效评价工作开展情况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根据预算绩效管理要求，本部门组织对2024年度本级预算项目支出全面开展绩效自评，共涉及资金万元（决算金额）。其中，一般公共预算项目</w:t>
      </w:r>
      <w:r>
        <w:rPr>
          <w:rFonts w:ascii="Times New Roman" w:eastAsia="仿宋_GB2312" w:hAnsi="Times New Roman" w:hint="eastAsia"/>
          <w:b w:val="0"/>
          <w:sz w:val="32"/>
          <w:szCs w:val="32"/>
          <w:lang w:val="en-US" w:eastAsia="zh-CN"/>
        </w:rPr>
        <w:t>63</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10584.80</w:t>
      </w:r>
      <w:r>
        <w:rPr>
          <w:rFonts w:ascii="Times New Roman" w:eastAsia="仿宋_GB2312" w:hAnsi="Times New Roman"/>
          <w:b w:val="0"/>
          <w:sz w:val="32"/>
          <w:szCs w:val="32"/>
        </w:rPr>
        <w:t>万元，占一般公共预算项目支出总额的</w:t>
      </w:r>
      <w:r>
        <w:rPr>
          <w:rFonts w:ascii="Times New Roman" w:eastAsia="仿宋_GB2312" w:hAnsi="Times New Roman" w:hint="eastAsia"/>
          <w:b w:val="0"/>
          <w:sz w:val="32"/>
          <w:szCs w:val="32"/>
          <w:lang w:val="en-US" w:eastAsia="zh-CN"/>
        </w:rPr>
        <w:t>84.79</w:t>
      </w:r>
      <w:r>
        <w:rPr>
          <w:rFonts w:ascii="Times New Roman" w:eastAsia="仿宋_GB2312" w:hAnsi="Times New Roman"/>
          <w:b w:val="0"/>
          <w:sz w:val="32"/>
          <w:szCs w:val="32"/>
        </w:rPr>
        <w:t>%；政府性基金预算项目</w:t>
      </w:r>
      <w:r>
        <w:rPr>
          <w:rFonts w:ascii="Times New Roman" w:eastAsia="仿宋_GB2312" w:hAnsi="Times New Roman" w:hint="eastAsia"/>
          <w:b w:val="0"/>
          <w:sz w:val="32"/>
          <w:szCs w:val="32"/>
          <w:lang w:val="en-US" w:eastAsia="zh-CN"/>
        </w:rPr>
        <w:t>1</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1900</w:t>
      </w:r>
      <w:r>
        <w:rPr>
          <w:rFonts w:ascii="Times New Roman" w:eastAsia="仿宋_GB2312" w:hAnsi="Times New Roman"/>
          <w:b w:val="0"/>
          <w:sz w:val="32"/>
          <w:szCs w:val="32"/>
        </w:rPr>
        <w:t>万元，占政府性基金预算项目支出总额的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%；国有资本经营预算项目</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个，涉及资金</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万元，占国有资本经营预算项目支出总额的</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组织对</w:t>
      </w:r>
      <w:r>
        <w:rPr>
          <w:rFonts w:ascii="Times New Roman" w:eastAsia="仿宋_GB2312" w:hAnsi="Times New Roman" w:hint="eastAsia"/>
          <w:b w:val="0"/>
          <w:sz w:val="32"/>
          <w:szCs w:val="32"/>
        </w:rPr>
        <w:t>《冀财建【2023】78号县级粮食储备库信息化建设项目资金》</w:t>
      </w:r>
      <w:r>
        <w:rPr>
          <w:rFonts w:ascii="Times New Roman" w:eastAsia="仿宋_GB2312" w:hAnsi="Times New Roman" w:hint="eastAsia"/>
          <w:b w:val="0"/>
          <w:sz w:val="32"/>
          <w:szCs w:val="32"/>
          <w:lang w:val="en-US" w:eastAsia="zh-CN"/>
        </w:rPr>
        <w:t>1</w:t>
      </w:r>
      <w:r>
        <w:rPr>
          <w:rFonts w:ascii="Times New Roman" w:eastAsia="仿宋_GB2312" w:hAnsi="Times New Roman"/>
          <w:b w:val="0"/>
          <w:sz w:val="32"/>
          <w:szCs w:val="32"/>
        </w:rPr>
        <w:t>个项目开展了部门重点评价，涉及一般公共预算支出</w:t>
      </w:r>
      <w:r>
        <w:rPr>
          <w:rFonts w:ascii="Times New Roman" w:eastAsia="仿宋_GB2312" w:hAnsi="Times New Roman" w:hint="eastAsia"/>
          <w:b w:val="0"/>
          <w:sz w:val="32"/>
          <w:szCs w:val="32"/>
          <w:lang w:val="en-US" w:eastAsia="zh-CN"/>
        </w:rPr>
        <w:t>11.97</w:t>
      </w:r>
      <w:r>
        <w:rPr>
          <w:rFonts w:ascii="Times New Roman" w:eastAsia="仿宋_GB2312" w:hAnsi="Times New Roman"/>
          <w:b w:val="0"/>
          <w:sz w:val="32"/>
          <w:szCs w:val="32"/>
        </w:rPr>
        <w:t>万元，政府性基金预算支出</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万元，国有资本经营预算支出万元</w:t>
      </w:r>
      <w:r>
        <w:rPr>
          <w:rFonts w:ascii="Times New Roman" w:eastAsia="仿宋_GB2312" w:hAnsi="Times New Roman" w:hint="eastAsia"/>
          <w:b w:val="0"/>
          <w:sz w:val="32"/>
          <w:szCs w:val="32"/>
          <w:lang w:val="en-US" w:eastAsia="zh-CN"/>
        </w:rPr>
        <w:t>0</w:t>
      </w:r>
      <w:r>
        <w:rPr>
          <w:rFonts w:ascii="Times New Roman" w:eastAsia="仿宋_GB2312" w:hAnsi="Times New Roman"/>
          <w:b w:val="0"/>
          <w:sz w:val="32"/>
          <w:szCs w:val="32"/>
        </w:rPr>
        <w:t>，从评价情况来看，</w:t>
      </w:r>
      <w:r>
        <w:rPr>
          <w:rFonts w:ascii="Times New Roman" w:eastAsia="仿宋_GB2312" w:hAnsi="Times New Roman" w:hint="eastAsia"/>
          <w:b w:val="0"/>
          <w:sz w:val="32"/>
          <w:szCs w:val="32"/>
        </w:rPr>
        <w:t>综合绩效评价等级优秀</w:t>
      </w:r>
      <w:r>
        <w:rPr>
          <w:rFonts w:ascii="Times New Roman" w:eastAsia="仿宋_GB2312" w:hAnsi="Times New Roman"/>
          <w:b w:val="0"/>
          <w:sz w:val="32"/>
          <w:szCs w:val="32"/>
        </w:rPr>
        <w:t>。</w:t>
      </w:r>
    </w:p>
    <w:p>
      <w:pPr>
        <w:widowControl/>
        <w:numPr>
          <w:ilvl w:val="0"/>
          <w:numId w:val="1"/>
        </w:numPr>
        <w:spacing w:before="0" w:beforeAutospacing="0" w:after="0" w:afterAutospacing="0" w:line="360" w:lineRule="auto"/>
        <w:ind w:left="0" w:firstLineChars="200" w:firstLine="640"/>
        <w:jc w:val="left"/>
        <w:rPr>
          <w:rFonts w:ascii="Times New Roman" w:eastAsia="仿宋_GB2312" w:hAnsi="Times New Roman"/>
          <w:b/>
          <w:sz w:val="32"/>
          <w:szCs w:val="32"/>
        </w:rPr>
      </w:pPr>
      <w:r>
        <w:rPr>
          <w:rFonts w:ascii="Times New Roman" w:eastAsia="仿宋_GB2312" w:hAnsi="Times New Roman"/>
          <w:b/>
          <w:sz w:val="32"/>
          <w:szCs w:val="32"/>
        </w:rPr>
        <w:t>部门决算中项目绩效自评结果</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本单位在今年部门决算公开中反映</w:t>
      </w:r>
      <w:r>
        <w:rPr>
          <w:rFonts w:ascii="Times New Roman" w:eastAsia="仿宋_GB2312" w:hAnsi="Times New Roman" w:hint="eastAsia"/>
          <w:b w:val="0"/>
          <w:sz w:val="32"/>
          <w:szCs w:val="32"/>
        </w:rPr>
        <w:t>2024-2025年取暖季气价倒挂补贴资金</w:t>
      </w:r>
      <w:r>
        <w:rPr>
          <w:rFonts w:ascii="Times New Roman" w:eastAsia="仿宋_GB2312" w:hAnsi="Times New Roman" w:hint="eastAsia"/>
          <w:b w:val="0"/>
          <w:sz w:val="32"/>
          <w:szCs w:val="32"/>
          <w:lang w:eastAsia="zh-CN"/>
        </w:rPr>
        <w:t>、2024年取暖季一氧化碳报警器采购资金</w:t>
      </w:r>
      <w:r>
        <w:rPr>
          <w:rFonts w:ascii="Times New Roman" w:eastAsia="仿宋_GB2312" w:hAnsi="Times New Roman"/>
          <w:b w:val="0"/>
          <w:sz w:val="32"/>
          <w:szCs w:val="32"/>
        </w:rPr>
        <w:t>等</w:t>
      </w:r>
      <w:r>
        <w:rPr>
          <w:rFonts w:ascii="Times New Roman" w:eastAsia="仿宋_GB2312" w:hAnsi="Times New Roman" w:hint="eastAsia"/>
          <w:b w:val="0"/>
          <w:sz w:val="32"/>
          <w:szCs w:val="32"/>
          <w:lang w:val="en-US" w:eastAsia="zh-CN"/>
        </w:rPr>
        <w:t>10</w:t>
      </w:r>
      <w:r>
        <w:rPr>
          <w:rFonts w:ascii="Times New Roman" w:eastAsia="仿宋_GB2312" w:hAnsi="Times New Roman"/>
          <w:b w:val="0"/>
          <w:sz w:val="32"/>
          <w:szCs w:val="32"/>
        </w:rPr>
        <w:t>个项目绩效自评结果。</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1、</w:t>
      </w:r>
      <w:r>
        <w:rPr>
          <w:rFonts w:ascii="Times New Roman" w:eastAsia="仿宋_GB2312" w:hAnsi="Times New Roman" w:hint="eastAsia"/>
          <w:b w:val="0"/>
          <w:sz w:val="32"/>
          <w:szCs w:val="32"/>
        </w:rPr>
        <w:t xml:space="preserve"> 2024-2025年取暖季气价倒挂补贴资金</w:t>
      </w:r>
      <w:r>
        <w:rPr>
          <w:rFonts w:ascii="Times New Roman" w:eastAsia="仿宋_GB2312" w:hAnsi="Times New Roman"/>
          <w:b w:val="0"/>
          <w:sz w:val="32"/>
          <w:szCs w:val="32"/>
        </w:rPr>
        <w:t>项目</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969.16</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969.16</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促进取暖环保化</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pPr>
      <w:r>
        <w:drawing>
          <wp:inline distT="0" distB="0" distL="114300" distR="114300">
            <wp:extent cx="5756275" cy="6435724"/>
            <wp:effectExtent l="0" t="0" r="24" b="30"/>
            <wp:docPr id="13" name="图片 1"/>
            <wp:cNvGraphicFramePr>
              <a:graphicFrameLocks noChangeAspect="1"/>
            </wp:cNvGraphicFramePr>
            <a:graphic>
              <a:graphicData uri="http://schemas.openxmlformats.org/drawingml/2006/picture">
                <pic:pic>
                  <pic:nvPicPr>
                    <pic:cNvPr id="15" name="图片 1 15"/>
                    <pic:cNvPicPr/>
                  </pic:nvPicPr>
                  <pic:blipFill>
                    <a:blip r:embed="rId17"/>
                    <a:stretch>
                      <a:fillRect/>
                    </a:stretch>
                  </pic:blipFill>
                  <pic:spPr>
                    <a:xfrm rot="0">
                      <a:off x="0" y="0"/>
                      <a:ext cx="5756275" cy="6435724"/>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480"/>
        <w:jc w:val="left"/>
      </w:pP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2、</w:t>
      </w:r>
      <w:r>
        <w:rPr>
          <w:rFonts w:ascii="Times New Roman" w:eastAsia="仿宋_GB2312" w:hAnsi="Times New Roman" w:hint="eastAsia"/>
          <w:b w:val="0"/>
          <w:sz w:val="32"/>
          <w:szCs w:val="32"/>
          <w:lang w:eastAsia="zh-CN"/>
        </w:rPr>
        <w:t>2024年取暖季一氧化碳报警器采购资金</w:t>
      </w:r>
      <w:r>
        <w:rPr>
          <w:rFonts w:ascii="Times New Roman" w:eastAsia="仿宋_GB2312" w:hAnsi="Times New Roman"/>
          <w:b w:val="0"/>
          <w:sz w:val="32"/>
          <w:szCs w:val="32"/>
        </w:rPr>
        <w:t>项目</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0.92</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0.92</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保障我县取暖安全</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jc w:val="left"/>
        <w:rPr>
          <w:rFonts w:ascii="Times New Roman" w:eastAsia="仿宋_GB2312" w:hAnsi="Times New Roman"/>
          <w:b w:val="0"/>
          <w:sz w:val="32"/>
          <w:szCs w:val="32"/>
        </w:rPr>
      </w:pPr>
      <w:r>
        <w:drawing>
          <wp:inline distT="0" distB="0" distL="114300" distR="114300">
            <wp:extent cx="5756909" cy="5070475"/>
            <wp:effectExtent l="0" t="0" r="8" b="14"/>
            <wp:docPr id="16" name="图片 4"/>
            <wp:cNvGraphicFramePr>
              <a:graphicFrameLocks noChangeAspect="1"/>
            </wp:cNvGraphicFramePr>
            <a:graphic>
              <a:graphicData uri="http://schemas.openxmlformats.org/drawingml/2006/picture">
                <pic:pic>
                  <pic:nvPicPr>
                    <pic:cNvPr id="18" name="图片 4 18"/>
                    <pic:cNvPicPr/>
                  </pic:nvPicPr>
                  <pic:blipFill>
                    <a:blip r:embed="rId18"/>
                    <a:stretch>
                      <a:fillRect/>
                    </a:stretch>
                  </pic:blipFill>
                  <pic:spPr>
                    <a:xfrm rot="0">
                      <a:off x="0" y="0"/>
                      <a:ext cx="5756909" cy="5070475"/>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3、</w:t>
      </w:r>
      <w:r>
        <w:rPr>
          <w:rFonts w:ascii="Times New Roman" w:eastAsia="仿宋_GB2312" w:hAnsi="Times New Roman" w:hint="eastAsia"/>
          <w:b w:val="0"/>
          <w:sz w:val="32"/>
          <w:szCs w:val="32"/>
          <w:lang w:eastAsia="zh-CN"/>
        </w:rPr>
        <w:t>冀财[2023]201号2023年省级大气污染防治专项资金（洁净煤及炉具补贴）</w:t>
      </w:r>
      <w:r>
        <w:rPr>
          <w:rFonts w:ascii="Times New Roman" w:eastAsia="仿宋_GB2312" w:hAnsi="Times New Roman"/>
          <w:b w:val="0"/>
          <w:sz w:val="32"/>
          <w:szCs w:val="32"/>
        </w:rPr>
        <w:t>项目</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327</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327</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促进我县取暖无污染化</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jc w:val="left"/>
        <w:rPr>
          <w:rFonts w:ascii="Times New Roman" w:eastAsia="仿宋_GB2312" w:hAnsi="Times New Roman"/>
          <w:b w:val="0"/>
          <w:sz w:val="32"/>
          <w:szCs w:val="32"/>
        </w:rPr>
      </w:pPr>
      <w:r>
        <w:drawing>
          <wp:inline distT="0" distB="0" distL="114300" distR="114300">
            <wp:extent cx="5756275" cy="5455285"/>
            <wp:effectExtent l="0" t="0" r="24" b="20"/>
            <wp:docPr id="19" name="图片 3"/>
            <wp:cNvGraphicFramePr>
              <a:graphicFrameLocks noChangeAspect="1"/>
            </wp:cNvGraphicFramePr>
            <a:graphic>
              <a:graphicData uri="http://schemas.openxmlformats.org/drawingml/2006/picture">
                <pic:pic>
                  <pic:nvPicPr>
                    <pic:cNvPr id="21" name="图片 3 21"/>
                    <pic:cNvPicPr/>
                  </pic:nvPicPr>
                  <pic:blipFill>
                    <a:blip r:embed="rId19"/>
                    <a:stretch>
                      <a:fillRect/>
                    </a:stretch>
                  </pic:blipFill>
                  <pic:spPr>
                    <a:xfrm rot="0">
                      <a:off x="0" y="0"/>
                      <a:ext cx="5756275" cy="5455285"/>
                    </a:xfrm>
                    <a:prstGeom prst="rect"/>
                    <a:noFill/>
                    <a:ln w="9525" cmpd="sng" cap="flat">
                      <a:noFill/>
                      <a:prstDash val="solid"/>
                      <a:round/>
                    </a:ln>
                  </pic:spPr>
                </pic:pic>
              </a:graphicData>
            </a:graphic>
          </wp:inline>
        </w:drawing>
      </w:r>
    </w:p>
    <w:p>
      <w:pPr>
        <w:widowControl/>
        <w:spacing w:before="0" w:beforeAutospacing="0" w:after="0" w:afterAutospacing="0" w:line="360" w:lineRule="auto"/>
        <w:ind w:leftChars="66" w:left="158" w:firstLineChars="150" w:firstLine="480"/>
        <w:jc w:val="left"/>
        <w:rPr>
          <w:rFonts w:ascii="Times New Roman" w:eastAsia="仿宋_GB2312" w:hAnsi="Times New Roman"/>
          <w:b w:val="0"/>
          <w:sz w:val="32"/>
          <w:szCs w:val="32"/>
          <w:lang w:eastAsia="zh-CN"/>
        </w:rPr>
      </w:pPr>
      <w:r>
        <w:rPr>
          <w:rFonts w:ascii="Times New Roman" w:eastAsia="仿宋_GB2312" w:hAnsi="Times New Roman"/>
          <w:b w:val="0"/>
          <w:sz w:val="32"/>
          <w:szCs w:val="32"/>
        </w:rPr>
        <w:t>4、</w:t>
      </w:r>
      <w:r>
        <w:rPr>
          <w:rFonts w:ascii="Times New Roman" w:eastAsia="仿宋_GB2312" w:hAnsi="Times New Roman" w:hint="eastAsia"/>
          <w:b w:val="0"/>
          <w:sz w:val="32"/>
          <w:szCs w:val="32"/>
          <w:lang w:eastAsia="zh-CN"/>
        </w:rPr>
        <w:t>石财建【2024】15号2023年石家庄市瞪羚企业奖励资金</w:t>
      </w:r>
    </w:p>
    <w:p>
      <w:pPr>
        <w:widowControl/>
        <w:spacing w:before="0" w:beforeAutospacing="0" w:after="0" w:afterAutospacing="0" w:line="360" w:lineRule="auto"/>
        <w:ind w:leftChars="66" w:left="158" w:firstLineChars="150" w:firstLine="480"/>
        <w:jc w:val="left"/>
        <w:rPr>
          <w:rFonts w:ascii="Times New Roman" w:eastAsia="仿宋_GB2312" w:hAnsi="Times New Roman"/>
          <w:b w:val="0"/>
          <w:sz w:val="32"/>
          <w:szCs w:val="32"/>
        </w:rPr>
      </w:pPr>
      <w:r>
        <w:rPr>
          <w:rFonts w:ascii="Times New Roman" w:eastAsia="仿宋_GB2312" w:hAnsi="Times New Roman"/>
          <w:b w:val="0"/>
          <w:sz w:val="32"/>
          <w:szCs w:val="32"/>
        </w:rPr>
        <w:t>项目绩效自评得分为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80</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80</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扶持企业发展</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jc w:val="left"/>
        <w:rPr>
          <w:rFonts w:ascii="Times New Roman" w:eastAsia="仿宋_GB2312" w:hAnsi="Times New Roman"/>
          <w:b w:val="0"/>
          <w:sz w:val="32"/>
          <w:szCs w:val="32"/>
        </w:rPr>
      </w:pPr>
      <w:r>
        <w:drawing>
          <wp:inline distT="0" distB="0" distL="114300" distR="114300">
            <wp:extent cx="5760085" cy="5337175"/>
            <wp:effectExtent l="0" t="0" r="24" b="18"/>
            <wp:docPr id="22" name="图片 5"/>
            <wp:cNvGraphicFramePr>
              <a:graphicFrameLocks noChangeAspect="1"/>
            </wp:cNvGraphicFramePr>
            <a:graphic>
              <a:graphicData uri="http://schemas.openxmlformats.org/drawingml/2006/picture">
                <pic:pic>
                  <pic:nvPicPr>
                    <pic:cNvPr id="24" name="图片 5 24"/>
                    <pic:cNvPicPr/>
                  </pic:nvPicPr>
                  <pic:blipFill>
                    <a:blip r:embed="rId20"/>
                    <a:stretch>
                      <a:fillRect/>
                    </a:stretch>
                  </pic:blipFill>
                  <pic:spPr>
                    <a:xfrm rot="0">
                      <a:off x="0" y="0"/>
                      <a:ext cx="5760085" cy="5337175"/>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5、</w:t>
      </w:r>
      <w:r>
        <w:rPr>
          <w:rFonts w:ascii="Times New Roman" w:eastAsia="仿宋_GB2312" w:hAnsi="Times New Roman" w:hint="eastAsia"/>
          <w:b w:val="0"/>
          <w:sz w:val="32"/>
          <w:szCs w:val="32"/>
          <w:lang w:eastAsia="zh-CN"/>
        </w:rPr>
        <w:t>人民防空、节能监察工作经费</w:t>
      </w:r>
      <w:r>
        <w:rPr>
          <w:rFonts w:ascii="Times New Roman" w:eastAsia="仿宋_GB2312" w:hAnsi="Times New Roman"/>
          <w:b w:val="0"/>
          <w:sz w:val="32"/>
          <w:szCs w:val="32"/>
        </w:rPr>
        <w:t>项目</w:t>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绩效自评得分为</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分（绩效自评表附后）。全年预算数为</w:t>
      </w:r>
      <w:r>
        <w:rPr>
          <w:rFonts w:ascii="Times New Roman" w:eastAsia="仿宋_GB2312" w:hAnsi="Times New Roman" w:hint="eastAsia"/>
          <w:b w:val="0"/>
          <w:sz w:val="32"/>
          <w:szCs w:val="32"/>
          <w:lang w:val="en-US" w:eastAsia="zh-CN"/>
        </w:rPr>
        <w:t>3</w:t>
      </w:r>
      <w:r>
        <w:rPr>
          <w:rFonts w:ascii="Times New Roman" w:eastAsia="仿宋_GB2312" w:hAnsi="Times New Roman"/>
          <w:b w:val="0"/>
          <w:sz w:val="32"/>
          <w:szCs w:val="32"/>
        </w:rPr>
        <w:t>万元，执行数为</w:t>
      </w:r>
      <w:r>
        <w:rPr>
          <w:rFonts w:ascii="Times New Roman" w:eastAsia="仿宋_GB2312" w:hAnsi="Times New Roman" w:hint="eastAsia"/>
          <w:b w:val="0"/>
          <w:sz w:val="32"/>
          <w:szCs w:val="32"/>
          <w:lang w:val="en-US" w:eastAsia="zh-CN"/>
        </w:rPr>
        <w:t>3</w:t>
      </w:r>
      <w:r>
        <w:rPr>
          <w:rFonts w:ascii="Times New Roman" w:eastAsia="仿宋_GB2312" w:hAnsi="Times New Roman"/>
          <w:b w:val="0"/>
          <w:sz w:val="32"/>
          <w:szCs w:val="32"/>
        </w:rPr>
        <w:t>万元，完成预算的</w:t>
      </w:r>
      <w:r>
        <w:rPr>
          <w:rFonts w:ascii="Times New Roman" w:eastAsia="仿宋_GB2312" w:hAnsi="Times New Roman" w:hint="eastAsia"/>
          <w:b w:val="0"/>
          <w:sz w:val="32"/>
          <w:szCs w:val="32"/>
          <w:lang w:val="en-US" w:eastAsia="zh-CN"/>
        </w:rPr>
        <w:t>100</w:t>
      </w:r>
      <w:r>
        <w:rPr>
          <w:rFonts w:ascii="Times New Roman" w:eastAsia="仿宋_GB2312" w:hAnsi="Times New Roman"/>
          <w:b w:val="0"/>
          <w:sz w:val="32"/>
          <w:szCs w:val="32"/>
        </w:rPr>
        <w:t>%。项目绩效目标完成情况：一是</w:t>
      </w:r>
      <w:r>
        <w:rPr>
          <w:rFonts w:ascii="Times New Roman" w:eastAsia="仿宋_GB2312" w:hAnsi="Times New Roman" w:hint="eastAsia"/>
          <w:b w:val="0"/>
          <w:sz w:val="32"/>
          <w:szCs w:val="32"/>
          <w:lang w:eastAsia="zh-CN"/>
        </w:rPr>
        <w:t>促进企业经济增长</w:t>
      </w:r>
      <w:r>
        <w:rPr>
          <w:rFonts w:ascii="Times New Roman" w:eastAsia="仿宋_GB2312" w:hAnsi="Times New Roman"/>
          <w:b w:val="0"/>
          <w:sz w:val="32"/>
          <w:szCs w:val="32"/>
        </w:rPr>
        <w:t>；二是</w:t>
      </w:r>
      <w:r>
        <w:rPr>
          <w:rFonts w:ascii="Times New Roman" w:eastAsia="仿宋_GB2312" w:hAnsi="Times New Roman" w:hint="eastAsia"/>
          <w:b w:val="0"/>
          <w:sz w:val="32"/>
          <w:szCs w:val="32"/>
          <w:lang w:eastAsia="zh-CN"/>
        </w:rPr>
        <w:t>开发新技术新产品</w:t>
      </w:r>
      <w:r>
        <w:rPr>
          <w:rFonts w:ascii="Times New Roman" w:eastAsia="仿宋_GB2312" w:hAnsi="Times New Roman"/>
          <w:b w:val="0"/>
          <w:sz w:val="32"/>
          <w:szCs w:val="32"/>
        </w:rPr>
        <w:t>。发现的主要问题及原因是：</w:t>
      </w:r>
      <w:r>
        <w:rPr>
          <w:rFonts w:ascii="Times New Roman" w:eastAsia="仿宋_GB2312" w:hAnsi="Times New Roman" w:hint="eastAsia"/>
          <w:b w:val="0"/>
          <w:sz w:val="32"/>
          <w:szCs w:val="32"/>
          <w:lang w:eastAsia="zh-CN"/>
        </w:rPr>
        <w:t>无问题</w:t>
      </w:r>
      <w:r>
        <w:rPr>
          <w:rFonts w:ascii="Times New Roman" w:eastAsia="仿宋_GB2312" w:hAnsi="Times New Roman"/>
          <w:b w:val="0"/>
          <w:sz w:val="32"/>
          <w:szCs w:val="32"/>
        </w:rPr>
        <w:t>。下一步改进措施：</w:t>
      </w:r>
      <w:r>
        <w:rPr>
          <w:rFonts w:ascii="Times New Roman" w:eastAsia="仿宋_GB2312" w:hAnsi="Times New Roman" w:hint="eastAsia"/>
          <w:b w:val="0"/>
          <w:sz w:val="32"/>
          <w:szCs w:val="32"/>
          <w:lang w:eastAsia="zh-CN"/>
        </w:rPr>
        <w:t>无</w:t>
      </w:r>
      <w:r>
        <w:rPr>
          <w:rFonts w:ascii="Times New Roman" w:eastAsia="仿宋_GB2312" w:hAnsi="Times New Roman"/>
          <w:b w:val="0"/>
          <w:sz w:val="32"/>
          <w:szCs w:val="32"/>
        </w:rPr>
        <w:t>。</w:t>
      </w:r>
    </w:p>
    <w:p>
      <w:pPr>
        <w:widowControl/>
        <w:spacing w:before="0" w:beforeAutospacing="0" w:after="0" w:afterAutospacing="0" w:line="360" w:lineRule="auto"/>
        <w:ind w:left="0"/>
        <w:jc w:val="left"/>
        <w:rPr>
          <w:rFonts w:ascii="Times New Roman" w:eastAsia="仿宋_GB2312" w:hAnsi="Times New Roman"/>
          <w:b w:val="0"/>
          <w:sz w:val="32"/>
          <w:szCs w:val="32"/>
        </w:rPr>
      </w:pPr>
      <w:r>
        <w:drawing>
          <wp:inline distT="0" distB="0" distL="114300" distR="114300">
            <wp:extent cx="5756275" cy="5826123"/>
            <wp:effectExtent l="0" t="0" r="24" b="40"/>
            <wp:docPr id="25" name="图片 6"/>
            <wp:cNvGraphicFramePr>
              <a:graphicFrameLocks noChangeAspect="1"/>
            </wp:cNvGraphicFramePr>
            <a:graphic>
              <a:graphicData uri="http://schemas.openxmlformats.org/drawingml/2006/picture">
                <pic:pic>
                  <pic:nvPicPr>
                    <pic:cNvPr id="27" name="图片 6 27"/>
                    <pic:cNvPicPr/>
                  </pic:nvPicPr>
                  <pic:blipFill>
                    <a:blip r:embed="rId21"/>
                    <a:stretch>
                      <a:fillRect/>
                    </a:stretch>
                  </pic:blipFill>
                  <pic:spPr>
                    <a:xfrm rot="0">
                      <a:off x="0" y="0"/>
                      <a:ext cx="5756275" cy="5826123"/>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6、</w:t>
      </w:r>
      <w:r>
        <w:rPr>
          <w:rFonts w:ascii="Times New Roman" w:eastAsia="仿宋_GB2312" w:hAnsi="Times New Roman" w:hint="eastAsia"/>
          <w:b w:val="0"/>
          <w:sz w:val="32"/>
          <w:szCs w:val="32"/>
        </w:rPr>
        <w:t>石财建【2024】68号大气污染防治资金项目</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rPr>
      </w:pPr>
      <w:r>
        <w:rPr>
          <w:rFonts w:ascii="Times New Roman" w:eastAsia="仿宋_GB2312" w:hAnsi="Times New Roman" w:hint="eastAsia"/>
          <w:b w:val="0"/>
          <w:sz w:val="32"/>
          <w:szCs w:val="32"/>
        </w:rPr>
        <w:t>绩效自评得分为100分（绩效自评表附后）。全年预算数为</w:t>
      </w:r>
      <w:r>
        <w:rPr>
          <w:rFonts w:ascii="Times New Roman" w:eastAsia="仿宋_GB2312" w:hAnsi="Times New Roman" w:hint="eastAsia"/>
          <w:b w:val="0"/>
          <w:sz w:val="32"/>
          <w:szCs w:val="32"/>
          <w:lang w:val="en-US" w:eastAsia="zh-CN"/>
        </w:rPr>
        <w:t>1</w:t>
      </w:r>
      <w:r>
        <w:rPr>
          <w:rFonts w:ascii="Times New Roman" w:eastAsia="仿宋_GB2312" w:hAnsi="Times New Roman" w:hint="eastAsia"/>
          <w:b w:val="0"/>
          <w:sz w:val="32"/>
          <w:szCs w:val="32"/>
        </w:rPr>
        <w:t>3</w:t>
      </w:r>
      <w:r>
        <w:rPr>
          <w:rFonts w:ascii="Times New Roman" w:eastAsia="仿宋_GB2312" w:hAnsi="Times New Roman" w:hint="eastAsia"/>
          <w:b w:val="0"/>
          <w:sz w:val="32"/>
          <w:szCs w:val="32"/>
          <w:lang w:val="en-US" w:eastAsia="zh-CN"/>
        </w:rPr>
        <w:t>2</w:t>
      </w:r>
      <w:r>
        <w:rPr>
          <w:rFonts w:ascii="Times New Roman" w:eastAsia="仿宋_GB2312" w:hAnsi="Times New Roman" w:hint="eastAsia"/>
          <w:b w:val="0"/>
          <w:sz w:val="32"/>
          <w:szCs w:val="32"/>
        </w:rPr>
        <w:t>万元，执行数为</w:t>
      </w:r>
      <w:r>
        <w:rPr>
          <w:rFonts w:ascii="Times New Roman" w:eastAsia="仿宋_GB2312" w:hAnsi="Times New Roman" w:hint="eastAsia"/>
          <w:b w:val="0"/>
          <w:sz w:val="32"/>
          <w:szCs w:val="32"/>
          <w:lang w:val="en-US" w:eastAsia="zh-CN"/>
        </w:rPr>
        <w:t>1</w:t>
      </w:r>
      <w:r>
        <w:rPr>
          <w:rFonts w:ascii="Times New Roman" w:eastAsia="仿宋_GB2312" w:hAnsi="Times New Roman" w:hint="eastAsia"/>
          <w:b w:val="0"/>
          <w:sz w:val="32"/>
          <w:szCs w:val="32"/>
        </w:rPr>
        <w:t>3</w:t>
      </w:r>
      <w:r>
        <w:rPr>
          <w:rFonts w:ascii="Times New Roman" w:eastAsia="仿宋_GB2312" w:hAnsi="Times New Roman" w:hint="eastAsia"/>
          <w:b w:val="0"/>
          <w:sz w:val="32"/>
          <w:szCs w:val="32"/>
          <w:lang w:val="en-US" w:eastAsia="zh-CN"/>
        </w:rPr>
        <w:t>2</w:t>
      </w:r>
      <w:r>
        <w:rPr>
          <w:rFonts w:ascii="Times New Roman" w:eastAsia="仿宋_GB2312" w:hAnsi="Times New Roman" w:hint="eastAsia"/>
          <w:b w:val="0"/>
          <w:sz w:val="32"/>
          <w:szCs w:val="32"/>
        </w:rPr>
        <w:t>万元，完成预算的100%。项目绩效目标完成情况：一是</w:t>
      </w:r>
      <w:r>
        <w:rPr>
          <w:rFonts w:ascii="Times New Roman" w:eastAsia="仿宋_GB2312" w:hAnsi="Times New Roman" w:hint="eastAsia"/>
          <w:b w:val="0"/>
          <w:sz w:val="32"/>
          <w:szCs w:val="32"/>
          <w:lang w:eastAsia="zh-CN"/>
        </w:rPr>
        <w:t>保障居民生活</w:t>
      </w:r>
      <w:r>
        <w:rPr>
          <w:rFonts w:ascii="Times New Roman" w:eastAsia="仿宋_GB2312" w:hAnsi="Times New Roman" w:hint="eastAsia"/>
          <w:b w:val="0"/>
          <w:sz w:val="32"/>
          <w:szCs w:val="32"/>
        </w:rPr>
        <w:t>；二是</w:t>
      </w:r>
      <w:r>
        <w:rPr>
          <w:rFonts w:ascii="Times New Roman" w:eastAsia="仿宋_GB2312" w:hAnsi="Times New Roman" w:hint="eastAsia"/>
          <w:b w:val="0"/>
          <w:sz w:val="32"/>
          <w:szCs w:val="32"/>
          <w:lang w:eastAsia="zh-CN"/>
        </w:rPr>
        <w:t>促进我县取暖清洁化</w:t>
      </w:r>
      <w:r>
        <w:rPr>
          <w:rFonts w:ascii="Times New Roman" w:eastAsia="仿宋_GB2312" w:hAnsi="Times New Roman" w:hint="eastAsia"/>
          <w:b w:val="0"/>
          <w:sz w:val="32"/>
          <w:szCs w:val="32"/>
        </w:rPr>
        <w:t>。发现的主要问题及原因是：无问题。下一步改进措施：无。</w:t>
      </w:r>
    </w:p>
    <w:p>
      <w:pPr>
        <w:widowControl/>
        <w:spacing w:before="0" w:beforeAutospacing="0" w:after="0" w:afterAutospacing="0" w:line="360" w:lineRule="auto"/>
        <w:ind w:left="0"/>
        <w:jc w:val="left"/>
        <w:rPr>
          <w:rFonts w:ascii="Times New Roman" w:eastAsia="仿宋_GB2312" w:hAnsi="Times New Roman" w:hint="eastAsia"/>
          <w:b w:val="0"/>
          <w:sz w:val="32"/>
          <w:szCs w:val="32"/>
        </w:rPr>
      </w:pPr>
      <w:r>
        <w:drawing>
          <wp:inline distT="0" distB="0" distL="114300" distR="114300">
            <wp:extent cx="5756275" cy="5541643"/>
            <wp:effectExtent l="0" t="0" r="24" b="13"/>
            <wp:docPr id="28" name="图片 7"/>
            <wp:cNvGraphicFramePr>
              <a:graphicFrameLocks noChangeAspect="1"/>
            </wp:cNvGraphicFramePr>
            <a:graphic>
              <a:graphicData uri="http://schemas.openxmlformats.org/drawingml/2006/picture">
                <pic:pic>
                  <pic:nvPicPr>
                    <pic:cNvPr id="30" name="图片 7 30"/>
                    <pic:cNvPicPr/>
                  </pic:nvPicPr>
                  <pic:blipFill>
                    <a:blip r:embed="rId22"/>
                    <a:stretch>
                      <a:fillRect/>
                    </a:stretch>
                  </pic:blipFill>
                  <pic:spPr>
                    <a:xfrm rot="0">
                      <a:off x="0" y="0"/>
                      <a:ext cx="5756275" cy="5541643"/>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7、</w:t>
      </w:r>
      <w:r>
        <w:rPr>
          <w:rFonts w:ascii="Times New Roman" w:eastAsia="仿宋_GB2312" w:hAnsi="Times New Roman" w:hint="eastAsia"/>
          <w:b w:val="0"/>
          <w:sz w:val="32"/>
          <w:szCs w:val="32"/>
        </w:rPr>
        <w:t>2023-2024年取暖季气价倒挂补贴资金及聘请第三方机构清算费用</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rPr>
      </w:pPr>
      <w:r>
        <w:rPr>
          <w:rFonts w:ascii="Times New Roman" w:eastAsia="仿宋_GB2312" w:hAnsi="Times New Roman" w:hint="eastAsia"/>
          <w:b w:val="0"/>
          <w:sz w:val="32"/>
          <w:szCs w:val="32"/>
        </w:rPr>
        <w:t>项目绩效自评得分为100分（绩效自评表附后）。全年预算数为</w:t>
      </w:r>
      <w:r>
        <w:rPr>
          <w:rFonts w:ascii="Times New Roman" w:eastAsia="仿宋_GB2312" w:hAnsi="Times New Roman" w:hint="eastAsia"/>
          <w:b w:val="0"/>
          <w:sz w:val="32"/>
          <w:szCs w:val="32"/>
          <w:lang w:val="en-US" w:eastAsia="zh-CN"/>
        </w:rPr>
        <w:t>846.96</w:t>
      </w:r>
      <w:r>
        <w:rPr>
          <w:rFonts w:ascii="Times New Roman" w:eastAsia="仿宋_GB2312" w:hAnsi="Times New Roman" w:hint="eastAsia"/>
          <w:b w:val="0"/>
          <w:sz w:val="32"/>
          <w:szCs w:val="32"/>
        </w:rPr>
        <w:t>万元，执行数为</w:t>
      </w:r>
      <w:r>
        <w:rPr>
          <w:rFonts w:ascii="Times New Roman" w:eastAsia="仿宋_GB2312" w:hAnsi="Times New Roman" w:hint="eastAsia"/>
          <w:b w:val="0"/>
          <w:sz w:val="32"/>
          <w:szCs w:val="32"/>
          <w:lang w:val="en-US" w:eastAsia="zh-CN"/>
        </w:rPr>
        <w:t>946.96</w:t>
      </w:r>
      <w:r>
        <w:rPr>
          <w:rFonts w:ascii="Times New Roman" w:eastAsia="仿宋_GB2312" w:hAnsi="Times New Roman" w:hint="eastAsia"/>
          <w:b w:val="0"/>
          <w:sz w:val="32"/>
          <w:szCs w:val="32"/>
        </w:rPr>
        <w:t>万元，完成预算的100%。项目绩效目标完成情况：一是保障居民生活；二是促进我县取暖清洁化。发现的主要问题及原因是：无问题。下一步改进措施：无。</w:t>
      </w:r>
    </w:p>
    <w:p>
      <w:pPr>
        <w:widowControl/>
        <w:spacing w:before="0" w:beforeAutospacing="0" w:after="0" w:afterAutospacing="0" w:line="360" w:lineRule="auto"/>
        <w:ind w:left="0"/>
        <w:jc w:val="left"/>
        <w:rPr>
          <w:rFonts w:ascii="Times New Roman" w:eastAsia="仿宋_GB2312" w:hAnsi="Times New Roman" w:hint="eastAsia"/>
          <w:b w:val="0"/>
          <w:sz w:val="32"/>
          <w:szCs w:val="32"/>
        </w:rPr>
      </w:pPr>
      <w:r>
        <w:drawing>
          <wp:inline distT="0" distB="0" distL="114300" distR="114300">
            <wp:extent cx="5755640" cy="5615940"/>
            <wp:effectExtent l="0" t="0" r="39" b="9"/>
            <wp:docPr id="31" name="图片 8"/>
            <wp:cNvGraphicFramePr>
              <a:graphicFrameLocks noChangeAspect="1"/>
            </wp:cNvGraphicFramePr>
            <a:graphic>
              <a:graphicData uri="http://schemas.openxmlformats.org/drawingml/2006/picture">
                <pic:pic>
                  <pic:nvPicPr>
                    <pic:cNvPr id="33" name="图片 8 33"/>
                    <pic:cNvPicPr/>
                  </pic:nvPicPr>
                  <pic:blipFill>
                    <a:blip r:embed="rId23"/>
                    <a:stretch>
                      <a:fillRect/>
                    </a:stretch>
                  </pic:blipFill>
                  <pic:spPr>
                    <a:xfrm rot="0">
                      <a:off x="0" y="0"/>
                      <a:ext cx="5755640" cy="5615940"/>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b w:val="0"/>
          <w:sz w:val="32"/>
          <w:szCs w:val="32"/>
        </w:rPr>
      </w:pPr>
      <w:r>
        <w:rPr>
          <w:rFonts w:ascii="Times New Roman" w:eastAsia="仿宋_GB2312" w:hAnsi="Times New Roman"/>
          <w:b w:val="0"/>
          <w:sz w:val="32"/>
          <w:szCs w:val="32"/>
        </w:rPr>
        <w:t>8、</w:t>
      </w:r>
      <w:r>
        <w:rPr>
          <w:rFonts w:ascii="Times New Roman" w:eastAsia="仿宋_GB2312" w:hAnsi="Times New Roman" w:hint="eastAsia"/>
          <w:b w:val="0"/>
          <w:sz w:val="32"/>
          <w:szCs w:val="32"/>
        </w:rPr>
        <w:t xml:space="preserve"> 2023年农村地区气代煤电代煤改造任务及洁净煤补助资金-型煤（石财建[2023]105号）</w:t>
      </w:r>
    </w:p>
    <w:p>
      <w:pPr>
        <w:widowControl/>
        <w:spacing w:before="0" w:beforeAutospacing="0" w:after="0" w:afterAutospacing="0" w:line="360" w:lineRule="auto"/>
        <w:ind w:firstLineChars="200" w:firstLine="640"/>
        <w:jc w:val="left"/>
        <w:rPr>
          <w:rFonts w:ascii="Times New Roman" w:eastAsia="仿宋_GB2312" w:hAnsi="Times New Roman" w:hint="eastAsia"/>
          <w:b w:val="0"/>
          <w:sz w:val="32"/>
          <w:szCs w:val="32"/>
        </w:rPr>
      </w:pPr>
      <w:r>
        <w:rPr>
          <w:rFonts w:ascii="Times New Roman" w:eastAsia="仿宋_GB2312" w:hAnsi="Times New Roman" w:hint="eastAsia"/>
          <w:b w:val="0"/>
          <w:sz w:val="32"/>
          <w:szCs w:val="32"/>
        </w:rPr>
        <w:t>项目绩效自评得分为100分（绩效自评表附后）。全年预算数为</w:t>
      </w:r>
      <w:r>
        <w:rPr>
          <w:rFonts w:ascii="Times New Roman" w:eastAsia="仿宋_GB2312" w:hAnsi="Times New Roman" w:hint="eastAsia"/>
          <w:b w:val="0"/>
          <w:sz w:val="32"/>
          <w:szCs w:val="32"/>
          <w:lang w:val="en-US" w:eastAsia="zh-CN"/>
        </w:rPr>
        <w:t>965</w:t>
      </w:r>
      <w:r>
        <w:rPr>
          <w:rFonts w:ascii="Times New Roman" w:eastAsia="仿宋_GB2312" w:hAnsi="Times New Roman" w:hint="eastAsia"/>
          <w:b w:val="0"/>
          <w:sz w:val="32"/>
          <w:szCs w:val="32"/>
        </w:rPr>
        <w:t>万元，执行数为</w:t>
      </w:r>
      <w:r>
        <w:rPr>
          <w:rFonts w:ascii="Times New Roman" w:eastAsia="仿宋_GB2312" w:hAnsi="Times New Roman" w:hint="eastAsia"/>
          <w:b w:val="0"/>
          <w:sz w:val="32"/>
          <w:szCs w:val="32"/>
          <w:lang w:val="en-US" w:eastAsia="zh-CN"/>
        </w:rPr>
        <w:t>965</w:t>
      </w:r>
      <w:r>
        <w:rPr>
          <w:rFonts w:ascii="Times New Roman" w:eastAsia="仿宋_GB2312" w:hAnsi="Times New Roman" w:hint="eastAsia"/>
          <w:b w:val="0"/>
          <w:sz w:val="32"/>
          <w:szCs w:val="32"/>
        </w:rPr>
        <w:t>万元，完成预算的100%。项目绩效目标完成情况：一是</w:t>
      </w:r>
      <w:r>
        <w:rPr>
          <w:rFonts w:ascii="Times New Roman" w:eastAsia="仿宋_GB2312" w:hAnsi="Times New Roman" w:hint="eastAsia"/>
          <w:b w:val="0"/>
          <w:sz w:val="32"/>
          <w:szCs w:val="32"/>
          <w:lang w:eastAsia="zh-CN"/>
        </w:rPr>
        <w:t>推广型煤</w:t>
      </w:r>
      <w:r>
        <w:rPr>
          <w:rFonts w:ascii="Times New Roman" w:eastAsia="仿宋_GB2312" w:hAnsi="Times New Roman" w:hint="eastAsia"/>
          <w:b w:val="0"/>
          <w:sz w:val="32"/>
          <w:szCs w:val="32"/>
        </w:rPr>
        <w:t>；二是促进我县取暖清洁化。发现的主要问题及原因是：无问题。下一步改进措施：无。</w:t>
      </w:r>
    </w:p>
    <w:p>
      <w:pPr>
        <w:widowControl/>
        <w:spacing w:before="0" w:beforeAutospacing="0" w:after="0" w:afterAutospacing="0" w:line="360" w:lineRule="auto"/>
        <w:ind w:left="0"/>
        <w:jc w:val="left"/>
      </w:pPr>
      <w:r>
        <w:drawing>
          <wp:inline distT="0" distB="0" distL="114300" distR="114300">
            <wp:extent cx="5756275" cy="5026659"/>
            <wp:effectExtent l="0" t="0" r="24" b="12"/>
            <wp:docPr id="34" name="图片 9"/>
            <wp:cNvGraphicFramePr>
              <a:graphicFrameLocks noChangeAspect="1"/>
            </wp:cNvGraphicFramePr>
            <a:graphic>
              <a:graphicData uri="http://schemas.openxmlformats.org/drawingml/2006/picture">
                <pic:pic>
                  <pic:nvPicPr>
                    <pic:cNvPr id="36" name="图片 9 36"/>
                    <pic:cNvPicPr/>
                  </pic:nvPicPr>
                  <pic:blipFill>
                    <a:blip r:embed="rId24"/>
                    <a:stretch>
                      <a:fillRect/>
                    </a:stretch>
                  </pic:blipFill>
                  <pic:spPr>
                    <a:xfrm rot="0">
                      <a:off x="0" y="0"/>
                      <a:ext cx="5756275" cy="5026659"/>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480"/>
        <w:jc w:val="left"/>
        <w:rPr>
          <w:rFonts w:hint="eastAsia"/>
        </w:rPr>
      </w:pPr>
    </w:p>
    <w:p>
      <w:pPr>
        <w:widowControl/>
        <w:spacing w:before="0" w:beforeAutospacing="0" w:after="0" w:afterAutospacing="0" w:line="360" w:lineRule="auto"/>
        <w:ind w:firstLineChars="200" w:firstLine="640"/>
        <w:jc w:val="left"/>
        <w:rPr>
          <w:rFonts w:ascii="Times New Roman" w:eastAsia="仿宋_GB2312" w:cs="宋体" w:hAnsi="Times New Roman"/>
          <w:b w:val="0"/>
          <w:sz w:val="32"/>
          <w:szCs w:val="32"/>
        </w:rPr>
      </w:pPr>
      <w:r>
        <w:rPr>
          <w:rFonts w:ascii="Times New Roman" w:eastAsia="仿宋_GB2312" w:cs="宋体" w:hAnsi="Times New Roman"/>
          <w:b w:val="0"/>
          <w:sz w:val="32"/>
          <w:szCs w:val="32"/>
        </w:rPr>
        <w:t>9、</w:t>
      </w:r>
      <w:r>
        <w:rPr>
          <w:rFonts w:ascii="Times New Roman" w:eastAsia="仿宋_GB2312" w:cs="宋体" w:hAnsi="Times New Roman" w:hint="eastAsia"/>
          <w:b w:val="0"/>
          <w:sz w:val="32"/>
          <w:szCs w:val="32"/>
        </w:rPr>
        <w:t>行唐县南桥粮食储备库建设项目</w:t>
      </w:r>
    </w:p>
    <w:p>
      <w:pPr>
        <w:widowControl/>
        <w:spacing w:before="0" w:beforeAutospacing="0" w:after="0" w:afterAutospacing="0" w:line="360" w:lineRule="auto"/>
        <w:ind w:firstLineChars="200" w:firstLine="640"/>
        <w:jc w:val="left"/>
        <w:rPr>
          <w:rFonts w:ascii="Times New Roman" w:eastAsia="仿宋_GB2312" w:cs="宋体" w:hAnsi="Times New Roman" w:hint="eastAsia"/>
          <w:b w:val="0"/>
          <w:sz w:val="32"/>
          <w:szCs w:val="32"/>
        </w:rPr>
      </w:pPr>
      <w:r>
        <w:rPr>
          <w:rFonts w:ascii="Times New Roman" w:eastAsia="仿宋_GB2312" w:cs="宋体" w:hAnsi="Times New Roman" w:hint="eastAsia"/>
          <w:b w:val="0"/>
          <w:sz w:val="32"/>
          <w:szCs w:val="32"/>
        </w:rPr>
        <w:t>绩效自评得分为100分（绩效自评表附后）。全年预算数为</w:t>
      </w:r>
      <w:r>
        <w:rPr>
          <w:rFonts w:ascii="Times New Roman" w:eastAsia="仿宋_GB2312" w:cs="宋体" w:hAnsi="Times New Roman" w:hint="eastAsia"/>
          <w:b w:val="0"/>
          <w:sz w:val="32"/>
          <w:szCs w:val="32"/>
          <w:lang w:val="en-US" w:eastAsia="zh-CN"/>
        </w:rPr>
        <w:t>11.69</w:t>
      </w:r>
      <w:r>
        <w:rPr>
          <w:rFonts w:ascii="Times New Roman" w:eastAsia="仿宋_GB2312" w:cs="宋体" w:hAnsi="Times New Roman" w:hint="eastAsia"/>
          <w:b w:val="0"/>
          <w:sz w:val="32"/>
          <w:szCs w:val="32"/>
        </w:rPr>
        <w:t>万元，执行数为</w:t>
      </w:r>
      <w:r>
        <w:rPr>
          <w:rFonts w:ascii="Times New Roman" w:eastAsia="仿宋_GB2312" w:cs="宋体" w:hAnsi="Times New Roman" w:hint="eastAsia"/>
          <w:b w:val="0"/>
          <w:sz w:val="32"/>
          <w:szCs w:val="32"/>
          <w:lang w:val="en-US" w:eastAsia="zh-CN"/>
        </w:rPr>
        <w:t>11.69</w:t>
      </w:r>
      <w:r>
        <w:rPr>
          <w:rFonts w:ascii="Times New Roman" w:eastAsia="仿宋_GB2312" w:cs="宋体" w:hAnsi="Times New Roman" w:hint="eastAsia"/>
          <w:b w:val="0"/>
          <w:sz w:val="32"/>
          <w:szCs w:val="32"/>
        </w:rPr>
        <w:t>万元，完成预算的100%。项目绩效目标完成情况：一是</w:t>
      </w:r>
      <w:r>
        <w:rPr>
          <w:rFonts w:ascii="Times New Roman" w:eastAsia="仿宋_GB2312" w:cs="宋体" w:hAnsi="Times New Roman" w:hint="eastAsia"/>
          <w:b w:val="0"/>
          <w:sz w:val="32"/>
          <w:szCs w:val="32"/>
          <w:lang w:eastAsia="zh-CN"/>
        </w:rPr>
        <w:t>有效保障粮食收储</w:t>
      </w:r>
      <w:r>
        <w:rPr>
          <w:rFonts w:ascii="Times New Roman" w:eastAsia="仿宋_GB2312" w:cs="宋体" w:hAnsi="Times New Roman" w:hint="eastAsia"/>
          <w:b w:val="0"/>
          <w:sz w:val="32"/>
          <w:szCs w:val="32"/>
        </w:rPr>
        <w:t>；二是</w:t>
      </w:r>
      <w:r>
        <w:rPr>
          <w:rFonts w:ascii="Times New Roman" w:eastAsia="仿宋_GB2312" w:cs="宋体" w:hAnsi="Times New Roman" w:hint="eastAsia"/>
          <w:b w:val="0"/>
          <w:sz w:val="32"/>
          <w:szCs w:val="32"/>
          <w:lang w:eastAsia="zh-CN"/>
        </w:rPr>
        <w:t>保障居民生活</w:t>
      </w:r>
      <w:r>
        <w:rPr>
          <w:rFonts w:ascii="Times New Roman" w:eastAsia="仿宋_GB2312" w:cs="宋体" w:hAnsi="Times New Roman" w:hint="eastAsia"/>
          <w:b w:val="0"/>
          <w:sz w:val="32"/>
          <w:szCs w:val="32"/>
        </w:rPr>
        <w:t>。发现的主要问题及原因是：无问题。下一步改进措施：无。</w:t>
      </w:r>
    </w:p>
    <w:p>
      <w:pPr>
        <w:widowControl/>
        <w:spacing w:before="0" w:beforeAutospacing="0" w:after="0" w:afterAutospacing="0" w:line="360" w:lineRule="auto"/>
        <w:ind w:left="0"/>
        <w:jc w:val="left"/>
        <w:rPr>
          <w:rFonts w:ascii="Times New Roman" w:eastAsia="仿宋_GB2312" w:cs="宋体" w:hAnsi="Times New Roman" w:hint="eastAsia"/>
          <w:b w:val="0"/>
          <w:sz w:val="32"/>
          <w:szCs w:val="32"/>
        </w:rPr>
      </w:pPr>
      <w:r>
        <w:drawing>
          <wp:inline distT="0" distB="0" distL="114300" distR="114300">
            <wp:extent cx="5760085" cy="5897880"/>
            <wp:effectExtent l="0" t="0" r="24" b="6"/>
            <wp:docPr id="37" name="图片 10"/>
            <wp:cNvGraphicFramePr>
              <a:graphicFrameLocks noChangeAspect="1"/>
            </wp:cNvGraphicFramePr>
            <a:graphic>
              <a:graphicData uri="http://schemas.openxmlformats.org/drawingml/2006/picture">
                <pic:pic>
                  <pic:nvPicPr>
                    <pic:cNvPr id="39" name="图片 10 39"/>
                    <pic:cNvPicPr/>
                  </pic:nvPicPr>
                  <pic:blipFill>
                    <a:blip r:embed="rId25"/>
                    <a:stretch>
                      <a:fillRect/>
                    </a:stretch>
                  </pic:blipFill>
                  <pic:spPr>
                    <a:xfrm rot="0">
                      <a:off x="0" y="0"/>
                      <a:ext cx="5760085" cy="5897880"/>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cs="宋体" w:hAnsi="Times New Roman"/>
          <w:b w:val="0"/>
          <w:sz w:val="32"/>
          <w:szCs w:val="32"/>
        </w:rPr>
      </w:pPr>
      <w:r>
        <w:rPr>
          <w:rFonts w:ascii="Times New Roman" w:eastAsia="仿宋_GB2312" w:cs="宋体" w:hAnsi="Times New Roman"/>
          <w:b w:val="0"/>
          <w:sz w:val="32"/>
          <w:szCs w:val="32"/>
        </w:rPr>
        <w:t>10、</w:t>
      </w:r>
      <w:r>
        <w:rPr>
          <w:rFonts w:ascii="Times New Roman" w:eastAsia="仿宋_GB2312" w:cs="宋体" w:hAnsi="Times New Roman" w:hint="eastAsia"/>
          <w:b w:val="0"/>
          <w:sz w:val="32"/>
          <w:szCs w:val="32"/>
        </w:rPr>
        <w:t>2024年度县级储备粮保管费用及贷款利息项目</w:t>
      </w:r>
    </w:p>
    <w:p>
      <w:pPr>
        <w:widowControl/>
        <w:spacing w:before="0" w:beforeAutospacing="0" w:after="0" w:afterAutospacing="0" w:line="360" w:lineRule="auto"/>
        <w:ind w:firstLineChars="200" w:firstLine="640"/>
        <w:jc w:val="left"/>
        <w:rPr>
          <w:rFonts w:ascii="Times New Roman" w:eastAsia="仿宋_GB2312" w:cs="宋体" w:hAnsi="Times New Roman" w:hint="eastAsia"/>
          <w:b w:val="0"/>
          <w:sz w:val="32"/>
          <w:szCs w:val="32"/>
        </w:rPr>
      </w:pPr>
      <w:r>
        <w:rPr>
          <w:rFonts w:ascii="Times New Roman" w:eastAsia="仿宋_GB2312" w:cs="宋体" w:hAnsi="Times New Roman" w:hint="eastAsia"/>
          <w:b w:val="0"/>
          <w:sz w:val="32"/>
          <w:szCs w:val="32"/>
        </w:rPr>
        <w:t>绩效自评得分为100分（绩效自评表附后）。全年预算数为</w:t>
      </w:r>
      <w:r>
        <w:rPr>
          <w:rFonts w:ascii="Times New Roman" w:eastAsia="仿宋_GB2312" w:cs="宋体" w:hAnsi="Times New Roman" w:hint="eastAsia"/>
          <w:b w:val="0"/>
          <w:sz w:val="32"/>
          <w:szCs w:val="32"/>
          <w:lang w:val="en-US" w:eastAsia="zh-CN"/>
        </w:rPr>
        <w:t>154.99</w:t>
      </w:r>
      <w:r>
        <w:rPr>
          <w:rFonts w:ascii="Times New Roman" w:eastAsia="仿宋_GB2312" w:cs="宋体" w:hAnsi="Times New Roman" w:hint="eastAsia"/>
          <w:b w:val="0"/>
          <w:sz w:val="32"/>
          <w:szCs w:val="32"/>
        </w:rPr>
        <w:t>万元，执行数为</w:t>
      </w:r>
      <w:r>
        <w:rPr>
          <w:rFonts w:ascii="Times New Roman" w:eastAsia="仿宋_GB2312" w:cs="宋体" w:hAnsi="Times New Roman" w:hint="eastAsia"/>
          <w:b w:val="0"/>
          <w:sz w:val="32"/>
          <w:szCs w:val="32"/>
          <w:lang w:val="en-US" w:eastAsia="zh-CN"/>
        </w:rPr>
        <w:t>154.99</w:t>
      </w:r>
      <w:r>
        <w:rPr>
          <w:rFonts w:ascii="Times New Roman" w:eastAsia="仿宋_GB2312" w:cs="宋体" w:hAnsi="Times New Roman" w:hint="eastAsia"/>
          <w:b w:val="0"/>
          <w:sz w:val="32"/>
          <w:szCs w:val="32"/>
        </w:rPr>
        <w:t>万元，完成预算的100%。项目绩效目标完成情况：一是</w:t>
      </w:r>
      <w:r>
        <w:rPr>
          <w:rFonts w:ascii="Times New Roman" w:eastAsia="仿宋_GB2312" w:cs="宋体" w:hAnsi="Times New Roman" w:hint="eastAsia"/>
          <w:b w:val="0"/>
          <w:sz w:val="32"/>
          <w:szCs w:val="32"/>
          <w:lang w:eastAsia="zh-CN"/>
        </w:rPr>
        <w:t>落实安全储粮、科学保粮、维持企业正常运转</w:t>
      </w:r>
      <w:r>
        <w:rPr>
          <w:rFonts w:ascii="Times New Roman" w:eastAsia="仿宋_GB2312" w:cs="宋体" w:hAnsi="Times New Roman" w:hint="eastAsia"/>
          <w:b w:val="0"/>
          <w:sz w:val="32"/>
          <w:szCs w:val="32"/>
        </w:rPr>
        <w:t>；二是</w:t>
      </w:r>
      <w:r>
        <w:rPr>
          <w:rFonts w:ascii="Times New Roman" w:eastAsia="仿宋_GB2312" w:cs="宋体" w:hAnsi="Times New Roman" w:hint="eastAsia"/>
          <w:b w:val="0"/>
          <w:sz w:val="32"/>
          <w:szCs w:val="32"/>
          <w:lang w:eastAsia="zh-CN"/>
        </w:rPr>
        <w:t>为县级储备粮安全储粮</w:t>
      </w:r>
      <w:r>
        <w:rPr>
          <w:rFonts w:ascii="Times New Roman" w:eastAsia="仿宋_GB2312" w:cs="宋体" w:hAnsi="Times New Roman" w:hint="eastAsia"/>
          <w:b w:val="0"/>
          <w:sz w:val="32"/>
          <w:szCs w:val="32"/>
        </w:rPr>
        <w:t>。发现的主要问题及原因是：无问题。下一步改进措施：无。</w:t>
      </w:r>
    </w:p>
    <w:p>
      <w:pPr>
        <w:widowControl/>
        <w:spacing w:before="0" w:beforeAutospacing="0" w:after="0" w:afterAutospacing="0" w:line="360" w:lineRule="auto"/>
        <w:ind w:left="0"/>
        <w:jc w:val="left"/>
        <w:rPr>
          <w:rFonts w:ascii="Times New Roman" w:eastAsia="仿宋_GB2312" w:hAnsi="Times New Roman"/>
          <w:b/>
          <w:sz w:val="32"/>
          <w:szCs w:val="32"/>
        </w:rPr>
      </w:pPr>
      <w:r>
        <w:drawing>
          <wp:inline distT="0" distB="0" distL="114300" distR="114300">
            <wp:extent cx="5760085" cy="5626100"/>
            <wp:effectExtent l="0" t="0" r="24" b="41"/>
            <wp:docPr id="40" name="图片 11"/>
            <wp:cNvGraphicFramePr>
              <a:graphicFrameLocks noChangeAspect="1"/>
            </wp:cNvGraphicFramePr>
            <a:graphic>
              <a:graphicData uri="http://schemas.openxmlformats.org/drawingml/2006/picture">
                <pic:pic>
                  <pic:nvPicPr>
                    <pic:cNvPr id="42" name="图片 11 42"/>
                    <pic:cNvPicPr/>
                  </pic:nvPicPr>
                  <pic:blipFill>
                    <a:blip r:embed="rId26"/>
                    <a:stretch>
                      <a:fillRect/>
                    </a:stretch>
                  </pic:blipFill>
                  <pic:spPr>
                    <a:xfrm rot="0">
                      <a:off x="0" y="0"/>
                      <a:ext cx="5760085" cy="5626100"/>
                    </a:xfrm>
                    <a:prstGeom prst="rect"/>
                    <a:noFill/>
                    <a:ln w="9525" cmpd="sng" cap="flat">
                      <a:noFill/>
                      <a:prstDash val="solid"/>
                      <a:round/>
                    </a:ln>
                  </pic:spPr>
                </pic:pic>
              </a:graphicData>
            </a:graphic>
          </wp:inline>
        </w:drawing>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（三）部门评价项目绩效评价结果（如有）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sz w:val="32"/>
          <w:szCs w:val="32"/>
        </w:rPr>
        <w:t>无。</w:t>
      </w:r>
      <w:bookmarkStart w:id="0" w:name="_GoBack"/>
      <w:bookmarkEnd w:id="0"/>
    </w:p>
    <w:p>
      <w:pPr>
        <w:widowControl/>
        <w:spacing w:before="0" w:beforeAutospacing="0" w:after="0" w:afterAutospacing="0" w:line="360" w:lineRule="auto"/>
        <w:ind w:firstLineChars="200" w:firstLine="640"/>
        <w:jc w:val="left"/>
        <w:rPr>
          <w:rFonts w:ascii="Times New Roman" w:eastAsia="黑体" w:hAnsi="Times New Roman"/>
          <w:sz w:val="32"/>
          <w:szCs w:val="32"/>
        </w:rPr>
      </w:pPr>
      <w:r>
        <w:rPr>
          <w:rFonts w:ascii="Times New Roman" w:eastAsia="黑体" w:hAnsi="Times New Roman"/>
          <w:b w:val="0"/>
          <w:sz w:val="32"/>
          <w:szCs w:val="32"/>
        </w:rPr>
        <w:t>十、其他需要说明的情况</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1.本部门2024年度国有资本经营预算财政拨款支出决算表（公开08表）无相应收支，故空表列示。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val="0"/>
          <w:sz w:val="32"/>
          <w:szCs w:val="32"/>
        </w:rPr>
        <w:t>2. 由于决算公开表格中金额数值应当保留两位小数，公开数据为四舍五入计算结果，个别数据合计项与分项之和存在小数点后差额，特此说明。</w:t>
      </w:r>
    </w:p>
    <w:p>
      <w:pPr>
        <w:rPr>
          <w:rFonts w:ascii="Times New Roman" w:eastAsia="仿宋_GB2312" w:cs="Times New Roman" w:hAnsi="Times New Roman"/>
          <w:sz w:val="32"/>
          <w:szCs w:val="32"/>
        </w:rPr>
      </w:pPr>
      <w:r>
        <w:rPr>
          <w:rFonts w:ascii="Times New Roman" w:eastAsia="仿宋_GB2312" w:cs="Times New Roman" w:hAnsi="Times New Roman"/>
          <w:sz w:val="32"/>
          <w:szCs w:val="32"/>
        </w:rPr>
        <w:br w:type="page"/>
      </w:r>
    </w:p>
    <w:p>
      <w:pPr>
        <w:widowControl/>
        <w:spacing w:before="0" w:beforeAutospacing="0" w:after="0" w:afterAutospacing="0" w:line="360" w:lineRule="auto"/>
        <w:jc w:val="center"/>
        <w:outlineLvl w:val="0"/>
        <w:rPr>
          <w:rFonts w:ascii="Times New Roman" w:eastAsia="黑体" w:hAnsi="Times New Roman"/>
          <w:sz w:val="44"/>
          <w:szCs w:val="44"/>
        </w:rPr>
      </w:pPr>
      <w:r>
        <w:rPr>
          <w:rFonts w:ascii="Times New Roman" w:eastAsia="黑体" w:hAnsi="Times New Roman"/>
          <w:b w:val="0"/>
          <w:sz w:val="44"/>
          <w:szCs w:val="44"/>
        </w:rPr>
        <w:t>第四部分   名词解释</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一、财政拨款收入：</w:t>
      </w:r>
      <w:r>
        <w:rPr>
          <w:rFonts w:ascii="Times New Roman" w:eastAsia="仿宋_GB2312" w:hAnsi="Times New Roman"/>
          <w:b w:val="0"/>
          <w:sz w:val="32"/>
          <w:szCs w:val="32"/>
        </w:rPr>
        <w:t>指单位从同级财政部门取得的财政预算资金。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二、事业收入：</w:t>
      </w:r>
      <w:r>
        <w:rPr>
          <w:rFonts w:ascii="Times New Roman" w:eastAsia="仿宋_GB2312" w:hAnsi="Times New Roman"/>
          <w:b w:val="0"/>
          <w:sz w:val="32"/>
          <w:szCs w:val="32"/>
        </w:rPr>
        <w:t>指事业单位开展专业业务活动及辅助活动取得的收入。</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三、经营收入：</w:t>
      </w:r>
      <w:r>
        <w:rPr>
          <w:rFonts w:ascii="Times New Roman" w:eastAsia="仿宋_GB2312" w:hAnsi="Times New Roman"/>
          <w:b w:val="0"/>
          <w:sz w:val="32"/>
          <w:szCs w:val="32"/>
        </w:rPr>
        <w:t>指事业单位在专业业务活动及其辅助活动之外开展非独立核算经营活动取得的收入。</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四、其他收入：</w:t>
      </w:r>
      <w:r>
        <w:rPr>
          <w:rFonts w:ascii="Times New Roman" w:eastAsia="仿宋_GB2312" w:hAnsi="Times New Roman"/>
          <w:b w:val="0"/>
          <w:sz w:val="32"/>
          <w:szCs w:val="32"/>
        </w:rPr>
        <w:t>指单位取得的除上述收入以外的各项收入。主要是事业单位固定资产出租收入、存款利息收入等。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五、使用非财政拨款结余（含专用结余）：</w:t>
      </w:r>
      <w:r>
        <w:rPr>
          <w:rFonts w:ascii="Times New Roman" w:eastAsia="仿宋_GB2312" w:hAnsi="Times New Roman"/>
          <w:b w:val="0"/>
          <w:sz w:val="32"/>
          <w:szCs w:val="32"/>
        </w:rPr>
        <w:t>指事业单位按照预算管理要求使用非财政拨款结余弥补收支差额的金额，以及使用专用结余安排支出的金额。</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六、年初结转和结余：</w:t>
      </w:r>
      <w:r>
        <w:rPr>
          <w:rFonts w:ascii="Times New Roman" w:eastAsia="仿宋_GB2312" w:hAnsi="Times New Roman"/>
          <w:b w:val="0"/>
          <w:sz w:val="32"/>
          <w:szCs w:val="32"/>
        </w:rPr>
        <w:t>指单位以前年度尚未完成、结转到本年仍按原规定用途继续使用的资金，或项目已完成等产生的结余资金。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七、结余分配：</w:t>
      </w:r>
      <w:r>
        <w:rPr>
          <w:rFonts w:ascii="Times New Roman" w:eastAsia="仿宋_GB2312" w:hAnsi="Times New Roman"/>
          <w:b w:val="0"/>
          <w:sz w:val="32"/>
          <w:szCs w:val="32"/>
        </w:rPr>
        <w:t>指事业单位按照会计制度规定缴纳的所得税、提取的专用结余以及转入非财政拨款结余的金额等。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八、年末结转和结余：</w:t>
      </w:r>
      <w:r>
        <w:rPr>
          <w:rFonts w:ascii="Times New Roman" w:eastAsia="仿宋_GB2312" w:hAnsi="Times New Roman"/>
          <w:b w:val="0"/>
          <w:sz w:val="32"/>
          <w:szCs w:val="32"/>
        </w:rPr>
        <w:t>指单位按有关规定结转到下年或以后年度继续使用的资金，或项目已完成等产生的结余资金。</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九、基本支出：</w:t>
      </w:r>
      <w:r>
        <w:rPr>
          <w:rFonts w:ascii="Times New Roman" w:eastAsia="仿宋_GB2312" w:hAnsi="Times New Roman"/>
          <w:b w:val="0"/>
          <w:sz w:val="32"/>
          <w:szCs w:val="32"/>
        </w:rPr>
        <w:t>指为保障机构正常运转、完成日常工作任务而发生的人员支出和公用支出。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十、项目支出：</w:t>
      </w:r>
      <w:r>
        <w:rPr>
          <w:rFonts w:ascii="Times New Roman" w:eastAsia="仿宋_GB2312" w:hAnsi="Times New Roman"/>
          <w:b w:val="0"/>
          <w:sz w:val="32"/>
          <w:szCs w:val="32"/>
        </w:rPr>
        <w:t>指在基本支出之外为完成特定行政任务和事业发展目标所发生的支出。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十一、经营支出 ：</w:t>
      </w:r>
      <w:r>
        <w:rPr>
          <w:rFonts w:ascii="Times New Roman" w:eastAsia="仿宋_GB2312" w:hAnsi="Times New Roman"/>
          <w:b w:val="0"/>
          <w:sz w:val="32"/>
          <w:szCs w:val="32"/>
        </w:rPr>
        <w:t>指事业单位在专业业务活动及其辅助活动之外开展非独立核算经营活动发生的支出。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十二、基本建设支出：</w:t>
      </w:r>
      <w:r>
        <w:rPr>
          <w:rFonts w:ascii="Times New Roman" w:eastAsia="仿宋_GB2312" w:hAnsi="Times New Roman"/>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十三、其他资本性支出：</w:t>
      </w:r>
      <w:r>
        <w:rPr>
          <w:rFonts w:ascii="Times New Roman" w:eastAsia="仿宋_GB2312" w:hAnsi="Times New Roman"/>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十四、“三公”经费：</w:t>
      </w:r>
      <w:r>
        <w:rPr>
          <w:rFonts w:ascii="Times New Roman" w:eastAsia="仿宋_GB2312" w:hAnsi="Times New Roman"/>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十五、其他交通费用：</w:t>
      </w:r>
      <w:r>
        <w:rPr>
          <w:rFonts w:ascii="Times New Roman" w:eastAsia="仿宋_GB2312" w:hAnsi="Times New Roman"/>
          <w:b w:val="0"/>
          <w:sz w:val="32"/>
          <w:szCs w:val="32"/>
        </w:rPr>
        <w:t>填列单位除公务用车运行维护费以外的其他交通费用。如公务交通补贴、租车费用、出租车费用，飞机、船舶等燃料费、维修费、保险费等。</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十六、公务用车购置：</w:t>
      </w:r>
      <w:r>
        <w:rPr>
          <w:rFonts w:ascii="Times New Roman" w:eastAsia="仿宋_GB2312" w:hAnsi="Times New Roman"/>
          <w:b w:val="0"/>
          <w:sz w:val="32"/>
          <w:szCs w:val="32"/>
        </w:rPr>
        <w:t>填列单位公务用车车辆购置支出（含车辆购置税、牌照费）。</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十七、其他交通工具购置：</w:t>
      </w:r>
      <w:r>
        <w:rPr>
          <w:rFonts w:ascii="Times New Roman" w:eastAsia="仿宋_GB2312" w:hAnsi="Times New Roman"/>
          <w:b w:val="0"/>
          <w:sz w:val="32"/>
          <w:szCs w:val="32"/>
        </w:rPr>
        <w:t>填列单位除公务用车外的其他各类交通工具（如船舶、飞机等）购置支出（含车辆购置税、牌照费）。</w:t>
      </w:r>
    </w:p>
    <w:p>
      <w:pPr>
        <w:widowControl/>
        <w:spacing w:before="0" w:beforeAutospacing="0" w:after="0" w:afterAutospacing="0" w:line="360" w:lineRule="auto"/>
        <w:ind w:firstLineChars="200" w:firstLine="640"/>
        <w:jc w:val="left"/>
        <w:rPr>
          <w:rFonts w:ascii="Times New Roman" w:eastAsia="仿宋_GB2312" w:hAnsi="Times New Roman"/>
          <w:sz w:val="32"/>
          <w:szCs w:val="32"/>
        </w:rPr>
      </w:pPr>
      <w:r>
        <w:rPr>
          <w:rFonts w:ascii="Times New Roman" w:eastAsia="仿宋_GB2312" w:hAnsi="Times New Roman"/>
          <w:b/>
          <w:sz w:val="32"/>
          <w:szCs w:val="32"/>
        </w:rPr>
        <w:t>十八、机关运行经费：</w:t>
      </w:r>
      <w:r>
        <w:rPr>
          <w:rFonts w:ascii="Times New Roman" w:eastAsia="仿宋_GB2312" w:hAnsi="Times New Roman"/>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rtlGutter/>
      <w:docGrid w:type="lines" w:linePitch="329" w:charSpace="0"/>
    </w:sectPr>
  </w:body>
</w:document>
</file>

<file path=word/fontTable.xml><?xml version="1.0" encoding="utf-8"?>
<w:fonts xmlns:w="http://schemas.openxmlformats.org/wordprocessingml/2006/main" xmlns:r="http://schemas.openxmlformats.org/officeDocument/2006/relationships">
  <w:font w:name="方正小标宋_GBK">
    <w:altName w:val="微软雅黑"/>
    <w:panose1 w:val="02000000000000000000"/>
    <w:charset w:val="86"/>
    <w:family w:val="script"/>
    <w:pitch w:val="variable"/>
    <w:sig w:usb0="00000000" w:usb1="00000000" w:usb2="00082016" w:usb3="00000000" w:csb0="00040001" w:csb1="00000000"/>
  </w:font>
  <w:font w:name="楷体_GB2312">
    <w:altName w:val="楷体"/>
    <w:panose1 w:val="02010609030101010101"/>
    <w:charset w:val="86"/>
    <w:family w:val="auto"/>
    <w:pitch w:val="variable"/>
    <w:sig w:usb0="00000001" w:usb1="080E0000" w:usb2="00000000" w:usb3="00000000" w:csb0="00040000" w:csb1="00000000"/>
  </w:font>
  <w:font w:name="黑体">
    <w:panose1 w:val="02010609060101010101"/>
    <w:charset w:val="86"/>
    <w:family w:val="auto"/>
    <w:pitch w:val="variable"/>
    <w:sig w:usb0="800002BF" w:usb1="38CF7CFA" w:usb2="00000016" w:usb3="00000000" w:csb0="00040001" w:csb1="00000000"/>
  </w:font>
  <w:font w:name="Times New Roman">
    <w:panose1 w:val="02020603050405020304"/>
    <w:charset w:val="01"/>
    <w:family w:val="auto"/>
    <w:pitch w:val="variable"/>
    <w:sig w:usb0="E0002AFF" w:usb1="C0007841" w:usb2="00000009" w:usb3="00000000" w:csb0="400001FF" w:csb1="FFFF0000"/>
  </w:font>
  <w:font w:name="仿宋_GB2312">
    <w:altName w:val="仿宋"/>
    <w:panose1 w:val="02010609030101010101"/>
    <w:charset w:val="86"/>
    <w:family w:val="auto"/>
    <w:pitch w:val="variable"/>
    <w:sig w:usb0="00000001" w:usb1="080E0000" w:usb2="00000000" w:usb3="00000000" w:csb0="00040000" w:csb1="00000000"/>
  </w:font>
  <w:font w:name="ArialUnicodeMS">
    <w:altName w:val="Malgun Gothic"/>
    <w:panose1 w:val="00000000000000000000"/>
    <w:charset w:val="81"/>
    <w:family w:val="auto"/>
    <w:pitch w:val="variable"/>
    <w:sig w:usb0="00000000" w:usb1="00000000" w:usb2="00000010" w:usb3="00000000" w:csb0="00080001" w:csb1="00000000"/>
  </w:font>
  <w:font w:name="Calibri">
    <w:panose1 w:val="020F0502020204030204"/>
    <w:charset w:val="00"/>
    <w:family w:val="swiss"/>
    <w:pitch w:val="variable"/>
    <w:sig w:usb0="E00002FF" w:usb1="4000ACFF" w:usb2="00000001" w:usb3="00000000" w:csb0="2000019F" w:csb1="00000000"/>
  </w:font>
  <w:font w:name="方正仿宋_GB2312">
    <w:altName w:val="仿宋"/>
    <w:panose1 w:val="02000000000000000000"/>
    <w:charset w:val="86"/>
    <w:family w:val="auto"/>
    <w:pitch w:val="variable"/>
    <w:sig w:usb0="00000000" w:usb1="00000000" w:usb2="00000012" w:usb3="00000000" w:csb0="00040001" w:csb1="00000000"/>
  </w:font>
  <w:font w:name="宋体">
    <w:panose1 w:val="02010600030101010101"/>
    <w:charset w:val="7A"/>
    <w:family w:val="auto"/>
    <w:pitch w:val="variable"/>
    <w:sig w:usb0="00000003" w:usb1="288F0000" w:usb2="00000006" w:usb3="00000000" w:csb0="00040001" w:csb1="00000000"/>
  </w:font>
  <w:font w:name="仿宋">
    <w:panose1 w:val="02010609060101010101"/>
    <w:charset w:val="86"/>
    <w:family w:val="modern"/>
    <w:pitch w:val="variable"/>
    <w:sig w:usb0="800002BF" w:usb1="38CF7CFA" w:usb2="00000016" w:usb3="00000000" w:csb0="00040001" w:csb1="00000000"/>
  </w:font>
  <w:font w:name="Arial">
    <w:panose1 w:val="020B0604020202020204"/>
    <w:charset w:val="01"/>
    <w:family w:val="swiss"/>
    <w:pitch w:val="variable"/>
    <w:sig w:usb0="E0002AFF" w:usb1="C0007843" w:usb2="00000009" w:usb3="00000000" w:csb0="400001FF" w:csb1="FFFF0000"/>
  </w:font>
  <w:font w:name="Calibri Light">
    <w:panose1 w:val="020F0302020204030204"/>
    <w:charset w:val="00"/>
    <w:family w:val="auto"/>
    <w:pitch w:val="variable"/>
    <w:sig w:usb0="A00002EF" w:usb1="4000207B" w:usb2="00000000" w:usb3="00000000" w:csb0="2000019F" w:csb1="00000000"/>
  </w:font>
  <w:font w:name="华文中宋">
    <w:altName w:val="宋体"/>
    <w:panose1 w:val="02010600040101010101"/>
    <w:charset w:val="86"/>
    <w:family w:val="auto"/>
    <w:pitch w:val="variable"/>
    <w:sig w:usb0="00000000" w:usb1="00000000" w:usb2="00000000" w:usb3="00000000" w:csb0="000400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jc w:val="center"/>
    </w:pPr>
  </w:p>
  <w:p>
    <w:pPr>
      <w:pStyle w:val="17"/>
      <w:tabs>
        <w:tab w:val="center" w:pos="4153"/>
        <w:tab w:val="right" w:pos="8306"/>
      </w:tabs>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3.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footer4.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7"/>
      <w:tabs>
        <w:tab w:val="center" w:pos="4153"/>
        <w:tab w:val="right" w:pos="8306"/>
      </w:tabs>
    </w:pPr>
  </w:p>
</w:ftr>
</file>

<file path=word/footer5.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center"/>
    </w:pPr>
    <w:r>
      <w:fldChar w:fldCharType="begin"/>
    </w:r>
    <w:r>
      <w:instrText>PAGE</w:instrText>
    </w:r>
    <w:r>
      <w:fldChar w:fldCharType="separate"/>
    </w:r>
    <w:r>
      <w:t>1</w:t>
    </w:r>
    <w:r>
      <w:fldChar w:fldCharType="end"/>
    </w:r>
  </w:p>
</w:ftr>
</file>

<file path=word/header1.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header2.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header3.xml><?xml version="1.0" encoding="utf-8"?>
<w:hd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pPr>
  </w:p>
</w:hd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32A60711"/>
    <w:multiLevelType w:val="singleLevel"/>
    <w:tmpl w:val="32A60711"/>
    <w:lvl w:ilvl="0">
      <w:start w:val="2"/>
      <w:numFmt w:val="chineseCounting"/>
      <w:lvlRestart w:val="0"/>
      <w:suff w:val="nothing"/>
      <w:lvlText w:val="（%1）"/>
      <w:lvlJc w:val="left"/>
      <w:pPr>
        <w:ind w:left="0" w:hanging="0"/>
      </w:pPr>
      <w:rPr>
        <w:rFonts w:hint="eastAsia"/>
      </w:rPr>
    </w:lvl>
  </w:abstractNum>
  <w:abstractNum w:abstractNumId="1">
    <w:nsid w:val="C5D34AA9"/>
    <w:multiLevelType w:val="multilevel"/>
    <w:tmpl w:val="5A213FDE"/>
    <w:lvl w:ilvl="0">
      <w:start w:val="1"/>
      <w:numFmt w:val="decimal"/>
      <w:lvlRestart w:val="0"/>
      <w:pStyle w:val="1"/>
      <w:lvlText w:val="%1."/>
      <w:lvlJc w:val="left"/>
      <w:pPr>
        <w:ind w:left="425" w:hanging="425"/>
      </w:pPr>
      <w:rPr>
        <w:rFonts w:hint="default"/>
      </w:rPr>
    </w:lvl>
    <w:lvl w:ilvl="1">
      <w:start w:val="1"/>
      <w:numFmt w:val="decimal"/>
      <w:pStyle w:val="2"/>
      <w:lvlText w:val="%1.%2."/>
      <w:lvlJc w:val="left"/>
      <w:pPr>
        <w:ind w:left="567" w:hanging="567"/>
      </w:pPr>
      <w:rPr>
        <w:rFonts w:hint="default"/>
      </w:rPr>
    </w:lvl>
    <w:lvl w:ilvl="2">
      <w:start w:val="1"/>
      <w:numFmt w:val="decimal"/>
      <w:pStyle w:val="3"/>
      <w:lvlText w:val="%1.%2.%3."/>
      <w:lvlJc w:val="left"/>
      <w:pPr>
        <w:ind w:left="709" w:hanging="709"/>
      </w:pPr>
      <w:rPr>
        <w:rFonts w:hint="default"/>
      </w:rPr>
    </w:lvl>
    <w:lvl w:ilvl="3">
      <w:start w:val="1"/>
      <w:numFmt w:val="decimal"/>
      <w:pStyle w:val="4"/>
      <w:lvlText w:val="%1.%2.%3.%4."/>
      <w:lvlJc w:val="left"/>
      <w:pPr>
        <w:ind w:left="850" w:hanging="850"/>
      </w:pPr>
      <w:rPr>
        <w:rFonts w:hint="default"/>
      </w:rPr>
    </w:lvl>
    <w:lvl w:ilvl="4">
      <w:start w:val="1"/>
      <w:numFmt w:val="decimal"/>
      <w:lvlText w:val="%1.%2.%3.%4.%5."/>
      <w:lvlJc w:val="left"/>
      <w:pPr>
        <w:ind w:left="991" w:hanging="991"/>
      </w:pPr>
      <w:rPr>
        <w:rFonts w:hint="default"/>
      </w:rPr>
    </w:lvl>
    <w:lvl w:ilvl="5">
      <w:start w:val="1"/>
      <w:numFmt w:val="decimal"/>
      <w:lvlText w:val="%1.%2.%3.%4.%5.%6."/>
      <w:lvlJc w:val="left"/>
      <w:pPr>
        <w:ind w:left="1134" w:hanging="1134"/>
      </w:pPr>
      <w:rPr>
        <w:rFonts w:hint="default"/>
      </w:rPr>
    </w:lvl>
    <w:lvl w:ilvl="6">
      <w:start w:val="1"/>
      <w:numFmt w:val="decimal"/>
      <w:lvlText w:val="%1.%2.%3.%4.%5.%6.%7."/>
      <w:lvlJc w:val="left"/>
      <w:pPr>
        <w:ind w:left="1275" w:hanging="1275"/>
      </w:pPr>
      <w:rPr>
        <w:rFonts w:hint="default"/>
      </w:rPr>
    </w:lvl>
    <w:lvl w:ilvl="7">
      <w:start w:val="1"/>
      <w:numFmt w:val="decimal"/>
      <w:lvlText w:val="%1.%2.%3.%4.%5.%6.%7.%8."/>
      <w:lvlJc w:val="left"/>
      <w:pPr>
        <w:ind w:left="1418" w:hanging="1418"/>
      </w:pPr>
      <w:rPr>
        <w:rFonts w:hint="default"/>
      </w:rPr>
    </w:lvl>
    <w:lvl w:ilvl="8">
      <w:start w:val="1"/>
      <w:numFmt w:val="decimal"/>
      <w:lvlText w:val="%1.%2.%3.%4.%5.%6.%7.%8.%9."/>
      <w:lvlJc w:val="left"/>
      <w:pPr>
        <w:ind w:left="1558" w:hanging="1558"/>
      </w:pPr>
      <w:rPr>
        <w:rFonts w:hint="default"/>
      </w:rPr>
    </w:lvl>
  </w:abstractNum>
  <w:num w:numId="1">
    <w:abstractNumId w:val="0"/>
  </w:num>
  <w:num w:numId="2">
    <w:abstractNumId w:val="1"/>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displayBackgroundShape/>
  <w:bordersDoNotSurroundHeader w:val="0"/>
  <w:bordersDoNotSurroundFooter w:val="0"/>
  <w:documentProtection w:edit="readOnly" w:enforcement="0"/>
  <w:defaultTabStop w:val="420"/>
  <w:drawingGridHorizontalSpacing w:val="120"/>
  <w:drawingGridVerticalSpacing w:val="165"/>
  <w:displayHorizontalDrawingGridEvery w:val="1"/>
  <w:displayVerticalDrawingGridEvery w:val="2"/>
  <w:noPunctuationKerning/>
  <w:characterSpacingControl w:val="compressPunctuation"/>
  <w:compat>
    <w:spaceForUL/>
    <w:balanceSingleByteDoubleByteWidth/>
    <w:ulTrailSpace/>
    <w:doNotExpandShiftReturn/>
    <w:adjustLineHeightInTable/>
    <w:doNotUseIndentAsNumberingTabStop/>
    <w:useAltKinsokuLineBreakRules/>
    <w:compatSetting w:name="compatibilityMode" w:uri="http://schemas.microsoft.com/office/word" w:val="14"/>
  </w:compat>
  <w:docVars>
    <w:docVar w:name="commondata" w:val="eyJjb3VudCI6NjksImhkaWQiOiJiMzk2N2EzZjUyYWViODRjZjJhMDZjM2YyYjk4MTExMiIsInVzZXJDb3VudCI6MX0="/>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pPr>
      <w:widowControl w:val="0"/>
      <w:jc w:val="both"/>
    </w:pPr>
    <w:rPr>
      <w:rFonts w:ascii="Calibri" w:eastAsia="宋体" w:cs="宋体" w:hAnsi="Times New Roman"/>
      <w:color w:val="auto"/>
      <w:kern w:val="0"/>
      <w:sz w:val="24"/>
      <w:szCs w:val="24"/>
      <w:lang w:val="en-US" w:eastAsia="zh-CN" w:bidi="ar-SA"/>
    </w:rPr>
  </w:style>
  <w:style w:type="paragraph" w:styleId="1">
    <w:name w:val="heading 1"/>
    <w:basedOn w:val="0"/>
    <w:next w:val="0"/>
    <w:pPr>
      <w:keepNext/>
      <w:keepLines/>
      <w:widowControl w:val="0"/>
      <w:numPr>
        <w:ilvl w:val="0"/>
        <w:numId w:val="2"/>
      </w:numPr>
      <w:adjustRightInd w:val="0"/>
      <w:snapToGrid w:val="0"/>
      <w:spacing w:before="340" w:afterLines="50" w:after="50" w:line="578" w:lineRule="auto"/>
      <w:ind w:left="425" w:hanging="425"/>
      <w:jc w:val="left"/>
      <w:outlineLvl w:val="0"/>
    </w:pPr>
    <w:rPr>
      <w:rFonts w:ascii="Times New Roman" w:eastAsia="仿宋" w:cs="Times New Roman" w:hAnsi="Times New Roman"/>
      <w:b/>
      <w:bCs/>
      <w:kern w:val="44"/>
      <w:sz w:val="36"/>
      <w:szCs w:val="44"/>
    </w:rPr>
  </w:style>
  <w:style w:type="paragraph" w:styleId="2">
    <w:name w:val="heading 2"/>
    <w:basedOn w:val="0"/>
    <w:next w:val="0"/>
    <w:pPr>
      <w:widowControl w:val="0"/>
      <w:numPr>
        <w:ilvl w:val="1"/>
        <w:numId w:val="2"/>
      </w:numPr>
      <w:spacing w:line="415" w:lineRule="auto"/>
      <w:ind w:left="567" w:hanging="567"/>
      <w:outlineLvl w:val="1"/>
    </w:pPr>
    <w:rPr>
      <w:rFonts w:ascii="Calibri Light" w:eastAsia="宋体" w:cs="Times New Roman" w:hAnsi="Calibri Light"/>
      <w:b/>
      <w:bCs/>
      <w:sz w:val="28"/>
      <w:szCs w:val="32"/>
    </w:rPr>
  </w:style>
  <w:style w:type="paragraph" w:styleId="3">
    <w:name w:val="heading 3"/>
    <w:basedOn w:val="0"/>
    <w:next w:val="0"/>
    <w:pPr>
      <w:keepNext/>
      <w:keepLines/>
      <w:widowControl w:val="0"/>
      <w:numPr>
        <w:ilvl w:val="2"/>
        <w:numId w:val="2"/>
      </w:numPr>
      <w:spacing w:beforeLines="50" w:before="50" w:afterLines="50" w:after="50" w:line="415" w:lineRule="auto"/>
      <w:outlineLvl w:val="2"/>
    </w:pPr>
    <w:rPr>
      <w:rFonts w:ascii="宋体" w:eastAsia="宋体" w:cs="宋体" w:hAnsi="宋体"/>
      <w:b/>
      <w:bCs/>
      <w:sz w:val="32"/>
    </w:rPr>
  </w:style>
  <w:style w:type="paragraph" w:styleId="4">
    <w:name w:val="heading 4"/>
    <w:basedOn w:val="0"/>
    <w:next w:val="0"/>
    <w:pPr>
      <w:keepNext/>
      <w:keepLines/>
      <w:widowControl w:val="0"/>
      <w:numPr>
        <w:ilvl w:val="3"/>
        <w:numId w:val="2"/>
      </w:numPr>
      <w:spacing w:before="120" w:after="120"/>
      <w:outlineLvl w:val="3"/>
    </w:pPr>
    <w:rPr>
      <w:rFonts w:ascii="Calibri Light" w:eastAsia="宋体" w:cs="Times New Roman" w:hAnsi="Calibri Light"/>
      <w:b/>
      <w:bCs/>
      <w:sz w:val="28"/>
      <w:szCs w:val="28"/>
    </w:rPr>
  </w:style>
  <w:style w:type="character" w:default="1" w:styleId="10">
    <w:name w:val="Default Paragraph Font"/>
  </w:style>
  <w:style w:type="paragraph" w:styleId="15">
    <w:name w:val="annotation text"/>
    <w:basedOn w:val="0"/>
    <w:pPr>
      <w:jc w:val="left"/>
    </w:pPr>
  </w:style>
  <w:style w:type="paragraph" w:styleId="16">
    <w:name w:val="Balloon Text"/>
    <w:basedOn w:val="0"/>
    <w:rPr>
      <w:rFonts w:cs="Arial"/>
      <w:kern w:val="2"/>
      <w:sz w:val="18"/>
      <w:szCs w:val="18"/>
    </w:rPr>
  </w:style>
  <w:style w:type="paragraph" w:styleId="17">
    <w:name w:val="footer"/>
    <w:basedOn w:val="0"/>
    <w:pPr>
      <w:tabs>
        <w:tab w:val="center" w:pos="4153"/>
        <w:tab w:val="right" w:pos="8306"/>
      </w:tabs>
      <w:snapToGrid w:val="0"/>
      <w:jc w:val="left"/>
    </w:pPr>
    <w:rPr>
      <w:rFonts w:cs="Arial"/>
      <w:kern w:val="2"/>
      <w:sz w:val="18"/>
      <w:szCs w:val="18"/>
    </w:rPr>
  </w:style>
  <w:style w:type="paragraph" w:styleId="18">
    <w:name w:val="header"/>
    <w:basedOn w:val="0"/>
    <w:pPr>
      <w:pBdr>
        <w:top w:val="none" w:sz="0" w:space="0" w:color="auto"/>
        <w:left w:val="none" w:sz="0" w:space="0" w:color="auto"/>
        <w:bottom w:val="none" w:sz="0" w:space="0" w:color="auto"/>
        <w:right w:val="none" w:sz="0" w:space="0" w:color="auto"/>
      </w:pBdr>
      <w:tabs>
        <w:tab w:val="center" w:pos="4153"/>
        <w:tab w:val="right" w:pos="8306"/>
      </w:tabs>
      <w:snapToGrid w:val="0"/>
      <w:jc w:val="center"/>
    </w:pPr>
    <w:rPr>
      <w:rFonts w:cs="Arial"/>
      <w:kern w:val="2"/>
      <w:sz w:val="18"/>
      <w:szCs w:val="18"/>
    </w:rPr>
  </w:style>
  <w:style w:type="paragraph" w:styleId="19">
    <w:name w:val="Normal (Web)"/>
    <w:basedOn w:val="0"/>
    <w:pPr>
      <w:spacing w:before="0" w:beforeAutospacing="1" w:after="0" w:afterAutospacing="1"/>
      <w:ind w:left="0" w:right="0"/>
      <w:jc w:val="left"/>
    </w:pPr>
    <w:rPr>
      <w:kern w:val="0"/>
      <w:sz w:val="24"/>
      <w:lang w:val="en-US" w:eastAsia="zh-CN"/>
    </w:rPr>
  </w:style>
  <w:style w:type="character" w:styleId="20">
    <w:name w:val="Strong"/>
    <w:basedOn w:val="10"/>
    <w:rPr>
      <w:b/>
    </w:rPr>
  </w:style>
  <w:style w:type="character" w:customStyle="1" w:styleId="21">
    <w:name w:val="font11"/>
    <w:basedOn w:val="10"/>
    <w:rPr>
      <w:rFonts w:ascii="宋体" w:eastAsia="宋体" w:cs="宋体" w:hAnsi="宋体"/>
      <w:color w:val="000000"/>
      <w:sz w:val="20"/>
      <w:szCs w:val="20"/>
      <w:u w:val="none"/>
      <w:lang w:val="en-US" w:eastAsia="zh-CN" w:bidi="ar-SA"/>
    </w:rPr>
  </w:style>
  <w:style w:type="character" w:customStyle="1" w:styleId="22">
    <w:name w:val="font01"/>
    <w:basedOn w:val="10"/>
    <w:rPr>
      <w:rFonts w:ascii="宋体" w:eastAsia="宋体" w:cs="宋体" w:hAnsi="宋体"/>
      <w:color w:val="000000"/>
      <w:sz w:val="22"/>
      <w:szCs w:val="22"/>
      <w:u w:val="none"/>
      <w:lang w:val="en-US" w:eastAsia="zh-CN" w:bidi="ar-SA"/>
    </w:rPr>
  </w:style>
  <w:style w:type="character" w:customStyle="1" w:styleId="23">
    <w:name w:val="font41"/>
    <w:basedOn w:val="10"/>
    <w:rPr>
      <w:rFonts w:ascii="宋体" w:eastAsia="宋体" w:cs="宋体" w:hAnsi="宋体"/>
      <w:color w:val="000000"/>
      <w:sz w:val="24"/>
      <w:szCs w:val="24"/>
      <w:u w:val="none"/>
      <w:lang w:val="en-US" w:eastAsia="zh-CN" w:bidi="ar-SA"/>
    </w:rPr>
  </w:style>
  <w:style w:type="character" w:customStyle="1" w:styleId="24">
    <w:name w:val="font31"/>
    <w:basedOn w:val="10"/>
    <w:rPr>
      <w:rFonts w:ascii="华文中宋" w:eastAsia="华文中宋" w:cs="华文中宋" w:hAnsi="华文中宋"/>
      <w:color w:val="000000"/>
      <w:sz w:val="32"/>
      <w:szCs w:val="32"/>
      <w:u w:val="none"/>
      <w:lang w:val="en-US" w:eastAsia="zh-CN" w:bidi="ar-SA"/>
    </w:rPr>
  </w:style>
  <w:style w:type="character" w:customStyle="1" w:styleId="25">
    <w:name w:val="font91"/>
    <w:basedOn w:val="10"/>
    <w:rPr>
      <w:rFonts w:ascii="华文中宋" w:eastAsia="华文中宋" w:cs="华文中宋" w:hAnsi="华文中宋"/>
      <w:color w:val="000000"/>
      <w:sz w:val="32"/>
      <w:szCs w:val="32"/>
      <w:u w:val="none"/>
      <w:lang w:val="en-US" w:eastAsia="zh-CN" w:bidi="ar-SA"/>
    </w:rPr>
  </w:style>
  <w:style w:type="character" w:customStyle="1" w:styleId="26">
    <w:name w:val="font51"/>
    <w:basedOn w:val="10"/>
    <w:rPr>
      <w:rFonts w:ascii="宋体" w:eastAsia="宋体" w:cs="宋体" w:hAnsi="宋体"/>
      <w:color w:val="000000"/>
      <w:sz w:val="24"/>
      <w:szCs w:val="24"/>
      <w:u w:val="none"/>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image" Target="media/2.jpeg"/><Relationship Id="rId4" Type="http://schemas.openxmlformats.org/officeDocument/2006/relationships/footer" Target="footer2.xml"/><Relationship Id="rId5" Type="http://schemas.openxmlformats.org/officeDocument/2006/relationships/header" Target="header1.xml"/><Relationship Id="rId6" Type="http://schemas.openxmlformats.org/officeDocument/2006/relationships/header" Target="header2.xml"/><Relationship Id="rId7" Type="http://schemas.openxmlformats.org/officeDocument/2006/relationships/footer" Target="footer3.xml"/><Relationship Id="rId8" Type="http://schemas.openxmlformats.org/officeDocument/2006/relationships/footer" Target="footer4.xml"/><Relationship Id="rId9" Type="http://schemas.openxmlformats.org/officeDocument/2006/relationships/header" Target="header3.xml"/><Relationship Id="rId10" Type="http://schemas.openxmlformats.org/officeDocument/2006/relationships/footer" Target="footer5.xml"/><Relationship Id="rId11" Type="http://schemas.openxmlformats.org/officeDocument/2006/relationships/chart" Target="charts/chart1.xml"/><Relationship Id="rId12" Type="http://schemas.openxmlformats.org/officeDocument/2006/relationships/chart" Target="charts/chart2.xml"/><Relationship Id="rId13" Type="http://schemas.openxmlformats.org/officeDocument/2006/relationships/chart" Target="charts/chart3.xml"/><Relationship Id="rId14" Type="http://schemas.openxmlformats.org/officeDocument/2006/relationships/chart" Target="charts/chart4.xml"/><Relationship Id="rId15" Type="http://schemas.openxmlformats.org/officeDocument/2006/relationships/chart" Target="charts/chart5.xml"/><Relationship Id="rId16" Type="http://schemas.openxmlformats.org/officeDocument/2006/relationships/chart" Target="charts/chart6.xml"/><Relationship Id="rId17" Type="http://schemas.openxmlformats.org/officeDocument/2006/relationships/image" Target="media/14.png"/><Relationship Id="rId18" Type="http://schemas.openxmlformats.org/officeDocument/2006/relationships/image" Target="media/17.png"/><Relationship Id="rId19" Type="http://schemas.openxmlformats.org/officeDocument/2006/relationships/image" Target="media/20.png"/><Relationship Id="rId20" Type="http://schemas.openxmlformats.org/officeDocument/2006/relationships/image" Target="media/23.png"/><Relationship Id="rId21" Type="http://schemas.openxmlformats.org/officeDocument/2006/relationships/image" Target="media/26.png"/><Relationship Id="rId22" Type="http://schemas.openxmlformats.org/officeDocument/2006/relationships/image" Target="media/29.png"/><Relationship Id="rId23" Type="http://schemas.openxmlformats.org/officeDocument/2006/relationships/image" Target="media/32.png"/><Relationship Id="rId24" Type="http://schemas.openxmlformats.org/officeDocument/2006/relationships/image" Target="media/35.png"/><Relationship Id="rId25" Type="http://schemas.openxmlformats.org/officeDocument/2006/relationships/image" Target="media/38.png"/><Relationship Id="rId26" Type="http://schemas.openxmlformats.org/officeDocument/2006/relationships/image" Target="media/41.png"/><Relationship Id="rId27" Type="http://schemas.openxmlformats.org/officeDocument/2006/relationships/styles" Target="styles.xml"/><Relationship Id="rId28" Type="http://schemas.openxmlformats.org/officeDocument/2006/relationships/numbering" Target="numbering.xml"/><Relationship Id="rId29" Type="http://schemas.openxmlformats.org/officeDocument/2006/relationships/fontTable" Target="fontTable.xml"/><Relationship Id="rId30" Type="http://schemas.openxmlformats.org/officeDocument/2006/relationships/customXml" Target="../customXml/item1.xml"/></Relationships>
</file>

<file path=word/charts/_rels/chart1.xml.rels><?xml version="1.0" encoding="UTF-8" standalone="yes"?>
<Relationships xmlns="http://schemas.openxmlformats.org/package/2006/relationships"><Relationship Id="rId1" Type="http://schemas.openxmlformats.org/officeDocument/2006/relationships/package" Target="../embeddings/char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char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char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char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char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char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1 ： 2023-2024年收支总计对比图（万元）</a:t>
            </a:r>
          </a:p>
        </c:rich>
      </c:tx>
      <c:layout/>
      <c:overlay val="0"/>
      <c:spPr>
        <a:noFill/>
        <a:ln>
          <a:noFill/>
        </a:ln>
      </c:spPr>
    </c:title>
    <c:autoTitleDeleted val="1"/>
    <c:plotArea>
      <c:layout/>
      <c:barChart>
        <c:barDir val="col"/>
        <c:grouping val="clustered"/>
        <c:varyColors val="0"/>
        <c:ser>
          <c:idx val="0"/>
          <c:order val="0"/>
          <c:tx>
            <c:strRef>
              <c:f>'Sheet1'!$B$1</c:f>
              <c:strCache>
                <c:ptCount val="1"/>
                <c:pt idx="0">
                  <c:v>收支总计</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'Sheet1'!$A$2:$A$3</c:f>
              <c:strCache>
                <c:ptCount val="2"/>
                <c:pt idx="0">
                  <c:v>2023年</c:v>
                </c:pt>
                <c:pt idx="1">
                  <c:v>2024年</c:v>
                </c:pt>
              </c:strCache>
            </c:strRef>
          </c:cat>
          <c:val>
            <c:numRef>
              <c:f>'Sheet1'!$B$2:$B$3</c:f>
              <c:numCache>
                <c:formatCode>General</c:formatCode>
                <c:ptCount val="2"/>
                <c:pt idx="0">
                  <c:v>14611.77</c:v>
                </c:pt>
                <c:pt idx="1">
                  <c:v>13268.01</c:v>
                </c:pt>
              </c:numCache>
            </c:numRef>
          </c:val>
        </c:ser>
        <c:overlap val="-28"/>
        <c:gapWidth val="246"/>
        <c:axId val="0"/>
        <c:axId val="1"/>
      </c:barChart>
      <c:catAx>
        <c:axId val="0"/>
        <c:scaling>
          <c:orientation val="minMax"/>
        </c:scaling>
        <c:delete val="0"/>
        <c:axPos val="b"/>
        <c:numFmt formatCode="General" sourceLinked="0"/>
        <c:majorTickMark val="none"/>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none"/>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spPr>
        <a:noFill/>
        <a:ln>
          <a:noFill/>
        </a:ln>
      </c:spPr>
    </c:plotArea>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2 ：收入决算构成情况图</a:t>
            </a:r>
          </a:p>
        </c:rich>
      </c:tx>
      <c:layout/>
      <c:overlay val="0"/>
      <c:spPr>
        <a:noFill/>
        <a:ln>
          <a:noFill/>
        </a:ln>
      </c:spPr>
    </c:title>
    <c:autoTitleDeleted val="1"/>
    <c:plotArea>
      <c:layout/>
      <c:pieChart>
        <c:varyColors val="1"/>
        <c:ser>
          <c:idx val="0"/>
          <c:order val="0"/>
          <c:tx>
            <c:strRef>
              <c:f>'Sheet1 (2)'!$B$1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0.0%" sourceLinked="0"/>
            <c:dLbl>
              <c:idx val="0"/>
              <c:layout>
                <c:manualLayout>
                  <c:x val="0.32012555"/>
                  <c:y val="0.72690713"/>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1"/>
              <c:layout>
                <c:manualLayout>
                  <c:x val="-0.3080455"/>
                  <c:y val="0.6391468"/>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2"/>
              <c:layout>
                <c:manualLayout>
                  <c:x val="0.40541184"/>
                  <c:y val="0.17185508"/>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3"/>
              <c:layout>
                <c:manualLayout>
                  <c:x val="-0.28690514"/>
                  <c:y val="0.2702507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4"/>
              <c:layout>
                <c:manualLayout>
                  <c:x val="-0.29898536"/>
                  <c:y val="0.4491606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
              <c:idx val="5"/>
              <c:layout>
                <c:manualLayout>
                  <c:x val="-0.28847557"/>
                  <c:y val="0.1241659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dLblPos val="bestFit"/>
              <c:showLegendKey val="1"/>
              <c:showVal val="0"/>
              <c:showCatName val="1"/>
              <c:showSerName val="0"/>
              <c:showPercent val="1"/>
              <c:showBubbleSize val="0"/>
              <c:separator> </c:separator>
            </c:dLbl>
            <c:dLblPos val="ctr"/>
            <c:showLegendKey val="1"/>
            <c:showVal val="0"/>
            <c:showCatName val="1"/>
            <c:showSerName val="0"/>
            <c:showPercent val="1"/>
            <c:showBubbleSize val="0"/>
            <c:separator> </c:separator>
            <c:showLeaderLines val="1"/>
          </c:dLbls>
          <c:cat>
            <c:strRef>
              <c:f>'Sheet1 (2)'!$A$2:$A$7</c:f>
              <c:strCache>
                <c:ptCount val="6"/>
                <c:pt idx="0">
                  <c:v>财政拨款收入</c:v>
                </c:pt>
                <c:pt idx="1">
                  <c:v>上级补助收入</c:v>
                </c:pt>
                <c:pt idx="2">
                  <c:v>事业收入</c:v>
                </c:pt>
                <c:pt idx="3">
                  <c:v>经营收入</c:v>
                </c:pt>
                <c:pt idx="4">
                  <c:v>附属单位上缴收入</c:v>
                </c:pt>
                <c:pt idx="5">
                  <c:v>其他收入</c:v>
                </c:pt>
              </c:strCache>
            </c:strRef>
          </c:cat>
          <c:val>
            <c:numRef>
              <c:f>'Sheet1 (2)'!$B$2:$B$7</c:f>
              <c:numCache>
                <c:formatCode>0.00_);[Red](0.00)</c:formatCode>
                <c:ptCount val="6"/>
                <c:pt idx="0">
                  <c:v>1.3268014153E8</c:v>
                </c:pt>
                <c:pt idx="1">
                  <c:v>0.0</c:v>
                </c:pt>
                <c:pt idx="2">
                  <c:v>0.0</c:v>
                </c:pt>
                <c:pt idx="3">
                  <c:v>0.0</c:v>
                </c:pt>
                <c:pt idx="4">
                  <c:v>0.0</c:v>
                </c:pt>
                <c:pt idx="5">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3 ：支出决算构成情况图</a:t>
            </a:r>
          </a:p>
        </c:rich>
      </c:tx>
      <c:layout/>
      <c:overlay val="0"/>
      <c:spPr>
        <a:noFill/>
        <a:ln>
          <a:noFill/>
        </a:ln>
      </c:spPr>
    </c:title>
    <c:autoTitleDeleted val="1"/>
    <c:plotArea>
      <c:layout/>
      <c:pieChart>
        <c:varyColors val="1"/>
        <c:ser>
          <c:idx val="0"/>
          <c:order val="0"/>
          <c:tx>
            <c:strRef>
              <c:f>'Sheet1 (3)'!$B$1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0.0%" sourceLinked="0"/>
            <c:dLbl>
              <c:idx val="0"/>
              <c:layout>
                <c:manualLayout>
                  <c:x val="0.34621888"/>
                  <c:y val="0.715469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1"/>
              <c:layout>
                <c:manualLayout>
                  <c:x val="0.35709593"/>
                  <c:y val="0.09793837"/>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2"/>
              <c:layout>
                <c:manualLayout>
                  <c:x val="-0.29270354"/>
                  <c:y val="0.26689333"/>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3"/>
              <c:layout>
                <c:manualLayout>
                  <c:x val="-0.31523567"/>
                  <c:y val="0.4683166"/>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dLbl>
              <c:idx val="4"/>
              <c:layout>
                <c:manualLayout>
                  <c:x val="-0.27355897"/>
                  <c:y val="0.7182104"/>
                </c:manualLayout>
              </c:layout>
              <c:numFmt formatCode="0.0%" sourceLinked="0"/>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showLegendKey val="1"/>
              <c:showVal val="0"/>
              <c:showCatName val="1"/>
              <c:showSerName val="0"/>
              <c:showPercent val="1"/>
              <c:showBubbleSize val="0"/>
              <c:separator>
</c:separator>
            </c:dLbl>
            <c:showLegendKey val="1"/>
            <c:showVal val="0"/>
            <c:showCatName val="1"/>
            <c:showSerName val="0"/>
            <c:showPercent val="1"/>
            <c:showBubbleSize val="0"/>
            <c:showLeaderLines val="1"/>
          </c:dLbls>
          <c:cat>
            <c:strRef>
              <c:f>'Sheet1 (3)'!$A$2:$A$6</c:f>
              <c:strCache>
                <c:ptCount val="5"/>
                <c:pt idx="0">
                  <c:v>基本支出</c:v>
                </c:pt>
                <c:pt idx="1">
                  <c:v>项目支出</c:v>
                </c:pt>
                <c:pt idx="2">
                  <c:v>上缴上级支出</c:v>
                </c:pt>
                <c:pt idx="3">
                  <c:v>经营支出</c:v>
                </c:pt>
                <c:pt idx="4">
                  <c:v>对附属单位补助支出</c:v>
                </c:pt>
              </c:strCache>
            </c:strRef>
          </c:cat>
          <c:val>
            <c:numRef>
              <c:f>'Sheet1 (3)'!$B$2:$B$6</c:f>
              <c:numCache>
                <c:formatCode>General</c:formatCode>
                <c:ptCount val="5"/>
                <c:pt idx="0">
                  <c:v>7862107.85</c:v>
                </c:pt>
                <c:pt idx="1">
                  <c:v>1.2481803368E8</c:v>
                </c:pt>
                <c:pt idx="2">
                  <c:v>0.0</c:v>
                </c:pt>
                <c:pt idx="3">
                  <c:v>0.0</c:v>
                </c:pt>
                <c:pt idx="4">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4 ：2023-2024年财政拨款收支对比图（万元）</a:t>
            </a:r>
          </a:p>
        </c:rich>
      </c:tx>
      <c:layout/>
      <c:overlay val="0"/>
      <c:spPr>
        <a:noFill/>
        <a:ln>
          <a:noFill/>
        </a:ln>
      </c:spPr>
    </c:title>
    <c:autoTitleDeleted val="1"/>
    <c:plotArea>
      <c:layout/>
      <c:barChart>
        <c:barDir val="col"/>
        <c:grouping val="clustered"/>
        <c:varyColors val="0"/>
        <c:ser>
          <c:idx val="0"/>
          <c:order val="0"/>
          <c:tx>
            <c:strRef>
              <c:f>'Sheet1 (4)'!$B$1</c:f>
              <c:strCache>
                <c:ptCount val="1"/>
                <c:pt idx="0">
                  <c:v>2023年</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(4)'!$B$2:$B$9</c:f>
              <c:numCache>
                <c:formatCode>General</c:formatCode>
                <c:ptCount val="8"/>
                <c:pt idx="0">
                  <c:v>14611.77</c:v>
                </c:pt>
                <c:pt idx="1">
                  <c:v>14611.77</c:v>
                </c:pt>
                <c:pt idx="2">
                  <c:v>12181.77</c:v>
                </c:pt>
                <c:pt idx="3">
                  <c:v>12181.77</c:v>
                </c:pt>
                <c:pt idx="4">
                  <c:v>2430.0</c:v>
                </c:pt>
                <c:pt idx="5">
                  <c:v>2430.0</c:v>
                </c:pt>
                <c:pt idx="6">
                  <c:v>0.0</c:v>
                </c:pt>
                <c:pt idx="7">
                  <c:v>0.0</c:v>
                </c:pt>
              </c:numCache>
            </c:numRef>
          </c:val>
        </c:ser>
        <c:ser>
          <c:idx val="1"/>
          <c:order val="1"/>
          <c:tx>
            <c:strRef>
              <c:f>'Sheet1 (4)'!$C$1</c:f>
              <c:strCache>
                <c:ptCount val="1"/>
                <c:pt idx="0">
                  <c:v>2024年</c:v>
                </c:pt>
              </c:strCache>
            </c:strRef>
          </c:tx>
          <c:spPr>
            <a:solidFill>
              <a:srgbClr val="EE822F"/>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(4)'!$A$2:$A$9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(4)'!$C$2:$C$9</c:f>
              <c:numCache>
                <c:formatCode>General</c:formatCode>
                <c:ptCount val="8"/>
                <c:pt idx="0">
                  <c:v>13268.01</c:v>
                </c:pt>
                <c:pt idx="1">
                  <c:v>13268.01</c:v>
                </c:pt>
                <c:pt idx="2">
                  <c:v>11368.01</c:v>
                </c:pt>
                <c:pt idx="3">
                  <c:v>11368.01</c:v>
                </c:pt>
                <c:pt idx="4">
                  <c:v>1900.0</c:v>
                </c:pt>
                <c:pt idx="5">
                  <c:v>1900.0</c:v>
                </c:pt>
                <c:pt idx="6">
                  <c:v>0.0</c:v>
                </c:pt>
                <c:pt idx="7">
                  <c:v>0.0</c:v>
                </c:pt>
              </c:numCache>
            </c:numRef>
          </c:val>
        </c:ser>
        <c:overlap val="-28"/>
        <c:gapWidth val="246"/>
        <c:axId val="0"/>
        <c:axId val="1"/>
      </c:barChart>
      <c:catAx>
        <c:axId val="0"/>
        <c:scaling>
          <c:orientation val="minMax"/>
        </c:scaling>
        <c:delete val="0"/>
        <c:axPos val="b"/>
        <c:numFmt formatCode="General" sourceLinked="0"/>
        <c:majorTickMark val="out"/>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out"/>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dTable>
        <c:showHorzBorder val="1"/>
        <c:showVertBorder val="1"/>
        <c:showOutline val="1"/>
        <c:showKeys val="1"/>
        <c:spPr>
          <a:ln w="6350">
            <a:solidFill>
              <a:srgbClr val="D9D9D9"/>
            </a:solidFill>
            <a:prstDash val="solid"/>
          </a:ln>
        </c:spPr>
        <c:txPr>
          <a:bodyPr/>
          <a:lstStyle/>
          <a:p>
            <a:pPr rtl="0">
              <a:defRPr sz="900" b="0" i="0" u="none" strike="noStrike" baseline="0">
                <a:solidFill>
                  <a:srgbClr val="595959"/>
                </a:solidFill>
                <a:latin typeface="Times New Roman"/>
                <a:ea typeface="宋体"/>
                <a:cs typeface="Arial"/>
              </a:defRPr>
            </a:pPr>
            <a:endParaRPr lang="zh-CN"/>
          </a:p>
        </c:txPr>
      </c:dTable>
      <c:spPr>
        <a:noFill/>
        <a:ln>
          <a:noFill/>
        </a:ln>
      </c:spPr>
    </c:plotArea>
    <c:legend>
      <c:legendPos val="b"/>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 5 :财政拨款收支预算对比图（万元）</a:t>
            </a:r>
          </a:p>
        </c:rich>
      </c:tx>
      <c:layout/>
      <c:overlay val="0"/>
      <c:spPr>
        <a:noFill/>
        <a:ln>
          <a:noFill/>
        </a:ln>
      </c:spPr>
    </c:title>
    <c:autoTitleDeleted val="1"/>
    <c:plotArea>
      <c:layout>
        <c:manualLayout>
          <c:layoutTarget val="inner"/>
          <c:xMode val="edge"/>
          <c:yMode val="edge"/>
          <c:x val="0.17641942"/>
          <c:y val="0.16043349"/>
          <c:w val="0.7957961"/>
          <c:h val="0.47433063"/>
        </c:manualLayout>
      </c:layout>
      <c:barChart>
        <c:barDir val="col"/>
        <c:grouping val="clustered"/>
        <c:varyColors val="0"/>
        <c:ser>
          <c:idx val="0"/>
          <c:order val="0"/>
          <c:tx>
            <c:strRef>
              <c:f>'Sheet1 (5)'!$B$1</c:f>
              <c:strCache>
                <c:ptCount val="1"/>
                <c:pt idx="0">
                  <c:v>年初预算数</c:v>
                </c:pt>
              </c:strCache>
            </c:strRef>
          </c:tx>
          <c:spPr>
            <a:solidFill>
              <a:srgbClr val="4874CB"/>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(5)'!$B$2:$B$9</c:f>
              <c:numCache>
                <c:formatCode>General</c:formatCode>
                <c:ptCount val="8"/>
                <c:pt idx="0">
                  <c:v>5344.78</c:v>
                </c:pt>
                <c:pt idx="1">
                  <c:v>5344.78</c:v>
                </c:pt>
                <c:pt idx="2">
                  <c:v>5339.78</c:v>
                </c:pt>
                <c:pt idx="3">
                  <c:v>5339.78</c:v>
                </c:pt>
                <c:pt idx="4">
                  <c:v>0.0</c:v>
                </c:pt>
                <c:pt idx="5">
                  <c:v>0.0</c:v>
                </c:pt>
                <c:pt idx="6">
                  <c:v>5.0</c:v>
                </c:pt>
                <c:pt idx="7">
                  <c:v>5.0</c:v>
                </c:pt>
              </c:numCache>
            </c:numRef>
          </c:val>
        </c:ser>
        <c:ser>
          <c:idx val="1"/>
          <c:order val="1"/>
          <c:tx>
            <c:strRef>
              <c:f>'Sheet1 (5)'!$C$1</c:f>
              <c:strCache>
                <c:ptCount val="1"/>
                <c:pt idx="0">
                  <c:v>决算数</c:v>
                </c:pt>
              </c:strCache>
            </c:strRef>
          </c:tx>
          <c:spPr>
            <a:solidFill>
              <a:srgbClr val="EE822F"/>
            </a:solidFill>
            <a:ln>
              <a:noFill/>
            </a:ln>
          </c:spPr>
          <c:invertIfNegative val="0"/>
          <c:dLbls>
            <c:spPr>
              <a:noFill/>
              <a:ln>
                <a:noFill/>
              </a:ln>
            </c:spPr>
            <c:txPr>
              <a:bodyPr vert="horz"/>
              <a:lstStyle/>
              <a:p>
                <a:pPr>
                  <a:defRPr sz="1000" b="0" i="0" u="none" strike="noStrike" baseline="0">
                    <a:solidFill>
                      <a:srgbClr val="404040"/>
                    </a:solidFill>
                    <a:latin typeface="Times New Roman"/>
                    <a:ea typeface="宋体"/>
                    <a:cs typeface="Arial"/>
                  </a:defRPr>
                </a:pPr>
                <a:endParaRPr lang="zh-CN"/>
              </a:p>
            </c:txPr>
            <c:numFmt formatCode="General" sourceLinked="1"/>
            <c:dLblPos val="outEnd"/>
            <c:showLegendKey val="0"/>
            <c:showVal val="1"/>
            <c:showCatName val="0"/>
            <c:showSerName val="0"/>
            <c:showPercent val="0"/>
            <c:showBubbleSize val="0"/>
            <c:showLeaderLines val="1"/>
            <c:extLst>
              <c:ext xmlns:c15="http://schemas.microsoft.com/office/drawing/2012/chart" uri="{CE6537A1-D6FC-4f65-9D91-7224C49458BB}">
                <c15:showLeaderLines val="1"/>
              </c:ext>
            </c:extLst>
          </c:dLbls>
          <c:cat>
            <c:strRef>
              <c:f>'Sheet1 (5)'!$A$2:$A$9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 (5)'!$C$2:$C$9</c:f>
              <c:numCache>
                <c:formatCode>General</c:formatCode>
                <c:ptCount val="8"/>
                <c:pt idx="0">
                  <c:v>13268.01</c:v>
                </c:pt>
                <c:pt idx="1">
                  <c:v>13268.01</c:v>
                </c:pt>
                <c:pt idx="2">
                  <c:v>11368.01</c:v>
                </c:pt>
                <c:pt idx="3">
                  <c:v>11368.01</c:v>
                </c:pt>
                <c:pt idx="4">
                  <c:v>1900.0</c:v>
                </c:pt>
                <c:pt idx="5">
                  <c:v>1900.0</c:v>
                </c:pt>
                <c:pt idx="6">
                  <c:v>0.0</c:v>
                </c:pt>
                <c:pt idx="7">
                  <c:v>0.0</c:v>
                </c:pt>
              </c:numCache>
            </c:numRef>
          </c:val>
        </c:ser>
        <c:gapWidth val="150"/>
        <c:axId val="0"/>
        <c:axId val="1"/>
      </c:barChart>
      <c:catAx>
        <c:axId val="0"/>
        <c:scaling>
          <c:orientation val="minMax"/>
        </c:scaling>
        <c:delete val="0"/>
        <c:axPos val="b"/>
        <c:numFmt formatCode="General" sourceLinked="0"/>
        <c:majorTickMark val="none"/>
        <c:minorTickMark val="none"/>
        <c:tickLblPos val="nextTo"/>
        <c:spPr>
          <a:ln w="6350">
            <a:solidFill>
              <a:srgbClr val="D9D9D9"/>
            </a:solidFill>
            <a:prstDash val="solid"/>
          </a:ln>
        </c:spPr>
        <c:txPr>
          <a:bodyPr/>
          <a:lstStyle/>
          <a:p>
            <a:pPr>
              <a:defRPr sz="900" b="0" i="0" u="none" strike="noStrike" baseline="0">
                <a:solidFill>
                  <a:srgbClr val="595959"/>
                </a:solidFill>
                <a:latin typeface="Times New Roman"/>
                <a:ea typeface="宋体"/>
                <a:cs typeface="Arial"/>
              </a:defRPr>
            </a:pPr>
            <a:endParaRPr lang="zh-CN"/>
          </a:p>
        </c:txPr>
        <c:crosses val="autoZero"/>
        <c:auto val="1"/>
        <c:lblOffset val="100"/>
        <c:lblAlgn val="ctr"/>
        <c:noMultiLvlLbl val="0"/>
        <c:crossAx val="1"/>
      </c:catAx>
      <c:valAx>
        <c:axId val="1"/>
        <c:scaling>
          <c:orientation val="minMax"/>
        </c:scaling>
        <c:delete val="0"/>
        <c:axPos val="l"/>
        <c:majorGridlines>
          <c:spPr>
            <a:ln w="6350">
              <a:solidFill>
                <a:srgbClr val="E6E6E6"/>
              </a:solidFill>
              <a:prstDash val="solid"/>
            </a:ln>
          </c:spPr>
        </c:majorGridlines>
        <c:numFmt formatCode="General" sourceLinked="1"/>
        <c:majorTickMark val="none"/>
        <c:minorTickMark val="none"/>
        <c:tickLblPos val="nextTo"/>
        <c:spPr>
          <a:ln>
            <a:noFill/>
          </a:ln>
        </c:spPr>
        <c:txPr>
          <a:bodyPr/>
          <a:lstStyle/>
          <a:p>
            <a:pPr>
              <a:defRPr sz="900" b="0" i="0" u="none" strike="noStrike" baseline="0">
                <a:solidFill>
                  <a:srgbClr val="595959"/>
                </a:solidFill>
                <a:latin typeface="Times New Roman"/>
                <a:ea typeface="宋体"/>
                <a:cs typeface="Arial"/>
              </a:defRPr>
            </a:pPr>
            <a:endParaRPr lang="zh-CN"/>
          </a:p>
        </c:txPr>
        <c:crossesAt val="1.0"/>
        <c:crossBetween val="between"/>
        <c:crossAx val="0"/>
      </c:valAx>
      <c:dTable>
        <c:showHorzBorder val="1"/>
        <c:showVertBorder val="1"/>
        <c:showOutline val="1"/>
        <c:showKeys val="1"/>
        <c:spPr>
          <a:ln w="6350">
            <a:solidFill>
              <a:srgbClr val="D9D9D9"/>
            </a:solidFill>
            <a:prstDash val="solid"/>
          </a:ln>
        </c:spPr>
        <c:txPr>
          <a:bodyPr/>
          <a:lstStyle/>
          <a:p>
            <a:pPr rtl="0">
              <a:defRPr sz="900" b="0" i="0" u="none" strike="noStrike" baseline="0">
                <a:solidFill>
                  <a:srgbClr val="595959"/>
                </a:solidFill>
                <a:latin typeface="Times New Roman"/>
                <a:ea typeface="宋体"/>
                <a:cs typeface="Arial"/>
              </a:defRPr>
            </a:pPr>
            <a:endParaRPr lang="zh-CN"/>
          </a:p>
        </c:txPr>
      </c:dTable>
      <c:spPr>
        <a:noFill/>
        <a:ln>
          <a:noFill/>
        </a:ln>
      </c:spPr>
    </c:plotArea>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1" i="0" u="none" strike="noStrike" baseline="0">
                <a:solidFill>
                  <a:srgbClr val="404040"/>
                </a:solidFill>
                <a:latin typeface="Times New Roman"/>
                <a:ea typeface="宋体"/>
                <a:cs typeface="Arial"/>
              </a:defRPr>
            </a:pPr>
            <a:r>
              <a:rPr lang="zh-CN"/>
              <a:t>图6  : 财政拨款支出决算构成情况图</a:t>
            </a:r>
          </a:p>
        </c:rich>
      </c:tx>
      <c:layout/>
      <c:overlay val="0"/>
      <c:spPr>
        <a:noFill/>
        <a:ln>
          <a:noFill/>
        </a:ln>
      </c:spPr>
    </c:title>
    <c:autoTitleDeleted val="1"/>
    <c:plotArea>
      <c:layout/>
      <c:pieChart>
        <c:varyColors val="1"/>
        <c:ser>
          <c:idx val="0"/>
          <c:order val="0"/>
          <c:tx>
            <c:strRef>
              <c:f>'Sheet1 (6)'!$B$1</c:f>
              <c:strCache>
                <c:ptCount val="1"/>
                <c:pt idx="0">
                  <c:v>金额</c:v>
                </c:pt>
              </c:strCache>
            </c:strRef>
          </c:tx>
          <c:spPr>
            <a:solidFill>
              <a:srgbClr val="4F81BD"/>
            </a:solidFill>
            <a:ln>
              <a:noFill/>
            </a:ln>
          </c:spPr>
          <c:dPt>
            <c:idx val="0"/>
            <c:bubble3D val="0"/>
            <c:spPr>
              <a:solidFill>
                <a:srgbClr val="4874CB"/>
              </a:solidFill>
              <a:ln w="6350">
                <a:solidFill>
                  <a:srgbClr val="FFFFFF"/>
                </a:solidFill>
                <a:prstDash val="solid"/>
              </a:ln>
            </c:spPr>
          </c:dPt>
          <c:dPt>
            <c:idx val="1"/>
            <c:bubble3D val="0"/>
            <c:spPr>
              <a:solidFill>
                <a:srgbClr val="EE822F"/>
              </a:solidFill>
              <a:ln w="6350">
                <a:solidFill>
                  <a:srgbClr val="FFFFFF"/>
                </a:solidFill>
                <a:prstDash val="solid"/>
              </a:ln>
            </c:spPr>
          </c:dPt>
          <c:dPt>
            <c:idx val="2"/>
            <c:bubble3D val="0"/>
            <c:spPr>
              <a:solidFill>
                <a:srgbClr val="F2BA02"/>
              </a:solidFill>
              <a:ln w="6350">
                <a:solidFill>
                  <a:srgbClr val="FFFFFF"/>
                </a:solidFill>
                <a:prstDash val="solid"/>
              </a:ln>
            </c:spPr>
          </c:dPt>
          <c:dPt>
            <c:idx val="3"/>
            <c:bubble3D val="0"/>
            <c:spPr>
              <a:solidFill>
                <a:srgbClr val="75BD42"/>
              </a:solidFill>
              <a:ln w="6350">
                <a:solidFill>
                  <a:srgbClr val="FFFFFF"/>
                </a:solidFill>
                <a:prstDash val="solid"/>
              </a:ln>
            </c:spPr>
          </c:dPt>
          <c:dPt>
            <c:idx val="4"/>
            <c:bubble3D val="0"/>
            <c:spPr>
              <a:solidFill>
                <a:srgbClr val="30C0B4"/>
              </a:solidFill>
              <a:ln w="6350">
                <a:solidFill>
                  <a:srgbClr val="FFFFFF"/>
                </a:solidFill>
                <a:prstDash val="solid"/>
              </a:ln>
            </c:spPr>
          </c:dPt>
          <c:dPt>
            <c:idx val="5"/>
            <c:bubble3D val="0"/>
            <c:spPr>
              <a:solidFill>
                <a:srgbClr val="E54C5E"/>
              </a:solidFill>
              <a:ln w="6350">
                <a:solidFill>
                  <a:srgbClr val="FFFFFF"/>
                </a:solidFill>
                <a:prstDash val="solid"/>
              </a:ln>
            </c:spPr>
          </c:dPt>
          <c:dPt>
            <c:idx val="6"/>
            <c:bubble3D val="0"/>
            <c:spPr>
              <a:solidFill>
                <a:srgbClr val="254380"/>
              </a:solidFill>
              <a:ln w="6350">
                <a:solidFill>
                  <a:srgbClr val="FFFFFF"/>
                </a:solidFill>
                <a:prstDash val="solid"/>
              </a:ln>
            </c:spPr>
          </c:dPt>
          <c:dPt>
            <c:idx val="7"/>
            <c:bubble3D val="0"/>
            <c:spPr>
              <a:solidFill>
                <a:srgbClr val="9E4C0D"/>
              </a:solidFill>
              <a:ln w="6350">
                <a:solidFill>
                  <a:srgbClr val="FFFFFF"/>
                </a:solidFill>
                <a:prstDash val="solid"/>
              </a:ln>
            </c:spPr>
          </c:dPt>
          <c:dPt>
            <c:idx val="8"/>
            <c:bubble3D val="0"/>
            <c:spPr>
              <a:solidFill>
                <a:srgbClr val="917001"/>
              </a:solidFill>
              <a:ln w="6350">
                <a:solidFill>
                  <a:srgbClr val="FFFFFF"/>
                </a:solidFill>
                <a:prstDash val="solid"/>
              </a:ln>
            </c:spPr>
          </c:dPt>
          <c:dPt>
            <c:idx val="9"/>
            <c:bubble3D val="0"/>
            <c:spPr>
              <a:solidFill>
                <a:srgbClr val="467128"/>
              </a:solidFill>
              <a:ln w="6350">
                <a:solidFill>
                  <a:srgbClr val="FFFFFF"/>
                </a:solidFill>
                <a:prstDash val="solid"/>
              </a:ln>
            </c:spPr>
          </c:dPt>
          <c:dPt>
            <c:idx val="10"/>
            <c:bubble3D val="0"/>
            <c:spPr>
              <a:solidFill>
                <a:srgbClr val="1D736C"/>
              </a:solidFill>
              <a:ln w="6350">
                <a:solidFill>
                  <a:srgbClr val="FFFFFF"/>
                </a:solidFill>
                <a:prstDash val="solid"/>
              </a:ln>
            </c:spPr>
          </c:dPt>
          <c:dPt>
            <c:idx val="11"/>
            <c:bubble3D val="0"/>
            <c:spPr>
              <a:solidFill>
                <a:srgbClr val="A01727"/>
              </a:solidFill>
              <a:ln w="6350">
                <a:solidFill>
                  <a:srgbClr val="FFFFFF"/>
                </a:solidFill>
                <a:prstDash val="solid"/>
              </a:ln>
            </c:spPr>
          </c:dPt>
          <c:dPt>
            <c:idx val="12"/>
            <c:bubble3D val="0"/>
            <c:spPr>
              <a:solidFill>
                <a:srgbClr val="6D90D5"/>
              </a:solidFill>
              <a:ln w="6350">
                <a:solidFill>
                  <a:srgbClr val="FFFFFF"/>
                </a:solidFill>
                <a:prstDash val="solid"/>
              </a:ln>
            </c:spPr>
          </c:dPt>
          <c:dPt>
            <c:idx val="13"/>
            <c:bubble3D val="0"/>
            <c:spPr>
              <a:solidFill>
                <a:srgbClr val="F19B59"/>
              </a:solidFill>
              <a:ln w="6350">
                <a:solidFill>
                  <a:srgbClr val="FFFFFF"/>
                </a:solidFill>
                <a:prstDash val="solid"/>
              </a:ln>
            </c:spPr>
          </c:dPt>
          <c:dPt>
            <c:idx val="14"/>
            <c:bubble3D val="0"/>
            <c:spPr>
              <a:solidFill>
                <a:srgbClr val="FDCC2C"/>
              </a:solidFill>
              <a:ln w="6350">
                <a:solidFill>
                  <a:srgbClr val="FFFFFF"/>
                </a:solidFill>
                <a:prstDash val="solid"/>
              </a:ln>
            </c:spPr>
          </c:dPt>
          <c:dPt>
            <c:idx val="15"/>
            <c:bubble3D val="0"/>
            <c:spPr>
              <a:solidFill>
                <a:srgbClr val="91CA68"/>
              </a:solidFill>
              <a:ln w="6350">
                <a:solidFill>
                  <a:srgbClr val="FFFFFF"/>
                </a:solidFill>
                <a:prstDash val="solid"/>
              </a:ln>
            </c:spPr>
          </c:dPt>
          <c:dPt>
            <c:idx val="16"/>
            <c:bubble3D val="0"/>
            <c:spPr>
              <a:solidFill>
                <a:srgbClr val="52D4C9"/>
              </a:solidFill>
              <a:ln w="6350">
                <a:solidFill>
                  <a:srgbClr val="FFFFFF"/>
                </a:solidFill>
                <a:prstDash val="solid"/>
              </a:ln>
            </c:spPr>
          </c:dPt>
          <c:dPt>
            <c:idx val="17"/>
            <c:bubble3D val="0"/>
            <c:spPr>
              <a:solidFill>
                <a:srgbClr val="EA707E"/>
              </a:solidFill>
              <a:ln w="6350">
                <a:solidFill>
                  <a:srgbClr val="FFFFFF"/>
                </a:solidFill>
                <a:prstDash val="solid"/>
              </a:ln>
            </c:spPr>
          </c:dPt>
          <c:dPt>
            <c:idx val="18"/>
            <c:bubble3D val="0"/>
            <c:spPr>
              <a:solidFill>
                <a:srgbClr val="315AAB"/>
              </a:solidFill>
              <a:ln w="6350">
                <a:solidFill>
                  <a:srgbClr val="FFFFFF"/>
                </a:solidFill>
                <a:prstDash val="solid"/>
              </a:ln>
            </c:spPr>
          </c:dPt>
          <c:dPt>
            <c:idx val="19"/>
            <c:bubble3D val="0"/>
            <c:spPr>
              <a:solidFill>
                <a:srgbClr val="D36511"/>
              </a:solidFill>
              <a:ln w="6350">
                <a:solidFill>
                  <a:srgbClr val="FFFFFF"/>
                </a:solidFill>
                <a:prstDash val="solid"/>
              </a:ln>
            </c:spPr>
          </c:dPt>
          <c:dPt>
            <c:idx val="20"/>
            <c:bubble3D val="0"/>
            <c:spPr>
              <a:solidFill>
                <a:srgbClr val="C29502"/>
              </a:solidFill>
              <a:ln w="6350">
                <a:solidFill>
                  <a:srgbClr val="FFFFFF"/>
                </a:solidFill>
                <a:prstDash val="solid"/>
              </a:ln>
            </c:spPr>
          </c:dPt>
          <c:dPt>
            <c:idx val="21"/>
            <c:bubble3D val="0"/>
            <c:spPr>
              <a:solidFill>
                <a:srgbClr val="5E9735"/>
              </a:solidFill>
              <a:ln w="6350">
                <a:solidFill>
                  <a:srgbClr val="FFFFFF"/>
                </a:solidFill>
                <a:prstDash val="solid"/>
              </a:ln>
            </c:spPr>
          </c:dPt>
          <c:dPt>
            <c:idx val="22"/>
            <c:bubble3D val="0"/>
            <c:spPr>
              <a:solidFill>
                <a:srgbClr val="269A90"/>
              </a:solidFill>
              <a:ln w="6350">
                <a:solidFill>
                  <a:srgbClr val="FFFFFF"/>
                </a:solidFill>
                <a:prstDash val="solid"/>
              </a:ln>
            </c:spPr>
          </c:dPt>
          <c:dPt>
            <c:idx val="23"/>
            <c:bubble3D val="0"/>
            <c:spPr>
              <a:solidFill>
                <a:srgbClr val="D51F34"/>
              </a:solidFill>
              <a:ln w="6350">
                <a:solidFill>
                  <a:srgbClr val="FFFFFF"/>
                </a:solidFill>
                <a:prstDash val="solid"/>
              </a:ln>
            </c:spPr>
          </c:dPt>
          <c:dPt>
            <c:idx val="24"/>
            <c:bubble3D val="0"/>
            <c:spPr>
              <a:solidFill>
                <a:srgbClr val="91ACE0"/>
              </a:solidFill>
              <a:ln w="6350">
                <a:solidFill>
                  <a:srgbClr val="FFFFFF"/>
                </a:solidFill>
                <a:prstDash val="solid"/>
              </a:ln>
            </c:spPr>
          </c:dPt>
          <c:dPt>
            <c:idx val="25"/>
            <c:bubble3D val="0"/>
            <c:spPr>
              <a:solidFill>
                <a:srgbClr val="F5B482"/>
              </a:solidFill>
              <a:ln w="6350">
                <a:solidFill>
                  <a:srgbClr val="FFFFFF"/>
                </a:solidFill>
                <a:prstDash val="solid"/>
              </a:ln>
            </c:spPr>
          </c:dPt>
          <c:dLbls>
            <c:dLbl>
              <c:idx val="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6"/>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7"/>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8"/>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9"/>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6"/>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7"/>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8"/>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19"/>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0"/>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1"/>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2"/>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3"/>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4"/>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dLbl>
              <c:idx val="25"/>
              <c:spPr>
                <a:noFill/>
                <a:ln>
                  <a:noFill/>
                </a:ln>
              </c:spPr>
              <c:txPr>
                <a:bodyPr vert="horz"/>
                <a:lstStyle/>
                <a:p>
                  <a:pPr>
                    <a:defRPr sz="1000" b="0" i="0" u="none" strike="noStrike" baseline="0">
                      <a:solidFill>
                        <a:srgbClr val="000000"/>
                      </a:solidFill>
                      <a:latin typeface="Times New Roman"/>
                      <a:ea typeface="宋体"/>
                      <a:cs typeface="Arial"/>
                    </a:defRPr>
                  </a:pPr>
                  <a:endParaRPr lang="zh-CN"/>
                </a:p>
              </c:txPr>
              <c:delete val="1"/>
            </c:dLbl>
            <c:showLegendKey val="0"/>
            <c:showVal val="0"/>
            <c:showCatName val="0"/>
            <c:showSerName val="0"/>
            <c:showPercent val="0"/>
            <c:showBubbleSize val="0"/>
            <c:showLeaderLines val="0"/>
          </c:dLbls>
          <c:cat>
            <c:strRef>
              <c:f>'Sheet1 (6)'!$A$2:$A$27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 (6)'!$B$2:$B$27</c:f>
              <c:numCache>
                <c:formatCode>General</c:formatCode>
                <c:ptCount val="26"/>
                <c:pt idx="0">
                  <c:v>1313.28</c:v>
                </c:pt>
                <c:pt idx="1">
                  <c:v>0.0</c:v>
                </c:pt>
                <c:pt idx="2">
                  <c:v>0.0</c:v>
                </c:pt>
                <c:pt idx="3">
                  <c:v>0.0</c:v>
                </c:pt>
                <c:pt idx="4">
                  <c:v>0.0</c:v>
                </c:pt>
                <c:pt idx="5">
                  <c:v>1310.05</c:v>
                </c:pt>
                <c:pt idx="6">
                  <c:v>0.0</c:v>
                </c:pt>
                <c:pt idx="7">
                  <c:v>58.5</c:v>
                </c:pt>
                <c:pt idx="8">
                  <c:v>27.14</c:v>
                </c:pt>
                <c:pt idx="9">
                  <c:v>3808.59</c:v>
                </c:pt>
                <c:pt idx="10">
                  <c:v>362.9</c:v>
                </c:pt>
                <c:pt idx="11">
                  <c:v>4266.82</c:v>
                </c:pt>
                <c:pt idx="12">
                  <c:v>0.0</c:v>
                </c:pt>
                <c:pt idx="13">
                  <c:v>0.0</c:v>
                </c:pt>
                <c:pt idx="14">
                  <c:v>0.0</c:v>
                </c:pt>
                <c:pt idx="15">
                  <c:v>0.0</c:v>
                </c:pt>
                <c:pt idx="16">
                  <c:v>0.0</c:v>
                </c:pt>
                <c:pt idx="17">
                  <c:v>0.0</c:v>
                </c:pt>
                <c:pt idx="18">
                  <c:v>46.48</c:v>
                </c:pt>
                <c:pt idx="19">
                  <c:v>174.26</c:v>
                </c:pt>
                <c:pt idx="20">
                  <c:v>0.0</c:v>
                </c:pt>
                <c:pt idx="21">
                  <c:v>0.0</c:v>
                </c:pt>
                <c:pt idx="22">
                  <c:v>1900.0</c:v>
                </c:pt>
                <c:pt idx="23">
                  <c:v>0.0</c:v>
                </c:pt>
                <c:pt idx="24">
                  <c:v>0.0</c:v>
                </c:pt>
                <c:pt idx="25">
                  <c:v>0.0</c:v>
                </c:pt>
              </c:numCache>
            </c:numRef>
          </c:val>
        </c:ser>
        <c:firstSliceAng val="0"/>
      </c:pieChart>
      <c:spPr>
        <a:noFill/>
        <a:ln>
          <a:noFill/>
        </a:ln>
      </c:spPr>
    </c:plotArea>
    <c:legend>
      <c:legendPos val="r"/>
      <c:layout/>
      <c:overlay val="0"/>
      <c:spPr>
        <a:noFill/>
        <a:ln>
          <a:noFill/>
        </a:ln>
      </c:spPr>
      <c:txPr>
        <a:bodyPr/>
        <a:lstStyle/>
        <a:p>
          <a:pPr>
            <a:defRPr sz="900" b="0" i="0" u="none" strike="noStrike" baseline="0">
              <a:solidFill>
                <a:srgbClr val="595959"/>
              </a:solidFill>
              <a:latin typeface="Times New Roman"/>
              <a:ea typeface="宋体"/>
              <a:cs typeface="Arial"/>
            </a:defRPr>
          </a:pPr>
          <a:endParaRPr lang="zh-CN"/>
        </a:p>
      </c:txPr>
    </c:legend>
    <c:plotVisOnly val="1"/>
    <c:dispBlanksAs val="gap"/>
    <c:showDLblsOverMax val="0"/>
  </c:chart>
  <c:spPr>
    <a:solidFill>
      <a:srgbClr val="FFFFFF"/>
    </a:solidFill>
    <a:ln w="6350">
      <a:solidFill>
        <a:srgbClr val="D9D9D9"/>
      </a:solidFill>
      <a:prstDash val="solid"/>
    </a:ln>
  </c:spPr>
  <c:txPr>
    <a:bodyPr/>
    <a:lstStyle/>
    <a:p>
      <a:pPr>
        <a:defRPr sz="1000" b="0" i="0" u="none" strike="noStrike" baseline="0">
          <a:solidFill>
            <a:srgbClr val="000000"/>
          </a:solidFill>
          <a:latin typeface="Times New Roman"/>
          <a:ea typeface="宋体"/>
          <a:cs typeface="Arial"/>
        </a:defRPr>
      </a:pPr>
      <a:endParaRPr lang="zh-CN"/>
    </a:p>
  </c:txPr>
  <c:printSettings>
    <c:headerFooter/>
    <c:pageMargins b="0.75" l="0.7" r="0.7" t="0.75" header="0.3" footer="0.3"/>
    <c:pageSetup/>
  </c:printSettings>
  <c:externalData r:id="rId1">
    <c:autoUpdate val="0"/>
  </c:externalData>
</c:chartSpac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customProps>
</customData>
</file>

<file path=customXml/itemProps1.xml><?xml version="1.0" encoding="utf-8"?>
<ds:datastoreItem xmlns:ds="http://schemas.openxmlformats.org/officeDocument/2006/customXml" ds:itemID="{F56D43A6-E114-4430-A99F-021DA4C74D6C}">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48</TotalTime>
  <Application>Yozo_Office27021597764231179</Application>
  <Pages>52</Pages>
  <Words>0</Words>
  <Characters>15014</Characters>
  <Lines>0</Lines>
  <Paragraphs>227</Paragraphs>
  <CharactersWithSpaces>20019</CharactersWithSpaces>
  <Company>神州网信技术有限公司</Company>
</Properties>
</file>

<file path=docProps/core.xml><?xml version="1.0" encoding="utf-8"?>
<cp:coreProperties xmlns:cp="http://schemas.openxmlformats.org/package/2006/metadata/core-properties" xmlns:dc="http://purl.org/dc/elements/1.1/" xmlns:dcterms="http://purl.org/dc/terms/" xmlns:xsi="http://www.w3.org/2001/XMLSchema-instance">
  <dc:creator>王明新TIAD</dc:creator>
  <cp:lastModifiedBy>pc</cp:lastModifiedBy>
  <cp:revision>15</cp:revision>
  <cp:lastPrinted>2023-08-04T01:00:00Z</cp:lastPrinted>
  <dcterms:created xsi:type="dcterms:W3CDTF">2023-08-04T07:55:00Z</dcterms:created>
  <dcterms:modified xsi:type="dcterms:W3CDTF">2025-09-28T06:18:15Z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2052-12.1.0.22529</vt:lpwstr>
  </property>
  <property fmtid="{D5CDD505-2E9C-101B-9397-08002B2CF9AE}" pid="3" name="ICV">
    <vt:lpwstr>D3A158132CC1480C9BE1D41399DF3DC6_13</vt:lpwstr>
  </property>
  <property fmtid="{D5CDD505-2E9C-101B-9397-08002B2CF9AE}" pid="4" name="KSOTemplateUUID">
    <vt:lpwstr>v1.0_mb_S7ajbG3IpAnL1wSthNCxfw==</vt:lpwstr>
  </property>
  <property fmtid="{D5CDD505-2E9C-101B-9397-08002B2CF9AE}" pid="5" name="KSOTemplateDocerSaveRecord">
    <vt:lpwstr>eyJoZGlkIjoiMGQ0OWQ1ZTg4Nzg0YTExMjhjMTAzZjc5ZDZkNDU2NzUiLCJ1c2VySWQiOiI3MDk0Njk2MjEifQ==</vt:lpwstr>
  </property>
</Properties>
</file>