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xlsx" ContentType="application/vnd.openxmlformats-officedocument.spreadsheetml.sheet"/>
  <Default Extension="png" ContentType="image/png"/>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line="600" w:lineRule="auto"/>
        <w:jc w:val="both"/>
        <w:rPr>
          <w:rFonts w:ascii="楷体_GB2312" w:eastAsia="楷体_GB2312" w:cs="楷体_GB2312" w:hAnsi="楷体_GB2312" w:hint="eastAsia"/>
          <w:color w:val="000000"/>
          <w:sz w:val="40"/>
          <w:szCs w:val="40"/>
        </w:rPr>
      </w:pPr>
      <w:r>
        <w:drawing>
          <wp:anchor distT="0" distB="0" distL="114300" distR="114300" simplePos="0" relativeHeight="2" behindDoc="1" locked="0" layoutInCell="1" hidden="0" allowOverlap="1">
            <wp:simplePos x="0" y="0"/>
            <wp:positionH relativeFrom="column">
              <wp:posOffset>-1692910</wp:posOffset>
            </wp:positionH>
            <wp:positionV relativeFrom="paragraph">
              <wp:posOffset>-1319530</wp:posOffset>
            </wp:positionV>
            <wp:extent cx="8646795" cy="11107419"/>
            <wp:effectExtent l="0" t="0" r="0" b="0"/>
            <wp:wrapNone/>
            <wp:docPr id="1" name="图片 15" descr="7b0a202020202266696c746572223a202230220a7d0a"/>
            <wp:cNvGraphicFramePr>
              <a:graphicFrameLocks noChangeAspect="0"/>
            </wp:cNvGraphicFramePr>
            <a:graphic>
              <a:graphicData uri="http://schemas.openxmlformats.org/drawingml/2006/picture">
                <pic:pic>
                  <pic:nvPicPr>
                    <pic:cNvPr id="3" name="图片 15 3"/>
                    <pic:cNvPicPr/>
                  </pic:nvPicPr>
                  <pic:blipFill>
                    <a:blip r:embed="rId3">
                      <a:lum bright="5999"/>
                    </a:blip>
                    <a:srcRect t="559" b="3637"/>
                    <a:stretch>
                      <a:fillRect/>
                    </a:stretch>
                  </pic:blipFill>
                  <pic:spPr>
                    <a:xfrm rot="0">
                      <a:off x="0" y="0"/>
                      <a:ext cx="8646795" cy="11107419"/>
                    </a:xfrm>
                    <a:prstGeom prst="rect"/>
                    <a:noFill/>
                    <a:ln w="9525" cmpd="sng" cap="flat">
                      <a:noFill/>
                      <a:prstDash val="solid"/>
                      <a:miter/>
                    </a:ln>
                  </pic:spPr>
                </pic:pic>
              </a:graphicData>
            </a:graphic>
          </wp:anchor>
        </w:drawing>
      </w:r>
      <w:r>
        <mc:AlternateContent>
          <mc:Choice Requires="wps">
            <w:drawing>
              <wp:anchor distT="0" distB="0" distL="114298" distR="114298" simplePos="0" relativeHeight="61" behindDoc="0" locked="0" layoutInCell="1" hidden="0" allowOverlap="1">
                <wp:simplePos x="0" y="0"/>
                <wp:positionH relativeFrom="column">
                  <wp:posOffset>-546735</wp:posOffset>
                </wp:positionH>
                <wp:positionV relativeFrom="paragraph">
                  <wp:posOffset>253365</wp:posOffset>
                </wp:positionV>
                <wp:extent cx="6431279" cy="2862579"/>
                <wp:effectExtent l="0" t="0" r="0" b="0"/>
                <wp:wrapNone/>
                <wp:docPr id="4" name="文本框 1" descr="7b0a2020202022776f7264617274223a20227b5c2269645c223a32353030323136362c5c227469645c223a5c225c227d220a7d0a"/>
                <wp:cNvGraphicFramePr>
                  <a:graphicFrameLocks noChangeAspect="0"/>
                </wp:cNvGraphicFramePr>
                <a:graphic>
                  <a:graphicData uri="http://schemas.microsoft.com/office/word/2010/wordprocessingShape">
                    <wps:wsp>
                      <wps:cNvSpPr/>
                      <wps:spPr>
                        <a:xfrm rot="0">
                          <a:off x="0" y="0"/>
                          <a:ext cx="6431279" cy="2862579"/>
                        </a:xfrm>
                        <a:prstGeom prst="rect"/>
                        <a:noFill/>
                        <a:ln w="9525" cmpd="sng" cap="flat">
                          <a:noFill/>
                          <a:prstDash val="solid"/>
                          <a:round/>
                        </a:ln>
                      </wps:spPr>
                      <wps:txbx id="5">
                        <w:txbxContent>
                          <w:p>
                            <w:pPr>
                              <w:spacing w:line="1400" w:lineRule="exact"/>
                              <w:jc w:val="left"/>
                              <w:rPr>
                                <w:rFonts w:ascii="方正小标宋_GBK" w:eastAsia="方正小标宋_GBK" w:cs="方正小标宋_GBK" w:hAnsi="方正小标宋_GBK"/>
                                <w:b/>
                                <w:bCs/>
                                <w:color w:val="0D0D0D"/>
                                <w:sz w:val="112"/>
                                <w:szCs w:val="112"/>
                              </w:rPr>
                            </w:pPr>
                            <w:r>
                              <w:rPr>
                                <w:rFonts w:ascii="方正小标宋_GBK" w:eastAsia="方正小标宋_GBK" w:cs="方正小标宋_GBK" w:hAnsi="方正小标宋_GBK" w:hint="eastAsia"/>
                                <w:b/>
                                <w:bCs/>
                                <w:color w:val="0D0D0D"/>
                                <w:sz w:val="112"/>
                                <w:szCs w:val="112"/>
                              </w:rPr>
                              <w:t>2024年度</w:t>
                            </w:r>
                          </w:p>
                          <w:p>
                            <w:pPr>
                              <w:spacing w:line="1400" w:lineRule="exact"/>
                              <w:jc w:val="left"/>
                              <w:rPr>
                                <w:rFonts w:ascii="方正小标宋_GBK" w:eastAsia="方正小标宋_GBK" w:cs="方正小标宋_GBK" w:hAnsi="方正小标宋_GBK"/>
                                <w:b/>
                                <w:bCs/>
                                <w:color w:val="0D0D0D"/>
                                <w:sz w:val="112"/>
                                <w:szCs w:val="112"/>
                              </w:rPr>
                            </w:pPr>
                            <w:r>
                              <w:rPr>
                                <w:rFonts w:ascii="方正小标宋_GBK" w:eastAsia="方正小标宋_GBK" w:cs="方正小标宋_GBK" w:hAnsi="方正小标宋_GBK" w:hint="eastAsia"/>
                                <w:b/>
                                <w:bCs/>
                                <w:color w:val="0D0D0D"/>
                                <w:sz w:val="112"/>
                                <w:szCs w:val="112"/>
                              </w:rPr>
                              <w:t>部门决算公开文本</w:t>
                            </w:r>
                          </w:p>
                        </w:txbxContent>
                      </wps:txbx>
                      <wps:bodyPr vert="horz" wrap="square" lIns="91440" tIns="45720" rIns="91440" bIns="45720" anchor="t" anchorCtr="0" upright="0">
                        <a:noAutofit/>
                      </wps:bodyPr>
                    </wps:wsp>
                  </a:graphicData>
                </a:graphic>
              </wp:anchor>
            </w:drawing>
          </mc:Choice>
          <mc:Fallback>
            <w:pict>
              <v:rect type="#_x0000_t1" id="文本框 1 6" o:spid="_x0000_s6" filled="f" stroked="f" alt="7b0a2020202022776f7264617274223a20227b5c2269645c223a32353030323136362c5c227469645c223a5c225c227d220a7d0a" style="position:absolute;margin-left:-43.05pt;margin-top:19.95pt;width:506.4pt;height:225.4pt;z-index:61;mso-position-horizontal:absolute;mso-position-vertical:absolute;mso-wrap-distance-left:8.999863pt;mso-wrap-distance-right:8.999863pt;mso-wrap-style:square;">
                <v:stroke color="#000000"/>
                <v:textbox id="865" inset="2.54mm,1.27mm,2.54mm,1.27mm" o:insetmode="custom" style="layout-flow:horizontal;v-text-anchor:top;">
                  <w:txbxContent>
                    <w:p>
                      <w:pPr>
                        <w:spacing w:line="1400" w:lineRule="exact"/>
                        <w:jc w:val="left"/>
                        <w:rPr>
                          <w:rFonts w:ascii="方正小标宋_GBK" w:eastAsia="方正小标宋_GBK" w:cs="方正小标宋_GBK" w:hAnsi="方正小标宋_GBK"/>
                          <w:b/>
                          <w:bCs/>
                          <w:color w:val="0D0D0D"/>
                          <w:sz w:val="112"/>
                          <w:szCs w:val="112"/>
                        </w:rPr>
                      </w:pPr>
                      <w:r>
                        <w:rPr>
                          <w:rFonts w:ascii="方正小标宋_GBK" w:eastAsia="方正小标宋_GBK" w:cs="方正小标宋_GBK" w:hAnsi="方正小标宋_GBK" w:hint="eastAsia"/>
                          <w:b/>
                          <w:bCs/>
                          <w:color w:val="0D0D0D"/>
                          <w:sz w:val="112"/>
                          <w:szCs w:val="112"/>
                        </w:rPr>
                        <w:t>2024年度</w:t>
                      </w:r>
                    </w:p>
                    <w:p>
                      <w:pPr>
                        <w:spacing w:line="1400" w:lineRule="exact"/>
                        <w:jc w:val="left"/>
                        <w:rPr>
                          <w:rFonts w:ascii="方正小标宋_GBK" w:eastAsia="方正小标宋_GBK" w:cs="方正小标宋_GBK" w:hAnsi="方正小标宋_GBK"/>
                          <w:b/>
                          <w:bCs/>
                          <w:color w:val="0D0D0D"/>
                          <w:sz w:val="112"/>
                          <w:szCs w:val="112"/>
                        </w:rPr>
                      </w:pPr>
                      <w:r>
                        <w:rPr>
                          <w:rFonts w:ascii="方正小标宋_GBK" w:eastAsia="方正小标宋_GBK" w:cs="方正小标宋_GBK" w:hAnsi="方正小标宋_GBK" w:hint="eastAsia"/>
                          <w:b/>
                          <w:bCs/>
                          <w:color w:val="0D0D0D"/>
                          <w:sz w:val="112"/>
                          <w:szCs w:val="112"/>
                        </w:rPr>
                        <w:t>部门决算公开文本</w:t>
                      </w:r>
                    </w:p>
                  </w:txbxContent>
                </v:textbox>
              </v:rect>
            </w:pict>
          </mc:Fallback>
        </mc:AlternateContent>
      </w: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left"/>
        <w:rPr>
          <w:rFonts w:ascii="楷体_GB2312" w:eastAsia="楷体_GB2312" w:cs="楷体_GB2312" w:hAnsi="楷体_GB2312" w:hint="eastAsia"/>
          <w:color w:val="000000"/>
          <w:sz w:val="40"/>
          <w:szCs w:val="40"/>
          <w:lang w:val="en-US" w:eastAsia="zh-CN"/>
        </w:rPr>
      </w:pPr>
      <w:r>
        <w:rPr>
          <w:rFonts w:ascii="黑体" w:eastAsia="黑体" w:cs="黑体" w:hAnsi="黑体" w:hint="eastAsia"/>
          <w:color w:val="000000"/>
          <w:sz w:val="40"/>
          <w:szCs w:val="40"/>
        </w:rPr>
        <w:t>预算代码</w:t>
      </w:r>
      <w:r>
        <w:rPr>
          <w:rFonts w:ascii="楷体_GB2312" w:eastAsia="楷体_GB2312" w:cs="楷体_GB2312" w:hAnsi="楷体_GB2312" w:hint="eastAsia"/>
          <w:color w:val="000000"/>
          <w:sz w:val="40"/>
          <w:szCs w:val="40"/>
        </w:rPr>
        <w:t>：</w:t>
      </w:r>
      <w:r>
        <w:rPr>
          <w:rFonts w:ascii="楷体_GB2312" w:eastAsia="楷体_GB2312" w:cs="楷体_GB2312" w:hAnsi="楷体_GB2312" w:hint="eastAsia"/>
          <w:color w:val="000000"/>
          <w:sz w:val="40"/>
          <w:szCs w:val="40"/>
          <w:lang w:val="en-US" w:eastAsia="zh-CN"/>
        </w:rPr>
        <w:t>303001</w:t>
      </w:r>
    </w:p>
    <w:p>
      <w:pPr>
        <w:spacing w:line="600" w:lineRule="auto"/>
        <w:jc w:val="left"/>
        <w:rPr>
          <w:rFonts w:ascii="楷体_GB2312" w:eastAsia="楷体_GB2312" w:cs="楷体_GB2312" w:hAnsi="楷体_GB2312" w:hint="eastAsia"/>
          <w:color w:val="000000"/>
          <w:sz w:val="40"/>
          <w:szCs w:val="40"/>
        </w:rPr>
      </w:pPr>
      <w:r>
        <w:rPr>
          <w:rFonts w:ascii="黑体" w:eastAsia="黑体" w:cs="黑体" w:hAnsi="黑体" w:hint="eastAsia"/>
          <w:color w:val="000000"/>
          <w:sz w:val="40"/>
          <w:szCs w:val="40"/>
        </w:rPr>
        <w:t>单位名称</w:t>
      </w:r>
      <w:r>
        <w:rPr>
          <w:rFonts w:ascii="楷体_GB2312" w:eastAsia="楷体_GB2312" w:cs="楷体_GB2312" w:hAnsi="楷体_GB2312" w:hint="eastAsia"/>
          <w:color w:val="000000"/>
          <w:sz w:val="40"/>
          <w:szCs w:val="40"/>
        </w:rPr>
        <w:t>：行唐县发展和改革局（本级）</w:t>
      </w:r>
    </w:p>
    <w:p>
      <w:pPr>
        <w:spacing w:line="600" w:lineRule="auto"/>
        <w:jc w:val="both"/>
        <w:rPr>
          <w:rFonts w:ascii="楷体_GB2312" w:eastAsia="楷体_GB2312" w:cs="楷体_GB2312" w:hAnsi="楷体_GB2312" w:hint="eastAsia"/>
          <w:color w:val="000000"/>
          <w:sz w:val="40"/>
          <w:szCs w:val="40"/>
        </w:rPr>
        <w:sectPr>
          <w:footerReference w:type="default" r:id="rId2"/>
          <w:pgSz w:w="11906" w:h="16838"/>
          <w:pgMar w:top="2098" w:right="1417" w:bottom="1871" w:left="1417" w:header="851" w:footer="992" w:gutter="0"/>
          <w:docGrid w:type="lines" w:linePitch="312" w:charSpace="0"/>
        </w:sectPr>
      </w:pPr>
    </w:p>
    <w:p>
      <w:pPr>
        <w:spacing w:line="600" w:lineRule="auto"/>
        <w:jc w:val="center"/>
        <w:rPr>
          <w:rFonts w:ascii="楷体_GB2312" w:eastAsia="楷体_GB2312" w:cs="楷体_GB2312" w:hAnsi="楷体_GB2312" w:hint="eastAsia"/>
          <w:color w:val="000000"/>
          <w:sz w:val="40"/>
          <w:szCs w:val="40"/>
        </w:rPr>
      </w:pPr>
    </w:p>
    <w:p>
      <w:pPr>
        <w:rPr>
          <w:rFonts w:ascii="黑体" w:eastAsia="黑体" w:cs="黑体" w:hAnsi="黑体" w:hint="eastAsia"/>
          <w:b/>
          <w:bCs/>
          <w:sz w:val="32"/>
          <w:szCs w:val="36"/>
          <w:highlight w:val="yellow"/>
        </w:rPr>
      </w:pPr>
    </w:p>
    <w:p>
      <w:pPr>
        <w:widowControl/>
        <w:spacing w:before="0" w:beforeAutospacing="0" w:after="0" w:afterAutospacing="0" w:line="360" w:lineRule="auto"/>
        <w:jc w:val="center"/>
        <w:rPr>
          <w:rFonts w:ascii="Times New Roman" w:eastAsia="方正小标宋_GBK" w:hAnsi="Times New Roman"/>
          <w:b w:val="0"/>
          <w:sz w:val="72"/>
          <w:szCs w:val="72"/>
        </w:rPr>
      </w:pPr>
      <w:r>
        <w:rPr>
          <w:rFonts w:ascii="Times New Roman" w:eastAsia="方正小标宋_GBK" w:hAnsi="Times New Roman"/>
          <w:b w:val="0"/>
          <w:sz w:val="72"/>
          <w:szCs w:val="72"/>
        </w:rPr>
        <w:t>行唐县发展和改革局</w:t>
      </w:r>
    </w:p>
    <w:p>
      <w:pPr>
        <w:widowControl/>
        <w:spacing w:before="0" w:beforeAutospacing="0" w:after="0" w:afterAutospacing="0" w:line="360" w:lineRule="auto"/>
        <w:jc w:val="center"/>
        <w:rPr>
          <w:rFonts w:ascii="Times New Roman" w:eastAsia="方正小标宋_GBK" w:hAnsi="Times New Roman"/>
          <w:sz w:val="72"/>
          <w:szCs w:val="72"/>
        </w:rPr>
      </w:pPr>
      <w:r>
        <w:rPr>
          <w:rFonts w:ascii="Times New Roman" w:eastAsia="方正小标宋_GBK" w:hAnsi="Times New Roman"/>
          <w:b w:val="0"/>
          <w:sz w:val="72"/>
          <w:szCs w:val="72"/>
        </w:rPr>
        <w:t>（本级）</w:t>
      </w:r>
    </w:p>
    <w:p>
      <w:pPr>
        <w:widowControl/>
        <w:spacing w:before="0" w:beforeAutospacing="0" w:after="0" w:afterAutospacing="0" w:line="360" w:lineRule="auto"/>
        <w:jc w:val="center"/>
        <w:rPr>
          <w:rFonts w:ascii="Times New Roman" w:eastAsia="方正小标宋_GBK" w:hAnsi="Times New Roman"/>
          <w:sz w:val="72"/>
          <w:szCs w:val="72"/>
        </w:rPr>
      </w:pPr>
      <w:r>
        <w:rPr>
          <w:rFonts w:ascii="Times New Roman" w:eastAsia="仿宋_GB2312" w:hAnsi="Times New Roman"/>
          <w:b w:val="0"/>
          <w:sz w:val="72"/>
          <w:szCs w:val="72"/>
        </w:rPr>
        <w:t>2024</w:t>
      </w:r>
      <w:r>
        <w:rPr>
          <w:rFonts w:ascii="Times New Roman" w:eastAsia="方正小标宋_GBK" w:hAnsi="Times New Roman"/>
          <w:b w:val="0"/>
          <w:sz w:val="72"/>
          <w:szCs w:val="72"/>
        </w:rPr>
        <w:t>年度部门决算公开文本</w:t>
      </w:r>
    </w:p>
    <w:p>
      <w:pPr>
        <w:spacing w:line="360" w:lineRule="auto"/>
        <w:jc w:val="center"/>
        <w:rPr>
          <w:rFonts w:ascii="黑体" w:eastAsia="黑体" w:cs="黑体" w:hAnsi="黑体"/>
          <w:sz w:val="56"/>
          <w:szCs w:val="72"/>
        </w:rPr>
      </w:pPr>
    </w:p>
    <w:p>
      <w:pPr>
        <w:spacing w:line="600" w:lineRule="auto"/>
        <w:jc w:val="center"/>
        <w:rPr>
          <w:rFonts w:ascii="黑体" w:eastAsia="黑体" w:cs="黑体" w:hAnsi="黑体"/>
          <w:sz w:val="56"/>
          <w:szCs w:val="72"/>
        </w:rPr>
      </w:pPr>
    </w:p>
    <w:p>
      <w:pPr>
        <w:spacing w:line="600" w:lineRule="auto"/>
        <w:jc w:val="center"/>
        <w:rPr>
          <w:rFonts w:ascii="黑体" w:eastAsia="黑体" w:cs="黑体" w:hAnsi="黑体"/>
          <w:sz w:val="56"/>
          <w:szCs w:val="72"/>
        </w:rPr>
      </w:pPr>
    </w:p>
    <w:p>
      <w:pPr>
        <w:spacing w:line="600" w:lineRule="auto"/>
        <w:jc w:val="center"/>
        <w:rPr>
          <w:rFonts w:ascii="黑体" w:eastAsia="黑体" w:cs="黑体" w:hAnsi="黑体"/>
          <w:sz w:val="56"/>
          <w:szCs w:val="72"/>
        </w:rPr>
      </w:pPr>
    </w:p>
    <w:p>
      <w:pPr>
        <w:spacing w:line="480" w:lineRule="auto"/>
        <w:jc w:val="both"/>
        <w:rPr>
          <w:rFonts w:ascii="黑体" w:eastAsia="黑体" w:cs="黑体" w:hAnsi="黑体"/>
          <w:sz w:val="56"/>
          <w:szCs w:val="72"/>
        </w:rPr>
      </w:pPr>
    </w:p>
    <w:p>
      <w:pPr>
        <w:widowControl/>
        <w:spacing w:before="0" w:beforeAutospacing="0" w:after="0" w:afterAutospacing="0" w:line="360" w:lineRule="auto"/>
        <w:jc w:val="center"/>
        <w:rPr>
          <w:rFonts w:ascii="Times New Roman" w:eastAsia="楷体_GB2312" w:hAnsi="Times New Roman"/>
          <w:b w:val="0"/>
          <w:sz w:val="44"/>
          <w:szCs w:val="44"/>
        </w:rPr>
      </w:pPr>
      <w:r>
        <w:rPr>
          <w:rFonts w:ascii="Times New Roman" w:eastAsia="楷体_GB2312" w:hAnsi="Times New Roman"/>
          <w:b w:val="0"/>
          <w:sz w:val="44"/>
          <w:szCs w:val="44"/>
        </w:rPr>
        <w:t>行唐县发展和改革局（本级）</w:t>
      </w:r>
    </w:p>
    <w:p>
      <w:pPr>
        <w:widowControl/>
        <w:spacing w:before="0" w:beforeAutospacing="0" w:after="0" w:afterAutospacing="0" w:line="360" w:lineRule="auto"/>
        <w:jc w:val="center"/>
        <w:rPr>
          <w:rFonts w:ascii="Times New Roman" w:eastAsia="楷体_GB2312" w:hAnsi="Times New Roman"/>
          <w:sz w:val="44"/>
          <w:szCs w:val="44"/>
        </w:rPr>
      </w:pPr>
      <w:r>
        <w:rPr>
          <w:rFonts w:ascii="Times New Roman" w:eastAsia="楷体_GB2312" w:hAnsi="Times New Roman"/>
          <w:b w:val="0"/>
          <w:sz w:val="44"/>
          <w:szCs w:val="44"/>
        </w:rPr>
        <w:t>二〇二五年八月</w:t>
      </w:r>
    </w:p>
    <w:p>
      <w:pPr>
        <w:snapToGrid w:val="0"/>
        <w:jc w:val="left"/>
        <w:rPr>
          <w:rFonts w:ascii="楷体_GB2312" w:eastAsia="楷体_GB2312" w:cs="楷体_GB2312" w:hAnsi="楷体_GB2312" w:hint="eastAsia"/>
          <w:color w:val="000000"/>
          <w:kern w:val="0"/>
          <w:sz w:val="44"/>
          <w:szCs w:val="44"/>
          <w14:shadow w14:sx="100000" w14:sy="100000" w14:blurRad="38100" w14:dir="2700000" w14:dist="19050" w14:algn="tl">
            <w14:srgbClr w14:val="000000">
              <w14:alpha w14:val="60000"/>
            </w14:srgbClr>
          </w14:shadow>
          <w:lang w:val="en-US" w:eastAsia="zh-CN"/>
        </w:rPr>
      </w:pPr>
    </w:p>
    <w:p>
      <w:pPr>
        <w:snapToGrid w:val="0"/>
        <w:jc w:val="left"/>
        <w:rPr>
          <w:rFonts w:ascii="楷体_GB2312" w:eastAsia="楷体_GB2312" w:cs="楷体_GB2312" w:hAnsi="楷体_GB2312"/>
          <w:color w:val="000000"/>
          <w:kern w:val="0"/>
          <w:sz w:val="44"/>
          <w:szCs w:val="44"/>
          <w14:shadow w14:sx="100000" w14:sy="100000" w14:blurRad="38100" w14:dir="2700000" w14:dist="19050" w14:algn="tl">
            <w14:srgbClr w14:val="000000">
              <w14:alpha w14:val="60000"/>
            </w14:srgbClr>
          </w14:shadow>
          <w:lang w:val="en-US" w:eastAsia="zh-CN"/>
        </w:rPr>
        <w:sectPr>
          <w:footerReference w:type="default" r:id="rId4"/>
          <w:pgSz w:w="11906" w:h="16838"/>
          <w:pgMar w:top="1531" w:right="1984" w:bottom="1531" w:left="2098" w:header="851" w:footer="992" w:gutter="0"/>
          <w:pgNumType w:start="1"/>
          <w:docGrid w:type="lines" w:linePitch="312" w:charSpace="0"/>
        </w:sectPr>
      </w:pPr>
    </w:p>
    <w:p>
      <w:pPr>
        <w:widowControl/>
        <w:spacing w:line="600" w:lineRule="exact"/>
        <w:jc w:val="left"/>
        <w:rPr>
          <w:rFonts w:ascii="黑体" w:eastAsia="黑体" w:cs="黑体" w:hAnsi="黑体"/>
          <w:bCs/>
          <w:sz w:val="32"/>
          <w:szCs w:val="32"/>
        </w:rPr>
      </w:pPr>
    </w:p>
    <w:p>
      <w:pPr>
        <w:tabs>
          <w:tab w:val="left" w:pos="2728"/>
        </w:tabs>
        <w:jc w:val="center"/>
        <w:rPr>
          <w:rFonts w:ascii="黑体" w:eastAsia="黑体" w:cs="Times New Roman" w:hAnsi="Times New Roman"/>
          <w:sz w:val="48"/>
          <w:szCs w:val="48"/>
        </w:rPr>
      </w:pP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目    录</w:t>
      </w:r>
    </w:p>
    <w:p>
      <w:pPr>
        <w:widowControl/>
        <w:spacing w:after="160" w:line="580" w:lineRule="exact"/>
        <w:ind w:firstLineChars="200" w:firstLine="640"/>
        <w:rPr>
          <w:rFonts w:ascii="Times New Roman" w:eastAsia="黑体" w:cs="Times New Roman" w:hAnsi="Times New Roman"/>
          <w:sz w:val="32"/>
          <w:szCs w:val="32"/>
        </w:rPr>
      </w:pPr>
    </w:p>
    <w:p>
      <w:pPr>
        <w:widowControl/>
        <w:spacing w:before="0" w:beforeAutospacing="0" w:after="0" w:afterAutospacing="0" w:line="360" w:lineRule="auto"/>
        <w:jc w:val="left"/>
        <w:rPr>
          <w:rFonts w:ascii="Times New Roman" w:eastAsia="黑体" w:hAnsi="Times New Roman"/>
          <w:sz w:val="32"/>
          <w:szCs w:val="32"/>
        </w:rPr>
      </w:pPr>
      <w:r>
        <w:rPr>
          <w:rFonts w:ascii="Times New Roman" w:eastAsia="黑体" w:hAnsi="Times New Roman"/>
          <w:b w:val="0"/>
          <w:sz w:val="32"/>
          <w:szCs w:val="32"/>
        </w:rPr>
        <w:t>第一部分   单位概况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一、单位职责</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二、机构设置</w:t>
      </w:r>
    </w:p>
    <w:p>
      <w:pPr>
        <w:widowControl/>
        <w:spacing w:before="0" w:beforeAutospacing="0" w:after="0" w:afterAutospacing="0" w:line="360" w:lineRule="auto"/>
        <w:jc w:val="left"/>
        <w:outlineLvl w:val="0"/>
        <w:rPr>
          <w:rFonts w:ascii="Times New Roman" w:eastAsia="黑体" w:hAnsi="Times New Roman"/>
          <w:sz w:val="32"/>
          <w:szCs w:val="32"/>
        </w:rPr>
      </w:pPr>
      <w:r>
        <w:rPr>
          <w:rFonts w:ascii="Times New Roman" w:eastAsia="黑体" w:hAnsi="Times New Roman"/>
          <w:b w:val="0"/>
          <w:sz w:val="32"/>
          <w:szCs w:val="32"/>
        </w:rPr>
        <w:t>第二部分   2024年度部门决算报表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一、收入支出决算总表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二、收入决算表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三、支出决算表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四、财政拨款收入支出决算总表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五、一般公共预算财政拨款支出决算表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六、一般公共预算财政拨款基本支出决算明细表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七、政府性基金预算财政拨款收入支出决算表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八、国有资本经营预算财政拨款支出决算表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九、财政拨款“三公”经费支出决算表</w:t>
      </w:r>
    </w:p>
    <w:p>
      <w:pPr>
        <w:widowControl/>
        <w:spacing w:before="0" w:beforeAutospacing="0" w:after="0" w:afterAutospacing="0" w:line="360" w:lineRule="auto"/>
        <w:jc w:val="left"/>
        <w:rPr>
          <w:rFonts w:ascii="Times New Roman" w:eastAsia="黑体" w:hAnsi="Times New Roman"/>
          <w:sz w:val="32"/>
          <w:szCs w:val="32"/>
        </w:rPr>
      </w:pPr>
      <w:r>
        <w:rPr>
          <w:rFonts w:ascii="Times New Roman" w:eastAsia="黑体" w:hAnsi="Times New Roman"/>
          <w:b w:val="0"/>
          <w:sz w:val="32"/>
          <w:szCs w:val="32"/>
        </w:rPr>
        <w:t>第三部分   2024年度部门决算情况说明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一、收入支出决算总体情况说明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二、收入决算情况说明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三、支出决算情况说明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四、财政拨款收入支出决算总体情况说明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五、财政拨款“三公”经费支出决算情况说明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六、机关运行经费支出说明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七、政府采购支出说明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八、国有资产占用情况说明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九、关于2024年度绩效评价情况的说明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十、其他需要说明的情况</w:t>
      </w:r>
    </w:p>
    <w:p>
      <w:pPr>
        <w:widowControl/>
        <w:spacing w:before="0" w:beforeAutospacing="0" w:after="0" w:afterAutospacing="0" w:line="360" w:lineRule="auto"/>
        <w:jc w:val="left"/>
        <w:rPr>
          <w:rFonts w:ascii="Times New Roman" w:eastAsia="黑体" w:hAnsi="Times New Roman"/>
          <w:sz w:val="32"/>
          <w:szCs w:val="32"/>
        </w:rPr>
      </w:pPr>
      <w:r>
        <w:rPr>
          <w:rFonts w:ascii="Times New Roman" w:eastAsia="黑体" w:hAnsi="Times New Roman"/>
          <w:b w:val="0"/>
          <w:sz w:val="32"/>
          <w:szCs w:val="32"/>
        </w:rPr>
        <w:t>第四部分   名词解释</w:t>
      </w:r>
    </w:p>
    <w:p>
      <w:pPr>
        <w:widowControl/>
        <w:spacing w:after="160" w:line="580" w:lineRule="exact"/>
        <w:rPr>
          <w:rFonts w:ascii="Times New Roman" w:eastAsia="黑体" w:cs="Times New Roman" w:hAnsi="Times New Roman" w:hint="eastAsia"/>
          <w:sz w:val="32"/>
          <w:szCs w:val="32"/>
          <w:lang w:val="en-US" w:eastAsia="zh-CN"/>
        </w:rPr>
        <w:sectPr>
          <w:headerReference w:type="default" r:id="rId5"/>
          <w:headerReference w:type="first" r:id="rId6"/>
          <w:footerReference w:type="default" r:id="rId7"/>
          <w:footerReference w:type="first" r:id="rId8"/>
          <w:pgSz w:w="11906" w:h="16838"/>
          <w:pgMar w:top="1474" w:right="1531" w:bottom="1474" w:left="1531" w:header="851" w:footer="992" w:gutter="0"/>
          <w:titlePg/>
          <w:docGrid w:type="lines" w:linePitch="312" w:charSpace="0"/>
        </w:sectPr>
      </w:pP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第一部分   单位概况</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一、单位职责</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1、组织拟订全县经济社会发展战略中长期、规划、年度计划及重点领域、区域经济的规划；落实国民经济和社会发展有关地方性法规，起草相关规章。</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2、推进经济体制改革，实施经济体制改革、对外开放有关地方性法规，以及对相关规章的起草和实施。</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3、综合协调和监测调节经济社会协调发展，实施重大调控政策，实施促进就业、调整收入分配、完善社会保障与经济协调发展的政策措施，推进社会公共服务均等化；实施产业政策；组织实施全县国民经济、装备动员。</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4、推进区域经济协调发展、加快城镇化、县域经济发展；负责区域经济合作统筹协调；推动沿海、京津冀两大区域发展。</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5、实施综合性产业政策，负责协调全县第一、二、三产业发展的重大问题并衔接平衡相关发展规划和重大政策，推进经济结构战略性调整。按照经济和社会发展要求，引导产业升级和转型，支持重点领域和行业建设。</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6、拟订社会固定资产投资规模和投资结构的调控目标、及措施，衔接政府投资和重大建设项目的专项规划；按规定权限审批、核准、审核重大建设项目，提出预算内基建建设项目安排建议；开展重点建设项目管理。</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7、保障发展改革一般性日常业务开展和机关事务的基本运转。</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8、负责加强与国家、省、市和京津沟通对接，组织协调京津冀协同发展政策研究、规划编制、对接跑办、项目建设、督导落实等工作。</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9、落实粮食购销政策，落实粮食最低收购价政策，保证军供等政策性粮食供应，负责县储粮行政管理，确保粮食流通规范有序。</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10、指导全县粮食储存保管及安全生产，负责对粮食收购、储存环节的粮食质量安全和原粮卫生进行监督管理。</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11、对社会粮食流通进行行政执法，依法实施行政处罚；指导行业监督检查和行业执法工作。</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12、拟定全县国内贸易发展规划，推进农村市场体系建设，推动流通标准化和现代流通方式的发展，组织实施重要生产资料流通管理的责任。</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13、加强防震减灾工作。</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14、根据国民经济发展需要和社会承受能力，拟订全县价格总水平年度调控计划和中长期调控目标，监测预测全县价格总水平及其结构变动趋势，提出调控建议。管理全县与国民经济和人民生活关系重大、资源稀缺、自然垄断经营的商品价格，拟订作价原则、办法。</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15、建立健全产品成本信息网络，组织成本汇总和成本分析；对列入《县价格成本监审管理目录》的商品和收费项目进行调定价监审。</w:t>
      </w:r>
    </w:p>
    <w:p>
      <w:pP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16、组织价格和收费监督检查；受理价格处罚的复议案件和申诉案件；依法办理价格举报案件；推行明码标价和价格、收费公示制度，对市场放开商品实施价格监管，加强反价格欺诈反垄断工作。</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二、机构设置</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从决算编报单位构成看，纳入2024年度本部门决算汇编范围的独立核算单位（以下简称“单位”）共1个，具体情况如下：</w:t>
      </w:r>
    </w:p>
    <w:tbl>
      <w:tblPr>
        <w:tblpPr w:leftFromText="180" w:rightFromText="180" w:vertAnchor="text" w:horzAnchor="page" w:tblpXSpec="center" w:tblpY="10"/>
        <w:tblOverlap w:val="never"/>
        <w:tblW w:w="7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32"/>
        <w:gridCol w:w="3638"/>
        <w:gridCol w:w="1993"/>
        <w:gridCol w:w="1347"/>
      </w:tblGrid>
      <w:tr>
        <w:trPr>
          <w:trHeight w:val="811"/>
        </w:trPr>
        <w:tc>
          <w:tcPr>
            <w:tcW w:w="832"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序号</w:t>
            </w:r>
          </w:p>
        </w:tc>
        <w:tc>
          <w:tcPr>
            <w:tcW w:w="3638"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单位名称</w:t>
            </w:r>
          </w:p>
        </w:tc>
        <w:tc>
          <w:tcPr>
            <w:tcW w:w="1993"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单位基本性质</w:t>
            </w:r>
          </w:p>
        </w:tc>
        <w:tc>
          <w:tcPr>
            <w:tcW w:w="1347"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经费形式</w:t>
            </w:r>
          </w:p>
        </w:tc>
      </w:tr>
      <w:tr>
        <w:trPr>
          <w:trHeight w:val="596"/>
        </w:trPr>
        <w:tc>
          <w:tcPr>
            <w:tcW w:w="832"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1</w:t>
            </w:r>
          </w:p>
        </w:tc>
        <w:tc>
          <w:tcPr>
            <w:tcW w:w="3638"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行唐县发展和改革局（本级）</w:t>
            </w:r>
          </w:p>
        </w:tc>
        <w:tc>
          <w:tcPr>
            <w:tcW w:w="1993"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sz w:val="28"/>
                <w:szCs w:val="28"/>
              </w:rPr>
              <w:t>行政单位</w:t>
            </w:r>
          </w:p>
        </w:tc>
        <w:tc>
          <w:tcPr>
            <w:tcW w:w="1347"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全额</w:t>
            </w:r>
          </w:p>
        </w:tc>
      </w:tr>
    </w:tbl>
    <w:p>
      <w:pPr>
        <w:jc w:val="center"/>
        <w:rPr>
          <w:rFonts w:ascii="Times New Roman" w:eastAsia="黑体" w:cs="Times New Roman" w:hAnsi="Times New Roman" w:hint="eastAsia"/>
          <w:sz w:val="32"/>
          <w:szCs w:val="32"/>
        </w:rPr>
      </w:pPr>
      <w:r>
        <w:rPr>
          <w:rFonts w:ascii="Times New Roman" w:eastAsia="黑体" w:cs="Times New Roman" w:hAnsi="Times New Roman" w:hint="eastAsia"/>
          <w:sz w:val="32"/>
          <w:szCs w:val="32"/>
        </w:rPr>
        <w:br w:type="page"/>
      </w: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第二部分   </w:t>
      </w:r>
      <w:r>
        <w:rPr>
          <w:rFonts w:ascii="Times New Roman" w:eastAsia="仿宋_GB2312" w:hAnsi="Times New Roman"/>
          <w:b w:val="0"/>
          <w:sz w:val="44"/>
          <w:szCs w:val="44"/>
        </w:rPr>
        <w:t>2024</w:t>
      </w:r>
      <w:r>
        <w:rPr>
          <w:rFonts w:ascii="Times New Roman" w:eastAsia="黑体" w:hAnsi="Times New Roman"/>
          <w:b w:val="0"/>
          <w:sz w:val="44"/>
          <w:szCs w:val="44"/>
        </w:rPr>
        <w:t>年度部门决算表</w:t>
      </w:r>
    </w:p>
    <w:tbl>
      <w:tblPr>
        <w:jc w:val="left"/>
        <w:tblInd w:w="-1817" w:type="dxa"/>
        <w:tblW w:w="7250"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3345"/>
        <w:gridCol w:w="623"/>
        <w:gridCol w:w="613"/>
        <w:gridCol w:w="1318"/>
        <w:gridCol w:w="1626"/>
        <w:gridCol w:w="1549"/>
        <w:gridCol w:w="623"/>
        <w:gridCol w:w="1931"/>
        <w:gridCol w:w="35"/>
      </w:tblGrid>
      <w:tr>
        <w:trPr>
          <w:trHeight w:val="361"/>
          <w:gridAfter w:val="1"/>
          <w:wAfter w:w="35" w:type="dxa"/>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收入支出决算总表</w:t>
            </w:r>
          </w:p>
        </w:tc>
      </w:tr>
      <w:tr>
        <w:trPr>
          <w:trHeight w:val="357"/>
          <w:gridAfter w:val="1"/>
          <w:wAfter w:w="35" w:type="dxa"/>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 公开</w:t>
            </w:r>
            <w:r>
              <w:rPr>
                <w:rFonts w:ascii="Times New Roman" w:eastAsia="宋体" w:cs="Times New Roman" w:hAnsi="Times New Roman" w:hint="eastAsia"/>
                <w:i w:val="0"/>
                <w:iCs w:val="0"/>
                <w:color w:val="000000"/>
                <w:sz w:val="20"/>
                <w:szCs w:val="20"/>
                <w:u w:val="none"/>
                <w:lang w:val="en-US" w:eastAsia="zh-CN"/>
                <w:highlight w:val="auto"/>
              </w:rPr>
              <w:t>01</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51"/>
          <w:gridAfter w:val="1"/>
          <w:wAfter w:w="35" w:type="dxa"/>
        </w:trPr>
        <w:tc>
          <w:tcPr>
            <w:tcW w:w="1964" w:type="pct"/>
            <w:gridSpan w:val="3"/>
            <w:tcBorders>
              <w:top w:val="nil"/>
              <w:left w:val="nil"/>
              <w:bottom w:val="single" w:sz="4" w:space="0" w:color="auto"/>
              <w:right w:val="nil"/>
            </w:tcBorders>
            <w:noWrap/>
            <w:vAlign w:val="bottom"/>
          </w:tcPr>
          <w:p>
            <w:pPr>
              <w:jc w:val="both"/>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部门（单位）：行唐县发展和改革局（本级）</w:t>
            </w:r>
          </w:p>
        </w:tc>
        <w:tc>
          <w:tcPr>
            <w:tcW w:w="1262" w:type="pct"/>
            <w:gridSpan w:val="2"/>
            <w:tcBorders>
              <w:top w:val="nil"/>
              <w:left w:val="nil"/>
              <w:bottom w:val="single" w:sz="4" w:space="0" w:color="auto"/>
              <w:right w:val="nil"/>
            </w:tcBorders>
            <w:noWrap/>
            <w:vAlign w:val="bottom"/>
          </w:tcPr>
          <w:p>
            <w:pPr>
              <w:jc w:val="center"/>
              <w:rPr>
                <w:rFonts w:ascii="宋体" w:eastAsia="宋体" w:cs="宋体" w:hAnsi="宋体"/>
                <w:i w:val="0"/>
                <w:iCs w:val="0"/>
                <w:color w:val="000000"/>
                <w:kern w:val="0"/>
                <w:sz w:val="20"/>
                <w:szCs w:val="20"/>
                <w:u w:val="none"/>
                <w:lang w:val="en-US" w:eastAsia="zh-CN"/>
                <w:highlight w:val="auto"/>
              </w:rPr>
            </w:pPr>
            <w:r>
              <w:rPr>
                <w:rFonts w:ascii="Times New Roman" w:eastAsia="宋体" w:cs="Times New Roman" w:hAnsi="Times New Roman" w:hint="eastAsia"/>
                <w:i w:val="0"/>
                <w:iCs w:val="0"/>
                <w:color w:val="000000"/>
                <w:sz w:val="20"/>
                <w:szCs w:val="20"/>
                <w:u w:val="none"/>
                <w:lang w:val="en-US" w:eastAsia="zh-CN"/>
                <w:highlight w:val="auto"/>
              </w:rPr>
              <w:t>2024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757" w:type="pct"/>
            <w:gridSpan w:val="3"/>
            <w:tcBorders>
              <w:top w:val="nil"/>
              <w:left w:val="nil"/>
              <w:bottom w:val="single" w:sz="4" w:space="0" w:color="auto"/>
              <w:right w:val="nil"/>
            </w:tcBorders>
            <w:noWrap/>
            <w:vAlign w:val="bottom"/>
          </w:tcPr>
          <w:p>
            <w:pPr>
              <w:jc w:val="right"/>
              <w:rPr>
                <w:rFonts w:ascii="宋体" w:eastAsia="宋体" w:cs="宋体" w:hAnsi="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544"/>
          <w:gridAfter w:val="1"/>
          <w:wAfter w:w="35" w:type="dxa"/>
        </w:trPr>
        <w:tc>
          <w:tcPr>
            <w:tcW w:w="2529" w:type="pct"/>
            <w:gridSpan w:val="4"/>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收入</w:t>
            </w:r>
          </w:p>
        </w:tc>
        <w:tc>
          <w:tcPr>
            <w:tcW w:w="2456" w:type="pct"/>
            <w:gridSpan w:val="4"/>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支出</w:t>
            </w:r>
          </w:p>
        </w:tc>
      </w:tr>
      <w:tr>
        <w:trPr>
          <w:trHeight w:val="308"/>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826"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决算数</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82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决算数</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267"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826"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Times New Roman" w:eastAsia="宋体" w:cs="Times New Roman" w:hAnsi="Times New Roman" w:hint="eastAsia"/>
                <w:i w:val="0"/>
                <w:iCs w:val="0"/>
                <w:color w:val="000000"/>
                <w:sz w:val="20"/>
                <w:szCs w:val="20"/>
                <w:u w:val="none"/>
                <w:lang w:val="en-US" w:eastAsia="zh-CN"/>
                <w:highlight w:val="auto"/>
              </w:rPr>
              <w:t>1</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267"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82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Times New Roman" w:eastAsia="宋体" w:cs="Times New Roman" w:hAnsi="Times New Roman" w:hint="eastAsia"/>
                <w:i w:val="0"/>
                <w:iCs w:val="0"/>
                <w:color w:val="000000"/>
                <w:sz w:val="20"/>
                <w:szCs w:val="20"/>
                <w:u w:val="none"/>
                <w:lang w:val="en-US" w:eastAsia="zh-CN"/>
                <w:highlight w:val="auto"/>
              </w:rPr>
              <w:t>2</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一、一般公共预算财政拨款收入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宋体" w:eastAsia="宋体" w:cs="宋体" w:hAnsi="宋体"/>
                <w:i w:val="0"/>
                <w:iCs w:val="0"/>
                <w:color w:val="000000"/>
                <w:sz w:val="20"/>
                <w:szCs w:val="20"/>
                <w:u w:val="none"/>
                <w:lang w:val="en-US" w:eastAsia="zh-CN"/>
                <w:highlight w:val="auto"/>
              </w:rPr>
              <w:t>1</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10,951.93</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一、一般公共服务支出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32</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1,067.41</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二、政府性基金预算财政拨款收入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二、外交支出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33</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三、国有资本经营预算财政拨款收入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三、国防支出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34</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四、上级补助收入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四、公共安全支出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35</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五、事业收入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五、教育支出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36</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六、经营收入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六、科学技术支出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37</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1,171.03</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七、附属单位上缴收入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7</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七、文化旅游体育与传媒支出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38</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八、其他收入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8</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八、社会保障和就业支出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39</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44.65</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9</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九、卫生健康支出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宋体" w:cs="Times New Roman" w:hAnsi="Times New Roman"/>
                <w:i w:val="0"/>
                <w:iCs w:val="0"/>
                <w:color w:val="000000"/>
                <w:sz w:val="20"/>
                <w:szCs w:val="20"/>
                <w:u w:val="none"/>
                <w:lang w:val="en-US" w:eastAsia="zh-CN"/>
                <w:highlight w:val="auto"/>
              </w:rPr>
              <w:t>40</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20.34</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10</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十、节能环保支出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41</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3,808.59</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11</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十一、城乡社区支出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42</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362.90</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12</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十二、农林水支出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43</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4,266.82</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13</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十三、交通运输支出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44</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auto"/>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14</w:t>
            </w:r>
          </w:p>
        </w:tc>
        <w:tc>
          <w:tcPr>
            <w:tcW w:w="826" w:type="pct"/>
            <w:gridSpan w:val="2"/>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auto"/>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十四、资源勘探工业信息等支出</w:t>
            </w:r>
          </w:p>
        </w:tc>
        <w:tc>
          <w:tcPr>
            <w:tcW w:w="267"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45</w:t>
            </w:r>
          </w:p>
        </w:tc>
        <w:tc>
          <w:tcPr>
            <w:tcW w:w="826"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15</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十五、商业服务业等支出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46</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16</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十六、金融支出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47</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17</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十七、援助其他地区支出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48</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18</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十八、自然资源海洋气象等支出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49</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19</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十九、住房保障支出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宋体" w:cs="Times New Roman" w:hAnsi="Times New Roman"/>
                <w:i w:val="0"/>
                <w:iCs w:val="0"/>
                <w:color w:val="000000"/>
                <w:sz w:val="20"/>
                <w:szCs w:val="20"/>
                <w:u w:val="none"/>
                <w:lang w:val="en-US" w:eastAsia="zh-CN"/>
                <w:highlight w:val="auto"/>
              </w:rPr>
              <w:t>50</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35.95</w:t>
            </w: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20</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二十、粮油物资储备支出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51</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174.26</w:t>
            </w:r>
          </w:p>
        </w:tc>
      </w:tr>
      <w:tr>
        <w:trPr>
          <w:trHeight w:val="476"/>
          <w:gridAfter w:val="1"/>
          <w:wAfter w:w="35" w:type="dxa"/>
        </w:trPr>
        <w:tc>
          <w:tcPr>
            <w:tcW w:w="1434" w:type="pct"/>
            <w:tcBorders>
              <w:top w:val="single" w:sz="4" w:space="0" w:color="auto"/>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21</w:t>
            </w:r>
          </w:p>
        </w:tc>
        <w:tc>
          <w:tcPr>
            <w:tcW w:w="826" w:type="pct"/>
            <w:gridSpan w:val="2"/>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二十一、国有资本经营预算支出</w:t>
            </w:r>
          </w:p>
        </w:tc>
        <w:tc>
          <w:tcPr>
            <w:tcW w:w="267"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52</w:t>
            </w:r>
          </w:p>
        </w:tc>
        <w:tc>
          <w:tcPr>
            <w:tcW w:w="826"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22</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二十二、灾害防治及应急管理支出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53</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23</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二十三、其他支出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54</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24</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二十四、债务还本支出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55</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25</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二十五、债务付息支出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56</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26</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二十六、抗疫特别国债安排的支出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57</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本年收入合计</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27</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12,851.93</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本年支出合计</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58</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12,851.93</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使用非财政拨款结余（含专用结余）</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28</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结余分配</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59</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年初结转和结余</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29</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年末结转和结余</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宋体" w:cs="Times New Roman" w:hAnsi="Times New Roman"/>
                <w:i w:val="0"/>
                <w:iCs w:val="0"/>
                <w:color w:val="000000"/>
                <w:sz w:val="20"/>
                <w:szCs w:val="20"/>
                <w:u w:val="none"/>
                <w:lang w:val="en-US" w:eastAsia="zh-CN"/>
                <w:highlight w:val="auto"/>
              </w:rPr>
              <w:t>60</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30</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61</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31</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12,851.93</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62</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12,851.93</w:t>
            </w:r>
          </w:p>
        </w:tc>
      </w:tr>
      <w:tr>
        <w:trPr>
          <w:trHeight w:val="308"/>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注：1.本表反映部门本年度的总收支和年末结转结余情况。</w:t>
            </w:r>
          </w:p>
          <w:p>
            <w:pPr>
              <w:keepNext w:val="0"/>
              <w:keepLines w:val="0"/>
              <w:widowControl/>
              <w:suppressLineNumbers w:val="0"/>
              <w:ind w:firstLineChars="200" w:firstLine="40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center"/>
        <w:tblW w:w="9230"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rPr>
          <w:trHeight w:val="550"/>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收入决算表</w:t>
            </w:r>
          </w:p>
        </w:tc>
      </w:tr>
      <w:tr>
        <w:trPr>
          <w:trHeight w:val="300"/>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宋体" w:cs="Times New Roman" w:hAnsi="Times New Roman" w:hint="eastAsia"/>
                <w:i w:val="0"/>
                <w:iCs w:val="0"/>
                <w:color w:val="000000"/>
                <w:sz w:val="20"/>
                <w:szCs w:val="20"/>
                <w:u w:val="none"/>
                <w:lang w:val="en-US" w:eastAsia="zh-CN"/>
                <w:highlight w:val="auto"/>
              </w:rPr>
              <w:t>02</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3237" w:type="dxa"/>
            <w:gridSpan w:val="3"/>
            <w:tcBorders>
              <w:top w:val="nil"/>
              <w:left w:val="nil"/>
              <w:bottom w:val="single" w:sz="4" w:space="0" w:color="auto"/>
              <w:right w:val="nil"/>
            </w:tcBorders>
            <w:noWrap/>
            <w:vAlign w:val="bottom"/>
          </w:tcPr>
          <w:p>
            <w:pP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部门（单位）：行唐县发展和改革局（本级）                                                                                                         </w:t>
            </w:r>
          </w:p>
        </w:tc>
        <w:tc>
          <w:tcPr>
            <w:tcW w:w="3405" w:type="dxa"/>
            <w:gridSpan w:val="4"/>
            <w:tcBorders>
              <w:top w:val="nil"/>
              <w:left w:val="nil"/>
              <w:bottom w:val="single" w:sz="4" w:space="0" w:color="auto"/>
              <w:right w:val="nil"/>
            </w:tcBorders>
            <w:noWrap/>
            <w:vAlign w:val="bottom"/>
          </w:tcPr>
          <w:p>
            <w:pPr>
              <w:jc w:val="center"/>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Times New Roman" w:eastAsia="方正仿宋_GB2312" w:cs="Times New Roman" w:hAnsi="Times New Roman"/>
                <w:i w:val="0"/>
                <w:iCs w:val="0"/>
                <w:color w:val="000000"/>
                <w:sz w:val="20"/>
                <w:szCs w:val="20"/>
                <w:u w:val="none"/>
                <w:lang w:val="en-US" w:eastAsia="zh-CN"/>
                <w:highlight w:val="auto"/>
              </w:rPr>
              <w:t>202</w:t>
            </w:r>
            <w:r>
              <w:rPr>
                <w:rFonts w:ascii="Times New Roman" w:eastAsia="方正仿宋_GB2312" w:cs="Times New Roman" w:hAnsi="Times New Roman" w:hint="eastAsia"/>
                <w:i w:val="0"/>
                <w:iCs w:val="0"/>
                <w:color w:val="00000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2588" w:type="dxa"/>
            <w:gridSpan w:val="3"/>
            <w:tcBorders>
              <w:top w:val="nil"/>
              <w:left w:val="nil"/>
              <w:bottom w:val="single" w:sz="4" w:space="0" w:color="auto"/>
              <w:right w:val="nil"/>
            </w:tcBorders>
            <w:noWrap/>
            <w:vAlign w:val="bottom"/>
          </w:tcPr>
          <w:p>
            <w:pPr>
              <w:jc w:val="right"/>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510"/>
        </w:trPr>
        <w:tc>
          <w:tcPr>
            <w:tcW w:w="2200" w:type="dxa"/>
            <w:gridSpan w:val="2"/>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1037"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本年收入合计</w:t>
            </w:r>
          </w:p>
        </w:tc>
        <w:tc>
          <w:tcPr>
            <w:tcW w:w="1037"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财政拨款收入</w:t>
            </w:r>
          </w:p>
        </w:tc>
        <w:tc>
          <w:tcPr>
            <w:tcW w:w="1037"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上级补助收入</w:t>
            </w:r>
          </w:p>
        </w:tc>
        <w:tc>
          <w:tcPr>
            <w:tcW w:w="964" w:type="dxa"/>
            <w:vMerge w:val="restart"/>
            <w:tcBorders>
              <w:top w:val="single" w:sz="4" w:space="0" w:color="auto"/>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事业收入</w:t>
            </w:r>
          </w:p>
        </w:tc>
        <w:tc>
          <w:tcPr>
            <w:tcW w:w="964" w:type="dxa"/>
            <w:gridSpan w:val="2"/>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经营收入</w:t>
            </w:r>
          </w:p>
        </w:tc>
        <w:tc>
          <w:tcPr>
            <w:tcW w:w="1027"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附属单位上缴收入</w:t>
            </w:r>
          </w:p>
        </w:tc>
        <w:tc>
          <w:tcPr>
            <w:tcW w:w="964"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其他收入</w:t>
            </w:r>
          </w:p>
        </w:tc>
      </w:tr>
      <w:tr>
        <w:trPr>
          <w:trHeight w:val="312"/>
        </w:trPr>
        <w:tc>
          <w:tcPr>
            <w:tcW w:w="1040" w:type="dxa"/>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1160" w:type="dxa"/>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964" w:type="dxa"/>
            <w:vMerge/>
            <w:tcBorders>
              <w:left w:val="nil"/>
              <w:right w:val="single" w:sz="4" w:space="0" w:color="000000"/>
            </w:tcBorders>
            <w:noWrap/>
            <w:vAlign w:val="center"/>
          </w:tcPr>
          <w:p/>
        </w:tc>
        <w:tc>
          <w:tcPr>
            <w:tcW w:w="964" w:type="dxa"/>
            <w:gridSpan w:val="2"/>
            <w:vMerge/>
            <w:tcBorders>
              <w:top w:val="single" w:sz="4" w:space="0" w:color="000000"/>
              <w:left w:val="nil"/>
              <w:bottom w:val="single" w:sz="4" w:space="0" w:color="000000"/>
              <w:right w:val="single" w:sz="4" w:space="0" w:color="000000"/>
            </w:tcBorders>
            <w:noWrap/>
            <w:vAlign w:val="center"/>
          </w:tcPr>
          <w:p/>
        </w:tc>
        <w:tc>
          <w:tcPr>
            <w:tcW w:w="1027" w:type="dxa"/>
            <w:vMerge/>
            <w:tcBorders>
              <w:top w:val="single" w:sz="4" w:space="0" w:color="000000"/>
              <w:left w:val="nil"/>
              <w:bottom w:val="single" w:sz="4" w:space="0" w:color="000000"/>
              <w:right w:val="single" w:sz="4" w:space="0" w:color="000000"/>
            </w:tcBorders>
            <w:noWrap/>
            <w:vAlign w:val="center"/>
          </w:tcPr>
          <w:p/>
        </w:tc>
        <w:tc>
          <w:tcPr>
            <w:tcW w:w="964" w:type="dxa"/>
            <w:vMerge/>
            <w:tcBorders>
              <w:top w:val="single" w:sz="4" w:space="0" w:color="000000"/>
              <w:left w:val="nil"/>
              <w:bottom w:val="single" w:sz="4" w:space="0" w:color="000000"/>
              <w:right w:val="single" w:sz="4" w:space="0" w:color="000000"/>
            </w:tcBorders>
            <w:noWrap/>
            <w:vAlign w:val="center"/>
          </w:tcPr>
          <w:p/>
        </w:tc>
      </w:tr>
      <w:tr>
        <w:trPr>
          <w:trHeight w:val="312"/>
        </w:trPr>
        <w:tc>
          <w:tcPr>
            <w:tcW w:w="1040" w:type="dxa"/>
            <w:vMerge/>
            <w:tcBorders>
              <w:top w:val="nil"/>
              <w:left w:val="single" w:sz="4" w:space="0" w:color="000000"/>
              <w:bottom w:val="single" w:sz="4" w:space="0" w:color="000000"/>
              <w:right w:val="single" w:sz="4" w:space="0" w:color="000000"/>
            </w:tcBorders>
            <w:noWrap/>
            <w:vAlign w:val="center"/>
          </w:tcPr>
          <w:p/>
        </w:tc>
        <w:tc>
          <w:tcPr>
            <w:tcW w:w="1160" w:type="dxa"/>
            <w:vMerge/>
            <w:tcBorders>
              <w:top w:val="nil"/>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964" w:type="dxa"/>
            <w:vMerge/>
            <w:tcBorders>
              <w:left w:val="nil"/>
              <w:right w:val="single" w:sz="4" w:space="0" w:color="000000"/>
            </w:tcBorders>
            <w:noWrap/>
            <w:vAlign w:val="center"/>
          </w:tcPr>
          <w:p/>
        </w:tc>
        <w:tc>
          <w:tcPr>
            <w:tcW w:w="964" w:type="dxa"/>
            <w:gridSpan w:val="2"/>
            <w:vMerge/>
            <w:tcBorders>
              <w:top w:val="single" w:sz="4" w:space="0" w:color="000000"/>
              <w:left w:val="nil"/>
              <w:bottom w:val="single" w:sz="4" w:space="0" w:color="000000"/>
              <w:right w:val="single" w:sz="4" w:space="0" w:color="000000"/>
            </w:tcBorders>
            <w:noWrap/>
            <w:vAlign w:val="center"/>
          </w:tcPr>
          <w:p/>
        </w:tc>
        <w:tc>
          <w:tcPr>
            <w:tcW w:w="1027" w:type="dxa"/>
            <w:vMerge/>
            <w:tcBorders>
              <w:top w:val="single" w:sz="4" w:space="0" w:color="000000"/>
              <w:left w:val="nil"/>
              <w:bottom w:val="single" w:sz="4" w:space="0" w:color="000000"/>
              <w:right w:val="single" w:sz="4" w:space="0" w:color="000000"/>
            </w:tcBorders>
            <w:noWrap/>
            <w:vAlign w:val="center"/>
          </w:tcPr>
          <w:p/>
        </w:tc>
        <w:tc>
          <w:tcPr>
            <w:tcW w:w="964" w:type="dxa"/>
            <w:vMerge/>
            <w:tcBorders>
              <w:top w:val="single" w:sz="4" w:space="0" w:color="000000"/>
              <w:left w:val="nil"/>
              <w:bottom w:val="single" w:sz="4" w:space="0" w:color="000000"/>
              <w:right w:val="single" w:sz="4" w:space="0" w:color="000000"/>
            </w:tcBorders>
            <w:noWrap/>
            <w:vAlign w:val="center"/>
          </w:tcPr>
          <w:p/>
        </w:tc>
      </w:tr>
      <w:tr>
        <w:trPr>
          <w:trHeight w:val="312"/>
        </w:trPr>
        <w:tc>
          <w:tcPr>
            <w:tcW w:w="1040" w:type="dxa"/>
            <w:vMerge/>
            <w:tcBorders>
              <w:top w:val="nil"/>
              <w:left w:val="single" w:sz="4" w:space="0" w:color="000000"/>
              <w:bottom w:val="single" w:sz="4" w:space="0" w:color="000000"/>
              <w:right w:val="single" w:sz="4" w:space="0" w:color="000000"/>
            </w:tcBorders>
            <w:noWrap/>
            <w:vAlign w:val="center"/>
          </w:tcPr>
          <w:p/>
        </w:tc>
        <w:tc>
          <w:tcPr>
            <w:tcW w:w="1160" w:type="dxa"/>
            <w:vMerge/>
            <w:tcBorders>
              <w:top w:val="nil"/>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964" w:type="dxa"/>
            <w:vMerge/>
            <w:tcBorders>
              <w:left w:val="nil"/>
              <w:bottom w:val="single" w:sz="4" w:space="0" w:color="000000"/>
              <w:right w:val="single" w:sz="4" w:space="0" w:color="000000"/>
            </w:tcBorders>
            <w:noWrap/>
            <w:vAlign w:val="center"/>
          </w:tcPr>
          <w:p/>
        </w:tc>
        <w:tc>
          <w:tcPr>
            <w:tcW w:w="964" w:type="dxa"/>
            <w:gridSpan w:val="2"/>
            <w:vMerge/>
            <w:tcBorders>
              <w:top w:val="single" w:sz="4" w:space="0" w:color="000000"/>
              <w:left w:val="nil"/>
              <w:bottom w:val="single" w:sz="4" w:space="0" w:color="000000"/>
              <w:right w:val="single" w:sz="4" w:space="0" w:color="000000"/>
            </w:tcBorders>
            <w:noWrap/>
            <w:vAlign w:val="center"/>
          </w:tcPr>
          <w:p/>
        </w:tc>
        <w:tc>
          <w:tcPr>
            <w:tcW w:w="1027" w:type="dxa"/>
            <w:vMerge/>
            <w:tcBorders>
              <w:top w:val="single" w:sz="4" w:space="0" w:color="000000"/>
              <w:left w:val="nil"/>
              <w:bottom w:val="single" w:sz="4" w:space="0" w:color="000000"/>
              <w:right w:val="single" w:sz="4" w:space="0" w:color="000000"/>
            </w:tcBorders>
            <w:noWrap/>
            <w:vAlign w:val="center"/>
          </w:tcPr>
          <w:p/>
        </w:tc>
        <w:tc>
          <w:tcPr>
            <w:tcW w:w="964" w:type="dxa"/>
            <w:vMerge/>
            <w:tcBorders>
              <w:top w:val="single" w:sz="4" w:space="0" w:color="000000"/>
              <w:left w:val="nil"/>
              <w:bottom w:val="single" w:sz="4" w:space="0" w:color="000000"/>
              <w:right w:val="single" w:sz="4" w:space="0" w:color="000000"/>
            </w:tcBorders>
            <w:noWrap/>
            <w:vAlign w:val="center"/>
          </w:tcPr>
          <w:p/>
        </w:tc>
      </w:tr>
      <w:tr>
        <w:trPr>
          <w:trHeight w:val="454"/>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1037"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1</w:t>
            </w:r>
          </w:p>
        </w:tc>
        <w:tc>
          <w:tcPr>
            <w:tcW w:w="1037"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2</w:t>
            </w:r>
          </w:p>
        </w:tc>
        <w:tc>
          <w:tcPr>
            <w:tcW w:w="1037"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3</w:t>
            </w:r>
          </w:p>
        </w:tc>
        <w:tc>
          <w:tcPr>
            <w:tcW w:w="9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4</w:t>
            </w:r>
          </w:p>
        </w:tc>
        <w:tc>
          <w:tcPr>
            <w:tcW w:w="964" w:type="dxa"/>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5</w:t>
            </w:r>
          </w:p>
        </w:tc>
        <w:tc>
          <w:tcPr>
            <w:tcW w:w="1027"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6</w:t>
            </w:r>
          </w:p>
        </w:tc>
        <w:tc>
          <w:tcPr>
            <w:tcW w:w="9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7</w:t>
            </w:r>
          </w:p>
        </w:tc>
      </w:tr>
      <w:tr>
        <w:trPr>
          <w:trHeight w:val="567"/>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12,851.93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12,851.93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一般公共服务支出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1,067.41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1,067.41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发展与改革事务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1,057.41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1,057.41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行政运行</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557.36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557.36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一般行政管理事务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500.05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500.05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20199</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其他一般公共服务支出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10.00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10.00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2019999</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其他一般公共服务支出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10.00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10.00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科学技术支出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1,171.03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1,171.03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科学技术管理事务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151.61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151.61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2060102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一般行政管理事务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139.82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139.82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2060199</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其他科学技术管理事务支出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11.79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11.79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基础研究</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941.81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941.81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2060299</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其他基础研究支出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941.81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941.81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20604</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技术研究与开发</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39.07</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39.07</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2060404</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科技成果转化与扩散</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39.07</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39.07</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20605</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科技条件与服务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14.00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14.00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2060599</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其他科技条件与服务支出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14.00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14.00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20699</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其他科学技术支出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24.54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24.54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2069999</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其他科学技术支出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24.54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24.54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社会保障和就业支出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44.65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44.65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20805</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行政事业单位养老支出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42.77</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42.77</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2080505</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机关事业单位基本养老保险缴费支出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42.77</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42.77</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20827</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财政对其他社会保险基金的补助</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1.88</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1.88</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2082701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财政对失业保险基金的补助</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0.69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0.69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2082702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财政对工伤保险基金的补助</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1.19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1.19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卫生健康支出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20.34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20.34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21011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行政事业单位医疗</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20.34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20.34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2101101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行政单位医疗</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2.34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2.34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2101102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事业单位医疗</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18.00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18.00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节能环保支出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3,808.59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3,808.59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21103</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污染防治</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3,808.59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3,808.59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2110301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大气</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3,808.59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3,808.59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城乡社区支出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362.90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362.90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21203</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城乡社区公共设施</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362.90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362.90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2120303</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小城镇基础设施建设</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290.88</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290.88</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2120399</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其他城乡社区公共设施支出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72.02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72.02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213</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农林水支出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4,266.82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4,266.82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21305</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巩固脱贫攻坚成果衔接乡村振兴</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4,266.82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4,266.82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2130504</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农村基础设施建设</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166.82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166.82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2130599</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其他巩固脱贫攻坚成果衔接乡村振兴支出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4,100.00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4,100.00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住房保障支出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35.95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35.95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22102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住房改革支出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35.95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35.95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2210201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住房公积金</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35.95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35.95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粮油物资储备支出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174.26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174.26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22201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粮油物资事务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85.06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85.06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2220115</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粮食风险基金</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85.06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85.06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22204</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粮油储备</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89.20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89.20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2220402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储备粮油差价补贴</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89.20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89.20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229</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1,900.00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1,900.00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22904</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其他政府性基金及对应专项债务收入安排的支出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1,900.00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1,900.00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2290402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其他地方自行试点项目收益专项债券收入安排的支出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1,900.00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1,900.00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黑体" w:eastAsia="黑体" w:cs="宋体" w:hAnsi="黑体" w:hint="eastAsia"/>
          <w:bCs/>
          <w:kern w:val="0"/>
          <w:sz w:val="32"/>
          <w:szCs w:val="32"/>
          <w:highlight w:val="auto"/>
        </w:rPr>
      </w:pPr>
      <w:r>
        <w:rPr>
          <w:rFonts w:ascii="仿宋_GB2312" w:eastAsia="仿宋_GB2312" w:hAnsi="宋体" w:hint="eastAsia"/>
          <w:b/>
          <w:color w:val="auto"/>
          <w:kern w:val="0"/>
          <w:sz w:val="32"/>
          <w:szCs w:val="32"/>
          <w:highlight w:val="auto"/>
        </w:rPr>
        <w:br w:type="page"/>
      </w:r>
    </w:p>
    <w:tbl>
      <w:tblPr>
        <w:jc w:val="center"/>
        <w:tblW w:w="5812"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039"/>
        <w:gridCol w:w="1187"/>
        <w:gridCol w:w="1127"/>
        <w:gridCol w:w="127"/>
        <w:gridCol w:w="998"/>
        <w:gridCol w:w="1125"/>
        <w:gridCol w:w="499"/>
        <w:gridCol w:w="626"/>
        <w:gridCol w:w="1125"/>
        <w:gridCol w:w="1492"/>
      </w:tblGrid>
      <w:tr>
        <w:trPr>
          <w:trHeight w:val="550"/>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br w:type="page"/>
              <w:t>支出决算表</w:t>
            </w:r>
          </w:p>
        </w:tc>
      </w:tr>
      <w:tr>
        <w:trPr>
          <w:trHeight w:val="300"/>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宋体" w:cs="Times New Roman" w:hAnsi="Times New Roman"/>
                <w:i w:val="0"/>
                <w:iCs w:val="0"/>
                <w:color w:val="000000"/>
                <w:kern w:val="0"/>
                <w:sz w:val="20"/>
                <w:szCs w:val="20"/>
                <w:u w:val="none"/>
                <w:lang w:val="en-US" w:eastAsia="zh-CN"/>
                <w:highlight w:val="auto"/>
              </w:rPr>
              <w:t>03</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1862" w:type="pct"/>
            <w:gridSpan w:val="4"/>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部门（单位）：行唐县发展和改革局（本级） </w:t>
            </w:r>
            <w:r>
              <w:rPr>
                <w:rFonts w:ascii="宋体" w:eastAsia="宋体" w:cs="宋体" w:hint="eastAsia"/>
                <w:i w:val="0"/>
                <w:iCs w:val="0"/>
                <w:color w:val="000000"/>
                <w:kern w:val="0"/>
                <w:sz w:val="20"/>
                <w:szCs w:val="20"/>
                <w:u w:val="none"/>
                <w:lang w:val="en-US" w:eastAsia="zh-CN"/>
                <w:highlight w:val="auto"/>
              </w:rPr>
              <w:t xml:space="preserve">                                                                                                         </w:t>
            </w:r>
          </w:p>
        </w:tc>
        <w:tc>
          <w:tcPr>
            <w:tcW w:w="1403" w:type="pct"/>
            <w:gridSpan w:val="3"/>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int="eastAsia"/>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202</w:t>
            </w:r>
            <w:r>
              <w:rPr>
                <w:rFonts w:ascii="Times New Roman"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734" w:type="pct"/>
            <w:gridSpan w:val="3"/>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 金额单位：万元</w:t>
            </w:r>
          </w:p>
        </w:tc>
      </w:tr>
      <w:tr>
        <w:trPr>
          <w:trHeight w:val="510"/>
        </w:trPr>
        <w:tc>
          <w:tcPr>
            <w:tcW w:w="1191" w:type="pct"/>
            <w:gridSpan w:val="2"/>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603"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本年支出合计</w:t>
            </w:r>
          </w:p>
        </w:tc>
        <w:tc>
          <w:tcPr>
            <w:tcW w:w="602" w:type="pct"/>
            <w:gridSpan w:val="2"/>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基本支出</w:t>
            </w:r>
          </w:p>
        </w:tc>
        <w:tc>
          <w:tcPr>
            <w:tcW w:w="602"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项目支出</w:t>
            </w:r>
          </w:p>
        </w:tc>
        <w:tc>
          <w:tcPr>
            <w:tcW w:w="602" w:type="pct"/>
            <w:gridSpan w:val="2"/>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上缴上级支出</w:t>
            </w:r>
          </w:p>
        </w:tc>
        <w:tc>
          <w:tcPr>
            <w:tcW w:w="602"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经营支出</w:t>
            </w:r>
          </w:p>
        </w:tc>
        <w:tc>
          <w:tcPr>
            <w:tcW w:w="795"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对附属单位补助支出</w:t>
            </w:r>
          </w:p>
        </w:tc>
      </w:tr>
      <w:tr>
        <w:trPr>
          <w:trHeight w:val="308"/>
        </w:trPr>
        <w:tc>
          <w:tcPr>
            <w:tcW w:w="556"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635"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603"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795" w:type="pct"/>
            <w:vMerge/>
            <w:tcBorders>
              <w:top w:val="single" w:sz="4" w:space="0" w:color="000000"/>
              <w:left w:val="nil"/>
              <w:bottom w:val="single" w:sz="4" w:space="0" w:color="000000"/>
              <w:right w:val="single" w:sz="4" w:space="0" w:color="000000"/>
            </w:tcBorders>
            <w:noWrap/>
            <w:vAlign w:val="center"/>
          </w:tcPr>
          <w:p/>
        </w:tc>
      </w:tr>
      <w:tr>
        <w:trPr>
          <w:trHeight w:val="308"/>
        </w:trPr>
        <w:tc>
          <w:tcPr>
            <w:tcW w:w="556" w:type="pct"/>
            <w:vMerge/>
            <w:tcBorders>
              <w:top w:val="nil"/>
              <w:left w:val="single" w:sz="4" w:space="0" w:color="000000"/>
              <w:bottom w:val="single" w:sz="4" w:space="0" w:color="000000"/>
              <w:right w:val="single" w:sz="4" w:space="0" w:color="000000"/>
            </w:tcBorders>
            <w:noWrap/>
            <w:vAlign w:val="center"/>
          </w:tcPr>
          <w:p/>
        </w:tc>
        <w:tc>
          <w:tcPr>
            <w:tcW w:w="635" w:type="pct"/>
            <w:vMerge/>
            <w:tcBorders>
              <w:top w:val="nil"/>
              <w:left w:val="nil"/>
              <w:bottom w:val="single" w:sz="4" w:space="0" w:color="000000"/>
              <w:right w:val="single" w:sz="4" w:space="0" w:color="000000"/>
            </w:tcBorders>
            <w:noWrap/>
            <w:vAlign w:val="center"/>
          </w:tcPr>
          <w:p/>
        </w:tc>
        <w:tc>
          <w:tcPr>
            <w:tcW w:w="603"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795" w:type="pct"/>
            <w:vMerge/>
            <w:tcBorders>
              <w:top w:val="single" w:sz="4" w:space="0" w:color="000000"/>
              <w:left w:val="nil"/>
              <w:bottom w:val="single" w:sz="4" w:space="0" w:color="000000"/>
              <w:right w:val="single" w:sz="4" w:space="0" w:color="000000"/>
            </w:tcBorders>
            <w:noWrap/>
            <w:vAlign w:val="center"/>
          </w:tcPr>
          <w:p/>
        </w:tc>
      </w:tr>
      <w:tr>
        <w:trPr>
          <w:trHeight w:val="308"/>
        </w:trPr>
        <w:tc>
          <w:tcPr>
            <w:tcW w:w="556" w:type="pct"/>
            <w:vMerge/>
            <w:tcBorders>
              <w:top w:val="nil"/>
              <w:left w:val="single" w:sz="4" w:space="0" w:color="000000"/>
              <w:bottom w:val="single" w:sz="4" w:space="0" w:color="000000"/>
              <w:right w:val="single" w:sz="4" w:space="0" w:color="000000"/>
            </w:tcBorders>
            <w:noWrap/>
            <w:vAlign w:val="center"/>
          </w:tcPr>
          <w:p/>
        </w:tc>
        <w:tc>
          <w:tcPr>
            <w:tcW w:w="635" w:type="pct"/>
            <w:vMerge/>
            <w:tcBorders>
              <w:top w:val="nil"/>
              <w:left w:val="nil"/>
              <w:bottom w:val="single" w:sz="4" w:space="0" w:color="000000"/>
              <w:right w:val="single" w:sz="4" w:space="0" w:color="000000"/>
            </w:tcBorders>
            <w:noWrap/>
            <w:vAlign w:val="center"/>
          </w:tcPr>
          <w:p/>
        </w:tc>
        <w:tc>
          <w:tcPr>
            <w:tcW w:w="603"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795" w:type="pct"/>
            <w:vMerge/>
            <w:tcBorders>
              <w:top w:val="single" w:sz="4" w:space="0" w:color="000000"/>
              <w:left w:val="nil"/>
              <w:bottom w:val="single" w:sz="4" w:space="0" w:color="000000"/>
              <w:right w:val="single" w:sz="4" w:space="0" w:color="000000"/>
            </w:tcBorders>
            <w:noWrap/>
            <w:vAlign w:val="center"/>
          </w:tcPr>
          <w:p/>
        </w:tc>
      </w:tr>
      <w:tr>
        <w:trPr>
          <w:trHeight w:val="454"/>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60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w:t>
            </w:r>
          </w:p>
        </w:tc>
        <w:tc>
          <w:tcPr>
            <w:tcW w:w="602"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w:t>
            </w:r>
          </w:p>
        </w:tc>
        <w:tc>
          <w:tcPr>
            <w:tcW w:w="60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w:t>
            </w:r>
          </w:p>
        </w:tc>
        <w:tc>
          <w:tcPr>
            <w:tcW w:w="602"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w:t>
            </w:r>
          </w:p>
        </w:tc>
        <w:tc>
          <w:tcPr>
            <w:tcW w:w="60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w:t>
            </w:r>
          </w:p>
        </w:tc>
        <w:tc>
          <w:tcPr>
            <w:tcW w:w="79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w:t>
            </w:r>
          </w:p>
        </w:tc>
      </w:tr>
      <w:tr>
        <w:trPr>
          <w:trHeight w:val="308"/>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12,851.93</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658.29</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12,193.65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一般公共服务支出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1,067.41</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557.36</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510.05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发展与改革事务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1,057.41</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557.36</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500.05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行政运行</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557.36</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557.36</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500.05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500.05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20199</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其他一般公共服务支出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2019999</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其他一般公共服务支出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科学技术支出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1,171.03</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1,171.03</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科学技术管理事务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151.61</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151.61</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139.82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139.82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2060199</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其他科学技术管理事务支出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11.79</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11.79</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基础研究</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2060299</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其他基础研究支出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20604</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技术研究与开发</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2060404</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科技成果转化与扩散</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20605</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科技条件与服务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2060599</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其他科技条件与服务支出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20699</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其他科学技术支出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2069999</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其他科学技术支出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社会保障和就业支出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44.65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44.65</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行政事业单位养老支出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42.77</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42.77</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2080505</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机关事业单位基本养老保险缴费支出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42.77</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42.77</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财政对其他社会保险基金的补助</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1.88</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1.88</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财政对失业保险基金的补助</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0.69</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0.69</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财政对工伤保险基金的补助</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1.19</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1.19</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卫生健康支出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20.34</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20.34</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行政事业单位医疗</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20.34</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20.34</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行政单位医疗</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2.34</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2.34</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事业单位医疗</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18.00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18.00</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节能环保支出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21103</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污染防治</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2110301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大气</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城乡社区支出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21203</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城乡社区公共设施</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2120303</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小城镇基础设施建设</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290.88</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290.88</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2120399</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其他城乡社区公共设施支出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72.02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72.02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农林水支出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21305</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巩固脱贫攻坚成果衔接乡村振兴</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2130504</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农村基础设施建设</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166.82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166.82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2130599</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其他巩固脱贫攻坚成果衔接乡村振兴支出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4,100.00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4,100.00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住房保障支出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35.95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35.95</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住房改革支出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35.95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35.95</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住房公积金</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35.95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35.95</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粮油物资储备支出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174.26</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174.26</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粮油物资事务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2220115</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粮食风险基金</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22204</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粮油储备</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2220402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储备粮油差价补贴</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229</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1,900.00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1,900.00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22904</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其他政府性基金及对应专项债务收入安排的支出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1,900.00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1,900.00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2290402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其他地方自行试点项目收益专项债券收入安排的支出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1,900.00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1,900.00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1857" w:type="dxa"/>
        <w:tblW w:w="7281"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983"/>
        <w:gridCol w:w="623"/>
        <w:gridCol w:w="1428"/>
        <w:gridCol w:w="1658"/>
        <w:gridCol w:w="438"/>
        <w:gridCol w:w="623"/>
        <w:gridCol w:w="459"/>
        <w:gridCol w:w="834"/>
        <w:gridCol w:w="1218"/>
        <w:gridCol w:w="1218"/>
        <w:gridCol w:w="1227"/>
      </w:tblGrid>
      <w:tr>
        <w:trPr>
          <w:trHeight w:val="550"/>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财政拨款收入支出决算总表</w:t>
            </w:r>
          </w:p>
        </w:tc>
      </w:tr>
      <w:tr>
        <w:trPr>
          <w:trHeight w:val="300"/>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公开04表</w:t>
            </w:r>
          </w:p>
        </w:tc>
      </w:tr>
      <w:tr>
        <w:trPr>
          <w:trHeight w:val="300"/>
        </w:trPr>
        <w:tc>
          <w:tcPr>
            <w:tcW w:w="2431" w:type="pct"/>
            <w:gridSpan w:val="4"/>
            <w:tcBorders>
              <w:top w:val="nil"/>
              <w:left w:val="nil"/>
              <w:bottom w:val="single" w:sz="4" w:space="0" w:color="auto"/>
              <w:right w:val="nil"/>
            </w:tcBorders>
            <w:noWrap/>
            <w:vAlign w:val="bottom"/>
          </w:tcPr>
          <w:p>
            <w:pPr>
              <w:rPr>
                <w:rFonts w:ascii="仿宋" w:eastAsia="仿宋" w:cs="仿宋" w:hAnsi="仿宋"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部门（单位）：行唐县发展和改革局（本级） </w:t>
            </w:r>
            <w:r>
              <w:rPr>
                <w:rFonts w:ascii="宋体" w:eastAsia="宋体" w:cs="宋体" w:hint="eastAsia"/>
                <w:i w:val="0"/>
                <w:iCs w:val="0"/>
                <w:color w:val="000000"/>
                <w:kern w:val="0"/>
                <w:sz w:val="20"/>
                <w:szCs w:val="20"/>
                <w:u w:val="none"/>
                <w:lang w:val="en-US" w:eastAsia="zh-CN"/>
                <w:highlight w:val="auto"/>
              </w:rPr>
              <w:t xml:space="preserve">                                                                                                   </w:t>
            </w:r>
          </w:p>
        </w:tc>
        <w:tc>
          <w:tcPr>
            <w:tcW w:w="649" w:type="pct"/>
            <w:gridSpan w:val="3"/>
            <w:tcBorders>
              <w:top w:val="nil"/>
              <w:left w:val="nil"/>
              <w:bottom w:val="single" w:sz="4" w:space="0" w:color="auto"/>
              <w:right w:val="nil"/>
            </w:tcBorders>
            <w:noWrap/>
            <w:vAlign w:val="bottom"/>
          </w:tcPr>
          <w:p>
            <w:pPr>
              <w:jc w:val="center"/>
              <w:rPr>
                <w:rFonts w:ascii="宋体" w:eastAsia="宋体" w:cs="宋体"/>
                <w:i w:val="0"/>
                <w:iCs w:val="0"/>
                <w:color w:val="000000"/>
                <w:kern w:val="0"/>
                <w:sz w:val="20"/>
                <w:szCs w:val="20"/>
                <w:u w:val="none"/>
                <w:lang w:val="en-US" w:eastAsia="zh-CN"/>
                <w:highlight w:val="auto"/>
              </w:rPr>
            </w:pPr>
            <w:r>
              <w:rPr>
                <w:rFonts w:ascii="Times New Roman" w:cs="Times New Roman" w:hAnsi="Times New Roman"/>
                <w:i w:val="0"/>
                <w:iCs w:val="0"/>
                <w:color w:val="000000"/>
                <w:kern w:val="0"/>
                <w:sz w:val="20"/>
                <w:szCs w:val="20"/>
                <w:u w:val="none"/>
                <w:lang w:val="en-US" w:eastAsia="zh-CN"/>
                <w:highlight w:val="auto"/>
              </w:rPr>
              <w:t>202</w:t>
            </w:r>
            <w:r>
              <w:rPr>
                <w:rFonts w:ascii="Times New Roman"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919" w:type="pct"/>
            <w:gridSpan w:val="4"/>
            <w:tcBorders>
              <w:top w:val="nil"/>
              <w:left w:val="nil"/>
              <w:bottom w:val="single" w:sz="4" w:space="0" w:color="auto"/>
              <w:right w:val="nil"/>
            </w:tcBorders>
            <w:noWrap/>
            <w:vAlign w:val="bottom"/>
          </w:tcPr>
          <w:p>
            <w:pPr>
              <w:jc w:val="right"/>
              <w:rPr>
                <w:rFonts w:ascii="宋体" w:eastAsia="宋体" w:cs="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308"/>
        </w:trPr>
        <w:tc>
          <w:tcPr>
            <w:tcW w:w="1723" w:type="pct"/>
            <w:gridSpan w:val="3"/>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收入</w:t>
            </w:r>
          </w:p>
        </w:tc>
        <w:tc>
          <w:tcPr>
            <w:tcW w:w="3276" w:type="pct"/>
            <w:gridSpan w:val="8"/>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支出</w:t>
            </w:r>
          </w:p>
        </w:tc>
      </w:tr>
      <w:tr>
        <w:trPr>
          <w:trHeight w:val="312"/>
        </w:trPr>
        <w:tc>
          <w:tcPr>
            <w:tcW w:w="847"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    目</w:t>
            </w:r>
          </w:p>
        </w:tc>
        <w:tc>
          <w:tcPr>
            <w:tcW w:w="266"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609"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金额</w:t>
            </w:r>
          </w:p>
        </w:tc>
        <w:tc>
          <w:tcPr>
            <w:tcW w:w="895" w:type="pct"/>
            <w:gridSpan w:val="2"/>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266"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552" w:type="pct"/>
            <w:gridSpan w:val="2"/>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合计</w:t>
            </w:r>
          </w:p>
        </w:tc>
        <w:tc>
          <w:tcPr>
            <w:tcW w:w="520" w:type="pct"/>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一般公共预算财政拨款</w:t>
            </w:r>
          </w:p>
        </w:tc>
        <w:tc>
          <w:tcPr>
            <w:tcW w:w="520" w:type="pct"/>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政府性基金预算财政拨款</w:t>
            </w:r>
          </w:p>
        </w:tc>
        <w:tc>
          <w:tcPr>
            <w:tcW w:w="520" w:type="pct"/>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国有资本经营预算财政拨款</w:t>
            </w:r>
          </w:p>
        </w:tc>
      </w:tr>
      <w:tr>
        <w:trPr>
          <w:trHeight w:val="312"/>
        </w:trPr>
        <w:tc>
          <w:tcPr>
            <w:tcW w:w="847" w:type="pct"/>
            <w:vMerge/>
            <w:tcBorders>
              <w:top w:val="nil"/>
              <w:left w:val="single" w:sz="4" w:space="0" w:color="000000"/>
              <w:bottom w:val="single" w:sz="4" w:space="0" w:color="000000"/>
              <w:right w:val="single" w:sz="4" w:space="0" w:color="000000"/>
            </w:tcBorders>
            <w:noWrap/>
            <w:vAlign w:val="center"/>
          </w:tcPr>
          <w:p/>
        </w:tc>
        <w:tc>
          <w:tcPr>
            <w:tcW w:w="266" w:type="pct"/>
            <w:vMerge/>
            <w:tcBorders>
              <w:top w:val="nil"/>
              <w:left w:val="nil"/>
              <w:bottom w:val="single" w:sz="4" w:space="0" w:color="000000"/>
              <w:right w:val="single" w:sz="4" w:space="0" w:color="000000"/>
            </w:tcBorders>
            <w:noWrap/>
            <w:vAlign w:val="center"/>
          </w:tcPr>
          <w:p/>
        </w:tc>
        <w:tc>
          <w:tcPr>
            <w:tcW w:w="609" w:type="pct"/>
            <w:vMerge/>
            <w:tcBorders>
              <w:top w:val="nil"/>
              <w:left w:val="nil"/>
              <w:bottom w:val="single" w:sz="4" w:space="0" w:color="000000"/>
              <w:right w:val="single" w:sz="4" w:space="0" w:color="000000"/>
            </w:tcBorders>
            <w:noWrap/>
            <w:vAlign w:val="center"/>
          </w:tcPr>
          <w:p/>
        </w:tc>
        <w:tc>
          <w:tcPr>
            <w:tcW w:w="895" w:type="pct"/>
            <w:gridSpan w:val="2"/>
            <w:vMerge/>
            <w:tcBorders>
              <w:top w:val="nil"/>
              <w:left w:val="nil"/>
              <w:bottom w:val="single" w:sz="4" w:space="0" w:color="000000"/>
              <w:right w:val="single" w:sz="4" w:space="0" w:color="000000"/>
            </w:tcBorders>
            <w:noWrap/>
            <w:vAlign w:val="center"/>
          </w:tcPr>
          <w:p/>
        </w:tc>
        <w:tc>
          <w:tcPr>
            <w:tcW w:w="266" w:type="pct"/>
            <w:vMerge/>
            <w:tcBorders>
              <w:top w:val="nil"/>
              <w:left w:val="nil"/>
              <w:bottom w:val="single" w:sz="4" w:space="0" w:color="000000"/>
              <w:right w:val="single" w:sz="4" w:space="0" w:color="000000"/>
            </w:tcBorders>
            <w:noWrap/>
            <w:vAlign w:val="center"/>
          </w:tcPr>
          <w:p/>
        </w:tc>
        <w:tc>
          <w:tcPr>
            <w:tcW w:w="552" w:type="pct"/>
            <w:gridSpan w:val="2"/>
            <w:vMerge/>
            <w:tcBorders>
              <w:left w:val="nil"/>
              <w:bottom w:val="single" w:sz="4" w:space="0" w:color="000000"/>
              <w:right w:val="single" w:sz="8" w:space="0" w:color="000000"/>
            </w:tcBorders>
            <w:noWrap/>
            <w:vAlign w:val="center"/>
          </w:tcPr>
          <w:p/>
        </w:tc>
        <w:tc>
          <w:tcPr>
            <w:tcW w:w="520" w:type="pct"/>
            <w:vMerge/>
            <w:tcBorders>
              <w:left w:val="nil"/>
              <w:bottom w:val="single" w:sz="4" w:space="0" w:color="000000"/>
              <w:right w:val="single" w:sz="8" w:space="0" w:color="000000"/>
            </w:tcBorders>
            <w:noWrap/>
            <w:vAlign w:val="center"/>
          </w:tcPr>
          <w:p/>
        </w:tc>
        <w:tc>
          <w:tcPr>
            <w:tcW w:w="520" w:type="pct"/>
            <w:vMerge/>
            <w:tcBorders>
              <w:left w:val="nil"/>
              <w:bottom w:val="single" w:sz="4" w:space="0" w:color="000000"/>
              <w:right w:val="single" w:sz="8" w:space="0" w:color="000000"/>
            </w:tcBorders>
            <w:noWrap/>
            <w:vAlign w:val="center"/>
          </w:tcPr>
          <w:p/>
        </w:tc>
        <w:tc>
          <w:tcPr>
            <w:tcW w:w="520" w:type="pct"/>
            <w:vMerge/>
            <w:tcBorders>
              <w:left w:val="nil"/>
              <w:bottom w:val="single" w:sz="4" w:space="0" w:color="000000"/>
              <w:right w:val="single" w:sz="8" w:space="0" w:color="000000"/>
            </w:tcBorders>
            <w:noWrap/>
            <w:vAlign w:val="center"/>
          </w:tc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    次</w:t>
            </w:r>
          </w:p>
        </w:tc>
        <w:tc>
          <w:tcPr>
            <w:tcW w:w="266"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60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1</w:t>
            </w: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    次</w:t>
            </w:r>
          </w:p>
        </w:tc>
        <w:tc>
          <w:tcPr>
            <w:tcW w:w="266"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552"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2</w:t>
            </w:r>
          </w:p>
        </w:tc>
        <w:tc>
          <w:tcPr>
            <w:tcW w:w="52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3</w:t>
            </w:r>
          </w:p>
        </w:tc>
        <w:tc>
          <w:tcPr>
            <w:tcW w:w="52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4</w:t>
            </w:r>
          </w:p>
        </w:tc>
        <w:tc>
          <w:tcPr>
            <w:tcW w:w="520" w:type="pct"/>
            <w:tcBorders>
              <w:top w:val="nil"/>
              <w:left w:val="nil"/>
              <w:bottom w:val="single" w:sz="4" w:space="0" w:color="000000"/>
              <w:right w:val="single" w:sz="8"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5</w:t>
            </w: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10,951.93</w:t>
            </w: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一、一般公共服务支出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33</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1,067.41</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1,067.41</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二、政府性基金预算财政拨款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二、外交支出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34</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三、国有资本经营预算财政拨款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三、国防支出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35</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四、公共安全支出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36</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五、教育支出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37</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六、科学技术支出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38</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1,171.03</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1,171.03</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7</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七、文化旅游体育与传媒支出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39</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8</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八、社会保障和就业支出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40</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44.65</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44.65</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9</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九、卫生健康支出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41</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20.34</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20.34</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10</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十、节能环保支出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42</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3,808.59</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3,808.59</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11</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十一、城乡社区支出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43</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362.90</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362.90</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auto"/>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12</w:t>
            </w:r>
          </w:p>
        </w:tc>
        <w:tc>
          <w:tcPr>
            <w:tcW w:w="609"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auto"/>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十二、农林水支出</w:t>
            </w:r>
          </w:p>
        </w:tc>
        <w:tc>
          <w:tcPr>
            <w:tcW w:w="266"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44</w:t>
            </w:r>
          </w:p>
        </w:tc>
        <w:tc>
          <w:tcPr>
            <w:tcW w:w="552" w:type="pct"/>
            <w:gridSpan w:val="2"/>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4,266.82</w:t>
            </w:r>
          </w:p>
        </w:tc>
        <w:tc>
          <w:tcPr>
            <w:tcW w:w="520"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4,266.82</w:t>
            </w:r>
          </w:p>
        </w:tc>
        <w:tc>
          <w:tcPr>
            <w:tcW w:w="520"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auto"/>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13</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十三、交通运输支出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14</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十四、资源勘探工业信息等支出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46</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15</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十五、商业服务业等支出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47</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16</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十六、金融支出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48</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17</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十七、援助其他地区支出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49</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18</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十八、自然资源海洋气象等支出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50</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19</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十九、住房保障支出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51</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35.95</w:t>
            </w: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35.95</w:t>
            </w: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20</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二十、粮油物资储备支出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52</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174.26</w:t>
            </w: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174.26</w:t>
            </w: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21</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二十一、国有资本经营预算支出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53</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22</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二十二、灾害防治及应急管理支出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54</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23</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二十三、其他支出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24</w:t>
            </w:r>
          </w:p>
        </w:tc>
        <w:tc>
          <w:tcPr>
            <w:tcW w:w="609"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二十四、债务还本支出</w:t>
            </w:r>
          </w:p>
        </w:tc>
        <w:tc>
          <w:tcPr>
            <w:tcW w:w="266"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56</w:t>
            </w:r>
          </w:p>
        </w:tc>
        <w:tc>
          <w:tcPr>
            <w:tcW w:w="552" w:type="pct"/>
            <w:gridSpan w:val="2"/>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center"/>
              <w:rPr>
                <w:rFonts w:ascii="宋体" w:eastAsia="宋体" w:cs="宋体" w:hAnsi="宋体" w:hint="eastAsia"/>
                <w:b/>
                <w:bCs/>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25</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二十五、债务付息支出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57</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26</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二十六、抗疫特别国债安排的支出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58</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本年收入合计</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27</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12,851.93</w:t>
            </w: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本年支出合计</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59</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12,851.93</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10,951.93</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年初财政拨款结转和结余</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28</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年末财政拨款结转和结余</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60</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both"/>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both"/>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29</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61</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lef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二、政府性基金预算财政拨款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30</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62</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lef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三、国有资本经营预算财政拨款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31</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63</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lef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8"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6" w:type="pct"/>
            <w:tcBorders>
              <w:top w:val="nil"/>
              <w:left w:val="nil"/>
              <w:bottom w:val="single" w:sz="8"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32</w:t>
            </w:r>
          </w:p>
        </w:tc>
        <w:tc>
          <w:tcPr>
            <w:tcW w:w="609" w:type="pct"/>
            <w:tcBorders>
              <w:top w:val="nil"/>
              <w:left w:val="nil"/>
              <w:bottom w:val="single" w:sz="8"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12,851.93</w:t>
            </w:r>
          </w:p>
        </w:tc>
        <w:tc>
          <w:tcPr>
            <w:tcW w:w="895" w:type="pct"/>
            <w:gridSpan w:val="2"/>
            <w:tcBorders>
              <w:top w:val="nil"/>
              <w:left w:val="nil"/>
              <w:bottom w:val="single" w:sz="8"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6" w:type="pct"/>
            <w:tcBorders>
              <w:top w:val="nil"/>
              <w:left w:val="nil"/>
              <w:bottom w:val="single" w:sz="8"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64</w:t>
            </w:r>
          </w:p>
        </w:tc>
        <w:tc>
          <w:tcPr>
            <w:tcW w:w="552" w:type="pct"/>
            <w:gridSpan w:val="2"/>
            <w:tcBorders>
              <w:top w:val="nil"/>
              <w:left w:val="nil"/>
              <w:bottom w:val="single" w:sz="8"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12,851.93</w:t>
            </w:r>
          </w:p>
        </w:tc>
        <w:tc>
          <w:tcPr>
            <w:tcW w:w="520" w:type="pct"/>
            <w:tcBorders>
              <w:top w:val="nil"/>
              <w:left w:val="nil"/>
              <w:bottom w:val="single" w:sz="8" w:space="0" w:color="000000"/>
              <w:right w:val="single" w:sz="4" w:space="0" w:color="000000"/>
            </w:tcBorders>
            <w:noWrap/>
            <w:vAlign w:val="center"/>
          </w:tcPr>
          <w:p>
            <w:pPr>
              <w:jc w:val="right"/>
              <w:rPr>
                <w:rFonts w:ascii="Times New Roman" w:cs="Times New Roman" w:hAnsi="Times New Roman"/>
                <w:sz w:val="20"/>
                <w:szCs w:val="20"/>
                <w:highlight w:val="auto"/>
              </w:rPr>
            </w:pPr>
          </w:p>
          <w:p>
            <w:pPr>
              <w:jc w:val="right"/>
              <w:rPr>
                <w:rFonts w:ascii="Times New Roman" w:cs="Times New Roman" w:hAnsi="Times New Roman"/>
                <w:sz w:val="20"/>
                <w:szCs w:val="20"/>
                <w:highlight w:val="auto"/>
              </w:rPr>
            </w:pPr>
            <w:r>
              <w:rPr>
                <w:rFonts w:ascii="Times New Roman" w:cs="Times New Roman" w:hAnsi="Times New Roman"/>
                <w:sz w:val="20"/>
                <w:szCs w:val="20"/>
                <w:highlight w:val="auto"/>
              </w:rPr>
              <w:t>10,951.93</w:t>
            </w:r>
          </w:p>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8"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c>
          <w:tcPr>
            <w:tcW w:w="520" w:type="pct"/>
            <w:tcBorders>
              <w:top w:val="nil"/>
              <w:left w:val="nil"/>
              <w:bottom w:val="single" w:sz="8"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657" w:type="dxa"/>
        <w:tblW w:w="5348" w:type="pct"/>
        <w:tblBorders>
          <w:top w:val="none" w:sz="0" w:space="0" w:color="auto"/>
          <w:left w:val="none" w:sz="0" w:space="0" w:color="auto"/>
          <w:bottom w:val="none" w:sz="0" w:space="0" w:color="auto"/>
          <w:right w:val="none" w:sz="0" w:space="0" w:color="auto"/>
        </w:tblBorders>
        <w:tblCellMar>
          <w:top w:w="0" w:type="dxa"/>
          <w:left w:w="108" w:type="dxa"/>
          <w:bottom w:w="0" w:type="dxa"/>
          <w:right w:w="108" w:type="dxa"/>
        </w:tblCellMar>
      </w:tblPr>
      <w:tblGrid>
        <w:gridCol w:w="1211"/>
        <w:gridCol w:w="1302"/>
        <w:gridCol w:w="700"/>
        <w:gridCol w:w="1295"/>
        <w:gridCol w:w="1355"/>
        <w:gridCol w:w="640"/>
        <w:gridCol w:w="2097"/>
      </w:tblGrid>
      <w:tr>
        <w:trPr>
          <w:trHeight w:val="657"/>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一般公共预算财政拨款支出决算表</w:t>
            </w:r>
          </w:p>
        </w:tc>
      </w:tr>
      <w:tr>
        <w:trPr>
          <w:trHeight w:val="329"/>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方正仿宋_GB2312" w:cs="Times New Roman" w:hAnsi="Times New Roman"/>
                <w:i w:val="0"/>
                <w:iCs w:val="0"/>
                <w:color w:val="000000"/>
                <w:kern w:val="0"/>
                <w:sz w:val="20"/>
                <w:szCs w:val="20"/>
                <w:u w:val="none"/>
                <w:lang w:val="en-US" w:eastAsia="zh-CN"/>
                <w:highlight w:val="auto"/>
              </w:rPr>
              <w:t>05</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29"/>
        </w:trPr>
        <w:tc>
          <w:tcPr>
            <w:tcW w:w="1868" w:type="pct"/>
            <w:gridSpan w:val="3"/>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编制部门（单位）：行唐县发展和改革局（本级）</w:t>
            </w:r>
          </w:p>
        </w:tc>
        <w:tc>
          <w:tcPr>
            <w:tcW w:w="1541" w:type="pct"/>
            <w:gridSpan w:val="2"/>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i w:val="0"/>
                <w:iCs w:val="0"/>
                <w:color w:val="000000"/>
                <w:kern w:val="0"/>
                <w:sz w:val="20"/>
                <w:szCs w:val="20"/>
                <w:u w:val="none"/>
                <w:lang w:val="en-US" w:eastAsia="zh-CN"/>
                <w:highlight w:val="auto"/>
              </w:rPr>
            </w:pPr>
            <w:r>
              <w:rPr>
                <w:rFonts w:ascii="Times New Roman" w:cs="Times New Roman" w:hAnsi="Times New Roman"/>
                <w:i w:val="0"/>
                <w:iCs w:val="0"/>
                <w:color w:val="000000"/>
                <w:kern w:val="0"/>
                <w:sz w:val="20"/>
                <w:szCs w:val="20"/>
                <w:u w:val="none"/>
                <w:lang w:val="en-US" w:eastAsia="zh-CN"/>
                <w:highlight w:val="auto"/>
              </w:rPr>
              <w:t>202</w:t>
            </w:r>
            <w:r>
              <w:rPr>
                <w:rFonts w:ascii="Times New Roman"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590" w:type="pct"/>
            <w:gridSpan w:val="2"/>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510"/>
        </w:trPr>
        <w:tc>
          <w:tcPr>
            <w:tcW w:w="14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3538" w:type="pct"/>
            <w:gridSpan w:val="5"/>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本年支出</w:t>
            </w:r>
          </w:p>
        </w:tc>
      </w:tr>
      <w:tr>
        <w:trPr>
          <w:trHeight w:val="369"/>
        </w:trPr>
        <w:tc>
          <w:tcPr>
            <w:tcW w:w="704" w:type="pct"/>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科目代码</w:t>
            </w:r>
          </w:p>
        </w:tc>
        <w:tc>
          <w:tcPr>
            <w:tcW w:w="756" w:type="pct"/>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1160" w:type="pct"/>
            <w:gridSpan w:val="2"/>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小计</w:t>
            </w:r>
          </w:p>
        </w:tc>
        <w:tc>
          <w:tcPr>
            <w:tcW w:w="1160" w:type="pct"/>
            <w:gridSpan w:val="2"/>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基本支出</w:t>
            </w:r>
          </w:p>
        </w:tc>
        <w:tc>
          <w:tcPr>
            <w:tcW w:w="1218" w:type="pct"/>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项目支出</w:t>
            </w:r>
          </w:p>
        </w:tc>
      </w:tr>
      <w:tr>
        <w:trPr>
          <w:trHeight w:val="346"/>
        </w:trPr>
        <w:tc>
          <w:tcPr>
            <w:tcW w:w="704" w:type="pct"/>
            <w:vMerge/>
            <w:tcBorders>
              <w:top w:val="single" w:sz="4" w:space="0" w:color="auto"/>
              <w:left w:val="single" w:sz="4" w:space="0" w:color="auto"/>
              <w:bottom w:val="single" w:sz="4" w:space="0" w:color="auto"/>
              <w:right w:val="single" w:sz="4" w:space="0" w:color="auto"/>
            </w:tcBorders>
            <w:noWrap/>
            <w:vAlign w:val="center"/>
          </w:tcPr>
          <w:p/>
        </w:tc>
        <w:tc>
          <w:tcPr>
            <w:tcW w:w="756" w:type="pct"/>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218" w:type="pct"/>
            <w:vMerge/>
            <w:tcBorders>
              <w:top w:val="single" w:sz="4" w:space="0" w:color="auto"/>
              <w:left w:val="single" w:sz="4" w:space="0" w:color="auto"/>
              <w:bottom w:val="single" w:sz="4" w:space="0" w:color="auto"/>
              <w:right w:val="single" w:sz="4" w:space="0" w:color="auto"/>
            </w:tcBorders>
            <w:noWrap/>
            <w:vAlign w:val="center"/>
          </w:tcPr>
          <w:p/>
        </w:tc>
      </w:tr>
      <w:tr>
        <w:trPr>
          <w:trHeight w:val="369"/>
        </w:trPr>
        <w:tc>
          <w:tcPr>
            <w:tcW w:w="704" w:type="pct"/>
            <w:vMerge/>
            <w:tcBorders>
              <w:top w:val="single" w:sz="4" w:space="0" w:color="auto"/>
              <w:left w:val="single" w:sz="4" w:space="0" w:color="auto"/>
              <w:bottom w:val="single" w:sz="4" w:space="0" w:color="auto"/>
              <w:right w:val="single" w:sz="4" w:space="0" w:color="auto"/>
            </w:tcBorders>
            <w:noWrap/>
            <w:vAlign w:val="center"/>
          </w:tcPr>
          <w:p/>
        </w:tc>
        <w:tc>
          <w:tcPr>
            <w:tcW w:w="756" w:type="pct"/>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218" w:type="pct"/>
            <w:vMerge/>
            <w:tcBorders>
              <w:top w:val="single" w:sz="4" w:space="0" w:color="auto"/>
              <w:left w:val="single" w:sz="4" w:space="0" w:color="auto"/>
              <w:bottom w:val="single" w:sz="4" w:space="0" w:color="auto"/>
              <w:right w:val="single" w:sz="4" w:space="0" w:color="auto"/>
            </w:tcBorders>
            <w:noWrap/>
            <w:vAlign w:val="center"/>
          </w:tcPr>
          <w:p/>
        </w:tc>
      </w:tr>
      <w:tr>
        <w:trPr>
          <w:trHeight w:val="369"/>
        </w:trPr>
        <w:tc>
          <w:tcPr>
            <w:tcW w:w="14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2</w:t>
            </w:r>
          </w:p>
        </w:tc>
        <w:tc>
          <w:tcPr>
            <w:tcW w:w="121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3</w:t>
            </w:r>
          </w:p>
        </w:tc>
      </w:tr>
      <w:tr>
        <w:trPr>
          <w:trHeight w:val="369"/>
        </w:trPr>
        <w:tc>
          <w:tcPr>
            <w:tcW w:w="14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10,951.93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658.29</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10,293.65</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一般公共服务支出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1,067.41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557.36</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510.05</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发展与改革事务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1,057.41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557.36</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500.05</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行政运行</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557.36</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500.05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500.05</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20199</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其他一般公共服务支出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2019999</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其他一般公共服务支出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科学技术支出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1,171.03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1,171.03</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科学技术管理事务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151.61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151.61</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139.82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139.82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2060199</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其他科学技术管理事务支出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11.79</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11.79</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基础研究</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2060299</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其他基础研究支出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20604</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技术研究与开发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2060404</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科技成果转化与扩散</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20605</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科技条件与服务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2060599</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其他科技条件与服务支出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20699</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其他科学技术支出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2069999</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其他科学技术支出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社会保障和就业支出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44.65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44.65</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行政事业单位养老支出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42.77</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42.77</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2080505</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机关事业单位基本养老保险缴费支出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42.77</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42.77</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财政对其他社会保险基金的补助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1.88</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1.88</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财政对失业保险基金的补助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0.69</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0.69</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财政对工伤保险基金的补助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1.19</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1.19</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卫生健康支出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20.34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20.34</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20.34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20.34</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2.34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2.34</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18.00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18.00</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节能环保支出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21103</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污染防治</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2110301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大气</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城乡社区支出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21203</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城乡社区公共设施</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2120303</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小城镇基础设施建设</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290.88</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290.88</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2120399</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其他城乡社区公共设施支出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72.02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72.02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农林水支出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21305</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巩固脱贫攻坚成果衔接乡村振兴</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2130504</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农村基础设施建设</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166.82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166.82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2130599</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其他巩固脱贫攻坚成果衔接乡村振兴支出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4,100.00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4,100.00</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住房保障支出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35.95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35.95</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住房改革支出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35.95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35.95</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住房公积金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35.95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35.95</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粮油物资储备支出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174.26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174.26</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粮油物资事务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2220115</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粮食风险基金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22204</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粮油储备</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2220402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储备粮油差价补贴</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r>
      <w:tr>
        <w:trPr>
          <w:trHeight w:val="661"/>
        </w:trPr>
        <w:tc>
          <w:tcPr>
            <w:tcW w:w="5000" w:type="pct"/>
            <w:gridSpan w:val="7"/>
            <w:tcBorders>
              <w:top w:val="single" w:sz="4" w:space="0" w:color="auto"/>
              <w:left w:val="nil"/>
              <w:bottom w:val="nil"/>
              <w:right w:val="nil"/>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1617" w:type="dxa"/>
        <w:tblW w:w="7050"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964"/>
        <w:gridCol w:w="1814"/>
        <w:gridCol w:w="1018"/>
        <w:gridCol w:w="964"/>
        <w:gridCol w:w="440"/>
        <w:gridCol w:w="1372"/>
        <w:gridCol w:w="589"/>
        <w:gridCol w:w="374"/>
        <w:gridCol w:w="964"/>
        <w:gridCol w:w="1816"/>
        <w:gridCol w:w="1023"/>
      </w:tblGrid>
      <w:tr>
        <w:trPr>
          <w:trHeight w:val="624"/>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一般公共预算财政拨款基本支出决算明细表</w:t>
            </w:r>
          </w:p>
        </w:tc>
      </w:tr>
      <w:tr>
        <w:trPr>
          <w:trHeight w:val="300"/>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公开</w:t>
            </w:r>
            <w:r>
              <w:rPr>
                <w:rFonts w:ascii="Times New Roman" w:eastAsia="方正仿宋_GB2312" w:cs="Times New Roman" w:hAnsi="Times New Roman"/>
                <w:i w:val="0"/>
                <w:iCs w:val="0"/>
                <w:color w:val="000000"/>
                <w:kern w:val="0"/>
                <w:sz w:val="18"/>
                <w:szCs w:val="18"/>
                <w:u w:val="none"/>
                <w:lang w:val="en-US" w:eastAsia="zh-CN"/>
                <w:highlight w:val="auto"/>
              </w:rPr>
              <w:t>06</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表</w:t>
            </w:r>
          </w:p>
        </w:tc>
      </w:tr>
      <w:tr>
        <w:trPr>
          <w:trHeight w:val="90"/>
        </w:trPr>
        <w:tc>
          <w:tcPr>
            <w:tcW w:w="2293" w:type="pct"/>
            <w:gridSpan w:val="5"/>
            <w:tcBorders>
              <w:top w:val="nil"/>
              <w:left w:val="nil"/>
              <w:bottom w:val="single" w:sz="4" w:space="0" w:color="auto"/>
              <w:right w:val="nil"/>
            </w:tcBorders>
            <w:noWrap/>
            <w:vAlign w:val="bottom"/>
          </w:tcPr>
          <w:p>
            <w:pPr>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部门（单位）：行唐县发展和改革局（本级） </w:t>
            </w:r>
            <w:r>
              <w:rPr>
                <w:rFonts w:ascii="宋体" w:cs="宋体" w:hint="eastAsia"/>
                <w:i w:val="0"/>
                <w:iCs w:val="0"/>
                <w:color w:val="000000"/>
                <w:kern w:val="0"/>
                <w:sz w:val="18"/>
                <w:szCs w:val="18"/>
                <w:u w:val="none"/>
                <w:lang w:val="en-US" w:eastAsia="zh-CN"/>
                <w:highlight w:val="auto"/>
              </w:rPr>
              <w:t xml:space="preserve">                                                                   </w:t>
            </w:r>
          </w:p>
        </w:tc>
        <w:tc>
          <w:tcPr>
            <w:tcW w:w="865" w:type="pct"/>
            <w:gridSpan w:val="2"/>
            <w:tcBorders>
              <w:top w:val="nil"/>
              <w:left w:val="nil"/>
              <w:bottom w:val="single" w:sz="4" w:space="0" w:color="auto"/>
              <w:right w:val="nil"/>
            </w:tcBorders>
            <w:noWrap/>
            <w:vAlign w:val="bottom"/>
          </w:tcPr>
          <w:p>
            <w:pPr>
              <w:jc w:val="center"/>
              <w:rPr>
                <w:rFonts w:ascii="宋体" w:eastAsia="宋体" w:cs="宋体"/>
                <w:i w:val="0"/>
                <w:iCs w:val="0"/>
                <w:color w:val="000000"/>
                <w:kern w:val="0"/>
                <w:sz w:val="18"/>
                <w:szCs w:val="18"/>
                <w:u w:val="none"/>
                <w:lang w:val="en-US" w:eastAsia="zh-CN"/>
                <w:highlight w:val="auto"/>
              </w:rPr>
            </w:pPr>
            <w:r>
              <w:rPr>
                <w:rFonts w:ascii="宋体" w:cs="宋体" w:hint="eastAsia"/>
                <w:i w:val="0"/>
                <w:iCs w:val="0"/>
                <w:color w:val="000000"/>
                <w:kern w:val="0"/>
                <w:sz w:val="18"/>
                <w:szCs w:val="18"/>
                <w:u w:val="none"/>
                <w:lang w:val="en-US" w:eastAsia="zh-CN"/>
                <w:highlight w:val="auto"/>
              </w:rPr>
              <w:t>2024</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年度</w:t>
            </w:r>
          </w:p>
        </w:tc>
        <w:tc>
          <w:tcPr>
            <w:tcW w:w="1841" w:type="pct"/>
            <w:gridSpan w:val="4"/>
            <w:tcBorders>
              <w:top w:val="nil"/>
              <w:left w:val="nil"/>
              <w:bottom w:val="single" w:sz="4" w:space="0" w:color="auto"/>
              <w:right w:val="nil"/>
            </w:tcBorders>
            <w:noWrap/>
            <w:vAlign w:val="bottom"/>
          </w:tcPr>
          <w:p>
            <w:pPr>
              <w:jc w:val="right"/>
              <w:rPr>
                <w:rFonts w:ascii="宋体" w:eastAsia="宋体" w:cs="宋体"/>
                <w:i w:val="0"/>
                <w:iCs w:val="0"/>
                <w:color w:val="000000"/>
                <w:kern w:val="0"/>
                <w:sz w:val="18"/>
                <w:szCs w:val="18"/>
                <w:u w:val="none"/>
                <w:lang w:val="en-US" w:eastAsia="zh-CN"/>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金额单位：万元</w:t>
            </w:r>
          </w:p>
        </w:tc>
      </w:tr>
      <w:tr>
        <w:trPr>
          <w:trHeight w:val="510"/>
        </w:trPr>
        <w:tc>
          <w:tcPr>
            <w:tcW w:w="1674" w:type="pct"/>
            <w:gridSpan w:val="3"/>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人员经费</w:t>
            </w:r>
          </w:p>
        </w:tc>
        <w:tc>
          <w:tcPr>
            <w:tcW w:w="3325" w:type="pct"/>
            <w:gridSpan w:val="8"/>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公用经费</w:t>
            </w: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lang w:val="en-US"/>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lang w:val="en-US" w:eastAsia="zh-CN"/>
                <w:highlight w:val="auto"/>
              </w:rPr>
            </w:pPr>
            <w:r>
              <w:rPr>
                <w:rFonts w:ascii="方正仿宋_GB2312" w:eastAsia="方正仿宋_GB2312" w:cs="方正仿宋_GB2312" w:hAnsi="方正仿宋_GB2312" w:hint="eastAsia"/>
                <w:i w:val="0"/>
                <w:iCs w:val="0"/>
                <w:color w:val="000000"/>
                <w:sz w:val="18"/>
                <w:szCs w:val="18"/>
                <w:u w:val="none"/>
                <w:lang w:val="en-US" w:eastAsia="zh-CN"/>
                <w:highlight w:val="auto"/>
              </w:rPr>
              <w:t>科目代码</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科目名称</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lang w:val="en-US" w:eastAsia="zh-CN"/>
                <w:highlight w:val="auto"/>
              </w:rPr>
            </w:pPr>
            <w:r>
              <w:rPr>
                <w:rFonts w:ascii="方正仿宋_GB2312" w:eastAsia="方正仿宋_GB2312" w:cs="方正仿宋_GB2312" w:hAnsi="方正仿宋_GB2312" w:hint="eastAsia"/>
                <w:i w:val="0"/>
                <w:iCs w:val="0"/>
                <w:color w:val="000000"/>
                <w:sz w:val="18"/>
                <w:szCs w:val="18"/>
                <w:u w:val="none"/>
                <w:lang w:val="en-US" w:eastAsia="zh-CN"/>
                <w:highlight w:val="auto"/>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w:t>
            </w: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484.53</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31.35</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债务利息及费用支出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基本工资</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124.35</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办公费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3.38</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30701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国内债务付息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津贴补贴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57.30</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印刷费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1.74</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30702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国外债务付息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奖金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130.77</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咨询费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30106</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伙食补助费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手续费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房屋建筑物购建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绩效工资</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71.18</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水费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0.05</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办公设备购置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30108</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机关事业单位基本养老保险缴费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42.77</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0.46</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专用设备购置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职业年金缴费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邮电费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0.62</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31005</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基础设施建设</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职工基本医疗保险缴费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20.34</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取暖费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2.54</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31006</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大型修缮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公务员医疗补助缴费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物业管理费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信息网络及软件购置更新</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其他社会保障缴费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1.88</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差旅费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0.61</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31008</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物资储备</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住房公积金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35.95</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因公出国（境）费用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土地补偿</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30114</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医疗费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维修（护）费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0.30</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安置补助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租赁费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地上附着物和青苗补偿</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142.41</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会议费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拆迁补偿</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离休费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10.82</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培训费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退休费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102.67</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公务接待费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其他交通工具购置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退职（役）费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专用材料费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31021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文物和陈列品购置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30304</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抚恤金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18.64</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被装购置费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31022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无形资产购置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30305</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生活补助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10.27</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专用燃料费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30306</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救济费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劳务费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医疗费补助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委托业务费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资本金注入</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30308</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助学金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工会经费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0.05</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政府投资基金股权投资</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奖励金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福利费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31204</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费用补贴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个人农业生产补贴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30231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公务用车运行维护费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6.39</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31205</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利息补贴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30311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代缴社会保险费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30239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其他交通费用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14.87</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30240</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税金及附加费用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30299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0.34</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国家赔偿费用支出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39908</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对民间非营利组织和群众性自治组织补贴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39909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经常性赠与</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资本性赠与</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1225" w:type="pct"/>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宋体" w:cs="Times New Roman" w:hAnsi="Times New Roman"/>
                <w:sz w:val="18"/>
                <w:szCs w:val="18"/>
                <w:lang w:val="en-US" w:eastAsia="zh-CN"/>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人员经费合计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sz w:val="18"/>
                <w:szCs w:val="18"/>
                <w:highlight w:val="auto"/>
              </w:rPr>
            </w:pPr>
            <w:r>
              <w:rPr>
                <w:rFonts w:ascii="Times New Roman" w:eastAsia="宋体" w:cs="Times New Roman" w:hAnsi="Times New Roman"/>
                <w:sz w:val="18"/>
                <w:szCs w:val="18"/>
                <w:highlight w:val="auto"/>
              </w:rPr>
              <w:t>626.94</w:t>
            </w:r>
          </w:p>
        </w:tc>
        <w:tc>
          <w:tcPr>
            <w:tcW w:w="2875" w:type="pct"/>
            <w:gridSpan w:val="7"/>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公用经费合计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eastAsia="宋体" w:cs="Times New Roman" w:hAnsi="Times New Roman"/>
                <w:sz w:val="18"/>
                <w:szCs w:val="18"/>
                <w:highlight w:val="auto"/>
              </w:rPr>
              <w:t>31.35</w:t>
            </w:r>
          </w:p>
        </w:tc>
      </w:tr>
      <w:tr>
        <w:trPr>
          <w:trHeight w:val="510"/>
        </w:trPr>
        <w:tc>
          <w:tcPr>
            <w:tcW w:w="5000" w:type="pct"/>
            <w:gridSpan w:val="11"/>
            <w:tcBorders>
              <w:top w:val="single" w:sz="4" w:space="0" w:color="auto"/>
              <w:left w:val="nil"/>
              <w:bottom w:val="nil"/>
              <w:right w:val="nil"/>
            </w:tcBorders>
            <w:noWrap/>
            <w:vAlign w:val="center"/>
          </w:tcPr>
          <w:p>
            <w:pPr>
              <w:keepNext w:val="0"/>
              <w:keepLines w:val="0"/>
              <w:widowControl/>
              <w:suppressLineNumbers w:val="0"/>
              <w:jc w:val="left"/>
              <w:textAlignment w:val="center"/>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1404" w:type="dxa"/>
        <w:tblW w:w="6517"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trPr>
          <w:trHeight w:val="550"/>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政府性基金预算财政拨款收入支出决算表</w:t>
            </w:r>
          </w:p>
        </w:tc>
      </w:tr>
      <w:tr>
        <w:trPr>
          <w:trHeight w:val="90"/>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宋体" w:cs="Times New Roman" w:hAnsi="Times New Roman"/>
                <w:i w:val="0"/>
                <w:iCs w:val="0"/>
                <w:color w:val="000000"/>
                <w:kern w:val="0"/>
                <w:sz w:val="20"/>
                <w:szCs w:val="20"/>
                <w:u w:val="none"/>
                <w:lang w:val="en-US" w:eastAsia="zh-CN"/>
                <w:highlight w:val="auto"/>
              </w:rPr>
              <w:t>07</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1927" w:type="pct"/>
            <w:gridSpan w:val="3"/>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部门（单位）：行唐县发展和改革局（本级） </w:t>
            </w:r>
            <w:r>
              <w:rPr>
                <w:rFonts w:ascii="宋体" w:eastAsia="宋体" w:cs="宋体" w:hAnsi="宋体" w:hint="eastAsia"/>
                <w:i w:val="0"/>
                <w:iCs w:val="0"/>
                <w:color w:val="000000"/>
                <w:kern w:val="0"/>
                <w:sz w:val="20"/>
                <w:szCs w:val="20"/>
                <w:u w:val="none"/>
                <w:lang w:val="en-US" w:eastAsia="zh-CN"/>
                <w:highlight w:val="auto"/>
              </w:rPr>
              <w:t xml:space="preserve">                                                                                     </w:t>
            </w:r>
          </w:p>
        </w:tc>
        <w:tc>
          <w:tcPr>
            <w:tcW w:w="1217" w:type="pct"/>
            <w:gridSpan w:val="3"/>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Ansi="宋体"/>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202</w:t>
            </w:r>
            <w:r>
              <w:rPr>
                <w:rFonts w:ascii="Times New Roman" w:eastAsia="宋体"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854" w:type="pct"/>
            <w:gridSpan w:val="3"/>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Ansi="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308"/>
        </w:trPr>
        <w:tc>
          <w:tcPr>
            <w:tcW w:w="1304" w:type="pct"/>
            <w:gridSpan w:val="2"/>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623"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年初结转和结余</w:t>
            </w:r>
          </w:p>
        </w:tc>
        <w:tc>
          <w:tcPr>
            <w:tcW w:w="489"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本年收入</w:t>
            </w:r>
          </w:p>
        </w:tc>
        <w:tc>
          <w:tcPr>
            <w:tcW w:w="1609" w:type="pct"/>
            <w:gridSpan w:val="4"/>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本年支出</w:t>
            </w:r>
          </w:p>
        </w:tc>
        <w:tc>
          <w:tcPr>
            <w:tcW w:w="973" w:type="pct"/>
            <w:vMerge w:val="restart"/>
            <w:tcBorders>
              <w:top w:val="single" w:sz="4" w:space="0" w:color="auto"/>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年末结转和结余</w:t>
            </w:r>
          </w:p>
        </w:tc>
      </w:tr>
      <w:tr>
        <w:trPr>
          <w:trHeight w:val="312"/>
        </w:trPr>
        <w:tc>
          <w:tcPr>
            <w:tcW w:w="601"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703"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623" w:type="pct"/>
            <w:vMerge/>
            <w:tcBorders>
              <w:top w:val="single" w:sz="4" w:space="0" w:color="000000"/>
              <w:left w:val="nil"/>
              <w:bottom w:val="single" w:sz="4" w:space="0" w:color="000000"/>
              <w:right w:val="single" w:sz="4" w:space="0" w:color="000000"/>
            </w:tcBorders>
            <w:noWrap/>
            <w:vAlign w:val="center"/>
          </w:tcPr>
          <w:p/>
        </w:tc>
        <w:tc>
          <w:tcPr>
            <w:tcW w:w="489" w:type="pct"/>
            <w:vMerge/>
            <w:tcBorders>
              <w:top w:val="single" w:sz="4" w:space="0" w:color="000000"/>
              <w:left w:val="nil"/>
              <w:bottom w:val="single" w:sz="4" w:space="0" w:color="000000"/>
              <w:right w:val="single" w:sz="4" w:space="0" w:color="000000"/>
            </w:tcBorders>
            <w:noWrap/>
            <w:vAlign w:val="center"/>
          </w:tcPr>
          <w:p/>
        </w:tc>
        <w:tc>
          <w:tcPr>
            <w:tcW w:w="528"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小计</w:t>
            </w:r>
          </w:p>
        </w:tc>
        <w:tc>
          <w:tcPr>
            <w:tcW w:w="534" w:type="pct"/>
            <w:gridSpan w:val="2"/>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基本支出</w:t>
            </w:r>
          </w:p>
        </w:tc>
        <w:tc>
          <w:tcPr>
            <w:tcW w:w="546"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项目支出</w:t>
            </w:r>
          </w:p>
        </w:tc>
        <w:tc>
          <w:tcPr>
            <w:tcW w:w="973" w:type="pct"/>
            <w:vMerge/>
            <w:tcBorders>
              <w:left w:val="nil"/>
              <w:right w:val="single" w:sz="4" w:space="0" w:color="000000"/>
            </w:tcBorders>
            <w:noWrap/>
            <w:vAlign w:val="center"/>
          </w:tcPr>
          <w:p/>
        </w:tc>
      </w:tr>
      <w:tr>
        <w:trPr>
          <w:trHeight w:val="312"/>
        </w:trPr>
        <w:tc>
          <w:tcPr>
            <w:tcW w:w="601" w:type="pct"/>
            <w:vMerge/>
            <w:tcBorders>
              <w:top w:val="nil"/>
              <w:left w:val="single" w:sz="4" w:space="0" w:color="000000"/>
              <w:bottom w:val="single" w:sz="4" w:space="0" w:color="000000"/>
              <w:right w:val="single" w:sz="4" w:space="0" w:color="000000"/>
            </w:tcBorders>
            <w:noWrap/>
            <w:vAlign w:val="center"/>
          </w:tcPr>
          <w:p/>
        </w:tc>
        <w:tc>
          <w:tcPr>
            <w:tcW w:w="703" w:type="pct"/>
            <w:vMerge/>
            <w:tcBorders>
              <w:top w:val="nil"/>
              <w:left w:val="nil"/>
              <w:bottom w:val="single" w:sz="4" w:space="0" w:color="000000"/>
              <w:right w:val="single" w:sz="4" w:space="0" w:color="000000"/>
            </w:tcBorders>
            <w:noWrap/>
            <w:vAlign w:val="center"/>
          </w:tcPr>
          <w:p/>
        </w:tc>
        <w:tc>
          <w:tcPr>
            <w:tcW w:w="623" w:type="pct"/>
            <w:vMerge/>
            <w:tcBorders>
              <w:top w:val="single" w:sz="4" w:space="0" w:color="000000"/>
              <w:left w:val="nil"/>
              <w:bottom w:val="single" w:sz="4" w:space="0" w:color="000000"/>
              <w:right w:val="single" w:sz="4" w:space="0" w:color="000000"/>
            </w:tcBorders>
            <w:noWrap/>
            <w:vAlign w:val="center"/>
          </w:tcPr>
          <w:p/>
        </w:tc>
        <w:tc>
          <w:tcPr>
            <w:tcW w:w="489" w:type="pct"/>
            <w:vMerge/>
            <w:tcBorders>
              <w:top w:val="single" w:sz="4" w:space="0" w:color="000000"/>
              <w:left w:val="nil"/>
              <w:bottom w:val="single" w:sz="4" w:space="0" w:color="000000"/>
              <w:right w:val="single" w:sz="4" w:space="0" w:color="000000"/>
            </w:tcBorders>
            <w:noWrap/>
            <w:vAlign w:val="center"/>
          </w:tcPr>
          <w:p/>
        </w:tc>
        <w:tc>
          <w:tcPr>
            <w:tcW w:w="528" w:type="pct"/>
            <w:vMerge/>
            <w:tcBorders>
              <w:top w:val="nil"/>
              <w:left w:val="nil"/>
              <w:bottom w:val="single" w:sz="4" w:space="0" w:color="000000"/>
              <w:right w:val="single" w:sz="4" w:space="0" w:color="000000"/>
            </w:tcBorders>
            <w:noWrap/>
            <w:vAlign w:val="center"/>
          </w:tcPr>
          <w:p/>
        </w:tc>
        <w:tc>
          <w:tcPr>
            <w:tcW w:w="534" w:type="pct"/>
            <w:gridSpan w:val="2"/>
            <w:vMerge/>
            <w:tcBorders>
              <w:top w:val="nil"/>
              <w:left w:val="nil"/>
              <w:bottom w:val="single" w:sz="4" w:space="0" w:color="000000"/>
              <w:right w:val="single" w:sz="4" w:space="0" w:color="000000"/>
            </w:tcBorders>
            <w:noWrap/>
            <w:vAlign w:val="center"/>
          </w:tcPr>
          <w:p/>
        </w:tc>
        <w:tc>
          <w:tcPr>
            <w:tcW w:w="546" w:type="pct"/>
            <w:vMerge/>
            <w:tcBorders>
              <w:top w:val="nil"/>
              <w:left w:val="nil"/>
              <w:bottom w:val="single" w:sz="4" w:space="0" w:color="000000"/>
              <w:right w:val="single" w:sz="4" w:space="0" w:color="000000"/>
            </w:tcBorders>
            <w:noWrap/>
            <w:vAlign w:val="center"/>
          </w:tcPr>
          <w:p/>
        </w:tc>
        <w:tc>
          <w:tcPr>
            <w:tcW w:w="973" w:type="pct"/>
            <w:vMerge/>
            <w:tcBorders>
              <w:left w:val="nil"/>
              <w:right w:val="single" w:sz="4" w:space="0" w:color="000000"/>
            </w:tcBorders>
            <w:noWrap/>
            <w:vAlign w:val="center"/>
          </w:tcPr>
          <w:p/>
        </w:tc>
      </w:tr>
      <w:tr>
        <w:trPr>
          <w:trHeight w:val="312"/>
        </w:trPr>
        <w:tc>
          <w:tcPr>
            <w:tcW w:w="601" w:type="pct"/>
            <w:vMerge/>
            <w:tcBorders>
              <w:top w:val="nil"/>
              <w:left w:val="single" w:sz="4" w:space="0" w:color="000000"/>
              <w:bottom w:val="single" w:sz="4" w:space="0" w:color="auto"/>
              <w:right w:val="single" w:sz="4" w:space="0" w:color="000000"/>
            </w:tcBorders>
            <w:noWrap/>
            <w:vAlign w:val="center"/>
          </w:tcPr>
          <w:p/>
        </w:tc>
        <w:tc>
          <w:tcPr>
            <w:tcW w:w="703" w:type="pct"/>
            <w:vMerge/>
            <w:tcBorders>
              <w:top w:val="nil"/>
              <w:left w:val="nil"/>
              <w:bottom w:val="single" w:sz="4" w:space="0" w:color="auto"/>
              <w:right w:val="single" w:sz="4" w:space="0" w:color="000000"/>
            </w:tcBorders>
            <w:noWrap/>
            <w:vAlign w:val="center"/>
          </w:tcPr>
          <w:p/>
        </w:tc>
        <w:tc>
          <w:tcPr>
            <w:tcW w:w="623" w:type="pct"/>
            <w:vMerge/>
            <w:tcBorders>
              <w:top w:val="single" w:sz="4" w:space="0" w:color="000000"/>
              <w:left w:val="nil"/>
              <w:bottom w:val="single" w:sz="4" w:space="0" w:color="000000"/>
              <w:right w:val="single" w:sz="4" w:space="0" w:color="000000"/>
            </w:tcBorders>
            <w:noWrap/>
            <w:vAlign w:val="center"/>
          </w:tcPr>
          <w:p/>
        </w:tc>
        <w:tc>
          <w:tcPr>
            <w:tcW w:w="489" w:type="pct"/>
            <w:vMerge/>
            <w:tcBorders>
              <w:top w:val="single" w:sz="4" w:space="0" w:color="000000"/>
              <w:left w:val="nil"/>
              <w:bottom w:val="single" w:sz="4" w:space="0" w:color="000000"/>
              <w:right w:val="single" w:sz="4" w:space="0" w:color="000000"/>
            </w:tcBorders>
            <w:noWrap/>
            <w:vAlign w:val="center"/>
          </w:tcPr>
          <w:p/>
        </w:tc>
        <w:tc>
          <w:tcPr>
            <w:tcW w:w="528" w:type="pct"/>
            <w:vMerge/>
            <w:tcBorders>
              <w:top w:val="nil"/>
              <w:left w:val="nil"/>
              <w:bottom w:val="single" w:sz="4" w:space="0" w:color="000000"/>
              <w:right w:val="single" w:sz="4" w:space="0" w:color="000000"/>
            </w:tcBorders>
            <w:noWrap/>
            <w:vAlign w:val="center"/>
          </w:tcPr>
          <w:p/>
        </w:tc>
        <w:tc>
          <w:tcPr>
            <w:tcW w:w="534" w:type="pct"/>
            <w:gridSpan w:val="2"/>
            <w:vMerge/>
            <w:tcBorders>
              <w:top w:val="nil"/>
              <w:left w:val="nil"/>
              <w:bottom w:val="single" w:sz="4" w:space="0" w:color="000000"/>
              <w:right w:val="single" w:sz="4" w:space="0" w:color="000000"/>
            </w:tcBorders>
            <w:noWrap/>
            <w:vAlign w:val="center"/>
          </w:tcPr>
          <w:p/>
        </w:tc>
        <w:tc>
          <w:tcPr>
            <w:tcW w:w="546" w:type="pct"/>
            <w:vMerge/>
            <w:tcBorders>
              <w:top w:val="nil"/>
              <w:left w:val="nil"/>
              <w:bottom w:val="single" w:sz="4" w:space="0" w:color="000000"/>
              <w:right w:val="single" w:sz="4" w:space="0" w:color="000000"/>
            </w:tcBorders>
            <w:noWrap/>
            <w:vAlign w:val="center"/>
          </w:tcPr>
          <w:p/>
        </w:tc>
        <w:tc>
          <w:tcPr>
            <w:tcW w:w="973" w:type="pct"/>
            <w:vMerge/>
            <w:tcBorders>
              <w:left w:val="nil"/>
              <w:bottom w:val="single" w:sz="4" w:space="0" w:color="000000"/>
              <w:right w:val="single" w:sz="4" w:space="0" w:color="000000"/>
            </w:tcBorders>
            <w:noWrap/>
            <w:vAlign w:val="center"/>
          </w:tcPr>
          <w:p/>
        </w:tc>
      </w:tr>
      <w:tr>
        <w:trPr>
          <w:trHeight w:val="308"/>
        </w:trPr>
        <w:tc>
          <w:tcPr>
            <w:tcW w:w="1304"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623" w:type="pct"/>
            <w:tcBorders>
              <w:top w:val="nil"/>
              <w:left w:val="single" w:sz="4" w:space="0" w:color="auto"/>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1</w:t>
            </w:r>
          </w:p>
        </w:tc>
        <w:tc>
          <w:tcPr>
            <w:tcW w:w="48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2</w:t>
            </w:r>
          </w:p>
        </w:tc>
        <w:tc>
          <w:tcPr>
            <w:tcW w:w="52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3</w:t>
            </w:r>
          </w:p>
        </w:tc>
        <w:tc>
          <w:tcPr>
            <w:tcW w:w="534"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4</w:t>
            </w:r>
          </w:p>
        </w:tc>
        <w:tc>
          <w:tcPr>
            <w:tcW w:w="54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5</w:t>
            </w:r>
          </w:p>
        </w:tc>
        <w:tc>
          <w:tcPr>
            <w:tcW w:w="97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lang w:val="en-US" w:eastAsia="zh-CN"/>
                <w:highlight w:val="auto"/>
              </w:rPr>
            </w:pPr>
            <w:r>
              <w:rPr>
                <w:rFonts w:ascii="Times New Roman" w:eastAsia="方正仿宋_GB2312" w:cs="Times New Roman" w:hAnsi="Times New Roman"/>
                <w:i w:val="0"/>
                <w:iCs w:val="0"/>
                <w:color w:val="000000"/>
                <w:sz w:val="20"/>
                <w:szCs w:val="20"/>
                <w:u w:val="none"/>
                <w:lang w:val="en-US" w:eastAsia="zh-CN"/>
                <w:highlight w:val="auto"/>
              </w:rPr>
              <w:t>6</w:t>
            </w:r>
          </w:p>
        </w:tc>
      </w:tr>
      <w:tr>
        <w:trPr>
          <w:trHeight w:val="869"/>
        </w:trPr>
        <w:tc>
          <w:tcPr>
            <w:tcW w:w="1304"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623" w:type="pct"/>
            <w:tcBorders>
              <w:top w:val="nil"/>
              <w:left w:val="single" w:sz="4" w:space="0" w:color="auto"/>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1,900.00</w:t>
            </w:r>
          </w:p>
        </w:tc>
        <w:tc>
          <w:tcPr>
            <w:tcW w:w="52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1,900.00</w:t>
            </w:r>
          </w:p>
        </w:tc>
        <w:tc>
          <w:tcPr>
            <w:tcW w:w="534"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4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1,900.00</w:t>
            </w:r>
          </w:p>
        </w:tc>
        <w:tc>
          <w:tcPr>
            <w:tcW w:w="9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601"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229</w:t>
            </w:r>
          </w:p>
        </w:tc>
        <w:tc>
          <w:tcPr>
            <w:tcW w:w="703"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其他支出</w:t>
            </w:r>
          </w:p>
        </w:tc>
        <w:tc>
          <w:tcPr>
            <w:tcW w:w="62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52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534"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4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9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601"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22904</w:t>
            </w:r>
          </w:p>
        </w:tc>
        <w:tc>
          <w:tcPr>
            <w:tcW w:w="703"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其他政府性基金及对应专项债务收入安排的支出</w:t>
            </w:r>
          </w:p>
        </w:tc>
        <w:tc>
          <w:tcPr>
            <w:tcW w:w="62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52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534"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4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9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601"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2290402</w:t>
            </w:r>
          </w:p>
        </w:tc>
        <w:tc>
          <w:tcPr>
            <w:tcW w:w="703"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其他地方自行试点项目收益专项债券收入安排的支出</w:t>
            </w:r>
          </w:p>
        </w:tc>
        <w:tc>
          <w:tcPr>
            <w:tcW w:w="62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52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534"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4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9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9"/>
            <w:tcBorders>
              <w:top w:val="nil"/>
              <w:left w:val="nil"/>
              <w:bottom w:val="nil"/>
              <w:right w:val="nil"/>
            </w:tcBorders>
            <w:noWrap/>
            <w:vAlign w:val="center"/>
          </w:tcPr>
          <w:p>
            <w:pP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注：本表反映部门本年度政府性基金预算财政拨款收入、支出及结转和结余情况。</w:t>
              <w:br w:type="page"/>
            </w:r>
          </w:p>
        </w:tc>
      </w:tr>
    </w:tbl>
    <w:p>
      <w:pPr>
        <w:rPr>
          <w:rFonts w:ascii="仿宋_GB2312" w:eastAsia="仿宋_GB2312" w:hAnsi="宋体" w:hint="eastAsia"/>
          <w:b/>
          <w:color w:val="auto"/>
          <w:kern w:val="0"/>
          <w:sz w:val="32"/>
          <w:szCs w:val="32"/>
          <w:highlight w:val="auto"/>
        </w:rPr>
      </w:pPr>
    </w:p>
    <w:tbl>
      <w:tblPr>
        <w:jc w:val="left"/>
        <w:tblInd w:w="-976" w:type="dxa"/>
        <w:tblW w:w="5863"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2992"/>
        <w:gridCol w:w="730"/>
        <w:gridCol w:w="1297"/>
        <w:gridCol w:w="1331"/>
        <w:gridCol w:w="6"/>
        <w:gridCol w:w="45"/>
        <w:gridCol w:w="1280"/>
        <w:gridCol w:w="11"/>
        <w:gridCol w:w="1735"/>
      </w:tblGrid>
      <w:tr>
        <w:trPr>
          <w:trHeight w:val="550"/>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国有资本经营预算财政拨款支出决算表</w:t>
            </w:r>
          </w:p>
        </w:tc>
      </w:tr>
      <w:tr>
        <w:trPr>
          <w:trHeight w:val="300"/>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方正仿宋_GB2312" w:cs="Times New Roman" w:hAnsi="Times New Roman"/>
                <w:i w:val="0"/>
                <w:iCs w:val="0"/>
                <w:color w:val="000000"/>
                <w:kern w:val="0"/>
                <w:sz w:val="20"/>
                <w:szCs w:val="20"/>
                <w:u w:val="none"/>
                <w:lang w:val="en-US" w:eastAsia="zh-CN"/>
                <w:highlight w:val="auto"/>
              </w:rPr>
              <w:t>08</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1974" w:type="pct"/>
            <w:gridSpan w:val="2"/>
            <w:tcBorders>
              <w:top w:val="nil"/>
              <w:left w:val="nil"/>
              <w:bottom w:val="single" w:sz="4" w:space="0" w:color="auto"/>
              <w:right w:val="nil"/>
            </w:tcBorders>
            <w:noWrap/>
            <w:vAlign w:val="bottom"/>
          </w:tcPr>
          <w:p>
            <w:pPr>
              <w:keepNext w:val="0"/>
              <w:keepLines w:val="0"/>
              <w:widowControl/>
              <w:suppressLineNumbers w:val="0"/>
              <w:jc w:val="both"/>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部门（单位）：行唐县发展和改革局（本级）</w:t>
            </w:r>
          </w:p>
        </w:tc>
        <w:tc>
          <w:tcPr>
            <w:tcW w:w="1421" w:type="pct"/>
            <w:gridSpan w:val="4"/>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Ansi="宋体"/>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202</w:t>
            </w:r>
            <w:r>
              <w:rPr>
                <w:rFonts w:ascii="Times New Roman" w:eastAsia="宋体"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603" w:type="pct"/>
            <w:gridSpan w:val="3"/>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Ansi="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312"/>
        </w:trPr>
        <w:tc>
          <w:tcPr>
            <w:tcW w:w="2662" w:type="pct"/>
            <w:gridSpan w:val="3"/>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 项目</w:t>
            </w:r>
          </w:p>
        </w:tc>
        <w:tc>
          <w:tcPr>
            <w:tcW w:w="2337" w:type="pct"/>
            <w:gridSpan w:val="6"/>
            <w:vMerge w:val="restart"/>
            <w:tcBorders>
              <w:top w:val="single" w:sz="4" w:space="0" w:color="auto"/>
              <w:left w:val="single" w:sz="4" w:space="0" w:color="auto"/>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本年支出</w:t>
            </w:r>
          </w:p>
        </w:tc>
      </w:tr>
      <w:tr>
        <w:trPr>
          <w:trHeight w:val="312"/>
        </w:trPr>
        <w:tc>
          <w:tcPr>
            <w:tcW w:w="2662" w:type="pct"/>
            <w:gridSpan w:val="3"/>
            <w:vMerge/>
            <w:tcBorders>
              <w:top w:val="single" w:sz="4" w:space="0" w:color="auto"/>
              <w:left w:val="single" w:sz="4" w:space="0" w:color="auto"/>
              <w:bottom w:val="single" w:sz="4" w:space="0" w:color="auto"/>
              <w:right w:val="single" w:sz="4" w:space="0" w:color="auto"/>
            </w:tcBorders>
            <w:noWrap/>
            <w:vAlign w:val="center"/>
          </w:tcPr>
          <w:p/>
        </w:tc>
        <w:tc>
          <w:tcPr>
            <w:tcW w:w="2337" w:type="pct"/>
            <w:gridSpan w:val="6"/>
            <w:vMerge/>
            <w:tcBorders>
              <w:left w:val="single" w:sz="4" w:space="0" w:color="auto"/>
              <w:bottom w:val="single" w:sz="4" w:space="0" w:color="000000"/>
              <w:right w:val="single" w:sz="4" w:space="0" w:color="000000"/>
            </w:tcBorders>
            <w:noWrap/>
            <w:vAlign w:val="center"/>
          </w:tcPr>
          <w:p/>
        </w:tc>
      </w:tr>
      <w:tr>
        <w:trPr>
          <w:trHeight w:val="312"/>
        </w:trPr>
        <w:tc>
          <w:tcPr>
            <w:tcW w:w="1587" w:type="pct"/>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1074" w:type="pct"/>
            <w:gridSpan w:val="2"/>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科目名称</w:t>
            </w:r>
          </w:p>
        </w:tc>
        <w:tc>
          <w:tcPr>
            <w:tcW w:w="709" w:type="pct"/>
            <w:gridSpan w:val="2"/>
            <w:vMerge w:val="restart"/>
            <w:tcBorders>
              <w:top w:val="nil"/>
              <w:left w:val="single" w:sz="4" w:space="0" w:color="auto"/>
              <w:right w:val="single" w:sz="4" w:space="0" w:color="000000"/>
            </w:tcBorders>
            <w:noWrap/>
            <w:vAlign w:val="center"/>
          </w:tcPr>
          <w:p>
            <w:pPr>
              <w:jc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合计</w:t>
            </w:r>
          </w:p>
        </w:tc>
        <w:tc>
          <w:tcPr>
            <w:tcW w:w="709" w:type="pct"/>
            <w:gridSpan w:val="3"/>
            <w:vMerge w:val="restart"/>
            <w:tcBorders>
              <w:top w:val="nil"/>
              <w:left w:val="nil"/>
              <w:right w:val="single" w:sz="4" w:space="0" w:color="000000"/>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基本支出</w:t>
            </w:r>
          </w:p>
        </w:tc>
        <w:tc>
          <w:tcPr>
            <w:tcW w:w="919" w:type="pct"/>
            <w:vMerge w:val="restart"/>
            <w:tcBorders>
              <w:top w:val="nil"/>
              <w:left w:val="nil"/>
              <w:right w:val="single" w:sz="4" w:space="0" w:color="000000"/>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项目支出</w:t>
            </w:r>
          </w:p>
        </w:tc>
      </w:tr>
      <w:tr>
        <w:trPr>
          <w:trHeight w:val="312"/>
        </w:trPr>
        <w:tc>
          <w:tcPr>
            <w:tcW w:w="1587" w:type="pct"/>
            <w:vMerge/>
            <w:tcBorders>
              <w:top w:val="single" w:sz="4" w:space="0" w:color="auto"/>
              <w:left w:val="single" w:sz="4" w:space="0" w:color="auto"/>
              <w:bottom w:val="single" w:sz="4" w:space="0" w:color="auto"/>
              <w:right w:val="single" w:sz="4" w:space="0" w:color="000000"/>
            </w:tcBorders>
            <w:noWrap/>
            <w:vAlign w:val="center"/>
          </w:tcPr>
          <w:p/>
        </w:tc>
        <w:tc>
          <w:tcPr>
            <w:tcW w:w="1074" w:type="pct"/>
            <w:gridSpan w:val="2"/>
            <w:vMerge/>
            <w:tcBorders>
              <w:top w:val="single" w:sz="4" w:space="0" w:color="auto"/>
              <w:left w:val="nil"/>
              <w:bottom w:val="single" w:sz="4" w:space="0" w:color="auto"/>
              <w:right w:val="single" w:sz="4" w:space="0" w:color="auto"/>
            </w:tcBorders>
            <w:noWrap/>
            <w:vAlign w:val="center"/>
          </w:tcPr>
          <w:p/>
        </w:tc>
        <w:tc>
          <w:tcPr>
            <w:tcW w:w="709" w:type="pct"/>
            <w:gridSpan w:val="2"/>
            <w:vMerge/>
            <w:tcBorders>
              <w:left w:val="single" w:sz="4" w:space="0" w:color="auto"/>
              <w:bottom w:val="single" w:sz="4" w:space="0" w:color="000000"/>
              <w:right w:val="single" w:sz="4" w:space="0" w:color="000000"/>
            </w:tcBorders>
            <w:noWrap/>
            <w:vAlign w:val="center"/>
          </w:tcPr>
          <w:p/>
        </w:tc>
        <w:tc>
          <w:tcPr>
            <w:tcW w:w="709" w:type="pct"/>
            <w:gridSpan w:val="3"/>
            <w:vMerge/>
            <w:tcBorders>
              <w:left w:val="nil"/>
              <w:bottom w:val="single" w:sz="4" w:space="0" w:color="000000"/>
              <w:right w:val="single" w:sz="4" w:space="0" w:color="000000"/>
            </w:tcBorders>
            <w:noWrap/>
            <w:vAlign w:val="center"/>
          </w:tcPr>
          <w:p/>
        </w:tc>
        <w:tc>
          <w:tcPr>
            <w:tcW w:w="919" w:type="pct"/>
            <w:vMerge/>
            <w:tcBorders>
              <w:left w:val="nil"/>
              <w:bottom w:val="single" w:sz="4" w:space="0" w:color="000000"/>
              <w:right w:val="single" w:sz="4" w:space="0" w:color="000000"/>
            </w:tcBorders>
            <w:noWrap/>
            <w:vAlign w:val="center"/>
          </w:tcPr>
          <w:p/>
        </w:tc>
      </w:tr>
      <w:tr>
        <w:trPr>
          <w:trHeight w:val="308"/>
        </w:trPr>
        <w:tc>
          <w:tcPr>
            <w:tcW w:w="2662" w:type="pct"/>
            <w:gridSpan w:val="3"/>
            <w:tcBorders>
              <w:top w:val="single" w:sz="4" w:space="0" w:color="auto"/>
              <w:left w:val="single" w:sz="4" w:space="0" w:color="auto"/>
              <w:bottom w:val="single" w:sz="4" w:space="0" w:color="000000"/>
              <w:right w:val="single" w:sz="4" w:space="0" w:color="auto"/>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栏次</w:t>
            </w:r>
          </w:p>
        </w:tc>
        <w:tc>
          <w:tcPr>
            <w:tcW w:w="706" w:type="pct"/>
            <w:tcBorders>
              <w:top w:val="nil"/>
              <w:left w:val="single" w:sz="4" w:space="0" w:color="auto"/>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1</w:t>
            </w:r>
          </w:p>
        </w:tc>
        <w:tc>
          <w:tcPr>
            <w:tcW w:w="706" w:type="pct"/>
            <w:gridSpan w:val="3"/>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2</w:t>
            </w:r>
          </w:p>
        </w:tc>
        <w:tc>
          <w:tcPr>
            <w:tcW w:w="924"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3</w:t>
            </w:r>
          </w:p>
        </w:tc>
      </w:tr>
      <w:tr>
        <w:trPr>
          <w:trHeight w:val="308"/>
        </w:trPr>
        <w:tc>
          <w:tcPr>
            <w:tcW w:w="2662" w:type="pct"/>
            <w:gridSpan w:val="3"/>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合计</w:t>
            </w:r>
          </w:p>
        </w:tc>
        <w:tc>
          <w:tcPr>
            <w:tcW w:w="706" w:type="pct"/>
            <w:tcBorders>
              <w:top w:val="single" w:sz="4" w:space="0" w:color="000000"/>
              <w:left w:val="single" w:sz="4" w:space="0" w:color="000000"/>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06" w:type="pct"/>
            <w:gridSpan w:val="3"/>
            <w:tcBorders>
              <w:top w:val="single" w:sz="4" w:space="0" w:color="000000"/>
              <w:left w:val="single" w:sz="4" w:space="0" w:color="000000"/>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24" w:type="pct"/>
            <w:gridSpan w:val="2"/>
            <w:tcBorders>
              <w:top w:val="single" w:sz="4" w:space="0" w:color="000000"/>
              <w:left w:val="single" w:sz="4" w:space="0" w:color="000000"/>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9"/>
            <w:tcBorders>
              <w:top w:val="nil"/>
              <w:left w:val="nil"/>
              <w:bottom w:val="nil"/>
              <w:right w:val="nil"/>
            </w:tcBorders>
            <w:noWrap/>
            <w:vAlign w:val="center"/>
          </w:tcPr>
          <w:p>
            <w:pPr>
              <w:rPr>
                <w:rFonts w:ascii="方正仿宋_GB2312" w:eastAsia="方正仿宋_GB2312" w:cs="方正仿宋_GB2312" w:hAnsi="方正仿宋_GB2312" w:hint="eastAsia"/>
                <w:color w:val="000000"/>
                <w:sz w:val="20"/>
                <w:szCs w:val="20"/>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注：本表反映部门本年度国有资本经营预算财政拨款支出情况。</w:t>
            </w:r>
            <w:r>
              <w:rPr>
                <w:rFonts w:ascii="方正仿宋_GB2312" w:eastAsia="方正仿宋_GB2312" w:cs="方正仿宋_GB2312" w:hAnsi="方正仿宋_GB2312" w:hint="eastAsia"/>
                <w:color w:val="000000"/>
                <w:sz w:val="20"/>
                <w:szCs w:val="20"/>
              </w:rPr>
              <w:t>本单位本年度无</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国有资本经营预算财政拨款</w:t>
            </w:r>
            <w:r>
              <w:rPr>
                <w:rFonts w:ascii="方正仿宋_GB2312" w:eastAsia="方正仿宋_GB2312" w:cs="方正仿宋_GB2312" w:hAnsi="方正仿宋_GB2312"/>
                <w:color w:val="000000"/>
                <w:sz w:val="20"/>
                <w:szCs w:val="20"/>
              </w:rPr>
              <w:t>支出</w:t>
            </w:r>
            <w:r>
              <w:rPr>
                <w:rFonts w:ascii="方正仿宋_GB2312" w:eastAsia="方正仿宋_GB2312" w:cs="方正仿宋_GB2312" w:hAnsi="方正仿宋_GB2312" w:hint="eastAsia"/>
                <w:color w:val="000000"/>
                <w:sz w:val="20"/>
                <w:szCs w:val="20"/>
              </w:rPr>
              <w:t>情况，按要求以空表列式。</w:t>
            </w:r>
          </w:p>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tblpPr w:leftFromText="180" w:rightFromText="180" w:vertAnchor="text" w:horzAnchor="page" w:tblpX="282" w:tblpY="39"/>
        <w:tblOverlap w:val="never"/>
        <w:tblW w:w="7211"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986"/>
        <w:gridCol w:w="1224"/>
        <w:gridCol w:w="812"/>
        <w:gridCol w:w="944"/>
        <w:gridCol w:w="524"/>
        <w:gridCol w:w="543"/>
        <w:gridCol w:w="779"/>
        <w:gridCol w:w="842"/>
        <w:gridCol w:w="7"/>
        <w:gridCol w:w="1132"/>
        <w:gridCol w:w="638"/>
        <w:gridCol w:w="1025"/>
        <w:gridCol w:w="948"/>
        <w:gridCol w:w="1192"/>
      </w:tblGrid>
      <w:tr>
        <w:trPr>
          <w:trHeight w:val="550"/>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财政拨款“三公”经费支出决算表</w:t>
            </w:r>
          </w:p>
        </w:tc>
      </w:tr>
      <w:tr>
        <w:trPr>
          <w:trHeight w:val="260"/>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公开</w:t>
            </w:r>
            <w:r>
              <w:rPr>
                <w:rFonts w:ascii="Times New Roman" w:eastAsia="方正仿宋_GB2312" w:cs="Times New Roman" w:hAnsi="Times New Roman"/>
                <w:i w:val="0"/>
                <w:iCs w:val="0"/>
                <w:color w:val="000000"/>
                <w:kern w:val="0"/>
                <w:sz w:val="18"/>
                <w:szCs w:val="18"/>
                <w:u w:val="none"/>
                <w:lang w:val="en-US" w:eastAsia="zh-CN"/>
                <w:highlight w:val="auto"/>
              </w:rPr>
              <w:t>09</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表</w:t>
            </w:r>
          </w:p>
        </w:tc>
      </w:tr>
      <w:tr>
        <w:trPr>
          <w:trHeight w:val="260"/>
        </w:trPr>
        <w:tc>
          <w:tcPr>
            <w:tcW w:w="1936" w:type="pct"/>
            <w:gridSpan w:val="5"/>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部门（单位）：行唐县发展和改革局（本级）</w:t>
            </w:r>
          </w:p>
        </w:tc>
        <w:tc>
          <w:tcPr>
            <w:tcW w:w="933" w:type="pct"/>
            <w:gridSpan w:val="3"/>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Ansi="宋体"/>
                <w:i w:val="0"/>
                <w:iCs w:val="0"/>
                <w:color w:val="000000"/>
                <w:kern w:val="0"/>
                <w:sz w:val="18"/>
                <w:szCs w:val="18"/>
                <w:u w:val="none"/>
                <w:lang w:val="en-US" w:eastAsia="zh-CN"/>
                <w:highlight w:val="auto"/>
              </w:rPr>
            </w:pPr>
            <w:r>
              <w:rPr>
                <w:rFonts w:ascii="Times New Roman" w:eastAsia="宋体" w:cs="Times New Roman" w:hAnsi="Times New Roman"/>
                <w:i w:val="0"/>
                <w:iCs w:val="0"/>
                <w:color w:val="000000"/>
                <w:kern w:val="0"/>
                <w:sz w:val="18"/>
                <w:szCs w:val="18"/>
                <w:u w:val="none"/>
                <w:lang w:val="en-US" w:eastAsia="zh-CN"/>
                <w:highlight w:val="auto"/>
              </w:rPr>
              <w:t>202</w:t>
            </w:r>
            <w:r>
              <w:rPr>
                <w:rFonts w:ascii="Times New Roman" w:eastAsia="宋体" w:cs="Times New Roman" w:hAnsi="Times New Roman" w:hint="eastAsia"/>
                <w:i w:val="0"/>
                <w:iCs w:val="0"/>
                <w:color w:val="000000"/>
                <w:kern w:val="0"/>
                <w:sz w:val="18"/>
                <w:szCs w:val="18"/>
                <w:u w:val="none"/>
                <w:lang w:val="en-US" w:eastAsia="zh-CN"/>
                <w:highlight w:val="auto"/>
              </w:rPr>
              <w:t>4</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年度</w:t>
            </w:r>
          </w:p>
        </w:tc>
        <w:tc>
          <w:tcPr>
            <w:tcW w:w="2129" w:type="pct"/>
            <w:gridSpan w:val="6"/>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Ansi="宋体"/>
                <w:i w:val="0"/>
                <w:iCs w:val="0"/>
                <w:color w:val="000000"/>
                <w:kern w:val="0"/>
                <w:sz w:val="18"/>
                <w:szCs w:val="18"/>
                <w:u w:val="none"/>
                <w:lang w:val="en-US" w:eastAsia="zh-CN"/>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金额单位：万元</w:t>
            </w:r>
          </w:p>
        </w:tc>
      </w:tr>
      <w:tr>
        <w:trPr>
          <w:trHeight w:val="431"/>
        </w:trPr>
        <w:tc>
          <w:tcPr>
            <w:tcW w:w="2506" w:type="pct"/>
            <w:gridSpan w:val="7"/>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预算数</w:t>
            </w:r>
          </w:p>
        </w:tc>
        <w:tc>
          <w:tcPr>
            <w:tcW w:w="2493" w:type="pct"/>
            <w:gridSpan w:val="7"/>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决算数</w:t>
            </w:r>
          </w:p>
        </w:tc>
      </w:tr>
      <w:tr>
        <w:trPr>
          <w:trHeight w:val="431"/>
        </w:trPr>
        <w:tc>
          <w:tcPr>
            <w:tcW w:w="425"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合计</w:t>
            </w:r>
          </w:p>
        </w:tc>
        <w:tc>
          <w:tcPr>
            <w:tcW w:w="528"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因公出国（境）费</w:t>
            </w:r>
          </w:p>
        </w:tc>
        <w:tc>
          <w:tcPr>
            <w:tcW w:w="1217" w:type="pct"/>
            <w:gridSpan w:val="4"/>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公务用车购置及运行维护费</w:t>
            </w:r>
          </w:p>
        </w:tc>
        <w:tc>
          <w:tcPr>
            <w:tcW w:w="335"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公务接待费</w:t>
            </w:r>
          </w:p>
        </w:tc>
        <w:tc>
          <w:tcPr>
            <w:tcW w:w="366" w:type="pct"/>
            <w:gridSpan w:val="2"/>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合计</w:t>
            </w:r>
          </w:p>
        </w:tc>
        <w:tc>
          <w:tcPr>
            <w:tcW w:w="488"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因公出国（境）费</w:t>
            </w:r>
          </w:p>
        </w:tc>
        <w:tc>
          <w:tcPr>
            <w:tcW w:w="1126" w:type="pct"/>
            <w:gridSpan w:val="3"/>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公务用车购置及运行维护费</w:t>
            </w:r>
          </w:p>
        </w:tc>
        <w:tc>
          <w:tcPr>
            <w:tcW w:w="511"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公务接待费</w:t>
            </w:r>
          </w:p>
        </w:tc>
      </w:tr>
      <w:tr>
        <w:trPr>
          <w:trHeight w:val="431"/>
        </w:trPr>
        <w:tc>
          <w:tcPr>
            <w:tcW w:w="425" w:type="pct"/>
            <w:vMerge/>
            <w:tcBorders>
              <w:top w:val="nil"/>
              <w:left w:val="single" w:sz="4" w:space="0" w:color="000000"/>
              <w:bottom w:val="single" w:sz="4" w:space="0" w:color="000000"/>
              <w:right w:val="single" w:sz="4" w:space="0" w:color="000000"/>
            </w:tcBorders>
            <w:noWrap/>
            <w:vAlign w:val="center"/>
          </w:tcPr>
          <w:p/>
        </w:tc>
        <w:tc>
          <w:tcPr>
            <w:tcW w:w="528" w:type="pct"/>
            <w:vMerge/>
            <w:tcBorders>
              <w:top w:val="nil"/>
              <w:left w:val="nil"/>
              <w:bottom w:val="single" w:sz="4" w:space="0" w:color="000000"/>
              <w:right w:val="single" w:sz="4" w:space="0" w:color="000000"/>
            </w:tcBorders>
            <w:noWrap/>
            <w:vAlign w:val="center"/>
          </w:tcPr>
          <w:p/>
        </w:tc>
        <w:tc>
          <w:tcPr>
            <w:tcW w:w="35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小计</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公务用车购置费</w:t>
            </w:r>
          </w:p>
        </w:tc>
        <w:tc>
          <w:tcPr>
            <w:tcW w:w="458"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公务用车运行维护费</w:t>
            </w:r>
          </w:p>
        </w:tc>
        <w:tc>
          <w:tcPr>
            <w:tcW w:w="335" w:type="pct"/>
            <w:vMerge/>
            <w:tcBorders>
              <w:top w:val="nil"/>
              <w:left w:val="nil"/>
              <w:bottom w:val="single" w:sz="4" w:space="0" w:color="000000"/>
              <w:right w:val="single" w:sz="4" w:space="0" w:color="000000"/>
            </w:tcBorders>
            <w:noWrap/>
            <w:vAlign w:val="center"/>
          </w:tcPr>
          <w:p/>
        </w:tc>
        <w:tc>
          <w:tcPr>
            <w:tcW w:w="366" w:type="pct"/>
            <w:gridSpan w:val="2"/>
            <w:vMerge/>
            <w:tcBorders>
              <w:top w:val="nil"/>
              <w:left w:val="nil"/>
              <w:bottom w:val="single" w:sz="4" w:space="0" w:color="000000"/>
              <w:right w:val="single" w:sz="4" w:space="0" w:color="000000"/>
            </w:tcBorders>
            <w:noWrap/>
            <w:vAlign w:val="center"/>
          </w:tcPr>
          <w:p/>
        </w:tc>
        <w:tc>
          <w:tcPr>
            <w:tcW w:w="488" w:type="pct"/>
            <w:vMerge/>
            <w:tcBorders>
              <w:top w:val="nil"/>
              <w:left w:val="nil"/>
              <w:bottom w:val="single" w:sz="4" w:space="0" w:color="000000"/>
              <w:right w:val="single" w:sz="4" w:space="0" w:color="000000"/>
            </w:tcBorders>
            <w:noWrap/>
            <w:vAlign w:val="center"/>
          </w:tcPr>
          <w:p/>
        </w:tc>
        <w:tc>
          <w:tcPr>
            <w:tcW w:w="27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小计</w:t>
            </w:r>
          </w:p>
        </w:tc>
        <w:tc>
          <w:tcPr>
            <w:tcW w:w="44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公务用车购置费</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公务用车运行维护费</w:t>
            </w:r>
          </w:p>
        </w:tc>
        <w:tc>
          <w:tcPr>
            <w:tcW w:w="511" w:type="pct"/>
            <w:vMerge/>
            <w:tcBorders>
              <w:top w:val="nil"/>
              <w:left w:val="nil"/>
              <w:bottom w:val="single" w:sz="4" w:space="0" w:color="000000"/>
              <w:right w:val="single" w:sz="4" w:space="0" w:color="000000"/>
            </w:tcBorders>
            <w:noWrap/>
            <w:vAlign w:val="center"/>
          </w:tcPr>
          <w:p/>
        </w:tc>
      </w:tr>
      <w:tr>
        <w:trPr>
          <w:trHeight w:val="431"/>
        </w:trPr>
        <w:tc>
          <w:tcPr>
            <w:tcW w:w="425"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w:t>
            </w:r>
          </w:p>
        </w:tc>
        <w:tc>
          <w:tcPr>
            <w:tcW w:w="52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2</w:t>
            </w:r>
          </w:p>
        </w:tc>
        <w:tc>
          <w:tcPr>
            <w:tcW w:w="35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3</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4</w:t>
            </w:r>
          </w:p>
        </w:tc>
        <w:tc>
          <w:tcPr>
            <w:tcW w:w="458"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5</w:t>
            </w:r>
          </w:p>
        </w:tc>
        <w:tc>
          <w:tcPr>
            <w:tcW w:w="33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6</w:t>
            </w:r>
          </w:p>
        </w:tc>
        <w:tc>
          <w:tcPr>
            <w:tcW w:w="366"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7</w:t>
            </w:r>
          </w:p>
        </w:tc>
        <w:tc>
          <w:tcPr>
            <w:tcW w:w="48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8</w:t>
            </w:r>
          </w:p>
        </w:tc>
        <w:tc>
          <w:tcPr>
            <w:tcW w:w="27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9</w:t>
            </w:r>
          </w:p>
        </w:tc>
        <w:tc>
          <w:tcPr>
            <w:tcW w:w="44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10</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11</w:t>
            </w:r>
          </w:p>
        </w:tc>
        <w:tc>
          <w:tcPr>
            <w:tcW w:w="511"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12</w:t>
            </w:r>
          </w:p>
        </w:tc>
      </w:tr>
      <w:tr>
        <w:trPr>
          <w:trHeight w:val="431"/>
        </w:trPr>
        <w:tc>
          <w:tcPr>
            <w:tcW w:w="425" w:type="pct"/>
            <w:tcBorders>
              <w:top w:val="nil"/>
              <w:left w:val="single" w:sz="4" w:space="0" w:color="000000"/>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8.43</w:t>
            </w:r>
          </w:p>
        </w:tc>
        <w:tc>
          <w:tcPr>
            <w:tcW w:w="528"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350"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8.15</w:t>
            </w:r>
          </w:p>
        </w:tc>
        <w:tc>
          <w:tcPr>
            <w:tcW w:w="407"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58" w:type="pct"/>
            <w:gridSpan w:val="2"/>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8.15</w:t>
            </w:r>
          </w:p>
        </w:tc>
        <w:tc>
          <w:tcPr>
            <w:tcW w:w="335"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0.28</w:t>
            </w:r>
          </w:p>
        </w:tc>
        <w:tc>
          <w:tcPr>
            <w:tcW w:w="366" w:type="pct"/>
            <w:gridSpan w:val="2"/>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6.39</w:t>
            </w:r>
          </w:p>
        </w:tc>
        <w:tc>
          <w:tcPr>
            <w:tcW w:w="488"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275"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6.39</w:t>
            </w:r>
          </w:p>
        </w:tc>
        <w:tc>
          <w:tcPr>
            <w:tcW w:w="442"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07"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6.39</w:t>
            </w:r>
          </w:p>
        </w:tc>
        <w:tc>
          <w:tcPr>
            <w:tcW w:w="511"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r>
      <w:tr>
        <w:trPr>
          <w:trHeight w:val="431"/>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sectPr>
          <w:headerReference w:type="default" r:id="rId9"/>
          <w:footerReference w:type="default" r:id="rId10"/>
          <w:pgSz w:w="11906" w:h="16838"/>
          <w:pgMar w:top="1531" w:right="1984" w:bottom="1531" w:left="2098" w:header="851" w:footer="992" w:gutter="0"/>
          <w:docGrid w:type="lines" w:linePitch="312" w:charSpace="0"/>
        </w:sectPr>
      </w:pP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第三部分   </w:t>
      </w:r>
      <w:r>
        <w:rPr>
          <w:rFonts w:ascii="Times New Roman" w:eastAsia="仿宋_GB2312" w:hAnsi="Times New Roman"/>
          <w:b w:val="0"/>
          <w:sz w:val="44"/>
          <w:szCs w:val="44"/>
        </w:rPr>
        <w:t>2024</w:t>
      </w:r>
      <w:r>
        <w:rPr>
          <w:rFonts w:ascii="Times New Roman" w:eastAsia="黑体" w:hAnsi="Times New Roman"/>
          <w:b w:val="0"/>
          <w:sz w:val="44"/>
          <w:szCs w:val="44"/>
        </w:rPr>
        <w:t>年度部门决算情况说明</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一、收入支出决算总体情况说明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本单位2024年度收、支总计（含结转和结余）均为12,851.93万元。与2023年度决算相比，收支各增加1,627.7万元，增长14.5%，主要原因是农林水支出增多。</w:t>
      </w: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Times New Roman" w:eastAsia="Arial" w:cs="Times New Roman" w:hAnsi="Times New Roman"/>
          <w:highlight w:val="auto"/>
        </w:rPr>
      </w:pPr>
      <w:r>
        <w:rPr>
          <w:rFonts w:ascii="Times New Roman" w:eastAsia="宋体" w:hAnsi="Times New Roman" w:hint="eastAsia"/>
        </w:rPr>
        <w:drawing>
          <wp:inline distT="0" distB="0" distL="114300" distR="114300">
            <wp:extent cx="5256530" cy="2988310"/>
            <wp:effectExtent l="0" t="0" r="0" b="0"/>
            <wp:docPr id="7" name="图表 5"/>
            <wp:cNvGraphicFramePr>
              <a:graphicFrameLocks noChangeAspect="0"/>
            </wp:cNvGraphicFramePr>
            <a:graphic>
              <a:graphicData uri="http://schemas.openxmlformats.org/drawingml/2006/chart">
                <c:chart xmlns:c="http://schemas.openxmlformats.org/drawingml/2006/chart" r:id="rId11"/>
              </a:graphicData>
            </a:graphic>
          </wp:inline>
        </w:drawing>
      </w:r>
      <w:r>
        <w:rPr>
          <w:rFonts w:ascii="Times New Roman" w:eastAsia="Arial" w:cs="Times New Roman" w:hAnsi="Times New Roman"/>
          <w:i w:val="0"/>
          <w:iCs w:val="0"/>
          <w:caps w:val="0"/>
          <w:smallCaps w:val="0"/>
          <w:color w:val="000000"/>
          <w:spacing w:val="0"/>
          <w:sz w:val="18"/>
          <w:szCs w:val="18"/>
          <w:shd w:val="clear" w:color="auto" w:fill="FFFFFF"/>
          <w:highlight w:val="auto"/>
        </w:rPr>
        <w:t> </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二、收入决算情况说明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本年收入合计12,851.93万元，其中：财政拨款收入12,851.93万元，占100%​；上级补助收入0万元，占0%；事业收入0万元，占0%；经营收入0万元，占0%；附属单位上缴收入0万元，占0%；其他收入0万元，占0%。</w:t>
      </w:r>
    </w:p>
    <w:p>
      <w:pPr>
        <w:adjustRightInd w:val="0"/>
        <w:snapToGrid w:val="0"/>
        <w:spacing w:line="580" w:lineRule="exact"/>
        <w:jc w:val="both"/>
        <w:rPr>
          <w:rFonts w:ascii="Times New Roman" w:eastAsia="仿宋_GB2312" w:cs="Times New Roman" w:hAnsi="Times New Roman"/>
          <w:kern w:val="2"/>
          <w:sz w:val="32"/>
          <w:szCs w:val="32"/>
          <w:lang w:val="zh-CN"/>
          <w:highlight w:val="yellow"/>
        </w:rPr>
      </w:pPr>
      <w:r>
        <w:rPr>
          <w:rFonts w:ascii="Times New Roman" w:eastAsia="仿宋_GB2312" w:hAnsi="Times New Roman"/>
          <w:kern w:val="2"/>
          <w:sz w:val="32"/>
          <w:szCs w:val="32"/>
          <w:lang w:val="zh-CN"/>
          <w:highlight w:val="yellow"/>
        </w:rPr>
        <w:drawing>
          <wp:anchor distT="0" distB="0" distL="114300" distR="114300" simplePos="0" relativeHeight="63" behindDoc="0" locked="0" layoutInCell="1" hidden="0" allowOverlap="1">
            <wp:simplePos x="0" y="0"/>
            <wp:positionH relativeFrom="column">
              <wp:posOffset>-16510</wp:posOffset>
            </wp:positionH>
            <wp:positionV relativeFrom="paragraph">
              <wp:posOffset>201930</wp:posOffset>
            </wp:positionV>
            <wp:extent cx="5256530" cy="2988310"/>
            <wp:effectExtent l="0" t="0" r="0" b="0"/>
            <wp:wrapTopAndBottom/>
            <wp:docPr id="8" name="图表 9"/>
            <wp:cNvGraphicFramePr>
              <a:graphicFrameLocks noChangeAspect="0"/>
            </wp:cNvGraphicFramePr>
            <a:graphic>
              <a:graphicData uri="http://schemas.openxmlformats.org/drawingml/2006/chart">
                <c:chart xmlns:c="http://schemas.openxmlformats.org/drawingml/2006/chart" r:id="rId12"/>
              </a:graphicData>
            </a:graphic>
          </wp:anchor>
        </w:drawing>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三、支出决算情况说明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本单位2024年度本年支出合计12,851.93万元，其中：基本支出658.29万元，占5.1%；项目支出12,193.65万元，占94.9%；上缴上级支出0万元，占0%；经营支出0万元，占0%；对附属单位补助支出0万元，占0%。</w:t>
      </w:r>
    </w:p>
    <w:p>
      <w:pPr>
        <w:autoSpaceDE w:val="0"/>
        <w:autoSpaceDN w:val="0"/>
        <w:adjustRightInd w:val="0"/>
        <w:jc w:val="center"/>
        <w:rPr>
          <w:rFonts w:ascii="Times New Roman" w:eastAsia="仿宋_GB2312" w:cs="Times New Roman" w:hAnsi="Times New Roman"/>
          <w:color w:val="auto"/>
          <w:kern w:val="0"/>
          <w:sz w:val="32"/>
          <w:szCs w:val="32"/>
          <w:lang w:val="en-US" w:eastAsia="zh-CN" w:bidi="ar-SA"/>
          <w:highlight w:val="auto"/>
        </w:rPr>
      </w:pPr>
      <w:r>
        <w:rPr>
          <w:rFonts w:ascii="Times New Roman" w:eastAsia="仿宋_GB2312" w:cs="Times New Roman" w:hAnsi="Times New Roman"/>
          <w:sz w:val="32"/>
          <w:szCs w:val="32"/>
          <w:highlight w:val="auto"/>
        </w:rPr>
        <w:drawing>
          <wp:inline distT="0" distB="0" distL="114300" distR="114300">
            <wp:extent cx="5256530" cy="2988310"/>
            <wp:effectExtent l="0" t="0" r="0" b="0"/>
            <wp:docPr id="9" name="图表 7"/>
            <wp:cNvGraphicFramePr>
              <a:graphicFrameLocks noChangeAspect="0"/>
            </wp:cNvGraphicFramePr>
            <a:graphic>
              <a:graphicData uri="http://schemas.openxmlformats.org/drawingml/2006/chart">
                <c:chart xmlns:c="http://schemas.openxmlformats.org/drawingml/2006/chart" r:id="rId13"/>
              </a:graphicData>
            </a:graphic>
          </wp:inline>
        </w:drawing>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四、财政拨款收入支出决算总体情况说明</w:t>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（一）财政拨款收支与</w:t>
      </w:r>
      <w:r>
        <w:rPr>
          <w:rFonts w:ascii="Times New Roman" w:eastAsia="仿宋_GB2312" w:hAnsi="Times New Roman"/>
          <w:b/>
          <w:sz w:val="32"/>
          <w:szCs w:val="32"/>
        </w:rPr>
        <w:t>2023</w:t>
      </w:r>
      <w:r>
        <w:rPr>
          <w:rFonts w:ascii="Times New Roman" w:eastAsia="楷体_GB2312" w:hAnsi="Times New Roman"/>
          <w:b/>
          <w:sz w:val="32"/>
          <w:szCs w:val="32"/>
        </w:rPr>
        <w:t>年度决算对比情况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本单位2024年度财政拨款收、支总计（含结转和结余）均为12,851.93万元。与2023年度相比，财政拨款收支各增加1,627.7万元，增长14.5%，主要原因是农林水支出增多。</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本单位2024年度财政拨款本年收入12,851.93万元,比上年增加1,627.7万元，增长14.5%，主要原因是农林水支出增多；本年支出12,851.93万元，比上年增加1,627.7万元，增长14.5%，主要原因是农林水支出增多。具体情况如下：</w:t>
      </w:r>
    </w:p>
    <w:p>
      <w:pPr>
        <w:widowControl/>
        <w:spacing w:before="0" w:beforeAutospacing="0" w:after="0" w:afterAutospacing="0" w:line="360" w:lineRule="auto"/>
        <w:ind w:firstLineChars="200" w:firstLine="640"/>
        <w:jc w:val="left"/>
        <w:outlineLvl w:val="1"/>
        <w:rPr>
          <w:rFonts w:ascii="Times New Roman" w:eastAsia="仿宋_GB2312" w:hAnsi="Times New Roman"/>
          <w:sz w:val="32"/>
          <w:szCs w:val="32"/>
        </w:rPr>
      </w:pPr>
      <w:r>
        <w:rPr>
          <w:rFonts w:ascii="Times New Roman" w:eastAsia="仿宋_GB2312" w:hAnsi="Times New Roman"/>
          <w:b w:val="0"/>
          <w:sz w:val="32"/>
          <w:szCs w:val="32"/>
        </w:rPr>
        <w:t>1. 一般公共预算财政拨款本年收入10,951.93​​万元,比上年增加2,157.7万元，增长24.5%，主要原因是农林水支出增多；本年支出10,951.93​​ 万元，比上年增加2,157.7万元，增长24.5%，主要原因是农林水支出增多。</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 政府性基金预算财政拨款本年收入1,900万元，比上年减少530万元，降低21.8%，主要原因是城乡社区支出需求政府性基金减少；本年支出1,900万元，比上年减少530万元，降低21.8%，主要原因是城乡社区支出需求政府性基金减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3. 国有资本经营预算财政拨款本年收入0万元，比上年持平；本年支出0万元，与上年持平。</w:t>
      </w: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Times New Roman" w:eastAsia="仿宋_GB2312" w:cs="Times New Roman" w:hAnsi="Times New Roman"/>
          <w:sz w:val="32"/>
          <w:szCs w:val="32"/>
          <w:lang w:val="en-US" w:eastAsia="zh-CN"/>
          <w:highlight w:val="auto"/>
        </w:rPr>
      </w:pPr>
      <w:r>
        <w:rPr>
          <w:rFonts w:ascii="Times New Roman" w:eastAsia="仿宋_GB2312" w:hAnsi="Times New Roman"/>
          <w:sz w:val="32"/>
          <w:szCs w:val="32"/>
        </w:rPr>
        <w:drawing>
          <wp:inline distT="0" distB="0" distL="114300" distR="114300">
            <wp:extent cx="5256530" cy="2988310"/>
            <wp:effectExtent l="0" t="0" r="0" b="0"/>
            <wp:docPr id="10" name="图表 3"/>
            <wp:cNvGraphicFramePr>
              <a:graphicFrameLocks noChangeAspect="0"/>
            </wp:cNvGraphicFramePr>
            <a:graphic>
              <a:graphicData uri="http://schemas.openxmlformats.org/drawingml/2006/chart">
                <c:chart xmlns:c="http://schemas.openxmlformats.org/drawingml/2006/chart" r:id="rId14"/>
              </a:graphicData>
            </a:graphic>
          </wp:inline>
        </w:drawing>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（二）财政拨款收支与年初预算数对比情况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本单位2024年度财政拨款本年收入12,851.93万元，完成年初预算的250.5%，比年初预算增加7,720.72万元，决算数大于预算数主要原因是农林水支出增多 ；本年支出12,851.93万元，完成年初预算的250.5%，比年初预算增加7,720.72万元，决算数大于预算数主要原因是农林水支出增多 。具体情况如下：</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1. 一般公共预算财政拨款本年收入完成年初预算的213.6%，比年初预算增加5,825.72万元，主要原因是；支出完成年初预算的213.6%，比年初预算增加5,825.72万元，主要原因是农林水支出增多。</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 政府性基金预算财政拨款本年收入完成年初预算的0%，比年初预算增加1,900万元，主要原因是增加其他地方自行试点项目收益专项债券收入安排支出；支出完成年初预算的0%，比年初预算增加1,900万元，主要原因是增加其他地方自行试点项目收益专项债券收入安排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3. 国有资本经营预算财政拨款本年收入完成年初预算的0 %，比年初预算减少5万元，主要原因是未使用国有资本经营预算财政拨款；支出完成年初预算的0%，比年初预算减少5万元，主要原因是未使用国有资本经营预算财政拨款。</w:t>
      </w: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rPr>
          <w:rFonts w:ascii="Times New Roman" w:eastAsia="Arial" w:cs="Times New Roman" w:hAnsi="Times New Roman"/>
          <w:highlight w:val="auto"/>
        </w:rPr>
      </w:pP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Times New Roman" w:eastAsia="仿宋_GB2312" w:cs="Times New Roman" w:hAnsi="Times New Roman"/>
          <w:color w:val="auto"/>
          <w:kern w:val="0"/>
          <w:sz w:val="32"/>
          <w:szCs w:val="32"/>
          <w:lang w:val="en-US" w:eastAsia="zh-CN" w:bidi="ar-SA"/>
          <w:highlight w:val="auto"/>
        </w:rPr>
      </w:pPr>
      <w:r>
        <w:rPr>
          <w:rFonts w:ascii="Times New Roman" w:eastAsia="仿宋_GB2312" w:hAnsi="Times New Roman"/>
          <w:sz w:val="32"/>
          <w:szCs w:val="32"/>
          <w:highlight w:val="auto"/>
        </w:rPr>
        <w:drawing>
          <wp:inline distT="0" distB="0" distL="114300" distR="114300">
            <wp:extent cx="5256530" cy="2988310"/>
            <wp:effectExtent l="0" t="0" r="0" b="0"/>
            <wp:docPr id="11" name="图表 11"/>
            <wp:cNvGraphicFramePr>
              <a:graphicFrameLocks noChangeAspect="0"/>
            </wp:cNvGraphicFramePr>
            <a:graphic>
              <a:graphicData uri="http://schemas.openxmlformats.org/drawingml/2006/chart">
                <c:chart xmlns:c="http://schemas.openxmlformats.org/drawingml/2006/chart" r:id="rId15"/>
              </a:graphicData>
            </a:graphic>
          </wp:inline>
        </w:drawing>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（三）财政拨款支出决算结构情况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  2024年度财政拨款支出12,851.93万元，主要用于以下方面：</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一般公共预算财政拨款支出：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般公共服务（类）支出​1,067.41万元，占​8.3​%，主要用于劳务派遣人员工资及解决信访遗留问题工作经费等支出等支出；科学技术（类）支出​​1,171.03万元，占​​9.1​%，主要用于四上企业奖励和县域科技创新跃升服务协议资金等支出；社会保障和就业 （类）支出44.65​​​万元，占​​0.3​%，主要用于单位养老保险、工伤保险等支出；卫生健康（类）支出​​20.34万元，占​​0.2%，主要用于单位医疗保险等支出；节能环保（类）支出​​3,808.59​万元，占29.6​​%，主要用于洁净煤及炉具市级补助资金和农村地区气代煤电代煤改造任务及洁净煤补助资金等支出；城乡社区（类）支出362.9​​万元，占2.8​%，主要用于等支出；农林水（类）支出4,266.82​万元，占​​33.2%，主要用于用于行唐县消防救援大队特勤消防站工程款和行唐县一二三产融合发展示范园项目城市基础设施配套费等支出；住房保障（类）支出35.95​​​万元，占0.3​​​%，主要用于单位住房公积金等支出；粮油物资储备（类）支出​​174.26万元，占​​1.4​%，主要用于超标粮小麦收购资金和政策性新增粮食财务挂账占用贷款利息补贴等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政府性基金预算财政拨款支出：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其他（类）支出​​​​1,900万元，占​​​14.3​​%，主要用于行唐县口头镇污水处理厂提标改造工程支出。</w:t>
      </w:r>
    </w:p>
    <w:p>
      <w:pPr>
        <w:widowControl/>
        <w:spacing w:before="0" w:beforeAutospacing="0" w:after="0" w:afterAutospacing="0" w:line="360" w:lineRule="auto"/>
        <w:ind w:firstLineChars="200" w:firstLine="640"/>
        <w:jc w:val="left"/>
        <w:rPr>
          <w:rFonts w:ascii="Times New Roman" w:eastAsia="仿宋_GB2312" w:hAnsi="Times New Roman"/>
          <w:b/>
          <w:sz w:val="32"/>
          <w:szCs w:val="32"/>
        </w:rPr>
      </w:pPr>
      <w:r>
        <w:rPr>
          <w:rFonts w:ascii="Times New Roman" w:eastAsia="仿宋_GB2312" w:hAnsi="Times New Roman"/>
          <w:b/>
          <w:sz w:val="32"/>
          <w:szCs w:val="32"/>
        </w:rPr>
        <w:t>国有资本经营预算财政拨款支出：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sz w:val="32"/>
          <w:szCs w:val="32"/>
        </w:rPr>
        <w:t>无支出。</w:t>
      </w:r>
    </w:p>
    <w:p>
      <w:pPr>
        <w:pStyle w:val="19"/>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overflowPunct/>
        <w:topLinePunct w:val="0"/>
        <w:autoSpaceDE/>
        <w:autoSpaceDN/>
        <w:bidi w:val="0"/>
        <w:spacing w:before="0" w:beforeAutospacing="0" w:after="0" w:afterAutospacing="0"/>
        <w:ind w:left="0" w:right="0"/>
        <w:jc w:val="left"/>
        <w:textAlignment w:val="auto"/>
        <w:rPr>
          <w:rFonts w:ascii="Times New Roman" w:eastAsia="仿宋_GB2312" w:cs="Times New Roman" w:hAnsi="Times New Roman"/>
          <w:color w:val="auto"/>
          <w:kern w:val="2"/>
          <w:sz w:val="32"/>
          <w:szCs w:val="32"/>
          <w:lang w:val="zh-CN" w:eastAsia="zh-CN" w:bidi="ar-SA"/>
        </w:rPr>
      </w:pPr>
      <w:r>
        <w:rPr>
          <w:rFonts w:ascii="Times New Roman" w:eastAsia="仿宋_GB2312" w:hAnsi="Times New Roman"/>
          <w:kern w:val="2"/>
          <w:sz w:val="32"/>
          <w:szCs w:val="32"/>
          <w:lang w:val="zh-CN"/>
        </w:rPr>
        <w:drawing>
          <wp:inline distT="0" distB="0" distL="114300" distR="114300">
            <wp:extent cx="5859145" cy="2988310"/>
            <wp:effectExtent l="0" t="0" r="0" b="0"/>
            <wp:docPr id="12" name="图表 13"/>
            <wp:cNvGraphicFramePr>
              <a:graphicFrameLocks noChangeAspect="0"/>
            </wp:cNvGraphicFramePr>
            <a:graphic>
              <a:graphicData uri="http://schemas.openxmlformats.org/drawingml/2006/chart">
                <c:chart xmlns:c="http://schemas.openxmlformats.org/drawingml/2006/chart" r:id="rId16"/>
              </a:graphicData>
            </a:graphic>
          </wp:inline>
        </w:drawing>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（四）一般公共预算基本支出决算情况说明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  2024年度财政拨款基本支出658.29万元，其中：</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人员经费​626.94​万元，主要包括基本工资、津贴补贴、奖金、绩效工资、机关事业部门基本养老保险缴费、职业年金缴费、职工基本医疗保险缴费、住房公积金、医疗费、其他社会保障缴费、其他工资福利支出、离休费、 退休费、 抚恤金、生活补助、医疗费补助、奖励金、其他对个人和家庭的补助支出。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公用经费​​31.35​万元，主要包括办公费、印刷费、咨询费、手续费、水费、电费、邮电费、取 暖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五、财政拨款“三公” 经费支出决算情况说明</w:t>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（一）“三公”经费财政拨款支出决算总体情况说明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本单位2024年度“三公”经费财政拨款支出预算为8.43万元，支出决算为6.39万元，完成预算的75.8%，较预算减少2.04万元，降低24.2%，主要原因是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；较2023年度决算减少5.01万元，降低43.9%，主要原因是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（二）“三公”经费财政拨款支出决算具体情况说明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楷体_GB2312" w:hAnsi="Times New Roman"/>
          <w:b/>
          <w:sz w:val="32"/>
          <w:szCs w:val="32"/>
        </w:rPr>
        <w:t> 1.因公出国（境）费支出情况。</w:t>
      </w:r>
      <w:r>
        <w:rPr>
          <w:rFonts w:ascii="Times New Roman" w:eastAsia="仿宋_GB2312" w:hAnsi="Times New Roman"/>
          <w:b w:val="0"/>
          <w:sz w:val="32"/>
          <w:szCs w:val="32"/>
        </w:rPr>
        <w:t>本单位2024年度因公出国（境）费支出预算为0万元,支出决算0万元，决算较预算增加0万元，与预算持平；较上年增加0万元，与上年持平。因公出国（境）团组0个、共0人，无本部门组织的出国（境）团组。</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楷体_GB2312" w:hAnsi="Times New Roman"/>
          <w:b/>
          <w:sz w:val="32"/>
          <w:szCs w:val="32"/>
        </w:rPr>
        <w:t> 2.公务用车购置及运行维护费支出情况。</w:t>
      </w:r>
      <w:r>
        <w:rPr>
          <w:rFonts w:ascii="Times New Roman" w:eastAsia="仿宋_GB2312" w:hAnsi="Times New Roman"/>
          <w:b w:val="0"/>
          <w:sz w:val="32"/>
          <w:szCs w:val="32"/>
        </w:rPr>
        <w:t>本单位2024年度公务用车购置及运行维护费预算为8.15万元，支出决算6.39万元，完成预算的78.4%,较预算减少1.76万元，降低21.6%,主要原因是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；较上年减少5.01万元，降低43.9%,主要原因是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。其中：</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公务用车购置费支出0万元：</w:t>
      </w:r>
      <w:r>
        <w:rPr>
          <w:rFonts w:ascii="Times New Roman" w:eastAsia="仿宋_GB2312" w:hAnsi="Times New Roman"/>
          <w:b w:val="0"/>
          <w:sz w:val="32"/>
          <w:szCs w:val="32"/>
        </w:rPr>
        <w:t>本单位2024年度公务用车购置量0辆，发生“公务用车购置”经费支出0 万元。公务用车购置费支出较预算增加0万元，与预算持平；较上年增加0万元，增长0%,与上年持平。</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公务用车运行维护费支出6.39万元：</w:t>
      </w:r>
      <w:r>
        <w:rPr>
          <w:rFonts w:ascii="Times New Roman" w:eastAsia="仿宋_GB2312" w:hAnsi="Times New Roman"/>
          <w:b w:val="0"/>
          <w:sz w:val="32"/>
          <w:szCs w:val="32"/>
        </w:rPr>
        <w:t>本单位2024年度单位公务用车保有量3辆，发生运行维护费支出6.39万元。公车运行维护费支出较预算减少1.76万元，降低21.6%,主要原因是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；较上年减少5.01万元，降低43.9%，主要原因是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楷体_GB2312" w:hAnsi="Times New Roman"/>
          <w:b/>
          <w:sz w:val="32"/>
          <w:szCs w:val="32"/>
        </w:rPr>
        <w:t>3.公务接待费支出情况。</w:t>
      </w:r>
      <w:r>
        <w:rPr>
          <w:rFonts w:ascii="Times New Roman" w:eastAsia="仿宋_GB2312" w:hAnsi="Times New Roman"/>
          <w:b w:val="0"/>
          <w:sz w:val="32"/>
          <w:szCs w:val="32"/>
        </w:rPr>
        <w:t>本单位2024年度公务接待费支出预算为0.28万元，支出决算0万元，完成预算的0%。公务接待费支出较预算减少0.28万元，降低100%,主要原因是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；较上年度增加0万元，增长0%，与上年持平。本年度共发生公务接待0批次、0人次。</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六、机关运行经费支出说明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本单位2024年度机关运行经费支出31.35万元，较2023年度减少40.12万元，降低56.1%。主要原因是</w:t>
      </w:r>
      <w:r>
        <w:rPr>
          <w:rFonts w:ascii="仿宋_GB2312" w:eastAsia="仿宋_GB2312" w:hint="eastAsia"/>
          <w:sz w:val="32"/>
          <w:szCs w:val="32"/>
        </w:rPr>
        <w:t>认真贯彻落实中央八项规定精神和厉行节约要求，从严控制经费开支</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七、政府采购支出说明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政府采购支出总额4,776.35万元，从采购类型来看，政府采购货物支出4,607.45万元、政府采购工程支出168.9万元、政府采购服务支出0万元。授予中小企业合同金额4,776.35万元，占政府采购支出总额的100%，其中授予小微企业合同金额4,776.35万元，占政府采购支出总额的100%。</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八、国有资产占用情况说明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截至2024年12月31日，本单位共有车辆3辆，比上年减少1辆，主要是。其中，副部（省）级及以上领导用车0辆，主要负责人用车0辆，机要通信用车1辆，应急保障用车1辆，执法执勤用车0辆，特种专业技术用车1辆，离退休干部用车0辆，其他用车0辆，其他用车主要是。单位价值100万元（含）以上设备（不含车辆）0台（套）。</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九、关于2024年度绩效评价情况的说明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（一）绩效评价工作开展情况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根据预算绩效管理要求，本单位组织对2024年度本级预算项目支出全面开展绩效自评，共涉及资金12,193.65万元</w:t>
      </w:r>
      <w:r>
        <w:rPr>
          <w:rFonts w:ascii="Times New Roman" w:eastAsia="仿宋_GB2312" w:hAnsi="Times New Roman" w:hint="eastAsia"/>
          <w:b w:val="0"/>
          <w:sz w:val="32"/>
          <w:szCs w:val="32"/>
          <w:lang w:val="en-US" w:eastAsia="zh-CN"/>
        </w:rPr>
        <w:t xml:space="preserve">   </w:t>
      </w:r>
      <w:r>
        <w:rPr>
          <w:rFonts w:ascii="Times New Roman" w:eastAsia="仿宋_GB2312" w:hAnsi="Times New Roman"/>
          <w:b w:val="0"/>
          <w:sz w:val="32"/>
          <w:szCs w:val="32"/>
        </w:rPr>
        <w:t>。其中，一般公共预算项目</w:t>
      </w:r>
      <w:r>
        <w:rPr>
          <w:rFonts w:ascii="Times New Roman" w:eastAsia="仿宋_GB2312" w:hAnsi="Times New Roman" w:hint="eastAsia"/>
          <w:b w:val="0"/>
          <w:sz w:val="32"/>
          <w:szCs w:val="32"/>
          <w:lang w:val="en-US" w:eastAsia="zh-CN"/>
        </w:rPr>
        <w:t>57</w:t>
      </w:r>
      <w:r>
        <w:rPr>
          <w:rFonts w:ascii="Times New Roman" w:eastAsia="仿宋_GB2312" w:hAnsi="Times New Roman"/>
          <w:b w:val="0"/>
          <w:sz w:val="32"/>
          <w:szCs w:val="32"/>
        </w:rPr>
        <w:t>个，涉及资金</w:t>
      </w:r>
      <w:r>
        <w:rPr>
          <w:rFonts w:ascii="Times New Roman" w:eastAsia="仿宋_GB2312" w:hAnsi="Times New Roman" w:hint="eastAsia"/>
          <w:b w:val="0"/>
          <w:sz w:val="32"/>
          <w:szCs w:val="32"/>
          <w:lang w:val="en-US" w:eastAsia="zh-CN"/>
        </w:rPr>
        <w:t>10293.65</w:t>
      </w:r>
      <w:r>
        <w:rPr>
          <w:rFonts w:ascii="Times New Roman" w:eastAsia="仿宋_GB2312" w:hAnsi="Times New Roman"/>
          <w:b w:val="0"/>
          <w:sz w:val="32"/>
          <w:szCs w:val="32"/>
        </w:rPr>
        <w:t>万元，占一般公共预算项目支出总额的</w:t>
      </w:r>
      <w:r>
        <w:rPr>
          <w:rFonts w:ascii="Times New Roman" w:eastAsia="仿宋_GB2312" w:hAnsi="Times New Roman" w:hint="eastAsia"/>
          <w:b w:val="0"/>
          <w:sz w:val="32"/>
          <w:szCs w:val="32"/>
          <w:lang w:val="en-US" w:eastAsia="zh-CN"/>
        </w:rPr>
        <w:t>84.42</w:t>
      </w:r>
      <w:r>
        <w:rPr>
          <w:rFonts w:ascii="Times New Roman" w:eastAsia="仿宋_GB2312" w:hAnsi="Times New Roman"/>
          <w:b w:val="0"/>
          <w:sz w:val="32"/>
          <w:szCs w:val="32"/>
        </w:rPr>
        <w:t>%；政府性基金预算项目</w:t>
      </w:r>
      <w:r>
        <w:rPr>
          <w:rFonts w:ascii="Times New Roman" w:eastAsia="仿宋_GB2312" w:hAnsi="Times New Roman" w:hint="eastAsia"/>
          <w:b w:val="0"/>
          <w:sz w:val="32"/>
          <w:szCs w:val="32"/>
          <w:lang w:val="en-US" w:eastAsia="zh-CN"/>
        </w:rPr>
        <w:t>1</w:t>
      </w:r>
      <w:r>
        <w:rPr>
          <w:rFonts w:ascii="Times New Roman" w:eastAsia="仿宋_GB2312" w:hAnsi="Times New Roman"/>
          <w:b w:val="0"/>
          <w:sz w:val="32"/>
          <w:szCs w:val="32"/>
        </w:rPr>
        <w:t>个，涉及资金</w:t>
      </w:r>
      <w:r>
        <w:rPr>
          <w:rFonts w:ascii="Times New Roman" w:eastAsia="仿宋_GB2312" w:hAnsi="Times New Roman" w:hint="eastAsia"/>
          <w:b w:val="0"/>
          <w:sz w:val="32"/>
          <w:szCs w:val="32"/>
          <w:lang w:val="en-US" w:eastAsia="zh-CN"/>
        </w:rPr>
        <w:t>1900</w:t>
      </w:r>
      <w:r>
        <w:rPr>
          <w:rFonts w:ascii="Times New Roman" w:eastAsia="仿宋_GB2312" w:hAnsi="Times New Roman"/>
          <w:b w:val="0"/>
          <w:sz w:val="32"/>
          <w:szCs w:val="32"/>
        </w:rPr>
        <w:t>万元，占政府性基金预算项目支出总额的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%；国有资本经营预算项目</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个，涉及资金</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万元，占国有资本经营预算项目支出总额的</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组织对</w:t>
      </w:r>
      <w:r>
        <w:rPr>
          <w:rFonts w:ascii="Times New Roman" w:eastAsia="仿宋_GB2312" w:hAnsi="Times New Roman" w:hint="eastAsia"/>
          <w:b w:val="0"/>
          <w:sz w:val="32"/>
          <w:szCs w:val="32"/>
        </w:rPr>
        <w:t>冀财建【2023】78号县级粮食储备库信息化建设项目资金</w:t>
      </w:r>
      <w:r>
        <w:rPr>
          <w:rFonts w:ascii="Times New Roman" w:eastAsia="仿宋_GB2312" w:hAnsi="Times New Roman" w:hint="eastAsia"/>
          <w:b w:val="0"/>
          <w:sz w:val="32"/>
          <w:szCs w:val="32"/>
          <w:lang w:val="en-US" w:eastAsia="zh-CN"/>
        </w:rPr>
        <w:t>1</w:t>
      </w:r>
      <w:r>
        <w:rPr>
          <w:rFonts w:ascii="Times New Roman" w:eastAsia="仿宋_GB2312" w:hAnsi="Times New Roman"/>
          <w:b w:val="0"/>
          <w:sz w:val="32"/>
          <w:szCs w:val="32"/>
        </w:rPr>
        <w:t>个项目开展了部门重点评价，涉及一般公共预算支出</w:t>
      </w:r>
      <w:r>
        <w:rPr>
          <w:rFonts w:ascii="Times New Roman" w:eastAsia="仿宋_GB2312" w:hAnsi="Times New Roman" w:hint="eastAsia"/>
          <w:b w:val="0"/>
          <w:sz w:val="32"/>
          <w:szCs w:val="32"/>
          <w:lang w:val="en-US" w:eastAsia="zh-CN"/>
        </w:rPr>
        <w:t>11.97</w:t>
      </w:r>
      <w:r>
        <w:rPr>
          <w:rFonts w:ascii="Times New Roman" w:eastAsia="仿宋_GB2312" w:hAnsi="Times New Roman"/>
          <w:b w:val="0"/>
          <w:sz w:val="32"/>
          <w:szCs w:val="32"/>
        </w:rPr>
        <w:t>万元，政府性基金预算支出</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万元，国有资本经营预算支出</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万元，从评价情况来看，</w:t>
      </w:r>
      <w:r>
        <w:rPr>
          <w:rFonts w:ascii="仿宋_GB2312" w:eastAsia="仿宋_GB2312" w:cs="仿宋_GB2312" w:hAnsi="仿宋_GB2312" w:hint="eastAsia"/>
          <w:b w:val="0"/>
          <w:bCs w:val="0"/>
          <w:color w:val="auto"/>
          <w:sz w:val="32"/>
          <w:szCs w:val="32"/>
        </w:rPr>
        <w:t>综合绩效评价等级优秀</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（二）部门决算中项目绩效自评结果</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本单位在今年部门决算公开中反映</w:t>
      </w:r>
      <w:r>
        <w:rPr>
          <w:rFonts w:ascii="Times New Roman" w:eastAsia="仿宋_GB2312" w:hAnsi="Times New Roman" w:hint="eastAsia"/>
          <w:b w:val="0"/>
          <w:sz w:val="32"/>
          <w:szCs w:val="32"/>
        </w:rPr>
        <w:t>2024-2025年取暖季气价倒挂补贴资金</w:t>
      </w:r>
      <w:r>
        <w:rPr>
          <w:rFonts w:ascii="Times New Roman" w:eastAsia="仿宋_GB2312" w:hAnsi="Times New Roman" w:hint="eastAsia"/>
          <w:b w:val="0"/>
          <w:sz w:val="32"/>
          <w:szCs w:val="32"/>
          <w:lang w:eastAsia="zh-CN"/>
        </w:rPr>
        <w:t>、 2024年取暖季一氧化碳报警器采购资金</w:t>
      </w:r>
      <w:r>
        <w:rPr>
          <w:rFonts w:ascii="Times New Roman" w:eastAsia="仿宋_GB2312" w:hAnsi="Times New Roman"/>
          <w:b w:val="0"/>
          <w:sz w:val="32"/>
          <w:szCs w:val="32"/>
        </w:rPr>
        <w:t>等</w:t>
      </w:r>
      <w:r>
        <w:rPr>
          <w:rFonts w:ascii="Times New Roman" w:eastAsia="仿宋_GB2312" w:hAnsi="Times New Roman" w:hint="eastAsia"/>
          <w:b w:val="0"/>
          <w:sz w:val="32"/>
          <w:szCs w:val="32"/>
          <w:lang w:val="en-US" w:eastAsia="zh-CN"/>
        </w:rPr>
        <w:t>10</w:t>
      </w:r>
      <w:r>
        <w:rPr>
          <w:rFonts w:ascii="Times New Roman" w:eastAsia="仿宋_GB2312" w:hAnsi="Times New Roman"/>
          <w:b w:val="0"/>
          <w:sz w:val="32"/>
          <w:szCs w:val="32"/>
        </w:rPr>
        <w:t>个项目绩效自评结果。</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bookmarkStart w:id="0" w:name="_GoBack"/>
      <w:bookmarkEnd w:id="0"/>
      <w:r>
        <w:rPr>
          <w:rFonts w:ascii="Times New Roman" w:eastAsia="仿宋_GB2312" w:hAnsi="Times New Roman"/>
          <w:b w:val="0"/>
          <w:sz w:val="32"/>
          <w:szCs w:val="32"/>
        </w:rPr>
        <w:t>1、</w:t>
      </w:r>
      <w:r>
        <w:rPr>
          <w:rFonts w:ascii="Times New Roman" w:eastAsia="仿宋_GB2312" w:hAnsi="Times New Roman" w:hint="eastAsia"/>
          <w:b w:val="0"/>
          <w:sz w:val="32"/>
          <w:szCs w:val="32"/>
        </w:rPr>
        <w:t xml:space="preserve"> 2024-2025年取暖季气价倒挂补贴资金</w:t>
      </w:r>
      <w:r>
        <w:rPr>
          <w:rFonts w:ascii="Times New Roman" w:eastAsia="仿宋_GB2312" w:hAnsi="Times New Roman"/>
          <w:b w:val="0"/>
          <w:sz w:val="32"/>
          <w:szCs w:val="32"/>
        </w:rPr>
        <w:t>项目</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绩效自评得分为</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分（绩效自评表附后）。全年预算数为</w:t>
      </w:r>
      <w:r>
        <w:rPr>
          <w:rFonts w:ascii="Times New Roman" w:eastAsia="仿宋_GB2312" w:hAnsi="Times New Roman" w:hint="eastAsia"/>
          <w:b w:val="0"/>
          <w:sz w:val="32"/>
          <w:szCs w:val="32"/>
          <w:lang w:val="en-US" w:eastAsia="zh-CN"/>
        </w:rPr>
        <w:t>969.16</w:t>
      </w:r>
      <w:r>
        <w:rPr>
          <w:rFonts w:ascii="Times New Roman" w:eastAsia="仿宋_GB2312" w:hAnsi="Times New Roman"/>
          <w:b w:val="0"/>
          <w:sz w:val="32"/>
          <w:szCs w:val="32"/>
        </w:rPr>
        <w:t>万元，执行数为</w:t>
      </w:r>
      <w:r>
        <w:rPr>
          <w:rFonts w:ascii="Times New Roman" w:eastAsia="仿宋_GB2312" w:hAnsi="Times New Roman" w:hint="eastAsia"/>
          <w:b w:val="0"/>
          <w:sz w:val="32"/>
          <w:szCs w:val="32"/>
          <w:lang w:val="en-US" w:eastAsia="zh-CN"/>
        </w:rPr>
        <w:t>969.16</w:t>
      </w:r>
      <w:r>
        <w:rPr>
          <w:rFonts w:ascii="Times New Roman" w:eastAsia="仿宋_GB2312" w:hAnsi="Times New Roman"/>
          <w:b w:val="0"/>
          <w:sz w:val="32"/>
          <w:szCs w:val="32"/>
        </w:rPr>
        <w:t>万元，完成预算的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%。项目绩效目标完成情况：一是</w:t>
      </w:r>
      <w:r>
        <w:rPr>
          <w:rFonts w:ascii="Times New Roman" w:eastAsia="仿宋_GB2312" w:hAnsi="Times New Roman" w:hint="eastAsia"/>
          <w:b w:val="0"/>
          <w:sz w:val="32"/>
          <w:szCs w:val="32"/>
          <w:lang w:eastAsia="zh-CN"/>
        </w:rPr>
        <w:t>促进企业经济增长</w:t>
      </w:r>
      <w:r>
        <w:rPr>
          <w:rFonts w:ascii="Times New Roman" w:eastAsia="仿宋_GB2312" w:hAnsi="Times New Roman"/>
          <w:b w:val="0"/>
          <w:sz w:val="32"/>
          <w:szCs w:val="32"/>
        </w:rPr>
        <w:t>；二是</w:t>
      </w:r>
      <w:r>
        <w:rPr>
          <w:rFonts w:ascii="Times New Roman" w:eastAsia="仿宋_GB2312" w:hAnsi="Times New Roman" w:hint="eastAsia"/>
          <w:b w:val="0"/>
          <w:sz w:val="32"/>
          <w:szCs w:val="32"/>
          <w:lang w:eastAsia="zh-CN"/>
        </w:rPr>
        <w:t>促进取暖环保化</w:t>
      </w:r>
      <w:r>
        <w:rPr>
          <w:rFonts w:ascii="Times New Roman" w:eastAsia="仿宋_GB2312" w:hAnsi="Times New Roman"/>
          <w:b w:val="0"/>
          <w:sz w:val="32"/>
          <w:szCs w:val="32"/>
        </w:rPr>
        <w:t>。发现的主要问题及原因是：</w:t>
      </w:r>
      <w:r>
        <w:rPr>
          <w:rFonts w:ascii="Times New Roman" w:eastAsia="仿宋_GB2312" w:hAnsi="Times New Roman" w:hint="eastAsia"/>
          <w:b w:val="0"/>
          <w:sz w:val="32"/>
          <w:szCs w:val="32"/>
          <w:lang w:eastAsia="zh-CN"/>
        </w:rPr>
        <w:t>无问题</w:t>
      </w:r>
      <w:r>
        <w:rPr>
          <w:rFonts w:ascii="Times New Roman" w:eastAsia="仿宋_GB2312" w:hAnsi="Times New Roman"/>
          <w:b w:val="0"/>
          <w:sz w:val="32"/>
          <w:szCs w:val="32"/>
        </w:rPr>
        <w:t>。下一步改进措施：</w:t>
      </w:r>
      <w:r>
        <w:rPr>
          <w:rFonts w:ascii="Times New Roman" w:eastAsia="仿宋_GB2312" w:hAnsi="Times New Roman" w:hint="eastAsia"/>
          <w:b w:val="0"/>
          <w:sz w:val="32"/>
          <w:szCs w:val="32"/>
          <w:lang w:eastAsia="zh-CN"/>
        </w:rPr>
        <w:t>无</w:t>
      </w:r>
      <w:r>
        <w:rPr>
          <w:rFonts w:ascii="Times New Roman" w:eastAsia="仿宋_GB2312" w:hAnsi="Times New Roman"/>
          <w:b w:val="0"/>
          <w:sz w:val="32"/>
          <w:szCs w:val="32"/>
        </w:rPr>
        <w:t>。</w:t>
      </w:r>
    </w:p>
    <w:p>
      <w:pPr>
        <w:widowControl/>
        <w:spacing w:before="0" w:beforeAutospacing="0" w:after="0" w:afterAutospacing="0" w:line="360" w:lineRule="auto"/>
        <w:ind w:left="0"/>
      </w:pPr>
      <w:r>
        <w:drawing>
          <wp:inline distT="0" distB="0" distL="114300" distR="114300">
            <wp:extent cx="5756275" cy="6435724"/>
            <wp:effectExtent l="0" t="0" r="24" b="30"/>
            <wp:docPr id="13" name="图片 1"/>
            <wp:cNvGraphicFramePr>
              <a:graphicFrameLocks noChangeAspect="1"/>
            </wp:cNvGraphicFramePr>
            <a:graphic>
              <a:graphicData uri="http://schemas.openxmlformats.org/drawingml/2006/picture">
                <pic:pic>
                  <pic:nvPicPr>
                    <pic:cNvPr id="15" name="图片 1 15"/>
                    <pic:cNvPicPr/>
                  </pic:nvPicPr>
                  <pic:blipFill>
                    <a:blip r:embed="rId17"/>
                    <a:stretch>
                      <a:fillRect/>
                    </a:stretch>
                  </pic:blipFill>
                  <pic:spPr>
                    <a:xfrm rot="0">
                      <a:off x="0" y="0"/>
                      <a:ext cx="5756275" cy="6435724"/>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480"/>
        <w:jc w:val="left"/>
      </w:pP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2、</w:t>
      </w:r>
      <w:r>
        <w:rPr>
          <w:rFonts w:ascii="Times New Roman" w:eastAsia="仿宋_GB2312" w:hAnsi="Times New Roman" w:hint="eastAsia"/>
          <w:b w:val="0"/>
          <w:sz w:val="32"/>
          <w:szCs w:val="32"/>
          <w:lang w:eastAsia="zh-CN"/>
        </w:rPr>
        <w:t>2024年取暖季一氧化碳报警器采购资金</w:t>
      </w:r>
      <w:r>
        <w:rPr>
          <w:rFonts w:ascii="Times New Roman" w:eastAsia="仿宋_GB2312" w:hAnsi="Times New Roman"/>
          <w:b w:val="0"/>
          <w:sz w:val="32"/>
          <w:szCs w:val="32"/>
        </w:rPr>
        <w:t>项目</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绩效自评得分为</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分（绩效自评表附后）。全年预算数为</w:t>
      </w:r>
      <w:r>
        <w:rPr>
          <w:rFonts w:ascii="Times New Roman" w:eastAsia="仿宋_GB2312" w:hAnsi="Times New Roman" w:hint="eastAsia"/>
          <w:b w:val="0"/>
          <w:sz w:val="32"/>
          <w:szCs w:val="32"/>
          <w:lang w:val="en-US" w:eastAsia="zh-CN"/>
        </w:rPr>
        <w:t>0.92</w:t>
      </w:r>
      <w:r>
        <w:rPr>
          <w:rFonts w:ascii="Times New Roman" w:eastAsia="仿宋_GB2312" w:hAnsi="Times New Roman"/>
          <w:b w:val="0"/>
          <w:sz w:val="32"/>
          <w:szCs w:val="32"/>
        </w:rPr>
        <w:t>万元，执行数为</w:t>
      </w:r>
      <w:r>
        <w:rPr>
          <w:rFonts w:ascii="Times New Roman" w:eastAsia="仿宋_GB2312" w:hAnsi="Times New Roman" w:hint="eastAsia"/>
          <w:b w:val="0"/>
          <w:sz w:val="32"/>
          <w:szCs w:val="32"/>
          <w:lang w:val="en-US" w:eastAsia="zh-CN"/>
        </w:rPr>
        <w:t>0.92</w:t>
      </w:r>
      <w:r>
        <w:rPr>
          <w:rFonts w:ascii="Times New Roman" w:eastAsia="仿宋_GB2312" w:hAnsi="Times New Roman"/>
          <w:b w:val="0"/>
          <w:sz w:val="32"/>
          <w:szCs w:val="32"/>
        </w:rPr>
        <w:t>万元，完成预算的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%。项目绩效目标完成情况：一是</w:t>
      </w:r>
      <w:r>
        <w:rPr>
          <w:rFonts w:ascii="Times New Roman" w:eastAsia="仿宋_GB2312" w:hAnsi="Times New Roman" w:hint="eastAsia"/>
          <w:b w:val="0"/>
          <w:sz w:val="32"/>
          <w:szCs w:val="32"/>
          <w:lang w:eastAsia="zh-CN"/>
        </w:rPr>
        <w:t>促进企业经济增长</w:t>
      </w:r>
      <w:r>
        <w:rPr>
          <w:rFonts w:ascii="Times New Roman" w:eastAsia="仿宋_GB2312" w:hAnsi="Times New Roman"/>
          <w:b w:val="0"/>
          <w:sz w:val="32"/>
          <w:szCs w:val="32"/>
        </w:rPr>
        <w:t>；二是</w:t>
      </w:r>
      <w:r>
        <w:rPr>
          <w:rFonts w:ascii="Times New Roman" w:eastAsia="仿宋_GB2312" w:hAnsi="Times New Roman" w:hint="eastAsia"/>
          <w:b w:val="0"/>
          <w:sz w:val="32"/>
          <w:szCs w:val="32"/>
          <w:lang w:eastAsia="zh-CN"/>
        </w:rPr>
        <w:t>保障我县取暖安全</w:t>
      </w:r>
      <w:r>
        <w:rPr>
          <w:rFonts w:ascii="Times New Roman" w:eastAsia="仿宋_GB2312" w:hAnsi="Times New Roman"/>
          <w:b w:val="0"/>
          <w:sz w:val="32"/>
          <w:szCs w:val="32"/>
        </w:rPr>
        <w:t>。发现的主要问题及原因是：</w:t>
      </w:r>
      <w:r>
        <w:rPr>
          <w:rFonts w:ascii="Times New Roman" w:eastAsia="仿宋_GB2312" w:hAnsi="Times New Roman" w:hint="eastAsia"/>
          <w:b w:val="0"/>
          <w:sz w:val="32"/>
          <w:szCs w:val="32"/>
          <w:lang w:eastAsia="zh-CN"/>
        </w:rPr>
        <w:t>无问题</w:t>
      </w:r>
      <w:r>
        <w:rPr>
          <w:rFonts w:ascii="Times New Roman" w:eastAsia="仿宋_GB2312" w:hAnsi="Times New Roman"/>
          <w:b w:val="0"/>
          <w:sz w:val="32"/>
          <w:szCs w:val="32"/>
        </w:rPr>
        <w:t>。下一步改进措施：</w:t>
      </w:r>
      <w:r>
        <w:rPr>
          <w:rFonts w:ascii="Times New Roman" w:eastAsia="仿宋_GB2312" w:hAnsi="Times New Roman" w:hint="eastAsia"/>
          <w:b w:val="0"/>
          <w:sz w:val="32"/>
          <w:szCs w:val="32"/>
          <w:lang w:eastAsia="zh-CN"/>
        </w:rPr>
        <w:t>无</w:t>
      </w:r>
      <w:r>
        <w:rPr>
          <w:rFonts w:ascii="Times New Roman" w:eastAsia="仿宋_GB2312" w:hAnsi="Times New Roman"/>
          <w:b w:val="0"/>
          <w:sz w:val="32"/>
          <w:szCs w:val="32"/>
        </w:rPr>
        <w:t>。</w:t>
      </w:r>
    </w:p>
    <w:p>
      <w:pPr>
        <w:widowControl/>
        <w:spacing w:before="0" w:beforeAutospacing="0" w:after="0" w:afterAutospacing="0" w:line="360" w:lineRule="auto"/>
        <w:ind w:left="0"/>
        <w:jc w:val="left"/>
        <w:rPr>
          <w:rFonts w:ascii="Times New Roman" w:eastAsia="仿宋_GB2312" w:hAnsi="Times New Roman"/>
          <w:b w:val="0"/>
          <w:sz w:val="32"/>
          <w:szCs w:val="32"/>
        </w:rPr>
      </w:pPr>
      <w:r>
        <w:drawing>
          <wp:inline distT="0" distB="0" distL="114300" distR="114300">
            <wp:extent cx="5756909" cy="5070475"/>
            <wp:effectExtent l="0" t="0" r="8" b="14"/>
            <wp:docPr id="16" name="图片 4"/>
            <wp:cNvGraphicFramePr>
              <a:graphicFrameLocks noChangeAspect="1"/>
            </wp:cNvGraphicFramePr>
            <a:graphic>
              <a:graphicData uri="http://schemas.openxmlformats.org/drawingml/2006/picture">
                <pic:pic>
                  <pic:nvPicPr>
                    <pic:cNvPr id="18" name="图片 4 18"/>
                    <pic:cNvPicPr/>
                  </pic:nvPicPr>
                  <pic:blipFill>
                    <a:blip r:embed="rId18"/>
                    <a:stretch>
                      <a:fillRect/>
                    </a:stretch>
                  </pic:blipFill>
                  <pic:spPr>
                    <a:xfrm rot="0">
                      <a:off x="0" y="0"/>
                      <a:ext cx="5756909" cy="5070475"/>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3、</w:t>
      </w:r>
      <w:r>
        <w:rPr>
          <w:rFonts w:ascii="Times New Roman" w:eastAsia="仿宋_GB2312" w:hAnsi="Times New Roman" w:hint="eastAsia"/>
          <w:b w:val="0"/>
          <w:sz w:val="32"/>
          <w:szCs w:val="32"/>
          <w:lang w:eastAsia="zh-CN"/>
        </w:rPr>
        <w:t>冀财[2023]201号2023年省级大气污染防治专项资金（洁净煤及炉具补贴）</w:t>
      </w:r>
      <w:r>
        <w:rPr>
          <w:rFonts w:ascii="Times New Roman" w:eastAsia="仿宋_GB2312" w:hAnsi="Times New Roman"/>
          <w:b w:val="0"/>
          <w:sz w:val="32"/>
          <w:szCs w:val="32"/>
        </w:rPr>
        <w:t>项目</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绩效自评得分为</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分（绩效自评表附后）。全年预算数为</w:t>
      </w:r>
      <w:r>
        <w:rPr>
          <w:rFonts w:ascii="Times New Roman" w:eastAsia="仿宋_GB2312" w:hAnsi="Times New Roman" w:hint="eastAsia"/>
          <w:b w:val="0"/>
          <w:sz w:val="32"/>
          <w:szCs w:val="32"/>
          <w:lang w:val="en-US" w:eastAsia="zh-CN"/>
        </w:rPr>
        <w:t>327</w:t>
      </w:r>
      <w:r>
        <w:rPr>
          <w:rFonts w:ascii="Times New Roman" w:eastAsia="仿宋_GB2312" w:hAnsi="Times New Roman"/>
          <w:b w:val="0"/>
          <w:sz w:val="32"/>
          <w:szCs w:val="32"/>
        </w:rPr>
        <w:t>万元，执行数为</w:t>
      </w:r>
      <w:r>
        <w:rPr>
          <w:rFonts w:ascii="Times New Roman" w:eastAsia="仿宋_GB2312" w:hAnsi="Times New Roman" w:hint="eastAsia"/>
          <w:b w:val="0"/>
          <w:sz w:val="32"/>
          <w:szCs w:val="32"/>
          <w:lang w:val="en-US" w:eastAsia="zh-CN"/>
        </w:rPr>
        <w:t>327</w:t>
      </w:r>
      <w:r>
        <w:rPr>
          <w:rFonts w:ascii="Times New Roman" w:eastAsia="仿宋_GB2312" w:hAnsi="Times New Roman"/>
          <w:b w:val="0"/>
          <w:sz w:val="32"/>
          <w:szCs w:val="32"/>
        </w:rPr>
        <w:t>万元，完成预算的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%。项目绩效目标完成情况：一是</w:t>
      </w:r>
      <w:r>
        <w:rPr>
          <w:rFonts w:ascii="Times New Roman" w:eastAsia="仿宋_GB2312" w:hAnsi="Times New Roman" w:hint="eastAsia"/>
          <w:b w:val="0"/>
          <w:sz w:val="32"/>
          <w:szCs w:val="32"/>
          <w:lang w:eastAsia="zh-CN"/>
        </w:rPr>
        <w:t>促进企业经济增长</w:t>
      </w:r>
      <w:r>
        <w:rPr>
          <w:rFonts w:ascii="Times New Roman" w:eastAsia="仿宋_GB2312" w:hAnsi="Times New Roman"/>
          <w:b w:val="0"/>
          <w:sz w:val="32"/>
          <w:szCs w:val="32"/>
        </w:rPr>
        <w:t>；二是</w:t>
      </w:r>
      <w:r>
        <w:rPr>
          <w:rFonts w:ascii="Times New Roman" w:eastAsia="仿宋_GB2312" w:hAnsi="Times New Roman" w:hint="eastAsia"/>
          <w:b w:val="0"/>
          <w:sz w:val="32"/>
          <w:szCs w:val="32"/>
          <w:lang w:eastAsia="zh-CN"/>
        </w:rPr>
        <w:t>促进我县取暖无污染化</w:t>
      </w:r>
      <w:r>
        <w:rPr>
          <w:rFonts w:ascii="Times New Roman" w:eastAsia="仿宋_GB2312" w:hAnsi="Times New Roman"/>
          <w:b w:val="0"/>
          <w:sz w:val="32"/>
          <w:szCs w:val="32"/>
        </w:rPr>
        <w:t>。发现的主要问题及原因是：</w:t>
      </w:r>
      <w:r>
        <w:rPr>
          <w:rFonts w:ascii="Times New Roman" w:eastAsia="仿宋_GB2312" w:hAnsi="Times New Roman" w:hint="eastAsia"/>
          <w:b w:val="0"/>
          <w:sz w:val="32"/>
          <w:szCs w:val="32"/>
          <w:lang w:eastAsia="zh-CN"/>
        </w:rPr>
        <w:t>无问题</w:t>
      </w:r>
      <w:r>
        <w:rPr>
          <w:rFonts w:ascii="Times New Roman" w:eastAsia="仿宋_GB2312" w:hAnsi="Times New Roman"/>
          <w:b w:val="0"/>
          <w:sz w:val="32"/>
          <w:szCs w:val="32"/>
        </w:rPr>
        <w:t>。下一步改进措施：</w:t>
      </w:r>
      <w:r>
        <w:rPr>
          <w:rFonts w:ascii="Times New Roman" w:eastAsia="仿宋_GB2312" w:hAnsi="Times New Roman" w:hint="eastAsia"/>
          <w:b w:val="0"/>
          <w:sz w:val="32"/>
          <w:szCs w:val="32"/>
          <w:lang w:eastAsia="zh-CN"/>
        </w:rPr>
        <w:t>无</w:t>
      </w:r>
      <w:r>
        <w:rPr>
          <w:rFonts w:ascii="Times New Roman" w:eastAsia="仿宋_GB2312" w:hAnsi="Times New Roman"/>
          <w:b w:val="0"/>
          <w:sz w:val="32"/>
          <w:szCs w:val="32"/>
        </w:rPr>
        <w:t>。</w:t>
      </w:r>
    </w:p>
    <w:p>
      <w:pPr>
        <w:widowControl/>
        <w:spacing w:before="0" w:beforeAutospacing="0" w:after="0" w:afterAutospacing="0" w:line="360" w:lineRule="auto"/>
        <w:ind w:left="0"/>
        <w:jc w:val="left"/>
        <w:rPr>
          <w:rFonts w:ascii="Times New Roman" w:eastAsia="仿宋_GB2312" w:hAnsi="Times New Roman"/>
          <w:b w:val="0"/>
          <w:sz w:val="32"/>
          <w:szCs w:val="32"/>
        </w:rPr>
      </w:pPr>
      <w:r>
        <w:drawing>
          <wp:inline distT="0" distB="0" distL="114300" distR="114300">
            <wp:extent cx="5756275" cy="5455285"/>
            <wp:effectExtent l="0" t="0" r="24" b="20"/>
            <wp:docPr id="19" name="图片 3"/>
            <wp:cNvGraphicFramePr>
              <a:graphicFrameLocks noChangeAspect="1"/>
            </wp:cNvGraphicFramePr>
            <a:graphic>
              <a:graphicData uri="http://schemas.openxmlformats.org/drawingml/2006/picture">
                <pic:pic>
                  <pic:nvPicPr>
                    <pic:cNvPr id="21" name="图片 3 21"/>
                    <pic:cNvPicPr/>
                  </pic:nvPicPr>
                  <pic:blipFill>
                    <a:blip r:embed="rId19"/>
                    <a:stretch>
                      <a:fillRect/>
                    </a:stretch>
                  </pic:blipFill>
                  <pic:spPr>
                    <a:xfrm rot="0">
                      <a:off x="0" y="0"/>
                      <a:ext cx="5756275" cy="5455285"/>
                    </a:xfrm>
                    <a:prstGeom prst="rect"/>
                    <a:noFill/>
                    <a:ln w="9525" cmpd="sng" cap="flat">
                      <a:noFill/>
                      <a:prstDash val="solid"/>
                      <a:round/>
                    </a:ln>
                  </pic:spPr>
                </pic:pic>
              </a:graphicData>
            </a:graphic>
          </wp:inline>
        </w:drawing>
      </w:r>
    </w:p>
    <w:p>
      <w:pPr>
        <w:widowControl/>
        <w:spacing w:before="0" w:beforeAutospacing="0" w:after="0" w:afterAutospacing="0" w:line="360" w:lineRule="auto"/>
        <w:ind w:leftChars="66" w:left="158" w:firstLineChars="150" w:firstLine="480"/>
        <w:jc w:val="left"/>
        <w:rPr>
          <w:rFonts w:ascii="Times New Roman" w:eastAsia="仿宋_GB2312" w:hAnsi="Times New Roman"/>
          <w:b w:val="0"/>
          <w:sz w:val="32"/>
          <w:szCs w:val="32"/>
          <w:lang w:eastAsia="zh-CN"/>
        </w:rPr>
      </w:pPr>
      <w:r>
        <w:rPr>
          <w:rFonts w:ascii="Times New Roman" w:eastAsia="仿宋_GB2312" w:hAnsi="Times New Roman"/>
          <w:b w:val="0"/>
          <w:sz w:val="32"/>
          <w:szCs w:val="32"/>
        </w:rPr>
        <w:t>4、</w:t>
      </w:r>
      <w:r>
        <w:rPr>
          <w:rFonts w:ascii="Times New Roman" w:eastAsia="仿宋_GB2312" w:hAnsi="Times New Roman" w:hint="eastAsia"/>
          <w:b w:val="0"/>
          <w:sz w:val="32"/>
          <w:szCs w:val="32"/>
          <w:lang w:eastAsia="zh-CN"/>
        </w:rPr>
        <w:t>石财建【2024】15号2023年石家庄市瞪羚企业奖励资金</w:t>
      </w:r>
    </w:p>
    <w:p>
      <w:pPr>
        <w:widowControl/>
        <w:spacing w:before="0" w:beforeAutospacing="0" w:after="0" w:afterAutospacing="0" w:line="360" w:lineRule="auto"/>
        <w:ind w:leftChars="66" w:left="158" w:firstLineChars="150" w:firstLine="480"/>
        <w:jc w:val="left"/>
        <w:rPr>
          <w:rFonts w:ascii="Times New Roman" w:eastAsia="仿宋_GB2312" w:hAnsi="Times New Roman"/>
          <w:b w:val="0"/>
          <w:sz w:val="32"/>
          <w:szCs w:val="32"/>
        </w:rPr>
      </w:pPr>
      <w:r>
        <w:rPr>
          <w:rFonts w:ascii="Times New Roman" w:eastAsia="仿宋_GB2312" w:hAnsi="Times New Roman"/>
          <w:b w:val="0"/>
          <w:sz w:val="32"/>
          <w:szCs w:val="32"/>
        </w:rPr>
        <w:t>项目绩效自评得分为</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分（绩效自评表附后）。全年预算数为</w:t>
      </w:r>
      <w:r>
        <w:rPr>
          <w:rFonts w:ascii="Times New Roman" w:eastAsia="仿宋_GB2312" w:hAnsi="Times New Roman" w:hint="eastAsia"/>
          <w:b w:val="0"/>
          <w:sz w:val="32"/>
          <w:szCs w:val="32"/>
          <w:lang w:val="en-US" w:eastAsia="zh-CN"/>
        </w:rPr>
        <w:t>80</w:t>
      </w:r>
      <w:r>
        <w:rPr>
          <w:rFonts w:ascii="Times New Roman" w:eastAsia="仿宋_GB2312" w:hAnsi="Times New Roman"/>
          <w:b w:val="0"/>
          <w:sz w:val="32"/>
          <w:szCs w:val="32"/>
        </w:rPr>
        <w:t>万元，执行数为</w:t>
      </w:r>
      <w:r>
        <w:rPr>
          <w:rFonts w:ascii="Times New Roman" w:eastAsia="仿宋_GB2312" w:hAnsi="Times New Roman" w:hint="eastAsia"/>
          <w:b w:val="0"/>
          <w:sz w:val="32"/>
          <w:szCs w:val="32"/>
          <w:lang w:val="en-US" w:eastAsia="zh-CN"/>
        </w:rPr>
        <w:t>80</w:t>
      </w:r>
      <w:r>
        <w:rPr>
          <w:rFonts w:ascii="Times New Roman" w:eastAsia="仿宋_GB2312" w:hAnsi="Times New Roman"/>
          <w:b w:val="0"/>
          <w:sz w:val="32"/>
          <w:szCs w:val="32"/>
        </w:rPr>
        <w:t>万元，完成预算的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%。项目绩效目标完成情况：一是</w:t>
      </w:r>
      <w:r>
        <w:rPr>
          <w:rFonts w:ascii="Times New Roman" w:eastAsia="仿宋_GB2312" w:hAnsi="Times New Roman" w:hint="eastAsia"/>
          <w:b w:val="0"/>
          <w:sz w:val="32"/>
          <w:szCs w:val="32"/>
          <w:lang w:eastAsia="zh-CN"/>
        </w:rPr>
        <w:t>促进企业经济增长</w:t>
      </w:r>
      <w:r>
        <w:rPr>
          <w:rFonts w:ascii="Times New Roman" w:eastAsia="仿宋_GB2312" w:hAnsi="Times New Roman"/>
          <w:b w:val="0"/>
          <w:sz w:val="32"/>
          <w:szCs w:val="32"/>
        </w:rPr>
        <w:t>；二是</w:t>
      </w:r>
      <w:r>
        <w:rPr>
          <w:rFonts w:ascii="Times New Roman" w:eastAsia="仿宋_GB2312" w:hAnsi="Times New Roman" w:hint="eastAsia"/>
          <w:b w:val="0"/>
          <w:sz w:val="32"/>
          <w:szCs w:val="32"/>
          <w:lang w:eastAsia="zh-CN"/>
        </w:rPr>
        <w:t>扶持企业发展</w:t>
      </w:r>
      <w:r>
        <w:rPr>
          <w:rFonts w:ascii="Times New Roman" w:eastAsia="仿宋_GB2312" w:hAnsi="Times New Roman"/>
          <w:b w:val="0"/>
          <w:sz w:val="32"/>
          <w:szCs w:val="32"/>
        </w:rPr>
        <w:t>。发现的主要问题及原因是：</w:t>
      </w:r>
      <w:r>
        <w:rPr>
          <w:rFonts w:ascii="Times New Roman" w:eastAsia="仿宋_GB2312" w:hAnsi="Times New Roman" w:hint="eastAsia"/>
          <w:b w:val="0"/>
          <w:sz w:val="32"/>
          <w:szCs w:val="32"/>
          <w:lang w:eastAsia="zh-CN"/>
        </w:rPr>
        <w:t>无问题</w:t>
      </w:r>
      <w:r>
        <w:rPr>
          <w:rFonts w:ascii="Times New Roman" w:eastAsia="仿宋_GB2312" w:hAnsi="Times New Roman"/>
          <w:b w:val="0"/>
          <w:sz w:val="32"/>
          <w:szCs w:val="32"/>
        </w:rPr>
        <w:t>。下一步改进措施：</w:t>
      </w:r>
      <w:r>
        <w:rPr>
          <w:rFonts w:ascii="Times New Roman" w:eastAsia="仿宋_GB2312" w:hAnsi="Times New Roman" w:hint="eastAsia"/>
          <w:b w:val="0"/>
          <w:sz w:val="32"/>
          <w:szCs w:val="32"/>
          <w:lang w:eastAsia="zh-CN"/>
        </w:rPr>
        <w:t>无</w:t>
      </w:r>
      <w:r>
        <w:rPr>
          <w:rFonts w:ascii="Times New Roman" w:eastAsia="仿宋_GB2312" w:hAnsi="Times New Roman"/>
          <w:b w:val="0"/>
          <w:sz w:val="32"/>
          <w:szCs w:val="32"/>
        </w:rPr>
        <w:t>。</w:t>
      </w:r>
    </w:p>
    <w:p>
      <w:pPr>
        <w:widowControl/>
        <w:spacing w:before="0" w:beforeAutospacing="0" w:after="0" w:afterAutospacing="0" w:line="360" w:lineRule="auto"/>
        <w:ind w:left="0"/>
        <w:jc w:val="left"/>
        <w:rPr>
          <w:rFonts w:ascii="Times New Roman" w:eastAsia="仿宋_GB2312" w:hAnsi="Times New Roman"/>
          <w:b w:val="0"/>
          <w:sz w:val="32"/>
          <w:szCs w:val="32"/>
        </w:rPr>
      </w:pPr>
      <w:r>
        <w:drawing>
          <wp:inline distT="0" distB="0" distL="114300" distR="114300">
            <wp:extent cx="5760085" cy="5337175"/>
            <wp:effectExtent l="0" t="0" r="24" b="18"/>
            <wp:docPr id="22" name="图片 5"/>
            <wp:cNvGraphicFramePr>
              <a:graphicFrameLocks noChangeAspect="1"/>
            </wp:cNvGraphicFramePr>
            <a:graphic>
              <a:graphicData uri="http://schemas.openxmlformats.org/drawingml/2006/picture">
                <pic:pic>
                  <pic:nvPicPr>
                    <pic:cNvPr id="24" name="图片 5 24"/>
                    <pic:cNvPicPr/>
                  </pic:nvPicPr>
                  <pic:blipFill>
                    <a:blip r:embed="rId20"/>
                    <a:stretch>
                      <a:fillRect/>
                    </a:stretch>
                  </pic:blipFill>
                  <pic:spPr>
                    <a:xfrm rot="0">
                      <a:off x="0" y="0"/>
                      <a:ext cx="5760085" cy="5337175"/>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5、</w:t>
      </w:r>
      <w:r>
        <w:rPr>
          <w:rFonts w:ascii="Times New Roman" w:eastAsia="仿宋_GB2312" w:hAnsi="Times New Roman" w:hint="eastAsia"/>
          <w:b w:val="0"/>
          <w:sz w:val="32"/>
          <w:szCs w:val="32"/>
          <w:lang w:eastAsia="zh-CN"/>
        </w:rPr>
        <w:t>人民防空、节能监察工作经费</w:t>
      </w:r>
      <w:r>
        <w:rPr>
          <w:rFonts w:ascii="Times New Roman" w:eastAsia="仿宋_GB2312" w:hAnsi="Times New Roman"/>
          <w:b w:val="0"/>
          <w:sz w:val="32"/>
          <w:szCs w:val="32"/>
        </w:rPr>
        <w:t>项目</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绩效自评得分为</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分（绩效自评表附后）。全年预算数为</w:t>
      </w:r>
      <w:r>
        <w:rPr>
          <w:rFonts w:ascii="Times New Roman" w:eastAsia="仿宋_GB2312" w:hAnsi="Times New Roman" w:hint="eastAsia"/>
          <w:b w:val="0"/>
          <w:sz w:val="32"/>
          <w:szCs w:val="32"/>
          <w:lang w:val="en-US" w:eastAsia="zh-CN"/>
        </w:rPr>
        <w:t>3</w:t>
      </w:r>
      <w:r>
        <w:rPr>
          <w:rFonts w:ascii="Times New Roman" w:eastAsia="仿宋_GB2312" w:hAnsi="Times New Roman"/>
          <w:b w:val="0"/>
          <w:sz w:val="32"/>
          <w:szCs w:val="32"/>
        </w:rPr>
        <w:t>万元，执行数为</w:t>
      </w:r>
      <w:r>
        <w:rPr>
          <w:rFonts w:ascii="Times New Roman" w:eastAsia="仿宋_GB2312" w:hAnsi="Times New Roman" w:hint="eastAsia"/>
          <w:b w:val="0"/>
          <w:sz w:val="32"/>
          <w:szCs w:val="32"/>
          <w:lang w:val="en-US" w:eastAsia="zh-CN"/>
        </w:rPr>
        <w:t>3</w:t>
      </w:r>
      <w:r>
        <w:rPr>
          <w:rFonts w:ascii="Times New Roman" w:eastAsia="仿宋_GB2312" w:hAnsi="Times New Roman"/>
          <w:b w:val="0"/>
          <w:sz w:val="32"/>
          <w:szCs w:val="32"/>
        </w:rPr>
        <w:t>万元，完成预算的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%。项目绩效目标完成情况：一是</w:t>
      </w:r>
      <w:r>
        <w:rPr>
          <w:rFonts w:ascii="Times New Roman" w:eastAsia="仿宋_GB2312" w:hAnsi="Times New Roman" w:hint="eastAsia"/>
          <w:b w:val="0"/>
          <w:sz w:val="32"/>
          <w:szCs w:val="32"/>
          <w:lang w:eastAsia="zh-CN"/>
        </w:rPr>
        <w:t>促进企业经济增长</w:t>
      </w:r>
      <w:r>
        <w:rPr>
          <w:rFonts w:ascii="Times New Roman" w:eastAsia="仿宋_GB2312" w:hAnsi="Times New Roman"/>
          <w:b w:val="0"/>
          <w:sz w:val="32"/>
          <w:szCs w:val="32"/>
        </w:rPr>
        <w:t>；二是</w:t>
      </w:r>
      <w:r>
        <w:rPr>
          <w:rFonts w:ascii="Times New Roman" w:eastAsia="仿宋_GB2312" w:hAnsi="Times New Roman" w:hint="eastAsia"/>
          <w:b w:val="0"/>
          <w:sz w:val="32"/>
          <w:szCs w:val="32"/>
          <w:lang w:eastAsia="zh-CN"/>
        </w:rPr>
        <w:t>开发新技术新产品</w:t>
      </w:r>
      <w:r>
        <w:rPr>
          <w:rFonts w:ascii="Times New Roman" w:eastAsia="仿宋_GB2312" w:hAnsi="Times New Roman"/>
          <w:b w:val="0"/>
          <w:sz w:val="32"/>
          <w:szCs w:val="32"/>
        </w:rPr>
        <w:t>。发现的主要问题及原因是：</w:t>
      </w:r>
      <w:r>
        <w:rPr>
          <w:rFonts w:ascii="Times New Roman" w:eastAsia="仿宋_GB2312" w:hAnsi="Times New Roman" w:hint="eastAsia"/>
          <w:b w:val="0"/>
          <w:sz w:val="32"/>
          <w:szCs w:val="32"/>
          <w:lang w:eastAsia="zh-CN"/>
        </w:rPr>
        <w:t>无问题</w:t>
      </w:r>
      <w:r>
        <w:rPr>
          <w:rFonts w:ascii="Times New Roman" w:eastAsia="仿宋_GB2312" w:hAnsi="Times New Roman"/>
          <w:b w:val="0"/>
          <w:sz w:val="32"/>
          <w:szCs w:val="32"/>
        </w:rPr>
        <w:t>。下一步改进措施：</w:t>
      </w:r>
      <w:r>
        <w:rPr>
          <w:rFonts w:ascii="Times New Roman" w:eastAsia="仿宋_GB2312" w:hAnsi="Times New Roman" w:hint="eastAsia"/>
          <w:b w:val="0"/>
          <w:sz w:val="32"/>
          <w:szCs w:val="32"/>
          <w:lang w:eastAsia="zh-CN"/>
        </w:rPr>
        <w:t>无</w:t>
      </w:r>
      <w:r>
        <w:rPr>
          <w:rFonts w:ascii="Times New Roman" w:eastAsia="仿宋_GB2312" w:hAnsi="Times New Roman"/>
          <w:b w:val="0"/>
          <w:sz w:val="32"/>
          <w:szCs w:val="32"/>
        </w:rPr>
        <w:t>。</w:t>
      </w:r>
    </w:p>
    <w:p>
      <w:pPr>
        <w:widowControl/>
        <w:spacing w:before="0" w:beforeAutospacing="0" w:after="0" w:afterAutospacing="0" w:line="360" w:lineRule="auto"/>
        <w:ind w:left="0"/>
        <w:jc w:val="left"/>
        <w:rPr>
          <w:rFonts w:ascii="Times New Roman" w:eastAsia="仿宋_GB2312" w:hAnsi="Times New Roman"/>
          <w:b w:val="0"/>
          <w:sz w:val="32"/>
          <w:szCs w:val="32"/>
        </w:rPr>
      </w:pPr>
      <w:r>
        <w:drawing>
          <wp:inline distT="0" distB="0" distL="114300" distR="114300">
            <wp:extent cx="5756275" cy="5826123"/>
            <wp:effectExtent l="0" t="0" r="24" b="40"/>
            <wp:docPr id="25" name="图片 6"/>
            <wp:cNvGraphicFramePr>
              <a:graphicFrameLocks noChangeAspect="1"/>
            </wp:cNvGraphicFramePr>
            <a:graphic>
              <a:graphicData uri="http://schemas.openxmlformats.org/drawingml/2006/picture">
                <pic:pic>
                  <pic:nvPicPr>
                    <pic:cNvPr id="27" name="图片 6 27"/>
                    <pic:cNvPicPr/>
                  </pic:nvPicPr>
                  <pic:blipFill>
                    <a:blip r:embed="rId21"/>
                    <a:stretch>
                      <a:fillRect/>
                    </a:stretch>
                  </pic:blipFill>
                  <pic:spPr>
                    <a:xfrm rot="0">
                      <a:off x="0" y="0"/>
                      <a:ext cx="5756275" cy="5826123"/>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6、</w:t>
      </w:r>
      <w:r>
        <w:rPr>
          <w:rFonts w:ascii="Times New Roman" w:eastAsia="仿宋_GB2312" w:hAnsi="Times New Roman" w:hint="eastAsia"/>
          <w:b w:val="0"/>
          <w:sz w:val="32"/>
          <w:szCs w:val="32"/>
        </w:rPr>
        <w:t>石财建【2024】68号大气污染防治资金项目</w:t>
      </w:r>
    </w:p>
    <w:p>
      <w:pPr>
        <w:widowControl/>
        <w:spacing w:before="0" w:beforeAutospacing="0" w:after="0" w:afterAutospacing="0" w:line="360" w:lineRule="auto"/>
        <w:ind w:firstLineChars="200" w:firstLine="640"/>
        <w:jc w:val="left"/>
        <w:rPr>
          <w:rFonts w:ascii="Times New Roman" w:eastAsia="仿宋_GB2312" w:hAnsi="Times New Roman" w:hint="eastAsia"/>
          <w:b w:val="0"/>
          <w:sz w:val="32"/>
          <w:szCs w:val="32"/>
        </w:rPr>
      </w:pPr>
      <w:r>
        <w:rPr>
          <w:rFonts w:ascii="Times New Roman" w:eastAsia="仿宋_GB2312" w:hAnsi="Times New Roman" w:hint="eastAsia"/>
          <w:b w:val="0"/>
          <w:sz w:val="32"/>
          <w:szCs w:val="32"/>
        </w:rPr>
        <w:t>绩效自评得分为100分（绩效自评表附后）。全年预算数为</w:t>
      </w:r>
      <w:r>
        <w:rPr>
          <w:rFonts w:ascii="Times New Roman" w:eastAsia="仿宋_GB2312" w:hAnsi="Times New Roman" w:hint="eastAsia"/>
          <w:b w:val="0"/>
          <w:sz w:val="32"/>
          <w:szCs w:val="32"/>
          <w:lang w:val="en-US" w:eastAsia="zh-CN"/>
        </w:rPr>
        <w:t>1</w:t>
      </w:r>
      <w:r>
        <w:rPr>
          <w:rFonts w:ascii="Times New Roman" w:eastAsia="仿宋_GB2312" w:hAnsi="Times New Roman" w:hint="eastAsia"/>
          <w:b w:val="0"/>
          <w:sz w:val="32"/>
          <w:szCs w:val="32"/>
        </w:rPr>
        <w:t>3</w:t>
      </w:r>
      <w:r>
        <w:rPr>
          <w:rFonts w:ascii="Times New Roman" w:eastAsia="仿宋_GB2312" w:hAnsi="Times New Roman" w:hint="eastAsia"/>
          <w:b w:val="0"/>
          <w:sz w:val="32"/>
          <w:szCs w:val="32"/>
          <w:lang w:val="en-US" w:eastAsia="zh-CN"/>
        </w:rPr>
        <w:t>2</w:t>
      </w:r>
      <w:r>
        <w:rPr>
          <w:rFonts w:ascii="Times New Roman" w:eastAsia="仿宋_GB2312" w:hAnsi="Times New Roman" w:hint="eastAsia"/>
          <w:b w:val="0"/>
          <w:sz w:val="32"/>
          <w:szCs w:val="32"/>
        </w:rPr>
        <w:t>万元，执行数为</w:t>
      </w:r>
      <w:r>
        <w:rPr>
          <w:rFonts w:ascii="Times New Roman" w:eastAsia="仿宋_GB2312" w:hAnsi="Times New Roman" w:hint="eastAsia"/>
          <w:b w:val="0"/>
          <w:sz w:val="32"/>
          <w:szCs w:val="32"/>
          <w:lang w:val="en-US" w:eastAsia="zh-CN"/>
        </w:rPr>
        <w:t>1</w:t>
      </w:r>
      <w:r>
        <w:rPr>
          <w:rFonts w:ascii="Times New Roman" w:eastAsia="仿宋_GB2312" w:hAnsi="Times New Roman" w:hint="eastAsia"/>
          <w:b w:val="0"/>
          <w:sz w:val="32"/>
          <w:szCs w:val="32"/>
        </w:rPr>
        <w:t>3</w:t>
      </w:r>
      <w:r>
        <w:rPr>
          <w:rFonts w:ascii="Times New Roman" w:eastAsia="仿宋_GB2312" w:hAnsi="Times New Roman" w:hint="eastAsia"/>
          <w:b w:val="0"/>
          <w:sz w:val="32"/>
          <w:szCs w:val="32"/>
          <w:lang w:val="en-US" w:eastAsia="zh-CN"/>
        </w:rPr>
        <w:t>2</w:t>
      </w:r>
      <w:r>
        <w:rPr>
          <w:rFonts w:ascii="Times New Roman" w:eastAsia="仿宋_GB2312" w:hAnsi="Times New Roman" w:hint="eastAsia"/>
          <w:b w:val="0"/>
          <w:sz w:val="32"/>
          <w:szCs w:val="32"/>
        </w:rPr>
        <w:t>万元，完成预算的100%。项目绩效目标完成情况：一是</w:t>
      </w:r>
      <w:r>
        <w:rPr>
          <w:rFonts w:ascii="Times New Roman" w:eastAsia="仿宋_GB2312" w:hAnsi="Times New Roman" w:hint="eastAsia"/>
          <w:b w:val="0"/>
          <w:sz w:val="32"/>
          <w:szCs w:val="32"/>
          <w:lang w:eastAsia="zh-CN"/>
        </w:rPr>
        <w:t>保障居民生活</w:t>
      </w:r>
      <w:r>
        <w:rPr>
          <w:rFonts w:ascii="Times New Roman" w:eastAsia="仿宋_GB2312" w:hAnsi="Times New Roman" w:hint="eastAsia"/>
          <w:b w:val="0"/>
          <w:sz w:val="32"/>
          <w:szCs w:val="32"/>
        </w:rPr>
        <w:t>；二是</w:t>
      </w:r>
      <w:r>
        <w:rPr>
          <w:rFonts w:ascii="Times New Roman" w:eastAsia="仿宋_GB2312" w:hAnsi="Times New Roman" w:hint="eastAsia"/>
          <w:b w:val="0"/>
          <w:sz w:val="32"/>
          <w:szCs w:val="32"/>
          <w:lang w:eastAsia="zh-CN"/>
        </w:rPr>
        <w:t>促进我县取暖清洁化</w:t>
      </w:r>
      <w:r>
        <w:rPr>
          <w:rFonts w:ascii="Times New Roman" w:eastAsia="仿宋_GB2312" w:hAnsi="Times New Roman" w:hint="eastAsia"/>
          <w:b w:val="0"/>
          <w:sz w:val="32"/>
          <w:szCs w:val="32"/>
        </w:rPr>
        <w:t>。发现的主要问题及原因是：无问题。下一步改进措施：无。</w:t>
      </w:r>
    </w:p>
    <w:p>
      <w:pPr>
        <w:widowControl/>
        <w:spacing w:before="0" w:beforeAutospacing="0" w:after="0" w:afterAutospacing="0" w:line="360" w:lineRule="auto"/>
        <w:ind w:left="0"/>
        <w:jc w:val="left"/>
        <w:rPr>
          <w:rFonts w:ascii="Times New Roman" w:eastAsia="仿宋_GB2312" w:hAnsi="Times New Roman" w:hint="eastAsia"/>
          <w:b w:val="0"/>
          <w:sz w:val="32"/>
          <w:szCs w:val="32"/>
        </w:rPr>
      </w:pPr>
      <w:r>
        <w:drawing>
          <wp:inline distT="0" distB="0" distL="114300" distR="114300">
            <wp:extent cx="5756275" cy="5541643"/>
            <wp:effectExtent l="0" t="0" r="24" b="13"/>
            <wp:docPr id="28" name="图片 7"/>
            <wp:cNvGraphicFramePr>
              <a:graphicFrameLocks noChangeAspect="1"/>
            </wp:cNvGraphicFramePr>
            <a:graphic>
              <a:graphicData uri="http://schemas.openxmlformats.org/drawingml/2006/picture">
                <pic:pic>
                  <pic:nvPicPr>
                    <pic:cNvPr id="30" name="图片 7 30"/>
                    <pic:cNvPicPr/>
                  </pic:nvPicPr>
                  <pic:blipFill>
                    <a:blip r:embed="rId22"/>
                    <a:stretch>
                      <a:fillRect/>
                    </a:stretch>
                  </pic:blipFill>
                  <pic:spPr>
                    <a:xfrm rot="0">
                      <a:off x="0" y="0"/>
                      <a:ext cx="5756275" cy="5541643"/>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7、</w:t>
      </w:r>
      <w:r>
        <w:rPr>
          <w:rFonts w:ascii="Times New Roman" w:eastAsia="仿宋_GB2312" w:hAnsi="Times New Roman" w:hint="eastAsia"/>
          <w:b w:val="0"/>
          <w:sz w:val="32"/>
          <w:szCs w:val="32"/>
        </w:rPr>
        <w:t>2023-2024年取暖季气价倒挂补贴资金及聘请第三方机构清算费用</w:t>
      </w:r>
    </w:p>
    <w:p>
      <w:pPr>
        <w:widowControl/>
        <w:spacing w:before="0" w:beforeAutospacing="0" w:after="0" w:afterAutospacing="0" w:line="360" w:lineRule="auto"/>
        <w:ind w:firstLineChars="200" w:firstLine="640"/>
        <w:jc w:val="left"/>
        <w:rPr>
          <w:rFonts w:ascii="Times New Roman" w:eastAsia="仿宋_GB2312" w:hAnsi="Times New Roman" w:hint="eastAsia"/>
          <w:b w:val="0"/>
          <w:sz w:val="32"/>
          <w:szCs w:val="32"/>
        </w:rPr>
      </w:pPr>
      <w:r>
        <w:rPr>
          <w:rFonts w:ascii="Times New Roman" w:eastAsia="仿宋_GB2312" w:hAnsi="Times New Roman" w:hint="eastAsia"/>
          <w:b w:val="0"/>
          <w:sz w:val="32"/>
          <w:szCs w:val="32"/>
        </w:rPr>
        <w:t>项目绩效自评得分为100分（绩效自评表附后）。全年预算数为</w:t>
      </w:r>
      <w:r>
        <w:rPr>
          <w:rFonts w:ascii="Times New Roman" w:eastAsia="仿宋_GB2312" w:hAnsi="Times New Roman" w:hint="eastAsia"/>
          <w:b w:val="0"/>
          <w:sz w:val="32"/>
          <w:szCs w:val="32"/>
          <w:lang w:val="en-US" w:eastAsia="zh-CN"/>
        </w:rPr>
        <w:t>846.96</w:t>
      </w:r>
      <w:r>
        <w:rPr>
          <w:rFonts w:ascii="Times New Roman" w:eastAsia="仿宋_GB2312" w:hAnsi="Times New Roman" w:hint="eastAsia"/>
          <w:b w:val="0"/>
          <w:sz w:val="32"/>
          <w:szCs w:val="32"/>
        </w:rPr>
        <w:t>万元，执行数为</w:t>
      </w:r>
      <w:r>
        <w:rPr>
          <w:rFonts w:ascii="Times New Roman" w:eastAsia="仿宋_GB2312" w:hAnsi="Times New Roman" w:hint="eastAsia"/>
          <w:b w:val="0"/>
          <w:sz w:val="32"/>
          <w:szCs w:val="32"/>
          <w:lang w:val="en-US" w:eastAsia="zh-CN"/>
        </w:rPr>
        <w:t>946.96</w:t>
      </w:r>
      <w:r>
        <w:rPr>
          <w:rFonts w:ascii="Times New Roman" w:eastAsia="仿宋_GB2312" w:hAnsi="Times New Roman" w:hint="eastAsia"/>
          <w:b w:val="0"/>
          <w:sz w:val="32"/>
          <w:szCs w:val="32"/>
        </w:rPr>
        <w:t>万元，完成预算的100%。项目绩效目标完成情况：一是保障居民生活；二是促进我县取暖清洁化。发现的主要问题及原因是：无问题。下一步改进措施：无。</w:t>
      </w:r>
    </w:p>
    <w:p>
      <w:pPr>
        <w:widowControl/>
        <w:spacing w:before="0" w:beforeAutospacing="0" w:after="0" w:afterAutospacing="0" w:line="360" w:lineRule="auto"/>
        <w:ind w:left="0"/>
        <w:jc w:val="left"/>
        <w:rPr>
          <w:rFonts w:ascii="Times New Roman" w:eastAsia="仿宋_GB2312" w:hAnsi="Times New Roman" w:hint="eastAsia"/>
          <w:b w:val="0"/>
          <w:sz w:val="32"/>
          <w:szCs w:val="32"/>
        </w:rPr>
      </w:pPr>
      <w:r>
        <w:drawing>
          <wp:inline distT="0" distB="0" distL="114300" distR="114300">
            <wp:extent cx="5755640" cy="5615940"/>
            <wp:effectExtent l="0" t="0" r="39" b="9"/>
            <wp:docPr id="31" name="图片 8"/>
            <wp:cNvGraphicFramePr>
              <a:graphicFrameLocks noChangeAspect="1"/>
            </wp:cNvGraphicFramePr>
            <a:graphic>
              <a:graphicData uri="http://schemas.openxmlformats.org/drawingml/2006/picture">
                <pic:pic>
                  <pic:nvPicPr>
                    <pic:cNvPr id="33" name="图片 8 33"/>
                    <pic:cNvPicPr/>
                  </pic:nvPicPr>
                  <pic:blipFill>
                    <a:blip r:embed="rId23"/>
                    <a:stretch>
                      <a:fillRect/>
                    </a:stretch>
                  </pic:blipFill>
                  <pic:spPr>
                    <a:xfrm rot="0">
                      <a:off x="0" y="0"/>
                      <a:ext cx="5755640" cy="5615940"/>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8、</w:t>
      </w:r>
      <w:r>
        <w:rPr>
          <w:rFonts w:ascii="Times New Roman" w:eastAsia="仿宋_GB2312" w:hAnsi="Times New Roman" w:hint="eastAsia"/>
          <w:b w:val="0"/>
          <w:sz w:val="32"/>
          <w:szCs w:val="32"/>
        </w:rPr>
        <w:t xml:space="preserve"> 2023年农村地区气代煤电代煤改造任务及洁净煤补助资金-型煤（石财建[2023]105号）</w:t>
      </w:r>
    </w:p>
    <w:p>
      <w:pPr>
        <w:widowControl/>
        <w:spacing w:before="0" w:beforeAutospacing="0" w:after="0" w:afterAutospacing="0" w:line="360" w:lineRule="auto"/>
        <w:ind w:firstLineChars="200" w:firstLine="640"/>
        <w:jc w:val="left"/>
        <w:rPr>
          <w:rFonts w:ascii="Times New Roman" w:eastAsia="仿宋_GB2312" w:hAnsi="Times New Roman" w:hint="eastAsia"/>
          <w:b w:val="0"/>
          <w:sz w:val="32"/>
          <w:szCs w:val="32"/>
        </w:rPr>
      </w:pPr>
      <w:r>
        <w:rPr>
          <w:rFonts w:ascii="Times New Roman" w:eastAsia="仿宋_GB2312" w:hAnsi="Times New Roman" w:hint="eastAsia"/>
          <w:b w:val="0"/>
          <w:sz w:val="32"/>
          <w:szCs w:val="32"/>
        </w:rPr>
        <w:t>项目绩效自评得分为100分（绩效自评表附后）。全年预算数为</w:t>
      </w:r>
      <w:r>
        <w:rPr>
          <w:rFonts w:ascii="Times New Roman" w:eastAsia="仿宋_GB2312" w:hAnsi="Times New Roman" w:hint="eastAsia"/>
          <w:b w:val="0"/>
          <w:sz w:val="32"/>
          <w:szCs w:val="32"/>
          <w:lang w:val="en-US" w:eastAsia="zh-CN"/>
        </w:rPr>
        <w:t>965</w:t>
      </w:r>
      <w:r>
        <w:rPr>
          <w:rFonts w:ascii="Times New Roman" w:eastAsia="仿宋_GB2312" w:hAnsi="Times New Roman" w:hint="eastAsia"/>
          <w:b w:val="0"/>
          <w:sz w:val="32"/>
          <w:szCs w:val="32"/>
        </w:rPr>
        <w:t>万元，执行数为</w:t>
      </w:r>
      <w:r>
        <w:rPr>
          <w:rFonts w:ascii="Times New Roman" w:eastAsia="仿宋_GB2312" w:hAnsi="Times New Roman" w:hint="eastAsia"/>
          <w:b w:val="0"/>
          <w:sz w:val="32"/>
          <w:szCs w:val="32"/>
          <w:lang w:val="en-US" w:eastAsia="zh-CN"/>
        </w:rPr>
        <w:t>965</w:t>
      </w:r>
      <w:r>
        <w:rPr>
          <w:rFonts w:ascii="Times New Roman" w:eastAsia="仿宋_GB2312" w:hAnsi="Times New Roman" w:hint="eastAsia"/>
          <w:b w:val="0"/>
          <w:sz w:val="32"/>
          <w:szCs w:val="32"/>
        </w:rPr>
        <w:t>万元，完成预算的100%。项目绩效目标完成情况：一是</w:t>
      </w:r>
      <w:r>
        <w:rPr>
          <w:rFonts w:ascii="Times New Roman" w:eastAsia="仿宋_GB2312" w:hAnsi="Times New Roman" w:hint="eastAsia"/>
          <w:b w:val="0"/>
          <w:sz w:val="32"/>
          <w:szCs w:val="32"/>
          <w:lang w:eastAsia="zh-CN"/>
        </w:rPr>
        <w:t>推广型煤</w:t>
      </w:r>
      <w:r>
        <w:rPr>
          <w:rFonts w:ascii="Times New Roman" w:eastAsia="仿宋_GB2312" w:hAnsi="Times New Roman" w:hint="eastAsia"/>
          <w:b w:val="0"/>
          <w:sz w:val="32"/>
          <w:szCs w:val="32"/>
        </w:rPr>
        <w:t>；二是促进我县取暖清洁化。发现的主要问题及原因是：无问题。下一步改进措施：无。</w:t>
      </w:r>
    </w:p>
    <w:p>
      <w:pPr>
        <w:widowControl/>
        <w:spacing w:before="0" w:beforeAutospacing="0" w:after="0" w:afterAutospacing="0" w:line="360" w:lineRule="auto"/>
        <w:ind w:left="0"/>
        <w:jc w:val="left"/>
      </w:pPr>
      <w:r>
        <w:drawing>
          <wp:inline distT="0" distB="0" distL="114300" distR="114300">
            <wp:extent cx="5756275" cy="5026659"/>
            <wp:effectExtent l="0" t="0" r="24" b="12"/>
            <wp:docPr id="34" name="图片 9"/>
            <wp:cNvGraphicFramePr>
              <a:graphicFrameLocks noChangeAspect="1"/>
            </wp:cNvGraphicFramePr>
            <a:graphic>
              <a:graphicData uri="http://schemas.openxmlformats.org/drawingml/2006/picture">
                <pic:pic>
                  <pic:nvPicPr>
                    <pic:cNvPr id="36" name="图片 9 36"/>
                    <pic:cNvPicPr/>
                  </pic:nvPicPr>
                  <pic:blipFill>
                    <a:blip r:embed="rId24"/>
                    <a:stretch>
                      <a:fillRect/>
                    </a:stretch>
                  </pic:blipFill>
                  <pic:spPr>
                    <a:xfrm rot="0">
                      <a:off x="0" y="0"/>
                      <a:ext cx="5756275" cy="5026659"/>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480"/>
        <w:jc w:val="left"/>
        <w:rPr>
          <w:rFonts w:hint="eastAsia"/>
        </w:rPr>
      </w:pPr>
    </w:p>
    <w:p>
      <w:pPr>
        <w:widowControl/>
        <w:spacing w:before="0" w:beforeAutospacing="0" w:after="0" w:afterAutospacing="0" w:line="360" w:lineRule="auto"/>
        <w:ind w:firstLineChars="200" w:firstLine="640"/>
        <w:jc w:val="left"/>
        <w:rPr>
          <w:rFonts w:ascii="Times New Roman" w:eastAsia="仿宋_GB2312" w:cs="宋体" w:hAnsi="Times New Roman"/>
          <w:b w:val="0"/>
          <w:sz w:val="32"/>
          <w:szCs w:val="32"/>
        </w:rPr>
      </w:pPr>
      <w:r>
        <w:rPr>
          <w:rFonts w:ascii="Times New Roman" w:eastAsia="仿宋_GB2312" w:cs="宋体" w:hAnsi="Times New Roman"/>
          <w:b w:val="0"/>
          <w:sz w:val="32"/>
          <w:szCs w:val="32"/>
        </w:rPr>
        <w:t>9、</w:t>
      </w:r>
      <w:r>
        <w:rPr>
          <w:rFonts w:ascii="Times New Roman" w:eastAsia="仿宋_GB2312" w:cs="宋体" w:hAnsi="Times New Roman" w:hint="eastAsia"/>
          <w:b w:val="0"/>
          <w:sz w:val="32"/>
          <w:szCs w:val="32"/>
        </w:rPr>
        <w:t>行唐县南桥粮食储备库建设项目</w:t>
      </w:r>
    </w:p>
    <w:p>
      <w:pPr>
        <w:widowControl/>
        <w:spacing w:before="0" w:beforeAutospacing="0" w:after="0" w:afterAutospacing="0" w:line="360" w:lineRule="auto"/>
        <w:ind w:firstLineChars="200" w:firstLine="640"/>
        <w:jc w:val="left"/>
        <w:rPr>
          <w:rFonts w:ascii="Times New Roman" w:eastAsia="仿宋_GB2312" w:cs="宋体" w:hAnsi="Times New Roman" w:hint="eastAsia"/>
          <w:b w:val="0"/>
          <w:sz w:val="32"/>
          <w:szCs w:val="32"/>
        </w:rPr>
      </w:pPr>
      <w:r>
        <w:rPr>
          <w:rFonts w:ascii="Times New Roman" w:eastAsia="仿宋_GB2312" w:cs="宋体" w:hAnsi="Times New Roman" w:hint="eastAsia"/>
          <w:b w:val="0"/>
          <w:sz w:val="32"/>
          <w:szCs w:val="32"/>
        </w:rPr>
        <w:t>绩效自评得分为100分（绩效自评表附后）。全年预算数为</w:t>
      </w:r>
      <w:r>
        <w:rPr>
          <w:rFonts w:ascii="Times New Roman" w:eastAsia="仿宋_GB2312" w:cs="宋体" w:hAnsi="Times New Roman" w:hint="eastAsia"/>
          <w:b w:val="0"/>
          <w:sz w:val="32"/>
          <w:szCs w:val="32"/>
          <w:lang w:val="en-US" w:eastAsia="zh-CN"/>
        </w:rPr>
        <w:t>11.69</w:t>
      </w:r>
      <w:r>
        <w:rPr>
          <w:rFonts w:ascii="Times New Roman" w:eastAsia="仿宋_GB2312" w:cs="宋体" w:hAnsi="Times New Roman" w:hint="eastAsia"/>
          <w:b w:val="0"/>
          <w:sz w:val="32"/>
          <w:szCs w:val="32"/>
        </w:rPr>
        <w:t>万元，执行数为</w:t>
      </w:r>
      <w:r>
        <w:rPr>
          <w:rFonts w:ascii="Times New Roman" w:eastAsia="仿宋_GB2312" w:cs="宋体" w:hAnsi="Times New Roman" w:hint="eastAsia"/>
          <w:b w:val="0"/>
          <w:sz w:val="32"/>
          <w:szCs w:val="32"/>
          <w:lang w:val="en-US" w:eastAsia="zh-CN"/>
        </w:rPr>
        <w:t>11.69</w:t>
      </w:r>
      <w:r>
        <w:rPr>
          <w:rFonts w:ascii="Times New Roman" w:eastAsia="仿宋_GB2312" w:cs="宋体" w:hAnsi="Times New Roman" w:hint="eastAsia"/>
          <w:b w:val="0"/>
          <w:sz w:val="32"/>
          <w:szCs w:val="32"/>
        </w:rPr>
        <w:t>万元，完成预算的100%。项目绩效目标完成情况：一是</w:t>
      </w:r>
      <w:r>
        <w:rPr>
          <w:rFonts w:ascii="Times New Roman" w:eastAsia="仿宋_GB2312" w:cs="宋体" w:hAnsi="Times New Roman" w:hint="eastAsia"/>
          <w:b w:val="0"/>
          <w:sz w:val="32"/>
          <w:szCs w:val="32"/>
          <w:lang w:eastAsia="zh-CN"/>
        </w:rPr>
        <w:t>有效保障粮食收储</w:t>
      </w:r>
      <w:r>
        <w:rPr>
          <w:rFonts w:ascii="Times New Roman" w:eastAsia="仿宋_GB2312" w:cs="宋体" w:hAnsi="Times New Roman" w:hint="eastAsia"/>
          <w:b w:val="0"/>
          <w:sz w:val="32"/>
          <w:szCs w:val="32"/>
        </w:rPr>
        <w:t>；二是</w:t>
      </w:r>
      <w:r>
        <w:rPr>
          <w:rFonts w:ascii="Times New Roman" w:eastAsia="仿宋_GB2312" w:cs="宋体" w:hAnsi="Times New Roman" w:hint="eastAsia"/>
          <w:b w:val="0"/>
          <w:sz w:val="32"/>
          <w:szCs w:val="32"/>
          <w:lang w:eastAsia="zh-CN"/>
        </w:rPr>
        <w:t>保障居民生活</w:t>
      </w:r>
      <w:r>
        <w:rPr>
          <w:rFonts w:ascii="Times New Roman" w:eastAsia="仿宋_GB2312" w:cs="宋体" w:hAnsi="Times New Roman" w:hint="eastAsia"/>
          <w:b w:val="0"/>
          <w:sz w:val="32"/>
          <w:szCs w:val="32"/>
        </w:rPr>
        <w:t>。发现的主要问题及原因是：无问题。下一步改进措施：无。</w:t>
      </w:r>
    </w:p>
    <w:p>
      <w:pPr>
        <w:widowControl/>
        <w:spacing w:before="0" w:beforeAutospacing="0" w:after="0" w:afterAutospacing="0" w:line="360" w:lineRule="auto"/>
        <w:ind w:left="0"/>
        <w:jc w:val="left"/>
        <w:rPr>
          <w:rFonts w:ascii="Times New Roman" w:eastAsia="仿宋_GB2312" w:cs="宋体" w:hAnsi="Times New Roman" w:hint="eastAsia"/>
          <w:b w:val="0"/>
          <w:sz w:val="32"/>
          <w:szCs w:val="32"/>
        </w:rPr>
      </w:pPr>
      <w:r>
        <w:drawing>
          <wp:inline distT="0" distB="0" distL="114300" distR="114300">
            <wp:extent cx="5760085" cy="5897880"/>
            <wp:effectExtent l="0" t="0" r="24" b="6"/>
            <wp:docPr id="37" name="图片 10"/>
            <wp:cNvGraphicFramePr>
              <a:graphicFrameLocks noChangeAspect="1"/>
            </wp:cNvGraphicFramePr>
            <a:graphic>
              <a:graphicData uri="http://schemas.openxmlformats.org/drawingml/2006/picture">
                <pic:pic>
                  <pic:nvPicPr>
                    <pic:cNvPr id="39" name="图片 10 39"/>
                    <pic:cNvPicPr/>
                  </pic:nvPicPr>
                  <pic:blipFill>
                    <a:blip r:embed="rId25"/>
                    <a:stretch>
                      <a:fillRect/>
                    </a:stretch>
                  </pic:blipFill>
                  <pic:spPr>
                    <a:xfrm rot="0">
                      <a:off x="0" y="0"/>
                      <a:ext cx="5760085" cy="5897880"/>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cs="宋体" w:hAnsi="Times New Roman"/>
          <w:b w:val="0"/>
          <w:sz w:val="32"/>
          <w:szCs w:val="32"/>
        </w:rPr>
      </w:pPr>
      <w:r>
        <w:rPr>
          <w:rFonts w:ascii="Times New Roman" w:eastAsia="仿宋_GB2312" w:cs="宋体" w:hAnsi="Times New Roman"/>
          <w:b w:val="0"/>
          <w:sz w:val="32"/>
          <w:szCs w:val="32"/>
        </w:rPr>
        <w:t>10、</w:t>
      </w:r>
      <w:r>
        <w:rPr>
          <w:rFonts w:ascii="Times New Roman" w:eastAsia="仿宋_GB2312" w:cs="宋体" w:hAnsi="Times New Roman" w:hint="eastAsia"/>
          <w:b w:val="0"/>
          <w:sz w:val="32"/>
          <w:szCs w:val="32"/>
        </w:rPr>
        <w:t>2024年度县级储备粮保管费用及贷款利息项目</w:t>
      </w:r>
    </w:p>
    <w:p>
      <w:pPr>
        <w:widowControl/>
        <w:spacing w:before="0" w:beforeAutospacing="0" w:after="0" w:afterAutospacing="0" w:line="360" w:lineRule="auto"/>
        <w:ind w:firstLineChars="200" w:firstLine="640"/>
        <w:jc w:val="left"/>
        <w:rPr>
          <w:rFonts w:ascii="Times New Roman" w:eastAsia="仿宋_GB2312" w:cs="宋体" w:hAnsi="Times New Roman" w:hint="eastAsia"/>
          <w:b w:val="0"/>
          <w:sz w:val="32"/>
          <w:szCs w:val="32"/>
        </w:rPr>
      </w:pPr>
      <w:r>
        <w:rPr>
          <w:rFonts w:ascii="Times New Roman" w:eastAsia="仿宋_GB2312" w:cs="宋体" w:hAnsi="Times New Roman" w:hint="eastAsia"/>
          <w:b w:val="0"/>
          <w:sz w:val="32"/>
          <w:szCs w:val="32"/>
        </w:rPr>
        <w:t>绩效自评得分为100分（绩效自评表附后）。全年预算数为</w:t>
      </w:r>
      <w:r>
        <w:rPr>
          <w:rFonts w:ascii="Times New Roman" w:eastAsia="仿宋_GB2312" w:cs="宋体" w:hAnsi="Times New Roman" w:hint="eastAsia"/>
          <w:b w:val="0"/>
          <w:sz w:val="32"/>
          <w:szCs w:val="32"/>
          <w:lang w:val="en-US" w:eastAsia="zh-CN"/>
        </w:rPr>
        <w:t>154.99</w:t>
      </w:r>
      <w:r>
        <w:rPr>
          <w:rFonts w:ascii="Times New Roman" w:eastAsia="仿宋_GB2312" w:cs="宋体" w:hAnsi="Times New Roman" w:hint="eastAsia"/>
          <w:b w:val="0"/>
          <w:sz w:val="32"/>
          <w:szCs w:val="32"/>
        </w:rPr>
        <w:t>万元，执行数为</w:t>
      </w:r>
      <w:r>
        <w:rPr>
          <w:rFonts w:ascii="Times New Roman" w:eastAsia="仿宋_GB2312" w:cs="宋体" w:hAnsi="Times New Roman" w:hint="eastAsia"/>
          <w:b w:val="0"/>
          <w:sz w:val="32"/>
          <w:szCs w:val="32"/>
          <w:lang w:val="en-US" w:eastAsia="zh-CN"/>
        </w:rPr>
        <w:t>154.99</w:t>
      </w:r>
      <w:r>
        <w:rPr>
          <w:rFonts w:ascii="Times New Roman" w:eastAsia="仿宋_GB2312" w:cs="宋体" w:hAnsi="Times New Roman" w:hint="eastAsia"/>
          <w:b w:val="0"/>
          <w:sz w:val="32"/>
          <w:szCs w:val="32"/>
        </w:rPr>
        <w:t>万元，完成预算的100%。项目绩效目标完成情况：一是</w:t>
      </w:r>
      <w:r>
        <w:rPr>
          <w:rFonts w:ascii="Times New Roman" w:eastAsia="仿宋_GB2312" w:cs="宋体" w:hAnsi="Times New Roman" w:hint="eastAsia"/>
          <w:b w:val="0"/>
          <w:sz w:val="32"/>
          <w:szCs w:val="32"/>
          <w:lang w:eastAsia="zh-CN"/>
        </w:rPr>
        <w:t>落实安全储粮、科学保粮、维持企业正常运转</w:t>
      </w:r>
      <w:r>
        <w:rPr>
          <w:rFonts w:ascii="Times New Roman" w:eastAsia="仿宋_GB2312" w:cs="宋体" w:hAnsi="Times New Roman" w:hint="eastAsia"/>
          <w:b w:val="0"/>
          <w:sz w:val="32"/>
          <w:szCs w:val="32"/>
        </w:rPr>
        <w:t>；二是</w:t>
      </w:r>
      <w:r>
        <w:rPr>
          <w:rFonts w:ascii="Times New Roman" w:eastAsia="仿宋_GB2312" w:cs="宋体" w:hAnsi="Times New Roman" w:hint="eastAsia"/>
          <w:b w:val="0"/>
          <w:sz w:val="32"/>
          <w:szCs w:val="32"/>
          <w:lang w:eastAsia="zh-CN"/>
        </w:rPr>
        <w:t>为县级储备粮安全储粮</w:t>
      </w:r>
      <w:r>
        <w:rPr>
          <w:rFonts w:ascii="Times New Roman" w:eastAsia="仿宋_GB2312" w:cs="宋体" w:hAnsi="Times New Roman" w:hint="eastAsia"/>
          <w:b w:val="0"/>
          <w:sz w:val="32"/>
          <w:szCs w:val="32"/>
        </w:rPr>
        <w:t>。发现的主要问题及原因是：无问题。下一步改进措施：无。</w:t>
      </w:r>
    </w:p>
    <w:p>
      <w:pPr>
        <w:widowControl/>
        <w:spacing w:before="0" w:beforeAutospacing="0" w:after="0" w:afterAutospacing="0" w:line="360" w:lineRule="auto"/>
        <w:ind w:left="0"/>
        <w:jc w:val="left"/>
        <w:rPr>
          <w:rFonts w:ascii="Times New Roman" w:eastAsia="仿宋_GB2312" w:hAnsi="Times New Roman"/>
          <w:b/>
          <w:sz w:val="32"/>
          <w:szCs w:val="32"/>
        </w:rPr>
      </w:pPr>
      <w:r>
        <w:drawing>
          <wp:inline distT="0" distB="0" distL="114300" distR="114300">
            <wp:extent cx="5760085" cy="5626100"/>
            <wp:effectExtent l="0" t="0" r="24" b="41"/>
            <wp:docPr id="40" name="图片 11"/>
            <wp:cNvGraphicFramePr>
              <a:graphicFrameLocks noChangeAspect="1"/>
            </wp:cNvGraphicFramePr>
            <a:graphic>
              <a:graphicData uri="http://schemas.openxmlformats.org/drawingml/2006/picture">
                <pic:pic>
                  <pic:nvPicPr>
                    <pic:cNvPr id="42" name="图片 11 42"/>
                    <pic:cNvPicPr/>
                  </pic:nvPicPr>
                  <pic:blipFill>
                    <a:blip r:embed="rId26"/>
                    <a:stretch>
                      <a:fillRect/>
                    </a:stretch>
                  </pic:blipFill>
                  <pic:spPr>
                    <a:xfrm rot="0">
                      <a:off x="0" y="0"/>
                      <a:ext cx="5760085" cy="5626100"/>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（三）部门评价项目绩效评价结果（如有）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sz w:val="32"/>
          <w:szCs w:val="32"/>
        </w:rPr>
        <w:t>无。</w:t>
      </w:r>
    </w:p>
    <w:p>
      <w:pPr>
        <w:widowControl/>
        <w:spacing w:before="0" w:beforeAutospacing="0" w:after="0" w:afterAutospacing="0" w:line="360" w:lineRule="auto"/>
        <w:ind w:firstLineChars="200" w:firstLine="640"/>
        <w:jc w:val="left"/>
        <w:rPr>
          <w:rFonts w:ascii="Times New Roman" w:eastAsia="黑体" w:hAnsi="Times New Roman"/>
          <w:sz w:val="32"/>
          <w:szCs w:val="32"/>
        </w:rPr>
      </w:pPr>
      <w:r>
        <w:rPr>
          <w:rFonts w:ascii="Times New Roman" w:eastAsia="黑体" w:hAnsi="Times New Roman"/>
          <w:b w:val="0"/>
          <w:sz w:val="32"/>
          <w:szCs w:val="32"/>
        </w:rPr>
        <w:t>十、其他需要说明的情况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1.本单位2024年度国有资本经营预算财政拨款支出决算表（公开08表）无相应收支，故空表列示。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 由于决算公开表格中金额数值应当保留两位小数，公开数据为四舍五入计算结果，个别数据合计项与分项之和存在小数点后差额，特此说明。</w:t>
      </w:r>
    </w:p>
    <w:p>
      <w:pPr>
        <w:rPr>
          <w:rFonts w:ascii="Times New Roman" w:eastAsia="仿宋_GB2312" w:cs="Times New Roman" w:hAnsi="Times New Roman"/>
          <w:sz w:val="32"/>
          <w:szCs w:val="32"/>
        </w:rPr>
      </w:pPr>
      <w:r>
        <w:rPr>
          <w:rFonts w:ascii="Times New Roman" w:eastAsia="仿宋_GB2312" w:cs="Times New Roman" w:hAnsi="Times New Roman"/>
          <w:sz w:val="32"/>
          <w:szCs w:val="32"/>
        </w:rPr>
        <w:br w:type="page"/>
      </w: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第四部分   名词解释</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一、财政拨款收入：</w:t>
      </w:r>
      <w:r>
        <w:rPr>
          <w:rFonts w:ascii="Times New Roman" w:eastAsia="仿宋_GB2312" w:hAnsi="Times New Roman"/>
          <w:b w:val="0"/>
          <w:sz w:val="32"/>
          <w:szCs w:val="32"/>
        </w:rPr>
        <w:t>指单位从同级财政部门取得的财政预算资金。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二、事业收入：</w:t>
      </w:r>
      <w:r>
        <w:rPr>
          <w:rFonts w:ascii="Times New Roman" w:eastAsia="仿宋_GB2312" w:hAnsi="Times New Roman"/>
          <w:b w:val="0"/>
          <w:sz w:val="32"/>
          <w:szCs w:val="32"/>
        </w:rPr>
        <w:t>指事业单位开展专业业务活动及辅助活动取得的收入。</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三、经营收入：</w:t>
      </w:r>
      <w:r>
        <w:rPr>
          <w:rFonts w:ascii="Times New Roman" w:eastAsia="仿宋_GB2312" w:hAnsi="Times New Roman"/>
          <w:b w:val="0"/>
          <w:sz w:val="32"/>
          <w:szCs w:val="32"/>
        </w:rPr>
        <w:t>指事业单位在专业业务活动及其辅助活动之外开展非独立核算经营活动取得的收入。</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四、其他收入：</w:t>
      </w:r>
      <w:r>
        <w:rPr>
          <w:rFonts w:ascii="Times New Roman" w:eastAsia="仿宋_GB2312" w:hAnsi="Times New Roman"/>
          <w:b w:val="0"/>
          <w:sz w:val="32"/>
          <w:szCs w:val="32"/>
        </w:rPr>
        <w:t>指单位取得的除上述收入以外的各项收入。主要是事业单位固定资产出租收入、存款利息收入等。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五、使用非财政拨款结余（含专用结余）：</w:t>
      </w:r>
      <w:r>
        <w:rPr>
          <w:rFonts w:ascii="Times New Roman" w:eastAsia="仿宋_GB2312" w:hAnsi="Times New Roman"/>
          <w:b w:val="0"/>
          <w:sz w:val="32"/>
          <w:szCs w:val="32"/>
        </w:rPr>
        <w:t>指事业单位按照预算管理要求使用非财政拨款结余弥补收支差额的金额，以及使用专用结余安排支出的金额。</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六、年初结转和结余：</w:t>
      </w:r>
      <w:r>
        <w:rPr>
          <w:rFonts w:ascii="Times New Roman" w:eastAsia="仿宋_GB2312" w:hAnsi="Times New Roman"/>
          <w:b w:val="0"/>
          <w:sz w:val="32"/>
          <w:szCs w:val="32"/>
        </w:rPr>
        <w:t>指单位以前年度尚未完成、结转到本年仍按原规定用途继续使用的资金，或项目已完成等产生的结余资金。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七、结余分配：</w:t>
      </w:r>
      <w:r>
        <w:rPr>
          <w:rFonts w:ascii="Times New Roman" w:eastAsia="仿宋_GB2312" w:hAnsi="Times New Roman"/>
          <w:b w:val="0"/>
          <w:sz w:val="32"/>
          <w:szCs w:val="32"/>
        </w:rPr>
        <w:t>指事业单位按照会计制度规定缴纳的所得税、提取的专用结余以及转入非财政拨款结余的金额等。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八、年末结转和结余：</w:t>
      </w:r>
      <w:r>
        <w:rPr>
          <w:rFonts w:ascii="Times New Roman" w:eastAsia="仿宋_GB2312" w:hAnsi="Times New Roman"/>
          <w:b w:val="0"/>
          <w:sz w:val="32"/>
          <w:szCs w:val="32"/>
        </w:rPr>
        <w:t>指单位按有关规定结转到下年或以后年度继续使用的资金，或项目已完成等产生的结余资金。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九、基本支出：</w:t>
      </w:r>
      <w:r>
        <w:rPr>
          <w:rFonts w:ascii="Times New Roman" w:eastAsia="仿宋_GB2312" w:hAnsi="Times New Roman"/>
          <w:b w:val="0"/>
          <w:sz w:val="32"/>
          <w:szCs w:val="32"/>
        </w:rPr>
        <w:t>指为保障机构正常运转、完成日常工作任务而发生的人员支出和公用支出。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十、项目支出：</w:t>
      </w:r>
      <w:r>
        <w:rPr>
          <w:rFonts w:ascii="Times New Roman" w:eastAsia="仿宋_GB2312" w:hAnsi="Times New Roman"/>
          <w:b w:val="0"/>
          <w:sz w:val="32"/>
          <w:szCs w:val="32"/>
        </w:rPr>
        <w:t>指在基本支出之外为完成特定行政任务和事业发展目标所发生的支出。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十一、经营支出 ：</w:t>
      </w:r>
      <w:r>
        <w:rPr>
          <w:rFonts w:ascii="Times New Roman" w:eastAsia="仿宋_GB2312" w:hAnsi="Times New Roman"/>
          <w:b w:val="0"/>
          <w:sz w:val="32"/>
          <w:szCs w:val="32"/>
        </w:rPr>
        <w:t>指事业单位在专业业务活动及其辅助活动之外开展非独立核算经营活动发生的支出。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十二、基本建设支出：</w:t>
      </w:r>
      <w:r>
        <w:rPr>
          <w:rFonts w:ascii="Times New Roman" w:eastAsia="仿宋_GB2312" w:hAnsi="Times New Roman"/>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十三、其他资本性支出：</w:t>
      </w:r>
      <w:r>
        <w:rPr>
          <w:rFonts w:ascii="Times New Roman" w:eastAsia="仿宋_GB2312" w:hAnsi="Times New Roman"/>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十四、“三公”经费：</w:t>
      </w:r>
      <w:r>
        <w:rPr>
          <w:rFonts w:ascii="Times New Roman" w:eastAsia="仿宋_GB2312" w:hAnsi="Times New Roman"/>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十五、其他交通费用：</w:t>
      </w:r>
      <w:r>
        <w:rPr>
          <w:rFonts w:ascii="Times New Roman" w:eastAsia="仿宋_GB2312" w:hAnsi="Times New Roman"/>
          <w:b w:val="0"/>
          <w:sz w:val="32"/>
          <w:szCs w:val="32"/>
        </w:rPr>
        <w:t>填列单位除公务用车运行维护费以外的其他交通费用。如公务交通补贴、租车费用、出租车费用，飞机、船舶等燃料费、维修费、保险费等。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十六、公务用车购置：</w:t>
      </w:r>
      <w:r>
        <w:rPr>
          <w:rFonts w:ascii="Times New Roman" w:eastAsia="仿宋_GB2312" w:hAnsi="Times New Roman"/>
          <w:b w:val="0"/>
          <w:sz w:val="32"/>
          <w:szCs w:val="32"/>
        </w:rPr>
        <w:t>填列单位公务用车车辆购置支出（含车辆购置税、牌照费）。</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十七、其他交通工具购置：</w:t>
      </w:r>
      <w:r>
        <w:rPr>
          <w:rFonts w:ascii="Times New Roman" w:eastAsia="仿宋_GB2312" w:hAnsi="Times New Roman"/>
          <w:b w:val="0"/>
          <w:sz w:val="32"/>
          <w:szCs w:val="32"/>
        </w:rPr>
        <w:t>填列单位除公务用车外的其他各类交通工具（如船舶、飞机等）购置支出（含车辆购置税、牌照费）。</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十八、机关运行经费：</w:t>
      </w:r>
      <w:r>
        <w:rPr>
          <w:rFonts w:ascii="Times New Roman" w:eastAsia="仿宋_GB2312" w:hAnsi="Times New Roman"/>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rtlGutter/>
      <w:docGrid w:type="lines" w:linePitch="329" w:charSpace="0"/>
    </w:sectPr>
  </w:body>
</w:document>
</file>

<file path=word/fontTable.xml><?xml version="1.0" encoding="utf-8"?>
<w:fonts xmlns:w="http://schemas.openxmlformats.org/wordprocessingml/2006/main" xmlns:r="http://schemas.openxmlformats.org/officeDocument/2006/relationships">
  <w:font w:name="方正小标宋_GBK">
    <w:altName w:val="微软雅黑"/>
    <w:panose1 w:val="02000000000000000000"/>
    <w:charset w:val="86"/>
    <w:family w:val="script"/>
    <w:pitch w:val="variable"/>
    <w:sig w:usb0="00000000" w:usb1="00000000" w:usb2="00082016" w:usb3="00000000" w:csb0="00040001" w:csb1="00000000"/>
  </w:font>
  <w:font w:name="楷体_GB2312">
    <w:altName w:val="楷体"/>
    <w:panose1 w:val="02010609030101010101"/>
    <w:charset w:val="86"/>
    <w:family w:val="auto"/>
    <w:pitch w:val="variable"/>
    <w:sig w:usb0="00000001" w:usb1="080E0000" w:usb2="00000000" w:usb3="00000000" w:csb0="00040000" w:csb1="00000000"/>
  </w:font>
  <w:font w:name="黑体">
    <w:panose1 w:val="02010609060101010101"/>
    <w:charset w:val="86"/>
    <w:family w:val="auto"/>
    <w:pitch w:val="variable"/>
    <w:sig w:usb0="800002BF" w:usb1="38CF7CFA" w:usb2="00000016" w:usb3="00000000" w:csb0="00040001" w:csb1="00000000"/>
  </w:font>
  <w:font w:name="Times New Roman">
    <w:panose1 w:val="02020603050405020304"/>
    <w:charset w:val="01"/>
    <w:family w:val="auto"/>
    <w:pitch w:val="variable"/>
    <w:sig w:usb0="E0002AFF" w:usb1="C0007841" w:usb2="00000009" w:usb3="00000000" w:csb0="400001FF" w:csb1="FFFF0000"/>
  </w:font>
  <w:font w:name="仿宋_GB2312">
    <w:altName w:val="仿宋"/>
    <w:panose1 w:val="02010609030101010101"/>
    <w:charset w:val="86"/>
    <w:family w:val="auto"/>
    <w:pitch w:val="variable"/>
    <w:sig w:usb0="00000001" w:usb1="080E0000" w:usb2="00000000" w:usb3="00000000" w:csb0="00040000" w:csb1="00000000"/>
  </w:font>
  <w:font w:name="ArialUnicodeMS">
    <w:altName w:val="Malgun Gothic"/>
    <w:panose1 w:val="00000000000000000000"/>
    <w:charset w:val="81"/>
    <w:family w:val="auto"/>
    <w:pitch w:val="variable"/>
    <w:sig w:usb0="00000000" w:usb1="00000000" w:usb2="00000010" w:usb3="00000000" w:csb0="00080001" w:csb1="00000000"/>
  </w:font>
  <w:font w:name="Calibri">
    <w:panose1 w:val="020F0502020204030204"/>
    <w:charset w:val="00"/>
    <w:family w:val="swiss"/>
    <w:pitch w:val="variable"/>
    <w:sig w:usb0="E00002FF" w:usb1="4000ACFF" w:usb2="00000001" w:usb3="00000000" w:csb0="2000019F" w:csb1="00000000"/>
  </w:font>
  <w:font w:name="方正仿宋_GB2312">
    <w:altName w:val="仿宋"/>
    <w:panose1 w:val="02000000000000000000"/>
    <w:charset w:val="86"/>
    <w:family w:val="auto"/>
    <w:pitch w:val="variable"/>
    <w:sig w:usb0="00000000" w:usb1="00000000" w:usb2="00000012" w:usb3="00000000" w:csb0="00040001" w:csb1="00000000"/>
  </w:font>
  <w:font w:name="宋体">
    <w:panose1 w:val="02010600030101010101"/>
    <w:charset w:val="7A"/>
    <w:family w:val="auto"/>
    <w:pitch w:val="variable"/>
    <w:sig w:usb0="00000003" w:usb1="288F0000" w:usb2="00000006" w:usb3="00000000" w:csb0="00040001" w:csb1="00000000"/>
  </w:font>
  <w:font w:name="仿宋">
    <w:panose1 w:val="02010609060101010101"/>
    <w:charset w:val="86"/>
    <w:family w:val="modern"/>
    <w:pitch w:val="variable"/>
    <w:sig w:usb0="800002BF" w:usb1="38CF7CFA" w:usb2="00000016" w:usb3="00000000" w:csb0="00040001" w:csb1="00000000"/>
  </w:font>
  <w:font w:name="Arial">
    <w:panose1 w:val="020B0604020202020204"/>
    <w:charset w:val="01"/>
    <w:family w:val="swiss"/>
    <w:pitch w:val="variable"/>
    <w:sig w:usb0="E0002AFF" w:usb1="C0007843" w:usb2="00000009" w:usb3="00000000" w:csb0="400001FF" w:csb1="FFFF0000"/>
  </w:font>
  <w:font w:name="Calibri Light">
    <w:panose1 w:val="020F0302020204030204"/>
    <w:charset w:val="00"/>
    <w:family w:val="auto"/>
    <w:pitch w:val="variable"/>
    <w:sig w:usb0="A00002EF" w:usb1="4000207B" w:usb2="00000000" w:usb3="00000000" w:csb0="2000019F" w:csb1="00000000"/>
  </w:font>
  <w:font w:name="华文中宋">
    <w:altName w:val="宋体"/>
    <w:panose1 w:val="02010600040101010101"/>
    <w:charset w:val="86"/>
    <w:family w:val="auto"/>
    <w:pitch w:val="variable"/>
    <w:sig w:usb0="00000000" w:usb1="00000000" w:usb2="00000000" w:usb3="00000000" w:csb0="0004009F" w:csb1="DFD7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jc w:val="center"/>
    </w:pPr>
  </w:p>
  <w:p>
    <w:pPr>
      <w:pStyle w:val="17"/>
      <w:tabs>
        <w:tab w:val="center" w:pos="4153"/>
        <w:tab w:val="right" w:pos="8306"/>
      </w:tabs>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footer4.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pPr>
  </w:p>
</w:ftr>
</file>

<file path=word/footer5.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pPr>
  </w:p>
</w:hdr>
</file>

<file path=word/header3.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252CBE60"/>
    <w:multiLevelType w:val="multilevel"/>
    <w:tmpl w:val="DDA8AE70"/>
    <w:lvl w:ilvl="0">
      <w:start w:val="1"/>
      <w:numFmt w:val="decimal"/>
      <w:lvlRestart w:val="0"/>
      <w:pStyle w:val="1"/>
      <w:lvlText w:val="%1."/>
      <w:lvlJc w:val="left"/>
      <w:pPr>
        <w:ind w:left="425" w:hanging="425"/>
      </w:pPr>
      <w:rPr>
        <w:rFonts w:hint="default"/>
      </w:rPr>
    </w:lvl>
    <w:lvl w:ilvl="1">
      <w:start w:val="1"/>
      <w:numFmt w:val="decimal"/>
      <w:pStyle w:val="2"/>
      <w:lvlText w:val="%1.%2."/>
      <w:lvlJc w:val="left"/>
      <w:pPr>
        <w:ind w:left="567" w:hanging="567"/>
      </w:pPr>
      <w:rPr>
        <w:rFonts w:hint="default"/>
      </w:rPr>
    </w:lvl>
    <w:lvl w:ilvl="2">
      <w:start w:val="1"/>
      <w:numFmt w:val="decimal"/>
      <w:pStyle w:val="3"/>
      <w:lvlText w:val="%1.%2.%3."/>
      <w:lvlJc w:val="left"/>
      <w:pPr>
        <w:ind w:left="709" w:hanging="709"/>
      </w:pPr>
      <w:rPr>
        <w:rFonts w:hint="default"/>
      </w:rPr>
    </w:lvl>
    <w:lvl w:ilvl="3">
      <w:start w:val="1"/>
      <w:numFmt w:val="decimal"/>
      <w:pStyle w:val="4"/>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0"/>
  <w:displayBackgroundShape/>
  <w:bordersDoNotSurroundHeader w:val="0"/>
  <w:bordersDoNotSurroundFooter w:val="0"/>
  <w:documentProtection w:edit="readOnly" w:enforcement="0"/>
  <w:defaultTabStop w:val="420"/>
  <w:drawingGridHorizontalSpacing w:val="120"/>
  <w:drawingGridVerticalSpacing w:val="165"/>
  <w:displayHorizontalDrawingGridEvery w:val="1"/>
  <w:displayVerticalDrawingGridEvery w:val="2"/>
  <w:noPunctuationKerning/>
  <w:characterSpacingControl w:val="compressPunctuation"/>
  <w:compat>
    <w:spaceForUL/>
    <w:balanceSingleByteDoubleByteWidth/>
    <w:ulTrailSpace/>
    <w:doNotExpandShiftReturn/>
    <w:adjustLineHeightInTable/>
    <w:doNotUseIndentAsNumberingTabStop/>
    <w:useAltKinsokuLineBreakRules/>
    <w:compatSetting w:name="compatibilityMode" w:uri="http://schemas.microsoft.com/office/word" w:val="14"/>
  </w:compat>
  <w:docVars>
    <w:docVar w:name="commondata" w:val="eyJjb3VudCI6NjksImhkaWQiOiJiMzk2N2EzZjUyYWViODRjZjJhMDZjM2YyYjk4MTExMiIsInVzZXJDb3VudCI6MX0="/>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宋体" w:hAnsi="Times New Roman"/>
      <w:color w:val="auto"/>
      <w:kern w:val="0"/>
      <w:sz w:val="24"/>
      <w:szCs w:val="24"/>
      <w:lang w:val="en-US" w:eastAsia="zh-CN" w:bidi="ar-SA"/>
    </w:rPr>
  </w:style>
  <w:style w:type="paragraph" w:styleId="1">
    <w:name w:val="heading 1"/>
    <w:basedOn w:val="0"/>
    <w:next w:val="0"/>
    <w:pPr>
      <w:keepNext/>
      <w:keepLines/>
      <w:widowControl w:val="0"/>
      <w:numPr>
        <w:ilvl w:val="0"/>
        <w:numId w:val="1"/>
      </w:numPr>
      <w:adjustRightInd w:val="0"/>
      <w:snapToGrid w:val="0"/>
      <w:spacing w:before="340" w:afterLines="50" w:after="50" w:line="578" w:lineRule="auto"/>
      <w:ind w:left="425" w:hanging="425"/>
      <w:jc w:val="left"/>
      <w:outlineLvl w:val="0"/>
    </w:pPr>
    <w:rPr>
      <w:rFonts w:ascii="Times New Roman" w:eastAsia="仿宋" w:cs="Times New Roman" w:hAnsi="Times New Roman"/>
      <w:b/>
      <w:bCs/>
      <w:kern w:val="44"/>
      <w:sz w:val="36"/>
      <w:szCs w:val="44"/>
    </w:rPr>
  </w:style>
  <w:style w:type="paragraph" w:styleId="2">
    <w:name w:val="heading 2"/>
    <w:basedOn w:val="0"/>
    <w:next w:val="0"/>
    <w:pPr>
      <w:widowControl w:val="0"/>
      <w:numPr>
        <w:ilvl w:val="1"/>
        <w:numId w:val="1"/>
      </w:numPr>
      <w:spacing w:line="415" w:lineRule="auto"/>
      <w:ind w:left="567" w:hanging="567"/>
      <w:outlineLvl w:val="1"/>
    </w:pPr>
    <w:rPr>
      <w:rFonts w:ascii="Calibri Light" w:eastAsia="宋体" w:cs="Times New Roman" w:hAnsi="Calibri Light"/>
      <w:b/>
      <w:bCs/>
      <w:sz w:val="28"/>
      <w:szCs w:val="32"/>
    </w:rPr>
  </w:style>
  <w:style w:type="paragraph" w:styleId="3">
    <w:name w:val="heading 3"/>
    <w:basedOn w:val="0"/>
    <w:next w:val="0"/>
    <w:pPr>
      <w:keepNext/>
      <w:keepLines/>
      <w:widowControl w:val="0"/>
      <w:numPr>
        <w:ilvl w:val="2"/>
        <w:numId w:val="1"/>
      </w:numPr>
      <w:spacing w:beforeLines="50" w:before="50" w:afterLines="50" w:after="50" w:line="415" w:lineRule="auto"/>
      <w:outlineLvl w:val="2"/>
    </w:pPr>
    <w:rPr>
      <w:rFonts w:ascii="宋体" w:eastAsia="宋体" w:cs="宋体" w:hAnsi="宋体"/>
      <w:b/>
      <w:bCs/>
      <w:sz w:val="32"/>
    </w:rPr>
  </w:style>
  <w:style w:type="paragraph" w:styleId="4">
    <w:name w:val="heading 4"/>
    <w:basedOn w:val="0"/>
    <w:next w:val="0"/>
    <w:pPr>
      <w:keepNext/>
      <w:keepLines/>
      <w:widowControl w:val="0"/>
      <w:numPr>
        <w:ilvl w:val="3"/>
        <w:numId w:val="1"/>
      </w:numPr>
      <w:spacing w:before="120" w:after="120"/>
      <w:outlineLvl w:val="3"/>
    </w:pPr>
    <w:rPr>
      <w:rFonts w:ascii="Calibri Light" w:eastAsia="宋体" w:cs="Times New Roman" w:hAnsi="Calibri Light"/>
      <w:b/>
      <w:bCs/>
      <w:sz w:val="28"/>
      <w:szCs w:val="28"/>
    </w:rPr>
  </w:style>
  <w:style w:type="character" w:default="1" w:styleId="10">
    <w:name w:val="Default Paragraph Font"/>
  </w:style>
  <w:style w:type="paragraph" w:styleId="15">
    <w:name w:val="annotation text"/>
    <w:basedOn w:val="0"/>
    <w:pPr>
      <w:jc w:val="left"/>
    </w:pPr>
  </w:style>
  <w:style w:type="paragraph" w:styleId="16">
    <w:name w:val="Balloon Text"/>
    <w:basedOn w:val="0"/>
    <w:rPr>
      <w:rFonts w:cs="Arial"/>
      <w:kern w:val="2"/>
      <w:sz w:val="18"/>
      <w:szCs w:val="18"/>
    </w:rPr>
  </w:style>
  <w:style w:type="paragraph" w:styleId="17">
    <w:name w:val="footer"/>
    <w:basedOn w:val="0"/>
    <w:pPr>
      <w:tabs>
        <w:tab w:val="center" w:pos="4153"/>
        <w:tab w:val="right" w:pos="8306"/>
      </w:tabs>
      <w:snapToGrid w:val="0"/>
      <w:jc w:val="left"/>
    </w:pPr>
    <w:rPr>
      <w:rFonts w:cs="Arial"/>
      <w:kern w:val="2"/>
      <w:sz w:val="18"/>
      <w:szCs w:val="18"/>
    </w:rPr>
  </w:style>
  <w:style w:type="paragraph" w:styleId="18">
    <w:name w:val="header"/>
    <w:basedOn w:val="0"/>
    <w:pPr>
      <w:pBdr>
        <w:top w:val="none" w:sz="0" w:space="0" w:color="auto"/>
        <w:left w:val="none" w:sz="0" w:space="0" w:color="auto"/>
        <w:bottom w:val="none" w:sz="0" w:space="0" w:color="auto"/>
        <w:right w:val="none" w:sz="0" w:space="0" w:color="auto"/>
      </w:pBdr>
      <w:tabs>
        <w:tab w:val="center" w:pos="4153"/>
        <w:tab w:val="right" w:pos="8306"/>
      </w:tabs>
      <w:snapToGrid w:val="0"/>
      <w:jc w:val="center"/>
    </w:pPr>
    <w:rPr>
      <w:rFonts w:cs="Arial"/>
      <w:kern w:val="2"/>
      <w:sz w:val="18"/>
      <w:szCs w:val="18"/>
    </w:rPr>
  </w:style>
  <w:style w:type="paragraph" w:styleId="19">
    <w:name w:val="Normal (Web)"/>
    <w:basedOn w:val="0"/>
    <w:pPr>
      <w:spacing w:before="0" w:beforeAutospacing="1" w:after="0" w:afterAutospacing="1"/>
      <w:ind w:left="0" w:right="0"/>
      <w:jc w:val="left"/>
    </w:pPr>
    <w:rPr>
      <w:kern w:val="0"/>
      <w:sz w:val="24"/>
      <w:lang w:val="en-US" w:eastAsia="zh-CN"/>
    </w:rPr>
  </w:style>
  <w:style w:type="character" w:styleId="20">
    <w:name w:val="Strong"/>
    <w:basedOn w:val="10"/>
    <w:rPr>
      <w:b/>
    </w:rPr>
  </w:style>
  <w:style w:type="character" w:customStyle="1" w:styleId="21">
    <w:name w:val="font11"/>
    <w:basedOn w:val="10"/>
    <w:rPr>
      <w:rFonts w:ascii="宋体" w:eastAsia="宋体" w:cs="宋体" w:hAnsi="宋体"/>
      <w:color w:val="000000"/>
      <w:sz w:val="20"/>
      <w:szCs w:val="20"/>
      <w:u w:val="none"/>
      <w:lang w:val="en-US" w:eastAsia="zh-CN" w:bidi="ar-SA"/>
    </w:rPr>
  </w:style>
  <w:style w:type="character" w:customStyle="1" w:styleId="22">
    <w:name w:val="font01"/>
    <w:basedOn w:val="10"/>
    <w:rPr>
      <w:rFonts w:ascii="宋体" w:eastAsia="宋体" w:cs="宋体" w:hAnsi="宋体"/>
      <w:color w:val="000000"/>
      <w:sz w:val="22"/>
      <w:szCs w:val="22"/>
      <w:u w:val="none"/>
      <w:lang w:val="en-US" w:eastAsia="zh-CN" w:bidi="ar-SA"/>
    </w:rPr>
  </w:style>
  <w:style w:type="character" w:customStyle="1" w:styleId="23">
    <w:name w:val="font41"/>
    <w:basedOn w:val="10"/>
    <w:rPr>
      <w:rFonts w:ascii="宋体" w:eastAsia="宋体" w:cs="宋体" w:hAnsi="宋体"/>
      <w:color w:val="000000"/>
      <w:sz w:val="24"/>
      <w:szCs w:val="24"/>
      <w:u w:val="none"/>
      <w:lang w:val="en-US" w:eastAsia="zh-CN" w:bidi="ar-SA"/>
    </w:rPr>
  </w:style>
  <w:style w:type="character" w:customStyle="1" w:styleId="24">
    <w:name w:val="font31"/>
    <w:basedOn w:val="10"/>
    <w:rPr>
      <w:rFonts w:ascii="华文中宋" w:eastAsia="华文中宋" w:cs="华文中宋" w:hAnsi="华文中宋"/>
      <w:color w:val="000000"/>
      <w:sz w:val="32"/>
      <w:szCs w:val="32"/>
      <w:u w:val="none"/>
      <w:lang w:val="en-US" w:eastAsia="zh-CN" w:bidi="ar-SA"/>
    </w:rPr>
  </w:style>
  <w:style w:type="character" w:customStyle="1" w:styleId="25">
    <w:name w:val="font91"/>
    <w:basedOn w:val="10"/>
    <w:rPr>
      <w:rFonts w:ascii="华文中宋" w:eastAsia="华文中宋" w:cs="华文中宋" w:hAnsi="华文中宋"/>
      <w:color w:val="000000"/>
      <w:sz w:val="32"/>
      <w:szCs w:val="32"/>
      <w:u w:val="none"/>
      <w:lang w:val="en-US" w:eastAsia="zh-CN" w:bidi="ar-SA"/>
    </w:rPr>
  </w:style>
  <w:style w:type="character" w:customStyle="1" w:styleId="26">
    <w:name w:val="font51"/>
    <w:basedOn w:val="10"/>
    <w:rPr>
      <w:rFonts w:ascii="宋体" w:eastAsia="宋体" w:cs="宋体" w:hAnsi="宋体"/>
      <w:color w:val="000000"/>
      <w:sz w:val="24"/>
      <w:szCs w:val="24"/>
      <w:u w:val="none"/>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image" Target="media/2.jpeg"/><Relationship Id="rId4" Type="http://schemas.openxmlformats.org/officeDocument/2006/relationships/footer" Target="footer2.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header" Target="header3.xml"/><Relationship Id="rId10" Type="http://schemas.openxmlformats.org/officeDocument/2006/relationships/footer" Target="footer5.xml"/><Relationship Id="rId11" Type="http://schemas.openxmlformats.org/officeDocument/2006/relationships/chart" Target="charts/chart1.xml"/><Relationship Id="rId12" Type="http://schemas.openxmlformats.org/officeDocument/2006/relationships/chart" Target="charts/chart2.xml"/><Relationship Id="rId13" Type="http://schemas.openxmlformats.org/officeDocument/2006/relationships/chart" Target="charts/chart3.xml"/><Relationship Id="rId14" Type="http://schemas.openxmlformats.org/officeDocument/2006/relationships/chart" Target="charts/chart4.xml"/><Relationship Id="rId15" Type="http://schemas.openxmlformats.org/officeDocument/2006/relationships/chart" Target="charts/chart5.xml"/><Relationship Id="rId16" Type="http://schemas.openxmlformats.org/officeDocument/2006/relationships/chart" Target="charts/chart6.xml"/><Relationship Id="rId17" Type="http://schemas.openxmlformats.org/officeDocument/2006/relationships/image" Target="media/14.png"/><Relationship Id="rId18" Type="http://schemas.openxmlformats.org/officeDocument/2006/relationships/image" Target="media/17.png"/><Relationship Id="rId19" Type="http://schemas.openxmlformats.org/officeDocument/2006/relationships/image" Target="media/20.png"/><Relationship Id="rId20" Type="http://schemas.openxmlformats.org/officeDocument/2006/relationships/image" Target="media/23.png"/><Relationship Id="rId21" Type="http://schemas.openxmlformats.org/officeDocument/2006/relationships/image" Target="media/26.png"/><Relationship Id="rId22" Type="http://schemas.openxmlformats.org/officeDocument/2006/relationships/image" Target="media/29.png"/><Relationship Id="rId23" Type="http://schemas.openxmlformats.org/officeDocument/2006/relationships/image" Target="media/32.png"/><Relationship Id="rId24" Type="http://schemas.openxmlformats.org/officeDocument/2006/relationships/image" Target="media/35.png"/><Relationship Id="rId25" Type="http://schemas.openxmlformats.org/officeDocument/2006/relationships/image" Target="media/38.png"/><Relationship Id="rId26" Type="http://schemas.openxmlformats.org/officeDocument/2006/relationships/image" Target="media/41.png"/><Relationship Id="rId27" Type="http://schemas.openxmlformats.org/officeDocument/2006/relationships/styles" Target="styles.xml"/><Relationship Id="rId28" Type="http://schemas.openxmlformats.org/officeDocument/2006/relationships/numbering" Target="numbering.xml"/><Relationship Id="rId29" Type="http://schemas.openxmlformats.org/officeDocument/2006/relationships/fontTable" Target="fontTable.xml"/><Relationship Id="rId30" Type="http://schemas.openxmlformats.org/officeDocument/2006/relationships/customXml" Target="../customXml/item1.xml"/></Relationships>
</file>

<file path=word/charts/_rels/chart1.xml.rels><?xml version="1.0" encoding="UTF-8" standalone="yes"?>
<Relationships xmlns="http://schemas.openxmlformats.org/package/2006/relationships"><Relationship Id="rId1" Type="http://schemas.openxmlformats.org/officeDocument/2006/relationships/package" Target="../embeddings/char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char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char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char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char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char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1 ： 2023-2024年收支总计对比图（万元）</a:t>
            </a:r>
          </a:p>
        </c:rich>
      </c:tx>
      <c:layout/>
      <c:overlay val="0"/>
      <c:spPr>
        <a:noFill/>
        <a:ln>
          <a:noFill/>
        </a:ln>
      </c:spPr>
    </c:title>
    <c:autoTitleDeleted val="1"/>
    <c:plotArea>
      <c:layout/>
      <c:barChart>
        <c:barDir val="col"/>
        <c:grouping val="clustered"/>
        <c:varyColors val="0"/>
        <c:ser>
          <c:idx val="0"/>
          <c:order val="0"/>
          <c:tx>
            <c:strRef>
              <c:f>'Sheet1'!$B$1</c:f>
              <c:strCache>
                <c:ptCount val="1"/>
                <c:pt idx="0">
                  <c:v>收支总计</c:v>
                </c:pt>
              </c:strCache>
            </c:strRef>
          </c:tx>
          <c:spPr>
            <a:solidFill>
              <a:srgbClr val="4874CB"/>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'Sheet1'!$A$2:$A$3</c:f>
              <c:strCache>
                <c:ptCount val="2"/>
                <c:pt idx="0">
                  <c:v>2023年</c:v>
                </c:pt>
                <c:pt idx="1">
                  <c:v>2024年</c:v>
                </c:pt>
              </c:strCache>
            </c:strRef>
          </c:cat>
          <c:val>
            <c:numRef>
              <c:f>'Sheet1'!$B$2:$B$3</c:f>
              <c:numCache>
                <c:formatCode>General</c:formatCode>
                <c:ptCount val="2"/>
                <c:pt idx="0">
                  <c:v>11224.23</c:v>
                </c:pt>
                <c:pt idx="1">
                  <c:v>12851.93</c:v>
                </c:pt>
              </c:numCache>
            </c:numRef>
          </c:val>
        </c:ser>
        <c:overlap val="-28"/>
        <c:gapWidth val="246"/>
        <c:axId val="0"/>
        <c:axId val="1"/>
      </c:barChart>
      <c:catAx>
        <c:axId val="0"/>
        <c:scaling>
          <c:orientation val="minMax"/>
        </c:scaling>
        <c:delete val="0"/>
        <c:axPos val="b"/>
        <c:numFmt formatCode="General" sourceLinked="0"/>
        <c:majorTickMark val="none"/>
        <c:minorTickMark val="none"/>
        <c:tickLblPos val="nextTo"/>
        <c:spPr>
          <a:ln w="6350">
            <a:solidFill>
              <a:srgbClr val="D9D9D9"/>
            </a:solidFill>
            <a:prstDash val="solid"/>
          </a:ln>
        </c:spPr>
        <c:txPr>
          <a:bodyPr/>
          <a:lstStyle/>
          <a:p>
            <a:pPr>
              <a:defRPr sz="900" b="0" i="0" u="none" strike="noStrike" baseline="0">
                <a:solidFill>
                  <a:srgbClr val="595959"/>
                </a:solidFill>
                <a:latin typeface="Times New Roman"/>
                <a:ea typeface="宋体"/>
                <a:cs typeface="Arial"/>
              </a:defRPr>
            </a:pPr>
            <a:endParaRPr lang="zh-CN"/>
          </a:p>
        </c:txPr>
        <c:crosses val="autoZero"/>
        <c:auto val="1"/>
        <c:lblOffset val="100"/>
        <c:lblAlgn val="ctr"/>
        <c:noMultiLvlLbl val="0"/>
        <c:crossAx val="1"/>
      </c:catAx>
      <c:valAx>
        <c:axId val="1"/>
        <c:scaling>
          <c:orientation val="minMax"/>
        </c:scaling>
        <c:delete val="0"/>
        <c:axPos val="l"/>
        <c:majorGridlines>
          <c:spPr>
            <a:ln w="6350">
              <a:solidFill>
                <a:srgbClr val="E6E6E6"/>
              </a:solidFill>
              <a:prstDash val="solid"/>
            </a:ln>
          </c:spPr>
        </c:majorGridlines>
        <c:numFmt formatCode="General" sourceLinked="1"/>
        <c:majorTickMark val="none"/>
        <c:minorTickMark val="none"/>
        <c:tickLblPos val="nextTo"/>
        <c:spPr>
          <a:ln>
            <a:noFill/>
          </a:ln>
        </c:spPr>
        <c:txPr>
          <a:bodyPr/>
          <a:lstStyle/>
          <a:p>
            <a:pPr>
              <a:defRPr sz="900" b="0" i="0" u="none" strike="noStrike" baseline="0">
                <a:solidFill>
                  <a:srgbClr val="595959"/>
                </a:solidFill>
                <a:latin typeface="Times New Roman"/>
                <a:ea typeface="宋体"/>
                <a:cs typeface="Arial"/>
              </a:defRPr>
            </a:pPr>
            <a:endParaRPr lang="zh-CN"/>
          </a:p>
        </c:txPr>
        <c:crossesAt val="1.0"/>
        <c:crossBetween val="between"/>
        <c:crossAx val="0"/>
      </c:valAx>
      <c:spPr>
        <a:noFill/>
        <a:ln>
          <a:noFill/>
        </a:ln>
      </c:spPr>
    </c:plotArea>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2 ：收入决算构成情况图</a:t>
            </a:r>
          </a:p>
        </c:rich>
      </c:tx>
      <c:layout/>
      <c:overlay val="0"/>
      <c:spPr>
        <a:noFill/>
        <a:ln>
          <a:noFill/>
        </a:ln>
      </c:spPr>
    </c:title>
    <c:autoTitleDeleted val="1"/>
    <c:plotArea>
      <c:layout/>
      <c:pieChart>
        <c:varyColors val="1"/>
        <c:ser>
          <c:idx val="0"/>
          <c:order val="0"/>
          <c:tx>
            <c:strRef>
              <c:f>'Sheet1 (2)'!$B$1</c:f>
              <c:strCache>
                <c:ptCount val="1"/>
                <c:pt idx="0">
                  <c:v>金额</c:v>
                </c:pt>
              </c:strCache>
            </c:strRef>
          </c:tx>
          <c:spPr>
            <a:ln>
              <a:noFill/>
            </a:ln>
          </c:spPr>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Pt>
            <c:idx val="5"/>
            <c:bubble3D val="0"/>
            <c:spPr>
              <a:solidFill>
                <a:srgbClr val="E54C5E"/>
              </a:solidFill>
              <a:ln w="6350">
                <a:solidFill>
                  <a:srgbClr val="FFFFFF"/>
                </a:solidFill>
                <a:prstDash val="solid"/>
              </a:ln>
            </c:spPr>
          </c:dPt>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0.0%" sourceLinked="0"/>
            <c:dLbl>
              <c:idx val="0"/>
              <c:layout>
                <c:manualLayout>
                  <c:x val="0.32012555"/>
                  <c:y val="0.72690713"/>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1"/>
              <c:layout>
                <c:manualLayout>
                  <c:x val="-0.3080455"/>
                  <c:y val="0.6391468"/>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2"/>
              <c:layout>
                <c:manualLayout>
                  <c:x val="0.40541184"/>
                  <c:y val="0.17185508"/>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3"/>
              <c:layout>
                <c:manualLayout>
                  <c:x val="-0.28690514"/>
                  <c:y val="0.27025074"/>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4"/>
              <c:layout>
                <c:manualLayout>
                  <c:x val="-0.29898536"/>
                  <c:y val="0.44916064"/>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5"/>
              <c:layout>
                <c:manualLayout>
                  <c:x val="-0.28847557"/>
                  <c:y val="0.12416596"/>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Pos val="ctr"/>
            <c:showLegendKey val="1"/>
            <c:showVal val="0"/>
            <c:showCatName val="1"/>
            <c:showSerName val="0"/>
            <c:showPercent val="1"/>
            <c:showBubbleSize val="0"/>
            <c:separator> </c:separator>
            <c:showLeaderLines val="1"/>
          </c:dLbls>
          <c:cat>
            <c:strRef>
              <c:f>'Sheet1 (2)'!$A$2:$A$7</c:f>
              <c:strCache>
                <c:ptCount val="6"/>
                <c:pt idx="0">
                  <c:v>财政拨款收入</c:v>
                </c:pt>
                <c:pt idx="1">
                  <c:v>上级补助收入</c:v>
                </c:pt>
                <c:pt idx="2">
                  <c:v>事业收入</c:v>
                </c:pt>
                <c:pt idx="3">
                  <c:v>经营收入</c:v>
                </c:pt>
                <c:pt idx="4">
                  <c:v>附属单位上缴收入</c:v>
                </c:pt>
                <c:pt idx="5">
                  <c:v>其他收入</c:v>
                </c:pt>
              </c:strCache>
            </c:strRef>
          </c:cat>
          <c:val>
            <c:numRef>
              <c:f>'Sheet1 (2)'!$B$2:$B$7</c:f>
              <c:numCache>
                <c:formatCode>0.00_);[Red](0.00)</c:formatCode>
                <c:ptCount val="6"/>
                <c:pt idx="0">
                  <c:v>1.2851934256E8</c:v>
                </c:pt>
                <c:pt idx="1">
                  <c:v>0.0</c:v>
                </c:pt>
                <c:pt idx="2">
                  <c:v>0.0</c:v>
                </c:pt>
                <c:pt idx="3">
                  <c:v>0.0</c:v>
                </c:pt>
                <c:pt idx="4">
                  <c:v>0.0</c:v>
                </c:pt>
                <c:pt idx="5">
                  <c:v>0.0</c:v>
                </c:pt>
              </c:numCache>
            </c:numRef>
          </c:val>
        </c:ser>
        <c:firstSliceAng val="0"/>
      </c:pieChart>
      <c:spPr>
        <a:noFill/>
        <a:ln>
          <a:noFill/>
        </a:ln>
      </c:spPr>
    </c:plotArea>
    <c:legend>
      <c:legendPos val="r"/>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3 ：支出决算构成情况图</a:t>
            </a:r>
          </a:p>
        </c:rich>
      </c:tx>
      <c:layout/>
      <c:overlay val="0"/>
      <c:spPr>
        <a:noFill/>
        <a:ln>
          <a:noFill/>
        </a:ln>
      </c:spPr>
    </c:title>
    <c:autoTitleDeleted val="1"/>
    <c:plotArea>
      <c:layout/>
      <c:pieChart>
        <c:varyColors val="1"/>
        <c:ser>
          <c:idx val="0"/>
          <c:order val="0"/>
          <c:tx>
            <c:strRef>
              <c:f>'Sheet1 (3)'!$B$1</c:f>
              <c:strCache>
                <c:ptCount val="1"/>
                <c:pt idx="0">
                  <c:v>金额</c:v>
                </c:pt>
              </c:strCache>
            </c:strRef>
          </c:tx>
          <c:spPr>
            <a:ln>
              <a:noFill/>
            </a:ln>
          </c:spPr>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0.0%" sourceLinked="0"/>
            <c:dLbl>
              <c:idx val="0"/>
              <c:layout>
                <c:manualLayout>
                  <c:x val="0.34621888"/>
                  <c:y val="0.7154696"/>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1"/>
              <c:layout>
                <c:manualLayout>
                  <c:x val="0.35709593"/>
                  <c:y val="0.09793837"/>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2"/>
              <c:layout>
                <c:manualLayout>
                  <c:x val="-0.29270354"/>
                  <c:y val="0.26689333"/>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3"/>
              <c:layout>
                <c:manualLayout>
                  <c:x val="-0.31523567"/>
                  <c:y val="0.4683166"/>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4"/>
              <c:layout>
                <c:manualLayout>
                  <c:x val="-0.27355897"/>
                  <c:y val="0.7182104"/>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showLegendKey val="1"/>
            <c:showVal val="0"/>
            <c:showCatName val="1"/>
            <c:showSerName val="0"/>
            <c:showPercent val="1"/>
            <c:showBubbleSize val="0"/>
            <c:showLeaderLines val="1"/>
          </c:dLbls>
          <c:cat>
            <c:strRef>
              <c:f>'Sheet1 (3)'!$A$2:$A$6</c:f>
              <c:strCache>
                <c:ptCount val="5"/>
                <c:pt idx="0">
                  <c:v>基本支出</c:v>
                </c:pt>
                <c:pt idx="1">
                  <c:v>项目支出</c:v>
                </c:pt>
                <c:pt idx="2">
                  <c:v>上缴上级支出</c:v>
                </c:pt>
                <c:pt idx="3">
                  <c:v>经营支出</c:v>
                </c:pt>
                <c:pt idx="4">
                  <c:v>对附属单位补助支出</c:v>
                </c:pt>
              </c:strCache>
            </c:strRef>
          </c:cat>
          <c:val>
            <c:numRef>
              <c:f>'Sheet1 (3)'!$B$2:$B$6</c:f>
              <c:numCache>
                <c:formatCode>General</c:formatCode>
                <c:ptCount val="5"/>
                <c:pt idx="0">
                  <c:v>6582863.14</c:v>
                </c:pt>
                <c:pt idx="1">
                  <c:v>1.2193647942E8</c:v>
                </c:pt>
                <c:pt idx="2">
                  <c:v>0.0</c:v>
                </c:pt>
                <c:pt idx="3">
                  <c:v>0.0</c:v>
                </c:pt>
                <c:pt idx="4">
                  <c:v>0.0</c:v>
                </c:pt>
              </c:numCache>
            </c:numRef>
          </c:val>
        </c:ser>
        <c:firstSliceAng val="0"/>
      </c:pieChart>
      <c:spPr>
        <a:noFill/>
        <a:ln>
          <a:noFill/>
        </a:ln>
      </c:spPr>
    </c:plotArea>
    <c:legend>
      <c:legendPos val="r"/>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4 ：2023-2024年财政拨款收支对比图（万元）</a:t>
            </a:r>
          </a:p>
        </c:rich>
      </c:tx>
      <c:layout/>
      <c:overlay val="0"/>
      <c:spPr>
        <a:noFill/>
        <a:ln>
          <a:noFill/>
        </a:ln>
      </c:spPr>
    </c:title>
    <c:autoTitleDeleted val="1"/>
    <c:plotArea>
      <c:layout/>
      <c:barChart>
        <c:barDir val="col"/>
        <c:grouping val="clustered"/>
        <c:varyColors val="0"/>
        <c:ser>
          <c:idx val="0"/>
          <c:order val="0"/>
          <c:tx>
            <c:strRef>
              <c:f>'Sheet1 (4)'!$B$1</c:f>
              <c:strCache>
                <c:ptCount val="1"/>
                <c:pt idx="0">
                  <c:v>2023年</c:v>
                </c:pt>
              </c:strCache>
            </c:strRef>
          </c:tx>
          <c:spPr>
            <a:solidFill>
              <a:srgbClr val="4874CB"/>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(4)'!$A$2:$A$9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(4)'!$B$2:$B$9</c:f>
              <c:numCache>
                <c:formatCode>General</c:formatCode>
                <c:ptCount val="8"/>
                <c:pt idx="0">
                  <c:v>11224.23</c:v>
                </c:pt>
                <c:pt idx="1">
                  <c:v>11224.23</c:v>
                </c:pt>
                <c:pt idx="2">
                  <c:v>8794.23</c:v>
                </c:pt>
                <c:pt idx="3">
                  <c:v>8794.23</c:v>
                </c:pt>
                <c:pt idx="4">
                  <c:v>2430.0</c:v>
                </c:pt>
                <c:pt idx="5">
                  <c:v>2430.0</c:v>
                </c:pt>
                <c:pt idx="6">
                  <c:v>0.0</c:v>
                </c:pt>
                <c:pt idx="7">
                  <c:v>0.0</c:v>
                </c:pt>
              </c:numCache>
            </c:numRef>
          </c:val>
        </c:ser>
        <c:ser>
          <c:idx val="1"/>
          <c:order val="1"/>
          <c:tx>
            <c:strRef>
              <c:f>'Sheet1 (4)'!$C$1</c:f>
              <c:strCache>
                <c:ptCount val="1"/>
                <c:pt idx="0">
                  <c:v>2024年</c:v>
                </c:pt>
              </c:strCache>
            </c:strRef>
          </c:tx>
          <c:spPr>
            <a:solidFill>
              <a:srgbClr val="EE822F"/>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(4)'!$A$2:$A$9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(4)'!$C$2:$C$9</c:f>
              <c:numCache>
                <c:formatCode>General</c:formatCode>
                <c:ptCount val="8"/>
                <c:pt idx="0">
                  <c:v>12851.93</c:v>
                </c:pt>
                <c:pt idx="1">
                  <c:v>12851.93</c:v>
                </c:pt>
                <c:pt idx="2">
                  <c:v>10951.93</c:v>
                </c:pt>
                <c:pt idx="3">
                  <c:v>10951.93</c:v>
                </c:pt>
                <c:pt idx="4">
                  <c:v>1900.0</c:v>
                </c:pt>
                <c:pt idx="5">
                  <c:v>1900.0</c:v>
                </c:pt>
                <c:pt idx="6">
                  <c:v>0.0</c:v>
                </c:pt>
                <c:pt idx="7">
                  <c:v>0.0</c:v>
                </c:pt>
              </c:numCache>
            </c:numRef>
          </c:val>
        </c:ser>
        <c:overlap val="-28"/>
        <c:gapWidth val="246"/>
        <c:axId val="0"/>
        <c:axId val="1"/>
      </c:barChart>
      <c:catAx>
        <c:axId val="0"/>
        <c:scaling>
          <c:orientation val="minMax"/>
        </c:scaling>
        <c:delete val="0"/>
        <c:axPos val="b"/>
        <c:numFmt formatCode="General" sourceLinked="0"/>
        <c:majorTickMark val="out"/>
        <c:minorTickMark val="none"/>
        <c:tickLblPos val="nextTo"/>
        <c:spPr>
          <a:ln w="6350">
            <a:solidFill>
              <a:srgbClr val="D9D9D9"/>
            </a:solidFill>
            <a:prstDash val="solid"/>
          </a:ln>
        </c:spPr>
        <c:txPr>
          <a:bodyPr/>
          <a:lstStyle/>
          <a:p>
            <a:pPr>
              <a:defRPr sz="900" b="0" i="0" u="none" strike="noStrike" baseline="0">
                <a:solidFill>
                  <a:srgbClr val="595959"/>
                </a:solidFill>
                <a:latin typeface="Times New Roman"/>
                <a:ea typeface="宋体"/>
                <a:cs typeface="Arial"/>
              </a:defRPr>
            </a:pPr>
            <a:endParaRPr lang="zh-CN"/>
          </a:p>
        </c:txPr>
        <c:crosses val="autoZero"/>
        <c:auto val="1"/>
        <c:lblOffset val="100"/>
        <c:lblAlgn val="ctr"/>
        <c:noMultiLvlLbl val="0"/>
        <c:crossAx val="1"/>
      </c:catAx>
      <c:valAx>
        <c:axId val="1"/>
        <c:scaling>
          <c:orientation val="minMax"/>
        </c:scaling>
        <c:delete val="0"/>
        <c:axPos val="l"/>
        <c:majorGridlines>
          <c:spPr>
            <a:ln w="6350">
              <a:solidFill>
                <a:srgbClr val="E6E6E6"/>
              </a:solidFill>
              <a:prstDash val="solid"/>
            </a:ln>
          </c:spPr>
        </c:majorGridlines>
        <c:numFmt formatCode="General" sourceLinked="1"/>
        <c:majorTickMark val="out"/>
        <c:minorTickMark val="none"/>
        <c:tickLblPos val="nextTo"/>
        <c:spPr>
          <a:ln>
            <a:noFill/>
          </a:ln>
        </c:spPr>
        <c:txPr>
          <a:bodyPr/>
          <a:lstStyle/>
          <a:p>
            <a:pPr>
              <a:defRPr sz="900" b="0" i="0" u="none" strike="noStrike" baseline="0">
                <a:solidFill>
                  <a:srgbClr val="595959"/>
                </a:solidFill>
                <a:latin typeface="Times New Roman"/>
                <a:ea typeface="宋体"/>
                <a:cs typeface="Arial"/>
              </a:defRPr>
            </a:pPr>
            <a:endParaRPr lang="zh-CN"/>
          </a:p>
        </c:txPr>
        <c:crossesAt val="1.0"/>
        <c:crossBetween val="between"/>
        <c:crossAx val="0"/>
      </c:valAx>
      <c:dTable>
        <c:showHorzBorder val="1"/>
        <c:showVertBorder val="1"/>
        <c:showOutline val="1"/>
        <c:showKeys val="1"/>
        <c:spPr>
          <a:ln w="6350">
            <a:solidFill>
              <a:srgbClr val="D9D9D9"/>
            </a:solidFill>
            <a:prstDash val="solid"/>
          </a:ln>
        </c:spPr>
        <c:txPr>
          <a:bodyPr/>
          <a:lstStyle/>
          <a:p>
            <a:pPr rtl="0">
              <a:defRPr sz="900" b="0" i="0" u="none" strike="noStrike" baseline="0">
                <a:solidFill>
                  <a:srgbClr val="595959"/>
                </a:solidFill>
                <a:latin typeface="Times New Roman"/>
                <a:ea typeface="宋体"/>
                <a:cs typeface="Arial"/>
              </a:defRPr>
            </a:pPr>
            <a:endParaRPr lang="zh-CN"/>
          </a:p>
        </c:txPr>
      </c:dTable>
      <c:spPr>
        <a:noFill/>
        <a:ln>
          <a:noFill/>
        </a:ln>
      </c:spPr>
    </c:plotArea>
    <c:legend>
      <c:legendPos val="b"/>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5 :财政拨款收支预算对比图（万元）</a:t>
            </a:r>
          </a:p>
        </c:rich>
      </c:tx>
      <c:layout/>
      <c:overlay val="0"/>
      <c:spPr>
        <a:noFill/>
        <a:ln>
          <a:noFill/>
        </a:ln>
      </c:spPr>
    </c:title>
    <c:autoTitleDeleted val="1"/>
    <c:plotArea>
      <c:layout>
        <c:manualLayout>
          <c:layoutTarget val="inner"/>
          <c:xMode val="edge"/>
          <c:yMode val="edge"/>
          <c:x val="0.17641942"/>
          <c:y val="0.16043349"/>
          <c:w val="0.7957961"/>
          <c:h val="0.47433063"/>
        </c:manualLayout>
      </c:layout>
      <c:barChart>
        <c:barDir val="col"/>
        <c:grouping val="clustered"/>
        <c:varyColors val="0"/>
        <c:ser>
          <c:idx val="0"/>
          <c:order val="0"/>
          <c:tx>
            <c:strRef>
              <c:f>'Sheet1 (5)'!$B$1</c:f>
              <c:strCache>
                <c:ptCount val="1"/>
                <c:pt idx="0">
                  <c:v>年初预算数</c:v>
                </c:pt>
              </c:strCache>
            </c:strRef>
          </c:tx>
          <c:spPr>
            <a:solidFill>
              <a:srgbClr val="4874CB"/>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(5)'!$A$2:$A$9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(5)'!$B$2:$B$9</c:f>
              <c:numCache>
                <c:formatCode>General</c:formatCode>
                <c:ptCount val="8"/>
                <c:pt idx="0">
                  <c:v>5131.21</c:v>
                </c:pt>
                <c:pt idx="1">
                  <c:v>5131.21</c:v>
                </c:pt>
                <c:pt idx="2">
                  <c:v>5126.21</c:v>
                </c:pt>
                <c:pt idx="3">
                  <c:v>5126.21</c:v>
                </c:pt>
                <c:pt idx="4">
                  <c:v>0.0</c:v>
                </c:pt>
                <c:pt idx="5">
                  <c:v>0.0</c:v>
                </c:pt>
                <c:pt idx="6">
                  <c:v>5.0</c:v>
                </c:pt>
                <c:pt idx="7">
                  <c:v>5.0</c:v>
                </c:pt>
              </c:numCache>
            </c:numRef>
          </c:val>
        </c:ser>
        <c:ser>
          <c:idx val="1"/>
          <c:order val="1"/>
          <c:tx>
            <c:strRef>
              <c:f>'Sheet1 (5)'!$C$1</c:f>
              <c:strCache>
                <c:ptCount val="1"/>
                <c:pt idx="0">
                  <c:v>决算数</c:v>
                </c:pt>
              </c:strCache>
            </c:strRef>
          </c:tx>
          <c:spPr>
            <a:solidFill>
              <a:srgbClr val="EE822F"/>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(5)'!$A$2:$A$9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(5)'!$C$2:$C$9</c:f>
              <c:numCache>
                <c:formatCode>General</c:formatCode>
                <c:ptCount val="8"/>
                <c:pt idx="0">
                  <c:v>12851.93</c:v>
                </c:pt>
                <c:pt idx="1">
                  <c:v>12851.93</c:v>
                </c:pt>
                <c:pt idx="2">
                  <c:v>10951.93</c:v>
                </c:pt>
                <c:pt idx="3">
                  <c:v>10951.93</c:v>
                </c:pt>
                <c:pt idx="4">
                  <c:v>1900.0</c:v>
                </c:pt>
                <c:pt idx="5">
                  <c:v>1900.0</c:v>
                </c:pt>
                <c:pt idx="6">
                  <c:v>0.0</c:v>
                </c:pt>
                <c:pt idx="7">
                  <c:v>0.0</c:v>
                </c:pt>
              </c:numCache>
            </c:numRef>
          </c:val>
        </c:ser>
        <c:gapWidth val="150"/>
        <c:axId val="0"/>
        <c:axId val="1"/>
      </c:barChart>
      <c:catAx>
        <c:axId val="0"/>
        <c:scaling>
          <c:orientation val="minMax"/>
        </c:scaling>
        <c:delete val="0"/>
        <c:axPos val="b"/>
        <c:numFmt formatCode="General" sourceLinked="0"/>
        <c:majorTickMark val="none"/>
        <c:minorTickMark val="none"/>
        <c:tickLblPos val="nextTo"/>
        <c:spPr>
          <a:ln w="6350">
            <a:solidFill>
              <a:srgbClr val="D9D9D9"/>
            </a:solidFill>
            <a:prstDash val="solid"/>
          </a:ln>
        </c:spPr>
        <c:txPr>
          <a:bodyPr/>
          <a:lstStyle/>
          <a:p>
            <a:pPr>
              <a:defRPr sz="900" b="0" i="0" u="none" strike="noStrike" baseline="0">
                <a:solidFill>
                  <a:srgbClr val="595959"/>
                </a:solidFill>
                <a:latin typeface="Times New Roman"/>
                <a:ea typeface="宋体"/>
                <a:cs typeface="Arial"/>
              </a:defRPr>
            </a:pPr>
            <a:endParaRPr lang="zh-CN"/>
          </a:p>
        </c:txPr>
        <c:crosses val="autoZero"/>
        <c:auto val="1"/>
        <c:lblOffset val="100"/>
        <c:lblAlgn val="ctr"/>
        <c:noMultiLvlLbl val="0"/>
        <c:crossAx val="1"/>
      </c:catAx>
      <c:valAx>
        <c:axId val="1"/>
        <c:scaling>
          <c:orientation val="minMax"/>
        </c:scaling>
        <c:delete val="0"/>
        <c:axPos val="l"/>
        <c:majorGridlines>
          <c:spPr>
            <a:ln w="6350">
              <a:solidFill>
                <a:srgbClr val="E6E6E6"/>
              </a:solidFill>
              <a:prstDash val="solid"/>
            </a:ln>
          </c:spPr>
        </c:majorGridlines>
        <c:numFmt formatCode="General" sourceLinked="1"/>
        <c:majorTickMark val="none"/>
        <c:minorTickMark val="none"/>
        <c:tickLblPos val="nextTo"/>
        <c:spPr>
          <a:ln>
            <a:noFill/>
          </a:ln>
        </c:spPr>
        <c:txPr>
          <a:bodyPr/>
          <a:lstStyle/>
          <a:p>
            <a:pPr>
              <a:defRPr sz="900" b="0" i="0" u="none" strike="noStrike" baseline="0">
                <a:solidFill>
                  <a:srgbClr val="595959"/>
                </a:solidFill>
                <a:latin typeface="Times New Roman"/>
                <a:ea typeface="宋体"/>
                <a:cs typeface="Arial"/>
              </a:defRPr>
            </a:pPr>
            <a:endParaRPr lang="zh-CN"/>
          </a:p>
        </c:txPr>
        <c:crossesAt val="1.0"/>
        <c:crossBetween val="between"/>
        <c:crossAx val="0"/>
      </c:valAx>
      <c:dTable>
        <c:showHorzBorder val="1"/>
        <c:showVertBorder val="1"/>
        <c:showOutline val="1"/>
        <c:showKeys val="1"/>
        <c:spPr>
          <a:ln w="6350">
            <a:solidFill>
              <a:srgbClr val="D9D9D9"/>
            </a:solidFill>
            <a:prstDash val="solid"/>
          </a:ln>
        </c:spPr>
        <c:txPr>
          <a:bodyPr/>
          <a:lstStyle/>
          <a:p>
            <a:pPr rtl="0">
              <a:defRPr sz="900" b="0" i="0" u="none" strike="noStrike" baseline="0">
                <a:solidFill>
                  <a:srgbClr val="595959"/>
                </a:solidFill>
                <a:latin typeface="Times New Roman"/>
                <a:ea typeface="宋体"/>
                <a:cs typeface="Arial"/>
              </a:defRPr>
            </a:pPr>
            <a:endParaRPr lang="zh-CN"/>
          </a:p>
        </c:txPr>
      </c:dTable>
      <c:spPr>
        <a:noFill/>
        <a:ln>
          <a:noFill/>
        </a:ln>
      </c:spPr>
    </c:plotArea>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图6  : 财政拨款支出决算构成情况图</a:t>
            </a:r>
          </a:p>
        </c:rich>
      </c:tx>
      <c:layout/>
      <c:overlay val="0"/>
      <c:spPr>
        <a:noFill/>
        <a:ln>
          <a:noFill/>
        </a:ln>
      </c:spPr>
    </c:title>
    <c:autoTitleDeleted val="1"/>
    <c:plotArea>
      <c:layout/>
      <c:pieChart>
        <c:varyColors val="1"/>
        <c:ser>
          <c:idx val="0"/>
          <c:order val="0"/>
          <c:tx>
            <c:strRef>
              <c:f>'Sheet1 (6)'!$B$1</c:f>
              <c:strCache>
                <c:ptCount val="1"/>
                <c:pt idx="0">
                  <c:v>金额</c:v>
                </c:pt>
              </c:strCache>
            </c:strRef>
          </c:tx>
          <c:spPr>
            <a:ln>
              <a:noFill/>
            </a:ln>
          </c:spPr>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Pt>
            <c:idx val="5"/>
            <c:bubble3D val="0"/>
            <c:spPr>
              <a:solidFill>
                <a:srgbClr val="E54C5E"/>
              </a:solidFill>
              <a:ln w="6350">
                <a:solidFill>
                  <a:srgbClr val="FFFFFF"/>
                </a:solidFill>
                <a:prstDash val="solid"/>
              </a:ln>
            </c:spPr>
          </c:dPt>
          <c:dPt>
            <c:idx val="6"/>
            <c:bubble3D val="0"/>
            <c:spPr>
              <a:solidFill>
                <a:srgbClr val="254380"/>
              </a:solidFill>
              <a:ln w="6350">
                <a:solidFill>
                  <a:srgbClr val="FFFFFF"/>
                </a:solidFill>
                <a:prstDash val="solid"/>
              </a:ln>
            </c:spPr>
          </c:dPt>
          <c:dPt>
            <c:idx val="7"/>
            <c:bubble3D val="0"/>
            <c:spPr>
              <a:solidFill>
                <a:srgbClr val="9E4C0D"/>
              </a:solidFill>
              <a:ln w="6350">
                <a:solidFill>
                  <a:srgbClr val="FFFFFF"/>
                </a:solidFill>
                <a:prstDash val="solid"/>
              </a:ln>
            </c:spPr>
          </c:dPt>
          <c:dPt>
            <c:idx val="8"/>
            <c:bubble3D val="0"/>
            <c:spPr>
              <a:solidFill>
                <a:srgbClr val="917001"/>
              </a:solidFill>
              <a:ln w="6350">
                <a:solidFill>
                  <a:srgbClr val="FFFFFF"/>
                </a:solidFill>
                <a:prstDash val="solid"/>
              </a:ln>
            </c:spPr>
          </c:dPt>
          <c:dPt>
            <c:idx val="9"/>
            <c:bubble3D val="0"/>
            <c:spPr>
              <a:solidFill>
                <a:srgbClr val="467128"/>
              </a:solidFill>
              <a:ln w="6350">
                <a:solidFill>
                  <a:srgbClr val="FFFFFF"/>
                </a:solidFill>
                <a:prstDash val="solid"/>
              </a:ln>
            </c:spPr>
          </c:dPt>
          <c:dPt>
            <c:idx val="10"/>
            <c:bubble3D val="0"/>
            <c:spPr>
              <a:solidFill>
                <a:srgbClr val="1D736C"/>
              </a:solidFill>
              <a:ln w="6350">
                <a:solidFill>
                  <a:srgbClr val="FFFFFF"/>
                </a:solidFill>
                <a:prstDash val="solid"/>
              </a:ln>
            </c:spPr>
          </c:dPt>
          <c:dPt>
            <c:idx val="11"/>
            <c:bubble3D val="0"/>
            <c:spPr>
              <a:solidFill>
                <a:srgbClr val="A01727"/>
              </a:solidFill>
              <a:ln w="6350">
                <a:solidFill>
                  <a:srgbClr val="FFFFFF"/>
                </a:solidFill>
                <a:prstDash val="solid"/>
              </a:ln>
            </c:spPr>
          </c:dPt>
          <c:dPt>
            <c:idx val="12"/>
            <c:bubble3D val="0"/>
            <c:spPr>
              <a:solidFill>
                <a:srgbClr val="6D90D5"/>
              </a:solidFill>
              <a:ln w="6350">
                <a:solidFill>
                  <a:srgbClr val="FFFFFF"/>
                </a:solidFill>
                <a:prstDash val="solid"/>
              </a:ln>
            </c:spPr>
          </c:dPt>
          <c:dPt>
            <c:idx val="13"/>
            <c:bubble3D val="0"/>
            <c:spPr>
              <a:solidFill>
                <a:srgbClr val="F19B59"/>
              </a:solidFill>
              <a:ln w="6350">
                <a:solidFill>
                  <a:srgbClr val="FFFFFF"/>
                </a:solidFill>
                <a:prstDash val="solid"/>
              </a:ln>
            </c:spPr>
          </c:dPt>
          <c:dPt>
            <c:idx val="14"/>
            <c:bubble3D val="0"/>
            <c:spPr>
              <a:solidFill>
                <a:srgbClr val="FDCC2C"/>
              </a:solidFill>
              <a:ln w="6350">
                <a:solidFill>
                  <a:srgbClr val="FFFFFF"/>
                </a:solidFill>
                <a:prstDash val="solid"/>
              </a:ln>
            </c:spPr>
          </c:dPt>
          <c:dPt>
            <c:idx val="15"/>
            <c:bubble3D val="0"/>
            <c:spPr>
              <a:solidFill>
                <a:srgbClr val="91CA68"/>
              </a:solidFill>
              <a:ln w="6350">
                <a:solidFill>
                  <a:srgbClr val="FFFFFF"/>
                </a:solidFill>
                <a:prstDash val="solid"/>
              </a:ln>
            </c:spPr>
          </c:dPt>
          <c:dPt>
            <c:idx val="16"/>
            <c:bubble3D val="0"/>
            <c:spPr>
              <a:solidFill>
                <a:srgbClr val="52D4C9"/>
              </a:solidFill>
              <a:ln w="6350">
                <a:solidFill>
                  <a:srgbClr val="FFFFFF"/>
                </a:solidFill>
                <a:prstDash val="solid"/>
              </a:ln>
            </c:spPr>
          </c:dPt>
          <c:dPt>
            <c:idx val="17"/>
            <c:bubble3D val="0"/>
            <c:spPr>
              <a:solidFill>
                <a:srgbClr val="EA707E"/>
              </a:solidFill>
              <a:ln w="6350">
                <a:solidFill>
                  <a:srgbClr val="FFFFFF"/>
                </a:solidFill>
                <a:prstDash val="solid"/>
              </a:ln>
            </c:spPr>
          </c:dPt>
          <c:dPt>
            <c:idx val="18"/>
            <c:bubble3D val="0"/>
            <c:spPr>
              <a:solidFill>
                <a:srgbClr val="315AAB"/>
              </a:solidFill>
              <a:ln w="6350">
                <a:solidFill>
                  <a:srgbClr val="FFFFFF"/>
                </a:solidFill>
                <a:prstDash val="solid"/>
              </a:ln>
            </c:spPr>
          </c:dPt>
          <c:dPt>
            <c:idx val="19"/>
            <c:bubble3D val="0"/>
            <c:spPr>
              <a:solidFill>
                <a:srgbClr val="D36511"/>
              </a:solidFill>
              <a:ln w="6350">
                <a:solidFill>
                  <a:srgbClr val="FFFFFF"/>
                </a:solidFill>
                <a:prstDash val="solid"/>
              </a:ln>
            </c:spPr>
          </c:dPt>
          <c:dPt>
            <c:idx val="20"/>
            <c:bubble3D val="0"/>
            <c:spPr>
              <a:solidFill>
                <a:srgbClr val="C29502"/>
              </a:solidFill>
              <a:ln w="6350">
                <a:solidFill>
                  <a:srgbClr val="FFFFFF"/>
                </a:solidFill>
                <a:prstDash val="solid"/>
              </a:ln>
            </c:spPr>
          </c:dPt>
          <c:dPt>
            <c:idx val="21"/>
            <c:bubble3D val="0"/>
            <c:spPr>
              <a:solidFill>
                <a:srgbClr val="5E9735"/>
              </a:solidFill>
              <a:ln w="6350">
                <a:solidFill>
                  <a:srgbClr val="FFFFFF"/>
                </a:solidFill>
                <a:prstDash val="solid"/>
              </a:ln>
            </c:spPr>
          </c:dPt>
          <c:dPt>
            <c:idx val="22"/>
            <c:bubble3D val="0"/>
            <c:spPr>
              <a:solidFill>
                <a:srgbClr val="269A90"/>
              </a:solidFill>
              <a:ln w="6350">
                <a:solidFill>
                  <a:srgbClr val="FFFFFF"/>
                </a:solidFill>
                <a:prstDash val="solid"/>
              </a:ln>
            </c:spPr>
          </c:dPt>
          <c:dPt>
            <c:idx val="23"/>
            <c:bubble3D val="0"/>
            <c:spPr>
              <a:solidFill>
                <a:srgbClr val="D51F34"/>
              </a:solidFill>
              <a:ln w="6350">
                <a:solidFill>
                  <a:srgbClr val="FFFFFF"/>
                </a:solidFill>
                <a:prstDash val="solid"/>
              </a:ln>
            </c:spPr>
          </c:dPt>
          <c:dPt>
            <c:idx val="24"/>
            <c:bubble3D val="0"/>
            <c:spPr>
              <a:solidFill>
                <a:srgbClr val="91ACE0"/>
              </a:solidFill>
              <a:ln w="6350">
                <a:solidFill>
                  <a:srgbClr val="FFFFFF"/>
                </a:solidFill>
                <a:prstDash val="solid"/>
              </a:ln>
            </c:spPr>
          </c:dPt>
          <c:dPt>
            <c:idx val="25"/>
            <c:bubble3D val="0"/>
            <c:spPr>
              <a:solidFill>
                <a:srgbClr val="F5B482"/>
              </a:solidFill>
              <a:ln w="6350">
                <a:solidFill>
                  <a:srgbClr val="FFFFFF"/>
                </a:solidFill>
                <a:prstDash val="solid"/>
              </a:ln>
            </c:spPr>
          </c:dPt>
          <c:dLbls>
            <c:dLbl>
              <c:idx val="0"/>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3"/>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4"/>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5"/>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6"/>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7"/>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8"/>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9"/>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0"/>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1"/>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2"/>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3"/>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4"/>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5"/>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6"/>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7"/>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8"/>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9"/>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0"/>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1"/>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2"/>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3"/>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4"/>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5"/>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showLegendKey val="0"/>
            <c:showVal val="0"/>
            <c:showCatName val="0"/>
            <c:showSerName val="0"/>
            <c:showPercent val="0"/>
            <c:showBubbleSize val="0"/>
            <c:showLeaderLines val="0"/>
          </c:dLbls>
          <c:cat>
            <c:strRef>
              <c:f>'Sheet1 (6)'!$A$2:$A$27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 (6)'!$B$2:$B$27</c:f>
              <c:numCache>
                <c:formatCode>General</c:formatCode>
                <c:ptCount val="26"/>
                <c:pt idx="0">
                  <c:v>1067.41</c:v>
                </c:pt>
                <c:pt idx="1">
                  <c:v>0.0</c:v>
                </c:pt>
                <c:pt idx="2">
                  <c:v>0.0</c:v>
                </c:pt>
                <c:pt idx="3">
                  <c:v>0.0</c:v>
                </c:pt>
                <c:pt idx="4">
                  <c:v>0.0</c:v>
                </c:pt>
                <c:pt idx="5">
                  <c:v>1171.03</c:v>
                </c:pt>
                <c:pt idx="6">
                  <c:v>0.0</c:v>
                </c:pt>
                <c:pt idx="7">
                  <c:v>44.65</c:v>
                </c:pt>
                <c:pt idx="8">
                  <c:v>20.34</c:v>
                </c:pt>
                <c:pt idx="9">
                  <c:v>3808.59</c:v>
                </c:pt>
                <c:pt idx="10">
                  <c:v>362.9</c:v>
                </c:pt>
                <c:pt idx="11">
                  <c:v>4266.82</c:v>
                </c:pt>
                <c:pt idx="12">
                  <c:v>0.0</c:v>
                </c:pt>
                <c:pt idx="13">
                  <c:v>0.0</c:v>
                </c:pt>
                <c:pt idx="14">
                  <c:v>0.0</c:v>
                </c:pt>
                <c:pt idx="15">
                  <c:v>0.0</c:v>
                </c:pt>
                <c:pt idx="16">
                  <c:v>0.0</c:v>
                </c:pt>
                <c:pt idx="17">
                  <c:v>0.0</c:v>
                </c:pt>
                <c:pt idx="18">
                  <c:v>35.95</c:v>
                </c:pt>
                <c:pt idx="19">
                  <c:v>174.26</c:v>
                </c:pt>
                <c:pt idx="20">
                  <c:v>0.0</c:v>
                </c:pt>
                <c:pt idx="21">
                  <c:v>0.0</c:v>
                </c:pt>
                <c:pt idx="22">
                  <c:v>1900.0</c:v>
                </c:pt>
                <c:pt idx="23">
                  <c:v>0.0</c:v>
                </c:pt>
                <c:pt idx="24">
                  <c:v>0.0</c:v>
                </c:pt>
                <c:pt idx="25">
                  <c:v>0.0</c:v>
                </c:pt>
              </c:numCache>
            </c:numRef>
          </c:val>
        </c:ser>
        <c:firstSliceAng val="0"/>
      </c:pieChart>
      <c:spPr>
        <a:noFill/>
        <a:ln>
          <a:noFill/>
        </a:ln>
      </c:spPr>
    </c:plotArea>
    <c:legend>
      <c:legendPos val="r"/>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customProps>
</customData>
</file>

<file path=customXml/itemProps1.xml><?xml version="1.0" encoding="utf-8"?>
<ds:datastoreItem xmlns:ds="http://schemas.openxmlformats.org/officeDocument/2006/customXml" ds:itemID="{DBC94D58-3FFF-40D3-8ACF-DC868E55033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TotalTime>
  <Application>Yozo_Office27021597764231179</Application>
  <Pages>53</Pages>
  <Words>0</Words>
  <Characters>14747</Characters>
  <Lines>0</Lines>
  <Paragraphs>227</Paragraphs>
  <CharactersWithSpaces>19663</CharactersWithSpaces>
  <Company>神州网信技术有限公司</Company>
</Properties>
</file>

<file path=docProps/core.xml><?xml version="1.0" encoding="utf-8"?>
<cp:coreProperties xmlns:cp="http://schemas.openxmlformats.org/package/2006/metadata/core-properties" xmlns:dc="http://purl.org/dc/elements/1.1/" xmlns:dcterms="http://purl.org/dc/terms/" xmlns:xsi="http://www.w3.org/2001/XMLSchema-instance">
  <dc:creator>王明新TIAD</dc:creator>
  <cp:lastModifiedBy>pc</cp:lastModifiedBy>
  <cp:revision>15</cp:revision>
  <cp:lastPrinted>2023-08-04T01:00:00Z</cp:lastPrinted>
  <dcterms:created xsi:type="dcterms:W3CDTF">2023-08-04T07:55:00Z</dcterms:created>
  <dcterms:modified xsi:type="dcterms:W3CDTF">2025-09-28T06:25:48Z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2052-12.1.0.22529</vt:lpwstr>
  </property>
  <property fmtid="{D5CDD505-2E9C-101B-9397-08002B2CF9AE}" pid="3" name="ICV">
    <vt:lpwstr>AC746A62EB0642F39D5001459B8F1D8F_13</vt:lpwstr>
  </property>
  <property fmtid="{D5CDD505-2E9C-101B-9397-08002B2CF9AE}" pid="4" name="KSOTemplateUUID">
    <vt:lpwstr>v1.0_mb_S7ajbG3IpAnL1wSthNCxfw==</vt:lpwstr>
  </property>
  <property fmtid="{D5CDD505-2E9C-101B-9397-08002B2CF9AE}" pid="5" name="KSOTemplateDocerSaveRecord">
    <vt:lpwstr>eyJoZGlkIjoiMGQ0OWQ1ZTg4Nzg0YTExMjhjMTAzZjc5ZDZkNDU2NzUiLCJ1c2VySWQiOiI3MDk0Njk2MjEifQ==</vt:lpwstr>
  </property>
</Properties>
</file>