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319</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：行唐县审计局</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行唐县审计局</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行唐县审计局</w:t>
      </w:r>
    </w:p>
    <w:p>
      <w:pPr>
        <w:widowControl/>
        <w:spacing w:before="0" w:beforeLines="0" w:beforeAutospacing="0" w:after="0" w:afterLines="0" w:afterAutospacing="0" w:line="360" w:lineRule="auto"/>
        <w:jc w:val="center"/>
        <w:rPr>
          <w:rFonts w:ascii="Times New Roman" w:eastAsia="楷体_GB2312"/>
          <w:sz w:val="44"/>
          <w:szCs w:val="44"/>
        </w:rPr>
      </w:pPr>
      <w:bookmarkStart w:id="0" w:name="_GoBack"/>
      <w:bookmarkEnd w:id="0"/>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（一）主管全县审计工作。负责对全县财政收支和依法属于 审计监督范围的财务收支的真实、合法和效益进行审计监督，对 公共资金、国有资产、国有资源和领导干部履行经济责任情况实 行审计全覆盖，对领导干部实行自然资源资产离任审计，对国家 有关重大政策措施贯彻落实情况进行跟踪审计。对审计、专项审 计调查和核查社会审计机构相关审计报告的结果承担责任，并负 有监督被审计单位整改的责任。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行唐县审计局(本级)</w:t>
            </w: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部门（单位）：行唐县审计局</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301.10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部门（单位）：行唐县审计局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360.66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360.66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其他审计事务支出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298.90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61.76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其他审计事务支出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301.10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301.10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26.48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26.48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360.66</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编制部门（单位）：行唐县审计局</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298.90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301.10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301.10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审计业务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其他审计事务支出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部门（单位）：行唐县审计局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253.73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97.60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0.49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16.37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48.92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31.27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25.07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20.24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29.80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283.53</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部门（单位）：行唐县审计局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部门（单位）：行唐县审计局</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部门（单位）：行唐县审计局</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0.10</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本部门2024年度收、支总计（含结转和结余）均为360.66万元。与2023年度决算相比，收支各减少136.15万元，下降27.4%，主要原因是2024 年建设项目审计减少，委托第三方审计费减少。</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本部门2024年度本年收入合计360.66万元，其中：财政拨款收入360.66万元，占10</w:t>
      </w:r>
      <w:r>
        <w:rPr>
          <w:rFonts w:hint="eastAsia" w:ascii="Times New Roman" w:eastAsia="仿宋_GB2312"/>
          <w:b w:val="0"/>
          <w:sz w:val="32"/>
          <w:szCs w:val="32"/>
          <w:lang w:eastAsia="zh-CN"/>
        </w:rPr>
        <w:t>0%</w:t>
      </w:r>
      <w:r>
        <w:rPr>
          <w:rFonts w:ascii="Times New Roman" w:eastAsia="仿宋_GB2312"/>
          <w:b w:val="0"/>
          <w:sz w:val="32"/>
          <w:szCs w:val="32"/>
        </w:rPr>
        <w:t>；上级补助收入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；事业收入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；附属单位上缴收入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；其他收入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本部门2024年度本年支出合计360.66万元，其中：基本支出298.90万元，占82.9%；项目支出61.76万元，占17.1%；上缴上级支出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；对附属单位补助支出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本部门2024年度财政拨款收、支总计（含结转和结余）均为360.66万元。与2023年度相比，财政拨款收支各减少136.15万元，降低27.4%，主要原因是2024 年建设项目审计减少，委托第三方审计费减少。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本部门2024年度财政拨款本年收入360.66万元,比上年减少136.15万元，降低27.4%，主要原因是2024 年建设项目审计减少，委托第三方审计费减少；本年支出360.66万元，比上年减少136.15万元，降低27.4%，主要原因是2024 年建设项目审计减少，委托第三方审计费减少。具体情况如下：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一般公共预算财政拨款本年收入360.66万元,比上年减少136.15万元，降低27.4%，主要原因是2024 年建设项目审计减少，委托第三方审计费减少；本年支出360.66万元，比上年减少136.15万元，降低27.4%，主要原因是2024 年建设项目审计减少，委托第三方审计费减少。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本部门2024年度财政拨款本年收入360.66万元，完成年初预算的102.9%，比年初预算增加10.03万元，决算数大于预算数主要原因是2024 年建设项目审计减少，委托第三方审计费减少；本年支出360.66万元，完成年初预算的102.9%，比年初预算增加10.03万元，决算数大于预算数主要原因是2024 年建设项目审计减少，委托第三方审计费减少。具体情况如下：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一般公共预算财政拨款本年收入完成年初预算的102.9%，比年初预算增加10.03万元，主要原因是2024 年建设项目审计减少，委托第三方审计费减少；支出完成年初预算的102.9%，比年初预算增加10.03万元，主要原因是2024 年建设项目审计减少，委托第三方审计费减少。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2024年度财政拨款支出360.66万元，主要用于以下方面：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一般公共服务（类）支出301.10万元，占83.5%，主要用于审计业务、 一般行政管理事务等支出；社会保障和就业 （类）支出26.48万元，占7.3%，主要用于社会保险等支出；卫生健康（类）支出12.85万元，占3.6%，出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，主要用于等支出；金融（类）支出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，主要用于等支出；援助其他地区（类）支出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，主要用于等支出；自然资源海洋气象等（类）支出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，主要用于等支出；住房保障（类）支出20.24万元，占5.6%，主要用于住房公积金等支出</w:t>
      </w:r>
      <w:r>
        <w:rPr>
          <w:rFonts w:hint="eastAsia" w:ascii="Times New Roman" w:eastAsia="仿宋_GB2312"/>
          <w:b w:val="0"/>
          <w:sz w:val="32"/>
          <w:szCs w:val="32"/>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2024年度财政拨款基本支出298.90万元，其中：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人员经费283.53万元，主要包括基本工资、津贴补贴、奖金、绩效工资、机关事业部门基本养老保险缴费、职业年金缴费、职工基本医疗保险缴费、住房公积金、其他社会保障缴费、退休费、 、生活补助、其他对个人和家庭的补助支出。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公用经费15.38万元，主要包括办公费、邮电费、取 暖费、物业管理费、差旅费、维修（护）费、劳务费、工会经费、福利费、公务用车运行维护费、其他交通费用、其他商品和服务支出、办公设备购置</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2.70万元，支出决算为2.08万元，完成预算的77.0%，较预算减少0.62万元，降低23.0%，主要原因是我局认真落实中央八项规定精神和厉行节约要求，从严控制支出，未产生公务接待费并控制公车维护成本；较2023年度决算减少0.72万元，降低25.7%，主要原因是我局认真落实中央八项规定精神和厉行节约要求，从严控制支出，未产生公务接待费并控制公车维护成本。</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。因公出国（境）费支出较预算增加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%。因公出国（境）团组0个、共0人、参加其他单位组织的因公出国（境）团组0个、共0人/无本部门组织的出国（境）团组。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本部门2024年度公务用车购置及运行维护费预算为2.60万元，支出决算2.08万元，完成预算的8</w:t>
      </w:r>
      <w:r>
        <w:rPr>
          <w:rFonts w:hint="eastAsia" w:ascii="Times New Roman" w:eastAsia="仿宋_GB2312"/>
          <w:b w:val="0"/>
          <w:sz w:val="32"/>
          <w:szCs w:val="32"/>
          <w:lang w:eastAsia="zh-CN"/>
        </w:rPr>
        <w:t>0%</w:t>
      </w:r>
      <w:r>
        <w:rPr>
          <w:rFonts w:ascii="Times New Roman" w:eastAsia="仿宋_GB2312"/>
          <w:b w:val="0"/>
          <w:sz w:val="32"/>
          <w:szCs w:val="32"/>
        </w:rPr>
        <w:t>,较预算减少0.52万元，降低2</w:t>
      </w:r>
      <w:r>
        <w:rPr>
          <w:rFonts w:hint="eastAsia" w:ascii="Times New Roman" w:eastAsia="仿宋_GB2312"/>
          <w:b w:val="0"/>
          <w:sz w:val="32"/>
          <w:szCs w:val="32"/>
          <w:lang w:eastAsia="zh-CN"/>
        </w:rPr>
        <w:t>0%</w:t>
      </w:r>
      <w:r>
        <w:rPr>
          <w:rFonts w:ascii="Times New Roman" w:eastAsia="仿宋_GB2312"/>
          <w:b w:val="0"/>
          <w:sz w:val="32"/>
          <w:szCs w:val="32"/>
        </w:rPr>
        <w:t>,主要原因是我局认真落实中央八项规定精神和厉行节约要求，从严控制支出，控制公车维护成本；较上年减少0.72万元，降低25.7%,主要原因是我局认真落实中央八项规定精神和厉行节约要求，从严控制支出，控制公车维护成本。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本部门2024年度公务用车购置量0辆，发生“公务用车购置”经费支出</w:t>
      </w:r>
      <w:r>
        <w:rPr>
          <w:rFonts w:hint="eastAsia" w:ascii="Times New Roman" w:eastAsia="仿宋_GB2312"/>
          <w:b w:val="0"/>
          <w:sz w:val="32"/>
          <w:szCs w:val="32"/>
          <w:lang w:val="en-US" w:eastAsia="zh-CN"/>
        </w:rPr>
        <w:t>0</w:t>
      </w:r>
      <w:r>
        <w:rPr>
          <w:rFonts w:ascii="Times New Roman" w:eastAsia="仿宋_GB2312"/>
          <w:b w:val="0"/>
          <w:sz w:val="32"/>
          <w:szCs w:val="32"/>
        </w:rPr>
        <w:t>万元。公务用车购置费支出较预算增加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%；较上年增加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公务用车运行维护费支出2.08万元：</w:t>
      </w:r>
      <w:r>
        <w:rPr>
          <w:rFonts w:ascii="Times New Roman" w:eastAsia="仿宋_GB2312"/>
          <w:b w:val="0"/>
          <w:sz w:val="32"/>
          <w:szCs w:val="32"/>
        </w:rPr>
        <w:t>本部门2024年度单位公务用车保有量1辆，发生运行维护费支出2.08万元。公车运行维护费支出较预算减少0.52万元，降低2</w:t>
      </w:r>
      <w:r>
        <w:rPr>
          <w:rFonts w:hint="eastAsia" w:ascii="Times New Roman" w:eastAsia="仿宋_GB2312"/>
          <w:b w:val="0"/>
          <w:sz w:val="32"/>
          <w:szCs w:val="32"/>
          <w:lang w:eastAsia="zh-CN"/>
        </w:rPr>
        <w:t>0%</w:t>
      </w:r>
      <w:r>
        <w:rPr>
          <w:rFonts w:ascii="Times New Roman" w:eastAsia="仿宋_GB2312"/>
          <w:b w:val="0"/>
          <w:sz w:val="32"/>
          <w:szCs w:val="32"/>
        </w:rPr>
        <w:t>,主要原因是我局认真落实中央八项规定精神和厉行节约要求，从严控制支出，控制公车维护成本；较上年减少0.72万元，降低25.7%，主要原因是我局认真落实中央八项规定精神和厉行节约要求，从严控制支出，控制公车维护成本。</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本部门2024年度公务接待费支出预算为0.10万元，支出决算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。公务接待费支出较预算减少0.10万元，降低10</w:t>
      </w:r>
      <w:r>
        <w:rPr>
          <w:rFonts w:hint="eastAsia" w:ascii="Times New Roman" w:eastAsia="仿宋_GB2312"/>
          <w:b w:val="0"/>
          <w:sz w:val="32"/>
          <w:szCs w:val="32"/>
          <w:lang w:eastAsia="zh-CN"/>
        </w:rPr>
        <w:t>0%</w:t>
      </w:r>
      <w:r>
        <w:rPr>
          <w:rFonts w:ascii="Times New Roman" w:eastAsia="仿宋_GB2312"/>
          <w:b w:val="0"/>
          <w:sz w:val="32"/>
          <w:szCs w:val="32"/>
        </w:rPr>
        <w:t>,主要原因是我局认真落实中央八项规定精神和厉行节约要求，从严控制支出，未产生公务接待费；较上年度增加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%,主要原因是我局认真落实中央八项规定精神和厉行节约要求，从严控制支出，未产生公务接待费。本年度共发生公务接待0批次、0人次。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本部门2024年度机关运行经费支出15.38万元，较2023年度减少14.87万元，降低49.2%。主要原因是办公费用减少。</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本部门2024年度政府采购支出总额36.50万元，从采购类型来看，政府采购货物支出</w:t>
      </w:r>
      <w:r>
        <w:rPr>
          <w:rFonts w:hint="eastAsia" w:ascii="Times New Roman" w:eastAsia="仿宋_GB2312"/>
          <w:b w:val="0"/>
          <w:sz w:val="32"/>
          <w:szCs w:val="32"/>
          <w:lang w:eastAsia="zh-CN"/>
        </w:rPr>
        <w:t>0</w:t>
      </w:r>
      <w:r>
        <w:rPr>
          <w:rFonts w:ascii="Times New Roman" w:eastAsia="仿宋_GB2312"/>
          <w:b w:val="0"/>
          <w:sz w:val="32"/>
          <w:szCs w:val="32"/>
        </w:rPr>
        <w:t>万元、政府采购工程支出</w:t>
      </w:r>
      <w:r>
        <w:rPr>
          <w:rFonts w:hint="eastAsia" w:ascii="Times New Roman" w:eastAsia="仿宋_GB2312"/>
          <w:b w:val="0"/>
          <w:sz w:val="32"/>
          <w:szCs w:val="32"/>
          <w:lang w:eastAsia="zh-CN"/>
        </w:rPr>
        <w:t>0</w:t>
      </w:r>
      <w:r>
        <w:rPr>
          <w:rFonts w:ascii="Times New Roman" w:eastAsia="仿宋_GB2312"/>
          <w:b w:val="0"/>
          <w:sz w:val="32"/>
          <w:szCs w:val="32"/>
        </w:rPr>
        <w:t>万元、政府采购服务支出36.50万元。授予中小企业合同金额36.50万元，占政府采购支出总额的10</w:t>
      </w:r>
      <w:r>
        <w:rPr>
          <w:rFonts w:hint="eastAsia" w:ascii="Times New Roman" w:eastAsia="仿宋_GB2312"/>
          <w:b w:val="0"/>
          <w:sz w:val="32"/>
          <w:szCs w:val="32"/>
          <w:lang w:eastAsia="zh-CN"/>
        </w:rPr>
        <w:t>0%</w:t>
      </w:r>
      <w:r>
        <w:rPr>
          <w:rFonts w:ascii="Times New Roman" w:eastAsia="仿宋_GB2312"/>
          <w:b w:val="0"/>
          <w:sz w:val="32"/>
          <w:szCs w:val="32"/>
        </w:rPr>
        <w:t>，其中授予小微企业合同金额36.50万元，占政府采购支出总额的10</w:t>
      </w:r>
      <w:r>
        <w:rPr>
          <w:rFonts w:hint="eastAsia" w:ascii="Times New Roman" w:eastAsia="仿宋_GB2312"/>
          <w:b w:val="0"/>
          <w:sz w:val="32"/>
          <w:szCs w:val="32"/>
          <w:lang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其中，副部（省）级及以上领导用车0辆，主要负责人用车0辆，机要通信用车0辆，应急保障用车1辆，执法执勤用车0辆，特种专业技术用车0辆，离退休干部用车0辆，其他用车0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61.76万元（决算金额）。其中，一般公共预算项目5个，涉及资金61.76万元，占一般公共预算项目支出总额的100%；政府性基金预算项目0个，涉及资金0万元，占政府性基金预算项目支出总额的0%；国有资本经营预算项目0个，涉及资金0万元，占国有资本经营预算项目支出总额的0%。</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劳务派遣人员经费等5个项目开展了部门重点评价，涉及一般公共预算支出61.76万元，政府性基金预算支出0万元，国有资本经营预算支出0万元，从评价情况来看，一是辅助完成审计项目17个，审计项目报告合格率达98%，服务对象满意度100%；二是审计业务工作经费使用的进度与计划进度基本保持一致，预算完成率100%。（后附项目支出绩效自评表）。</w:t>
      </w:r>
    </w:p>
    <w:tbl>
      <w:tblPr>
        <w:tblStyle w:val="11"/>
        <w:tblW w:w="9117" w:type="dxa"/>
        <w:tblInd w:w="0" w:type="dxa"/>
        <w:shd w:val="clear" w:color="auto" w:fill="auto"/>
        <w:tblLayout w:type="fixed"/>
        <w:tblCellMar>
          <w:top w:w="0" w:type="dxa"/>
          <w:left w:w="0" w:type="dxa"/>
          <w:bottom w:w="0" w:type="dxa"/>
          <w:right w:w="0" w:type="dxa"/>
        </w:tblCellMar>
      </w:tblPr>
      <w:tblGrid>
        <w:gridCol w:w="984"/>
        <w:gridCol w:w="1635"/>
        <w:gridCol w:w="915"/>
        <w:gridCol w:w="1185"/>
        <w:gridCol w:w="965"/>
        <w:gridCol w:w="1060"/>
        <w:gridCol w:w="1005"/>
        <w:gridCol w:w="1368"/>
      </w:tblGrid>
      <w:tr>
        <w:tblPrEx>
          <w:shd w:val="clear" w:color="auto" w:fill="auto"/>
          <w:tblLayout w:type="fixed"/>
          <w:tblCellMar>
            <w:top w:w="0" w:type="dxa"/>
            <w:left w:w="0" w:type="dxa"/>
            <w:bottom w:w="0" w:type="dxa"/>
            <w:right w:w="0" w:type="dxa"/>
          </w:tblCellMar>
        </w:tblPrEx>
        <w:trPr>
          <w:trHeight w:val="360" w:hRule="atLeast"/>
        </w:trPr>
        <w:tc>
          <w:tcPr>
            <w:tcW w:w="98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32"/>
                <w:szCs w:val="32"/>
                <w:u w:val="none"/>
              </w:rPr>
            </w:pPr>
            <w:r>
              <w:rPr>
                <w:rFonts w:hint="eastAsia" w:ascii="黑体" w:hAnsi="宋体" w:eastAsia="黑体" w:cs="黑体"/>
                <w:i w:val="0"/>
                <w:color w:val="000000"/>
                <w:kern w:val="0"/>
                <w:sz w:val="32"/>
                <w:szCs w:val="32"/>
                <w:u w:val="none"/>
                <w:lang w:val="en-US" w:eastAsia="zh-CN" w:bidi="ar"/>
              </w:rPr>
              <w:t>附件2</w:t>
            </w:r>
          </w:p>
        </w:tc>
        <w:tc>
          <w:tcPr>
            <w:tcW w:w="163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6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6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6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Layout w:type="fixed"/>
          <w:tblCellMar>
            <w:top w:w="0" w:type="dxa"/>
            <w:left w:w="0" w:type="dxa"/>
            <w:bottom w:w="0" w:type="dxa"/>
            <w:right w:w="0" w:type="dxa"/>
          </w:tblCellMar>
        </w:tblPrEx>
        <w:trPr>
          <w:trHeight w:val="540" w:hRule="atLeast"/>
        </w:trPr>
        <w:tc>
          <w:tcPr>
            <w:tcW w:w="9117"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县级部门预算项目绩效自评表</w:t>
            </w:r>
          </w:p>
        </w:tc>
      </w:tr>
      <w:tr>
        <w:tblPrEx>
          <w:shd w:val="clear" w:color="auto" w:fill="auto"/>
          <w:tblLayout w:type="fixed"/>
          <w:tblCellMar>
            <w:top w:w="0" w:type="dxa"/>
            <w:left w:w="0" w:type="dxa"/>
            <w:bottom w:w="0" w:type="dxa"/>
            <w:right w:w="0" w:type="dxa"/>
          </w:tblCellMar>
        </w:tblPrEx>
        <w:trPr>
          <w:trHeight w:val="315" w:hRule="atLeast"/>
        </w:trPr>
        <w:tc>
          <w:tcPr>
            <w:tcW w:w="9117"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 年度）</w:t>
            </w:r>
          </w:p>
        </w:tc>
      </w:tr>
      <w:tr>
        <w:tblPrEx>
          <w:shd w:val="clear" w:color="auto" w:fill="auto"/>
          <w:tblLayout w:type="fixed"/>
          <w:tblCellMar>
            <w:top w:w="0" w:type="dxa"/>
            <w:left w:w="0" w:type="dxa"/>
            <w:bottom w:w="0" w:type="dxa"/>
            <w:right w:w="0" w:type="dxa"/>
          </w:tblCellMar>
        </w:tblPrEx>
        <w:trPr>
          <w:trHeight w:val="360" w:hRule="atLeast"/>
        </w:trPr>
        <w:tc>
          <w:tcPr>
            <w:tcW w:w="98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6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行唐县审计局</w:t>
            </w:r>
          </w:p>
        </w:tc>
        <w:tc>
          <w:tcPr>
            <w:tcW w:w="91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6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560" w:hRule="atLeast"/>
        </w:trPr>
        <w:tc>
          <w:tcPr>
            <w:tcW w:w="98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Style w:val="25"/>
                <w:lang w:val="en-US" w:eastAsia="zh-CN" w:bidi="ar"/>
              </w:rPr>
              <w:t>一、</w:t>
            </w:r>
            <w:r>
              <w:rPr>
                <w:rStyle w:val="26"/>
                <w:rFonts w:eastAsia="宋体"/>
                <w:lang w:val="en-US" w:eastAsia="zh-CN" w:bidi="ar"/>
              </w:rPr>
              <w:t xml:space="preserve"> </w:t>
            </w:r>
            <w:r>
              <w:rPr>
                <w:rStyle w:val="25"/>
                <w:lang w:val="en-US" w:eastAsia="zh-CN" w:bidi="ar"/>
              </w:rPr>
              <w:t>基本情况</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2024年劳务派遣人员经费     （专项）</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43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行唐县审计局</w:t>
            </w:r>
          </w:p>
        </w:tc>
      </w:tr>
      <w:tr>
        <w:tblPrEx>
          <w:shd w:val="clear" w:color="auto" w:fill="auto"/>
          <w:tblLayout w:type="fixed"/>
          <w:tblCellMar>
            <w:top w:w="0" w:type="dxa"/>
            <w:left w:w="0" w:type="dxa"/>
            <w:bottom w:w="0" w:type="dxa"/>
            <w:right w:w="0" w:type="dxa"/>
          </w:tblCellMar>
        </w:tblPrEx>
        <w:trPr>
          <w:trHeight w:val="480" w:hRule="atLeast"/>
        </w:trPr>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shd w:val="clear" w:color="auto" w:fill="auto"/>
          <w:tblLayout w:type="fixed"/>
          <w:tblCellMar>
            <w:top w:w="0" w:type="dxa"/>
            <w:left w:w="0" w:type="dxa"/>
            <w:bottom w:w="0" w:type="dxa"/>
            <w:right w:w="0" w:type="dxa"/>
          </w:tblCellMar>
        </w:tblPrEx>
        <w:trPr>
          <w:trHeight w:val="42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3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shd w:val="clear" w:color="auto" w:fill="auto"/>
          <w:tblLayout w:type="fixed"/>
          <w:tblCellMar>
            <w:top w:w="0" w:type="dxa"/>
            <w:left w:w="0" w:type="dxa"/>
            <w:bottom w:w="0" w:type="dxa"/>
            <w:right w:w="0" w:type="dxa"/>
          </w:tblCellMar>
        </w:tblPrEx>
        <w:trPr>
          <w:trHeight w:val="54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3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405"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465" w:hRule="atLeast"/>
        </w:trPr>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7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0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shd w:val="clear" w:color="auto" w:fill="auto"/>
          <w:tblLayout w:type="fixed"/>
          <w:tblCellMar>
            <w:top w:w="0" w:type="dxa"/>
            <w:left w:w="0" w:type="dxa"/>
            <w:bottom w:w="0" w:type="dxa"/>
            <w:right w:w="0" w:type="dxa"/>
          </w:tblCellMar>
        </w:tblPrEx>
        <w:trPr>
          <w:trHeight w:val="12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3月底25%，6月底50%，10月底75%，12月底100%</w:t>
            </w:r>
          </w:p>
        </w:tc>
        <w:tc>
          <w:tcPr>
            <w:tcW w:w="30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3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Layout w:type="fixed"/>
          <w:tblCellMar>
            <w:top w:w="0" w:type="dxa"/>
            <w:left w:w="0" w:type="dxa"/>
            <w:bottom w:w="0" w:type="dxa"/>
            <w:right w:w="0" w:type="dxa"/>
          </w:tblCellMar>
        </w:tblPrEx>
        <w:trPr>
          <w:trHeight w:val="22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Layout w:type="fixed"/>
          <w:tblCellMar>
            <w:top w:w="0" w:type="dxa"/>
            <w:left w:w="0" w:type="dxa"/>
            <w:bottom w:w="0" w:type="dxa"/>
            <w:right w:w="0" w:type="dxa"/>
          </w:tblCellMar>
        </w:tblPrEx>
        <w:trPr>
          <w:trHeight w:val="3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Layout w:type="fixed"/>
          <w:tblCellMar>
            <w:top w:w="0" w:type="dxa"/>
            <w:left w:w="0" w:type="dxa"/>
            <w:bottom w:w="0" w:type="dxa"/>
            <w:right w:w="0" w:type="dxa"/>
          </w:tblCellMar>
        </w:tblPrEx>
        <w:trPr>
          <w:trHeight w:val="420" w:hRule="atLeast"/>
        </w:trPr>
        <w:tc>
          <w:tcPr>
            <w:tcW w:w="984"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Style w:val="25"/>
                <w:lang w:val="en-US" w:eastAsia="zh-CN" w:bidi="ar"/>
              </w:rPr>
              <w:t>四、</w:t>
            </w:r>
            <w:r>
              <w:rPr>
                <w:rStyle w:val="26"/>
                <w:rFonts w:eastAsia="宋体"/>
                <w:lang w:val="en-US" w:eastAsia="zh-CN" w:bidi="ar"/>
              </w:rPr>
              <w:t xml:space="preserve"> </w:t>
            </w:r>
            <w:r>
              <w:rPr>
                <w:rStyle w:val="25"/>
                <w:lang w:val="en-US" w:eastAsia="zh-CN" w:bidi="ar"/>
              </w:rPr>
              <w:t>年度绩效指标完成情况</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shd w:val="clear" w:color="auto" w:fill="auto"/>
          <w:tblLayout w:type="fixed"/>
          <w:tblCellMar>
            <w:top w:w="0" w:type="dxa"/>
            <w:left w:w="0" w:type="dxa"/>
            <w:bottom w:w="0" w:type="dxa"/>
            <w:right w:w="0" w:type="dxa"/>
          </w:tblCellMar>
        </w:tblPrEx>
        <w:trPr>
          <w:trHeight w:val="66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劳务派遣人数</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shd w:val="clear" w:color="auto" w:fill="auto"/>
          <w:tblLayout w:type="fixed"/>
          <w:tblCellMar>
            <w:top w:w="0" w:type="dxa"/>
            <w:left w:w="0" w:type="dxa"/>
            <w:bottom w:w="0" w:type="dxa"/>
            <w:right w:w="0" w:type="dxa"/>
          </w:tblCellMar>
        </w:tblPrEx>
        <w:trPr>
          <w:trHeight w:val="30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审计报告合格率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及时支付率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劳务派遣人员工资</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19.81824</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shd w:val="clear" w:color="auto" w:fill="auto"/>
          <w:tblLayout w:type="fixed"/>
          <w:tblCellMar>
            <w:top w:w="0" w:type="dxa"/>
            <w:left w:w="0" w:type="dxa"/>
            <w:bottom w:w="0" w:type="dxa"/>
            <w:right w:w="0" w:type="dxa"/>
          </w:tblCellMar>
        </w:tblPrEx>
        <w:trPr>
          <w:trHeight w:val="30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2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74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4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单位正常运转率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40</w:t>
            </w: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0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shd w:val="clear" w:color="auto" w:fill="auto"/>
          <w:tblLayout w:type="fixed"/>
          <w:tblCellMar>
            <w:top w:w="0" w:type="dxa"/>
            <w:left w:w="0" w:type="dxa"/>
            <w:bottom w:w="0" w:type="dxa"/>
            <w:right w:w="0" w:type="dxa"/>
          </w:tblCellMar>
        </w:tblPrEx>
        <w:trPr>
          <w:trHeight w:val="24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7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r>
      <w:tr>
        <w:tblPrEx>
          <w:shd w:val="clear" w:color="auto" w:fill="auto"/>
          <w:tblLayout w:type="fixed"/>
          <w:tblCellMar>
            <w:top w:w="0" w:type="dxa"/>
            <w:left w:w="0" w:type="dxa"/>
            <w:bottom w:w="0" w:type="dxa"/>
            <w:right w:w="0" w:type="dxa"/>
          </w:tblCellMar>
        </w:tblPrEx>
        <w:trPr>
          <w:trHeight w:val="760" w:hRule="atLeast"/>
        </w:trPr>
        <w:tc>
          <w:tcPr>
            <w:tcW w:w="98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Style w:val="25"/>
                <w:lang w:val="en-US" w:eastAsia="zh-CN" w:bidi="ar"/>
              </w:rPr>
              <w:t>五、</w:t>
            </w:r>
            <w:r>
              <w:rPr>
                <w:rStyle w:val="26"/>
                <w:rFonts w:eastAsia="宋体"/>
                <w:lang w:val="en-US" w:eastAsia="zh-CN" w:bidi="ar"/>
              </w:rPr>
              <w:t xml:space="preserve"> </w:t>
            </w:r>
            <w:r>
              <w:rPr>
                <w:rStyle w:val="25"/>
                <w:lang w:val="en-US" w:eastAsia="zh-CN" w:bidi="ar"/>
              </w:rPr>
              <w:t>存在问题、原因及下一步整改措施</w:t>
            </w:r>
          </w:p>
        </w:tc>
        <w:tc>
          <w:tcPr>
            <w:tcW w:w="813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本部门在今年部门决算公开中反映劳务派遣人员经费等5个项目绩效自评结果。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劳务派遣人员经费项目绩效自评情况：根据年初设定的绩效目标，劳务派遣人员经费项目绩效自评得分为98分（绩效自评表附后）。全年预算数为19.82万元，执行数为19.76万元，完成预算的99.7%。项目绩效目标完成情况：一是预算数基本完成；二是。发现的主要问题及原因是：一是；二是。下一步改进措施：一是；二是。</w:t>
      </w:r>
    </w:p>
    <w:p>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部门评价项目绩效评价结果</w:t>
      </w:r>
    </w:p>
    <w:p>
      <w:pPr>
        <w:widowControl/>
        <w:numPr>
          <w:ilvl w:val="0"/>
          <w:numId w:val="0"/>
        </w:numPr>
        <w:spacing w:before="0" w:beforeLines="0" w:beforeAutospacing="0" w:after="0" w:afterLines="0" w:afterAutospacing="0" w:line="360" w:lineRule="auto"/>
        <w:jc w:val="left"/>
        <w:rPr>
          <w:rFonts w:ascii="Times New Roman" w:eastAsia="仿宋_GB2312"/>
          <w:b/>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850" w:h="16783"/>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7BF3AE1-6EE0-43D0-B6B4-5905DF877A3C}"/>
  </w:font>
  <w:font w:name="黑体">
    <w:panose1 w:val="02010609060101010101"/>
    <w:charset w:val="86"/>
    <w:family w:val="auto"/>
    <w:pitch w:val="default"/>
    <w:sig w:usb0="800002BF" w:usb1="38CF7CFA" w:usb2="00000016" w:usb3="00000000" w:csb0="00040001" w:csb1="00000000"/>
    <w:embedRegular r:id="rId2" w:fontKey="{B96B98A5-73A2-4476-96D6-1AE4B084D2C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3" w:fontKey="{65E1B774-3CE5-4315-9148-BCA2CF583EDF}"/>
  </w:font>
  <w:font w:name="仿宋">
    <w:panose1 w:val="02010609060101010101"/>
    <w:charset w:val="86"/>
    <w:family w:val="modern"/>
    <w:pitch w:val="default"/>
    <w:sig w:usb0="800002BF" w:usb1="38CF7CFA" w:usb2="00000016" w:usb3="00000000" w:csb0="00040001" w:csb1="00000000"/>
    <w:embedRegular r:id="rId4" w:fontKey="{EBB507C3-DB15-4CA9-AA57-A77030C30813}"/>
  </w:font>
  <w:font w:name="Calibri Light">
    <w:altName w:val="Calibri"/>
    <w:panose1 w:val="020F0302020204030204"/>
    <w:charset w:val="00"/>
    <w:family w:val="auto"/>
    <w:pitch w:val="default"/>
    <w:sig w:usb0="00000000" w:usb1="00000000"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7F8E091E-E5F3-4629-AEA2-43F9DC2205F5}"/>
  </w:font>
  <w:font w:name="方正小标宋_GBK">
    <w:panose1 w:val="02000000000000000000"/>
    <w:charset w:val="86"/>
    <w:family w:val="script"/>
    <w:pitch w:val="default"/>
    <w:sig w:usb0="00000000" w:usb1="00000000" w:usb2="00000000" w:usb3="00000000" w:csb0="00000000" w:csb1="00000000"/>
    <w:embedRegular r:id="rId6" w:fontKey="{36BEA97F-A059-4CED-9149-ECD76CEAF6D6}"/>
  </w:font>
  <w:font w:name="仿宋_GB2312">
    <w:panose1 w:val="02010609030101010101"/>
    <w:charset w:val="86"/>
    <w:family w:val="auto"/>
    <w:pitch w:val="default"/>
    <w:sig w:usb0="00000001" w:usb1="080E0000" w:usb2="00000000" w:usb3="00000000" w:csb0="00040000" w:csb1="00000000"/>
    <w:embedRegular r:id="rId7" w:fontKey="{33404BD8-95AF-4D8E-A7FC-7D88CE2D1A61}"/>
  </w:font>
  <w:font w:name="ArialUnicodeMS">
    <w:altName w:val="Malgun Gothic"/>
    <w:panose1 w:val="00000000000000000000"/>
    <w:charset w:val="81"/>
    <w:family w:val="auto"/>
    <w:pitch w:val="default"/>
    <w:sig w:usb0="00000000" w:usb1="00000000" w:usb2="00000010" w:usb3="00000000" w:csb0="00080001" w:csb1="00000000"/>
    <w:embedRegular r:id="rId8" w:fontKey="{30C566A1-D243-47D3-8033-F0B045E235FB}"/>
  </w:font>
  <w:font w:name="方正仿宋_GB2312">
    <w:panose1 w:val="02000000000000000000"/>
    <w:charset w:val="86"/>
    <w:family w:val="auto"/>
    <w:pitch w:val="default"/>
    <w:sig w:usb0="00000000" w:usb1="00000000" w:usb2="00000000" w:usb3="00000000" w:csb0="00000000" w:csb1="00000000"/>
    <w:embedRegular r:id="rId9" w:fontKey="{BA493FDA-83B8-4975-A1A0-36FE3D431FA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AA109"/>
    <w:multiLevelType w:val="singleLevel"/>
    <w:tmpl w:val="1BFAA109"/>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A40031"/>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07DB6"/>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9F667E4"/>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qFormat/>
    <w:uiPriority w:val="0"/>
    <w:rPr>
      <w:rFonts w:hint="eastAsia" w:ascii="宋体" w:hAnsi="宋体" w:eastAsia="宋体" w:cs="宋体"/>
      <w:color w:val="000000"/>
      <w:sz w:val="20"/>
      <w:szCs w:val="20"/>
      <w:u w:val="none"/>
    </w:rPr>
  </w:style>
  <w:style w:type="character" w:customStyle="1" w:styleId="26">
    <w:name w:val="font71"/>
    <w:basedOn w:val="13"/>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496.81</c:v>
                </c:pt>
                <c:pt idx="1">
                  <c:v>360.66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3606619.03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2989033.93</c:v>
                </c:pt>
                <c:pt idx="1">
                  <c:v>617585.1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496.81</c:v>
                </c:pt>
                <c:pt idx="1">
                  <c:v>496.81</c:v>
                </c:pt>
                <c:pt idx="2">
                  <c:v>496.81</c:v>
                </c:pt>
                <c:pt idx="3">
                  <c:v>496.81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360.66</c:v>
                </c:pt>
                <c:pt idx="1">
                  <c:v>360.66</c:v>
                </c:pt>
                <c:pt idx="2">
                  <c:v>360.66</c:v>
                </c:pt>
                <c:pt idx="3">
                  <c:v>360.66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350.63</c:v>
                </c:pt>
                <c:pt idx="1">
                  <c:v>350.63</c:v>
                </c:pt>
                <c:pt idx="2">
                  <c:v>350.63</c:v>
                </c:pt>
                <c:pt idx="3">
                  <c:v>350.63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360.66</c:v>
                </c:pt>
                <c:pt idx="1">
                  <c:v>360.66</c:v>
                </c:pt>
                <c:pt idx="2">
                  <c:v>360.66</c:v>
                </c:pt>
                <c:pt idx="3">
                  <c:v>360.66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301.1</c:v>
                </c:pt>
                <c:pt idx="1">
                  <c:v>0</c:v>
                </c:pt>
                <c:pt idx="2">
                  <c:v>0</c:v>
                </c:pt>
                <c:pt idx="3">
                  <c:v>0</c:v>
                </c:pt>
                <c:pt idx="4">
                  <c:v>0</c:v>
                </c:pt>
                <c:pt idx="5">
                  <c:v>0</c:v>
                </c:pt>
                <c:pt idx="6">
                  <c:v>0</c:v>
                </c:pt>
                <c:pt idx="7">
                  <c:v>26.48</c:v>
                </c:pt>
                <c:pt idx="8">
                  <c:v>12.85</c:v>
                </c:pt>
                <c:pt idx="9">
                  <c:v>0</c:v>
                </c:pt>
                <c:pt idx="10">
                  <c:v>0</c:v>
                </c:pt>
                <c:pt idx="11">
                  <c:v>0</c:v>
                </c:pt>
                <c:pt idx="12">
                  <c:v>0</c:v>
                </c:pt>
                <c:pt idx="13">
                  <c:v>0</c:v>
                </c:pt>
                <c:pt idx="14">
                  <c:v>0</c:v>
                </c:pt>
                <c:pt idx="15">
                  <c:v>0</c:v>
                </c:pt>
                <c:pt idx="16">
                  <c:v>0</c:v>
                </c:pt>
                <c:pt idx="17">
                  <c:v>0</c:v>
                </c:pt>
                <c:pt idx="18">
                  <c:v>20.24</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26</TotalTime>
  <ScaleCrop>false</ScaleCrop>
  <LinksUpToDate>false</LinksUpToDate>
  <CharactersWithSpaces>2170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2025-09-26T09:29:36Z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