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3">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319001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：行唐县审计局</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行唐县审计局</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w:t>
      </w:r>
      <w:r>
        <w:rPr>
          <w:rFonts w:hint="eastAsia" w:ascii="Times New Roman" w:eastAsia="方正小标宋_GBK"/>
          <w:b w:val="0"/>
          <w:sz w:val="72"/>
          <w:szCs w:val="72"/>
          <w:lang w:eastAsia="zh-CN"/>
        </w:rPr>
        <w:t>单位</w:t>
      </w:r>
      <w:r>
        <w:rPr>
          <w:rFonts w:ascii="Times New Roman" w:eastAsia="方正小标宋_GBK"/>
          <w:b w:val="0"/>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行唐县审计局</w:t>
      </w:r>
    </w:p>
    <w:p>
      <w:pPr>
        <w:widowControl/>
        <w:spacing w:before="0" w:beforeLines="0" w:beforeAutospacing="0" w:after="0" w:afterLines="0" w:afterAutospacing="0" w:line="360" w:lineRule="auto"/>
        <w:jc w:val="center"/>
        <w:rPr>
          <w:rFonts w:ascii="Times New Roman" w:eastAsia="楷体_GB2312"/>
          <w:sz w:val="44"/>
          <w:szCs w:val="44"/>
        </w:rPr>
      </w:pPr>
      <w:bookmarkStart w:id="0" w:name="_GoBack"/>
      <w:bookmarkEnd w:id="0"/>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w:t>
      </w:r>
      <w:r>
        <w:rPr>
          <w:rFonts w:hint="eastAsia" w:ascii="Times New Roman" w:eastAsia="黑体"/>
          <w:b w:val="0"/>
          <w:sz w:val="32"/>
          <w:szCs w:val="32"/>
          <w:lang w:eastAsia="zh-CN"/>
        </w:rPr>
        <w:t>单位</w:t>
      </w:r>
      <w:r>
        <w:rPr>
          <w:rFonts w:ascii="Times New Roman" w:eastAsia="黑体"/>
          <w:b w:val="0"/>
          <w:sz w:val="32"/>
          <w:szCs w:val="32"/>
        </w:rPr>
        <w:t>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w:t>
      </w:r>
      <w:r>
        <w:rPr>
          <w:rFonts w:hint="eastAsia" w:ascii="Times New Roman" w:eastAsia="仿宋_GB2312"/>
          <w:b w:val="0"/>
          <w:sz w:val="32"/>
          <w:szCs w:val="32"/>
          <w:lang w:eastAsia="zh-CN"/>
        </w:rPr>
        <w:t>单位</w:t>
      </w:r>
      <w:r>
        <w:rPr>
          <w:rFonts w:ascii="Times New Roman" w:eastAsia="仿宋_GB2312"/>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w:t>
      </w:r>
      <w:r>
        <w:rPr>
          <w:rFonts w:hint="eastAsia" w:ascii="Times New Roman" w:eastAsia="黑体"/>
          <w:b w:val="0"/>
          <w:sz w:val="32"/>
          <w:szCs w:val="32"/>
          <w:lang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w:t>
      </w:r>
      <w:r>
        <w:rPr>
          <w:rFonts w:hint="eastAsia" w:ascii="Times New Roman" w:eastAsia="黑体"/>
          <w:b w:val="0"/>
          <w:sz w:val="44"/>
          <w:szCs w:val="44"/>
          <w:lang w:eastAsia="zh-CN"/>
        </w:rPr>
        <w:t>单位</w:t>
      </w:r>
      <w:r>
        <w:rPr>
          <w:rFonts w:ascii="Times New Roman" w:eastAsia="黑体"/>
          <w:b w:val="0"/>
          <w:sz w:val="44"/>
          <w:szCs w:val="44"/>
        </w:rPr>
        <w:t>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w:t>
      </w:r>
      <w:r>
        <w:rPr>
          <w:rFonts w:hint="eastAsia" w:ascii="Times New Roman" w:eastAsia="黑体"/>
          <w:b w:val="0"/>
          <w:sz w:val="32"/>
          <w:szCs w:val="32"/>
          <w:lang w:eastAsia="zh-CN"/>
        </w:rPr>
        <w:t>单位</w:t>
      </w:r>
      <w:r>
        <w:rPr>
          <w:rFonts w:ascii="Times New Roman" w:eastAsia="黑体"/>
          <w:b w:val="0"/>
          <w:sz w:val="32"/>
          <w:szCs w:val="32"/>
        </w:rPr>
        <w:t>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（一）主管全县审计工作。负责对全县财政收支和依法属于 审计监督范围的财务收支的真实、合法和效益进行审计监督，对 公共资金、国有资产、国有资源和领导干部履行经济责任情况实 行审计全覆盖，对领导干部实行自然资源资产离任审计，对国家 有关重大政策措施贯彻落实情况进行跟踪审计。对审计、专项审 计调查和核查社会审计机构相关审计报告的结果承担责任，并负 有监督被审计单位整改的责任。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行唐县审计局(本级)</w:t>
            </w: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单位（单位）：行唐县审计局</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659"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单位（单位）：行唐县审计局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360.66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360.66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301.10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239.34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审计业务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2010899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其他审计事务支出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26.48</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25.07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财政对其他社会保险基金的补助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1.40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财政对失业保险基金的补助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0.60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2082702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财政对工伤保险基金的补助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0.80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12.85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20.24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298.90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单位（单位）：行唐县审计局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301.10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26.48</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12.85</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20.24</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360.66</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8697"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39"/>
        <w:gridCol w:w="1329"/>
        <w:gridCol w:w="705"/>
        <w:gridCol w:w="1305"/>
        <w:gridCol w:w="1366"/>
        <w:gridCol w:w="645"/>
        <w:gridCol w:w="210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8697"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8697"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273"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编制单位（单位）：行唐县审计局</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753"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129"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2108"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23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108"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2108"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568"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360.66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298.90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301.10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61.76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239.34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审计业务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2010899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其他审计事务支出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26.48</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25.07</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财政对其他社会保险基金的补助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1.40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财政对失业保险基金的补助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0.60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2082702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财政对工伤保险基金的补助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0.80</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12.85</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23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20.24</w:t>
            </w:r>
          </w:p>
        </w:tc>
        <w:tc>
          <w:tcPr>
            <w:tcW w:w="210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8697"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单位（单位）：行唐县审计局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253.73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15.38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97.60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16.37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48.92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31.27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25.07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0.50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12.85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20.24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29.80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1.16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2.08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7.64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283.53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15.38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单位（单位）：行唐县审计局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单位（单位）：行唐县审计局</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单位（单位）：行唐县审计局</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2.70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2.60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0.10</w:t>
            </w: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2.08</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2024年度收、支总计（含结转和结余）均为360.66万元。与2023年度决算相比，收支各减少136.15万元，下降27.4%，主要原因是2024 年建设项目审计减少，委托第三方审计费减少。</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2024年度本年收入合计360.66万元，其中：财政拨款收入360.66万元，占10</w:t>
      </w:r>
      <w:r>
        <w:rPr>
          <w:rFonts w:hint="eastAsia" w:ascii="Times New Roman" w:eastAsia="仿宋_GB2312"/>
          <w:b w:val="0"/>
          <w:sz w:val="32"/>
          <w:szCs w:val="32"/>
          <w:lang w:eastAsia="zh-CN"/>
        </w:rPr>
        <w:t>0%</w:t>
      </w:r>
      <w:r>
        <w:rPr>
          <w:rFonts w:ascii="Times New Roman" w:eastAsia="仿宋_GB2312"/>
          <w:b w:val="0"/>
          <w:sz w:val="32"/>
          <w:szCs w:val="32"/>
        </w:rPr>
        <w:t>；上级补助收入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；事业收入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；附属单位上缴收入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；其他收入</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2024年度本年支出合计360.66万元，其中：基本支出298.90万元，占82.9%；项目支出61.76万元，占17.1%；上缴上级支出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；经营支出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；对附属单位补助支出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2024年度财政拨款收、支总计（含结转和结余）均为360.66万元。与2023年度相比，财政拨款收支各减少136.15万元，降低27.4%，主要原因是2024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2024年度财政拨款本年收入360.66万元,比上年减少136.15万元，降低27.4%，主要原因是2024 年建设项目审计减少，委托第三方审计费减少；本年支出360.66万元，比上年减少136.15万元，降低27.4%，主要原因是2024 年建设项目审计减少，委托第三方审计费减少。具体情况如下：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一般公共预算财政拨款本年收入360.66万元,比上年减少136.15万元，降低27.4%，主要原因是2024 年建设项目审计减少，委托第三方审计费减少；本年支出360.66万元，比上年减少136.15万元，降低27.4%，主要原因是2024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%，主要原因是；本年支出</w:t>
      </w:r>
      <w:r>
        <w:rPr>
          <w:rFonts w:hint="eastAsia" w:ascii="Times New Roman" w:eastAsia="仿宋_GB2312"/>
          <w:b w:val="0"/>
          <w:sz w:val="32"/>
          <w:szCs w:val="32"/>
          <w:lang w:eastAsia="zh-CN"/>
        </w:rPr>
        <w:t>0</w:t>
      </w:r>
      <w:r>
        <w:rPr>
          <w:rFonts w:ascii="Times New Roman" w:eastAsia="仿宋_GB2312"/>
          <w:b w:val="0"/>
          <w:sz w:val="32"/>
          <w:szCs w:val="32"/>
        </w:rPr>
        <w:t>万元，比上年增加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2024年度财政拨款本年收入360.66万元，完成年初预算的102.9%，比年初预算增加10.03万元，决算数大于预算数主要原因是2024 年建设项目审计减少，委托第三方审计费减少；本年支出360.66万元，完成年初预算的102.9%，比年初预算增加10.03万元，决算数大于预算数主要原因是2024 年建设项目审计减少，委托第三方审计费减少。具体情况如下：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一般公共预算财政拨款本年收入完成年初预算的102.9%，比年初预算增加10.03万元，主要原因是2024 年建设项目审计减少，委托第三方审计费减少；支出完成年初预算的102.9%，比年初预算增加10.03万元，主要原因是2024 年建设项目审计减少，委托第三方审计费减少。</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万元，主要原因是；支出完成年初预算的</w:t>
      </w:r>
      <w:r>
        <w:rPr>
          <w:rFonts w:hint="eastAsia" w:ascii="Times New Roman" w:eastAsia="仿宋_GB2312"/>
          <w:b w:val="0"/>
          <w:sz w:val="32"/>
          <w:szCs w:val="32"/>
          <w:lang w:eastAsia="zh-CN"/>
        </w:rPr>
        <w:t>0%</w:t>
      </w:r>
      <w:r>
        <w:rPr>
          <w:rFonts w:ascii="Times New Roman" w:eastAsia="仿宋_GB2312"/>
          <w:b w:val="0"/>
          <w:sz w:val="32"/>
          <w:szCs w:val="32"/>
        </w:rPr>
        <w:t>，比年初预算增加</w:t>
      </w:r>
      <w:r>
        <w:rPr>
          <w:rFonts w:hint="eastAsia" w:ascii="Times New Roman" w:eastAsia="仿宋_GB2312"/>
          <w:b w:val="0"/>
          <w:sz w:val="32"/>
          <w:szCs w:val="32"/>
          <w:lang w:eastAsia="zh-CN"/>
        </w:rPr>
        <w:t>0</w:t>
      </w:r>
      <w:r>
        <w:rPr>
          <w:rFonts w:ascii="Times New Roman" w:eastAsia="仿宋_GB2312"/>
          <w:b w:val="0"/>
          <w:sz w:val="32"/>
          <w:szCs w:val="32"/>
        </w:rPr>
        <w:t>万元，主要原因是。</w:t>
      </w: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2024年度财政拨款支出360.66万元，主要用于以下方面：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一般公共服务（类）支出301.10万元，占83.5%，主要用于审计业务、 一般行政管理事务等支出；社会保障和就业 （类）支出26.48万元，占7.3%，主要用于社会保险等支出；卫生健康（类）支出12.85万元，占3.6%，出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，主要用于等支出；金融（类）支出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，主要用于等支出；援助其他地区（类）支出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，主要用于等支出；自然资源海洋气象等（类）支出</w:t>
      </w:r>
      <w:r>
        <w:rPr>
          <w:rFonts w:hint="eastAsia" w:ascii="Times New Roman" w:eastAsia="仿宋_GB2312"/>
          <w:b w:val="0"/>
          <w:sz w:val="32"/>
          <w:szCs w:val="32"/>
          <w:lang w:eastAsia="zh-CN"/>
        </w:rPr>
        <w:t>0</w:t>
      </w:r>
      <w:r>
        <w:rPr>
          <w:rFonts w:ascii="Times New Roman" w:eastAsia="仿宋_GB2312"/>
          <w:b w:val="0"/>
          <w:sz w:val="32"/>
          <w:szCs w:val="32"/>
        </w:rPr>
        <w:t>万元，占</w:t>
      </w:r>
      <w:r>
        <w:rPr>
          <w:rFonts w:hint="eastAsia" w:ascii="Times New Roman" w:eastAsia="仿宋_GB2312"/>
          <w:b w:val="0"/>
          <w:sz w:val="32"/>
          <w:szCs w:val="32"/>
          <w:lang w:eastAsia="zh-CN"/>
        </w:rPr>
        <w:t>0%</w:t>
      </w:r>
      <w:r>
        <w:rPr>
          <w:rFonts w:ascii="Times New Roman" w:eastAsia="仿宋_GB2312"/>
          <w:b w:val="0"/>
          <w:sz w:val="32"/>
          <w:szCs w:val="32"/>
        </w:rPr>
        <w:t>，主要用于等支出；住房保障（类）支出20.24万元，占5.6%，主要用于住房公积金等支出</w:t>
      </w:r>
      <w:r>
        <w:rPr>
          <w:rFonts w:hint="eastAsia" w:ascii="Times New Roman" w:eastAsia="仿宋_GB2312"/>
          <w:b w:val="0"/>
          <w:sz w:val="32"/>
          <w:szCs w:val="32"/>
          <w:lang w:eastAsia="zh-CN"/>
        </w:rPr>
        <w:t>。</w:t>
      </w:r>
    </w:p>
    <w:p>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2024年度财政拨款基本支出298.90万元，其中：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人员经费283.53万元，主要包括基本工资、津贴补贴、奖金、绩效工资、机关事业</w:t>
      </w:r>
      <w:r>
        <w:rPr>
          <w:rFonts w:hint="eastAsia" w:ascii="Times New Roman" w:eastAsia="仿宋_GB2312"/>
          <w:b w:val="0"/>
          <w:sz w:val="32"/>
          <w:szCs w:val="32"/>
          <w:lang w:eastAsia="zh-CN"/>
        </w:rPr>
        <w:t>单位</w:t>
      </w:r>
      <w:r>
        <w:rPr>
          <w:rFonts w:ascii="Times New Roman" w:eastAsia="仿宋_GB2312"/>
          <w:b w:val="0"/>
          <w:sz w:val="32"/>
          <w:szCs w:val="32"/>
        </w:rPr>
        <w:t>基本养老保险缴费、职业年金缴费、职工基本医疗保险缴费、住房公积金、其他社会保障缴费、退休费、 、生活补助、其他对个人和家庭的补助支出。</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ascii="Times New Roman" w:eastAsia="仿宋_GB2312"/>
          <w:b w:val="0"/>
          <w:sz w:val="32"/>
          <w:szCs w:val="32"/>
        </w:rPr>
        <w:t>公用经费15.38万元，主要包括办公费、邮电费、取 暖费、物业管理费、差旅费、维修（护）费、劳务费、工会经费、福利费、公务用车运行维护费、其他交通费用、其他商品和服务支出、办公设备购置</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三公”经费财政拨款支出预算为2.70万元，支出决算为2.08万元，完成预算的77.0%，较预算减少0.62万元，降低23.0%，主要原因是我局认真落实中央八项规定精神和厉行节约要求，从严控制支出，未产生公务接待费并控制公车维护成本；较2023年度决算减少0.72万元，降低25.7%，主要原因是我局认真落实中央八项规定精神和厉行节约要求，从严控制支出，未产生公务接待费并控制公车维护成本。</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2024年度因公出国（境）费支出预算为</w:t>
      </w:r>
      <w:r>
        <w:rPr>
          <w:rFonts w:hint="eastAsia" w:ascii="Times New Roman" w:eastAsia="仿宋_GB2312"/>
          <w:b w:val="0"/>
          <w:sz w:val="32"/>
          <w:szCs w:val="32"/>
          <w:lang w:eastAsia="zh-CN"/>
        </w:rPr>
        <w:t>0</w:t>
      </w:r>
      <w:r>
        <w:rPr>
          <w:rFonts w:ascii="Times New Roman" w:eastAsia="仿宋_GB2312"/>
          <w:b w:val="0"/>
          <w:sz w:val="32"/>
          <w:szCs w:val="32"/>
        </w:rPr>
        <w:t>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。因公出国（境）费支出较预算增加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,主要原因是；较上年增加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%。因公出国（境）团组0个、共0人、参加其他单位组织的因公出国（境）团组0个、共0人/无本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2024年度公务用车购置及运行维护费预算为2.60万元，支出决算2.08万元，完成预算的8</w:t>
      </w:r>
      <w:r>
        <w:rPr>
          <w:rFonts w:hint="eastAsia" w:ascii="Times New Roman" w:eastAsia="仿宋_GB2312"/>
          <w:b w:val="0"/>
          <w:sz w:val="32"/>
          <w:szCs w:val="32"/>
          <w:lang w:eastAsia="zh-CN"/>
        </w:rPr>
        <w:t>0%</w:t>
      </w:r>
      <w:r>
        <w:rPr>
          <w:rFonts w:ascii="Times New Roman" w:eastAsia="仿宋_GB2312"/>
          <w:b w:val="0"/>
          <w:sz w:val="32"/>
          <w:szCs w:val="32"/>
        </w:rPr>
        <w:t>,较预算减少0.52万元，降低2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控制公车维护成本；较上年减少0.72万元，降低25.7%,主要原因是我局认真落实中央八项规定精神和厉行节约要求，从严控制支出，控制公车维护成本。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w:t>
      </w:r>
      <w:r>
        <w:rPr>
          <w:rFonts w:hint="eastAsia" w:ascii="Times New Roman" w:eastAsia="仿宋_GB2312"/>
          <w:b/>
          <w:sz w:val="32"/>
          <w:szCs w:val="32"/>
          <w:lang w:eastAsia="zh-CN"/>
        </w:rPr>
        <w:t>0</w:t>
      </w:r>
      <w:r>
        <w:rPr>
          <w:rFonts w:ascii="Times New Roman" w:eastAsia="仿宋_GB2312"/>
          <w:b/>
          <w:sz w:val="32"/>
          <w:szCs w:val="32"/>
        </w:rPr>
        <w:t>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2024年度公务用车购置量0辆，发生“公务用车购置”经费支出</w:t>
      </w:r>
      <w:r>
        <w:rPr>
          <w:rFonts w:hint="eastAsia" w:ascii="Times New Roman" w:eastAsia="仿宋_GB2312"/>
          <w:b w:val="0"/>
          <w:sz w:val="32"/>
          <w:szCs w:val="32"/>
          <w:lang w:val="en-US" w:eastAsia="zh-CN"/>
        </w:rPr>
        <w:t>0</w:t>
      </w:r>
      <w:r>
        <w:rPr>
          <w:rFonts w:ascii="Times New Roman" w:eastAsia="仿宋_GB2312"/>
          <w:b w:val="0"/>
          <w:sz w:val="32"/>
          <w:szCs w:val="32"/>
        </w:rPr>
        <w:t>万元。公务用车购置费支出较预算增加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%；较上年增加</w:t>
      </w:r>
      <w:r>
        <w:rPr>
          <w:rFonts w:hint="eastAsia" w:ascii="Times New Roman" w:eastAsia="仿宋_GB2312"/>
          <w:b w:val="0"/>
          <w:sz w:val="32"/>
          <w:szCs w:val="32"/>
          <w:lang w:val="en-US" w:eastAsia="zh-CN"/>
        </w:rPr>
        <w:t>0</w:t>
      </w:r>
      <w:r>
        <w:rPr>
          <w:rFonts w:ascii="Times New Roman" w:eastAsia="仿宋_GB2312"/>
          <w:b w:val="0"/>
          <w:sz w:val="32"/>
          <w:szCs w:val="32"/>
        </w:rPr>
        <w:t>万元，增长</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公务用车运行维护费支出2.08万元：</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2024年度单位公务用车保有量1辆，发生运行维护费支出2.08万元。公车运行维护费支出较预算减少0.52万元，降低2</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控制公车维护成本；较上年减少0.72万元，降低25.7%，主要原因是我局认真落实中央八项规定精神和厉行节约要求，从严控制支出，控制公车维护成本。</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2024年度公务接待费支出预算为0.10万元，支出决算</w:t>
      </w:r>
      <w:r>
        <w:rPr>
          <w:rFonts w:hint="eastAsia" w:ascii="Times New Roman" w:eastAsia="仿宋_GB2312"/>
          <w:b w:val="0"/>
          <w:sz w:val="32"/>
          <w:szCs w:val="32"/>
          <w:lang w:eastAsia="zh-CN"/>
        </w:rPr>
        <w:t>0</w:t>
      </w:r>
      <w:r>
        <w:rPr>
          <w:rFonts w:ascii="Times New Roman" w:eastAsia="仿宋_GB2312"/>
          <w:b w:val="0"/>
          <w:sz w:val="32"/>
          <w:szCs w:val="32"/>
        </w:rPr>
        <w:t>万元，完成预算的</w:t>
      </w:r>
      <w:r>
        <w:rPr>
          <w:rFonts w:hint="eastAsia" w:ascii="Times New Roman" w:eastAsia="仿宋_GB2312"/>
          <w:b w:val="0"/>
          <w:sz w:val="32"/>
          <w:szCs w:val="32"/>
          <w:lang w:eastAsia="zh-CN"/>
        </w:rPr>
        <w:t>0%</w:t>
      </w:r>
      <w:r>
        <w:rPr>
          <w:rFonts w:ascii="Times New Roman" w:eastAsia="仿宋_GB2312"/>
          <w:b w:val="0"/>
          <w:sz w:val="32"/>
          <w:szCs w:val="32"/>
        </w:rPr>
        <w:t>。公务接待费支出较预算减少0.10万元，降低10</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,主要原因是我局认真落实中央八项规定精神和厉行节约要求，从严控制支出，未产生公务接待费；较上年度增加</w:t>
      </w:r>
      <w:r>
        <w:rPr>
          <w:rFonts w:hint="eastAsia" w:ascii="Times New Roman" w:eastAsia="仿宋_GB2312"/>
          <w:b w:val="0"/>
          <w:sz w:val="32"/>
          <w:szCs w:val="32"/>
          <w:lang w:eastAsia="zh-CN"/>
        </w:rPr>
        <w:t>0</w:t>
      </w:r>
      <w:r>
        <w:rPr>
          <w:rFonts w:ascii="Times New Roman" w:eastAsia="仿宋_GB2312"/>
          <w:b w:val="0"/>
          <w:sz w:val="32"/>
          <w:szCs w:val="32"/>
        </w:rPr>
        <w:t>万元，增长</w:t>
      </w:r>
      <w:r>
        <w:rPr>
          <w:rFonts w:hint="eastAsia" w:ascii="Times New Roman" w:eastAsia="仿宋_GB2312"/>
          <w:b w:val="0"/>
          <w:sz w:val="32"/>
          <w:szCs w:val="32"/>
          <w:lang w:eastAsia="zh-CN"/>
        </w:rPr>
        <w:t>0</w:t>
      </w:r>
      <w:r>
        <w:rPr>
          <w:rFonts w:ascii="Times New Roman" w:eastAsia="仿宋_GB2312"/>
          <w:b w:val="0"/>
          <w:sz w:val="32"/>
          <w:szCs w:val="32"/>
        </w:rPr>
        <w:t>%,主要原因是我局认真落实中央八项规定精神和厉行节约要求，从严控制支出，未产生公务接待费。本年度共发生公务接待0批次、0人次。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2024年度机关运行经费支出15.38万元，较2023年度减少14.87万元，降低49.2%。主要原因是办公费用减少。</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2024年度政府采购支出总额36.50万元，从采购类型来看，政府采购货物支出</w:t>
      </w:r>
      <w:r>
        <w:rPr>
          <w:rFonts w:hint="eastAsia" w:ascii="Times New Roman" w:eastAsia="仿宋_GB2312"/>
          <w:b w:val="0"/>
          <w:sz w:val="32"/>
          <w:szCs w:val="32"/>
          <w:lang w:eastAsia="zh-CN"/>
        </w:rPr>
        <w:t>0</w:t>
      </w:r>
      <w:r>
        <w:rPr>
          <w:rFonts w:ascii="Times New Roman" w:eastAsia="仿宋_GB2312"/>
          <w:b w:val="0"/>
          <w:sz w:val="32"/>
          <w:szCs w:val="32"/>
        </w:rPr>
        <w:t>万元、政府采购工程支出</w:t>
      </w:r>
      <w:r>
        <w:rPr>
          <w:rFonts w:hint="eastAsia" w:ascii="Times New Roman" w:eastAsia="仿宋_GB2312"/>
          <w:b w:val="0"/>
          <w:sz w:val="32"/>
          <w:szCs w:val="32"/>
          <w:lang w:eastAsia="zh-CN"/>
        </w:rPr>
        <w:t>0</w:t>
      </w:r>
      <w:r>
        <w:rPr>
          <w:rFonts w:ascii="Times New Roman" w:eastAsia="仿宋_GB2312"/>
          <w:b w:val="0"/>
          <w:sz w:val="32"/>
          <w:szCs w:val="32"/>
        </w:rPr>
        <w:t>万元、政府采购服务支出36.50万元。授予中小企业合同金额36.50万元，占政府采购支出总额的10</w:t>
      </w:r>
      <w:r>
        <w:rPr>
          <w:rFonts w:hint="eastAsia" w:ascii="Times New Roman" w:eastAsia="仿宋_GB2312"/>
          <w:b w:val="0"/>
          <w:sz w:val="32"/>
          <w:szCs w:val="32"/>
          <w:lang w:eastAsia="zh-CN"/>
        </w:rPr>
        <w:t>0%</w:t>
      </w:r>
      <w:r>
        <w:rPr>
          <w:rFonts w:ascii="Times New Roman" w:eastAsia="仿宋_GB2312"/>
          <w:b w:val="0"/>
          <w:sz w:val="32"/>
          <w:szCs w:val="32"/>
        </w:rPr>
        <w:t>，其中授予小微企业合同金额36.50万元，占政府采购支出总额的10</w:t>
      </w:r>
      <w:r>
        <w:rPr>
          <w:rFonts w:hint="eastAsia" w:ascii="Times New Roman" w:eastAsia="仿宋_GB2312"/>
          <w:b w:val="0"/>
          <w:sz w:val="32"/>
          <w:szCs w:val="32"/>
          <w:lang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w:t>
      </w:r>
      <w:r>
        <w:rPr>
          <w:rFonts w:hint="eastAsia" w:ascii="Times New Roman" w:eastAsia="仿宋_GB2312"/>
          <w:b w:val="0"/>
          <w:sz w:val="32"/>
          <w:szCs w:val="32"/>
          <w:lang w:eastAsia="zh-CN"/>
        </w:rPr>
        <w:t>单位</w:t>
      </w:r>
      <w:r>
        <w:rPr>
          <w:rFonts w:ascii="Times New Roman" w:eastAsia="仿宋_GB2312"/>
          <w:b w:val="0"/>
          <w:sz w:val="32"/>
          <w:szCs w:val="32"/>
        </w:rPr>
        <w:t>共有车辆1辆，比上年增加0辆。其中，副部（省）级及以上领导用车0辆，主要负责人用车0辆，机要通信用车0辆，应急保障用车1辆，执法执勤用车0辆，特种专业技术用车0辆，离退休干部用车0辆，其他用车0辆。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w:t>
      </w:r>
      <w:r>
        <w:rPr>
          <w:rFonts w:hint="eastAsia" w:ascii="Times New Roman" w:eastAsia="仿宋_GB2312"/>
          <w:b w:val="0"/>
          <w:sz w:val="32"/>
          <w:szCs w:val="32"/>
          <w:lang w:eastAsia="zh-CN"/>
        </w:rPr>
        <w:t>单位</w:t>
      </w:r>
      <w:r>
        <w:rPr>
          <w:rFonts w:ascii="Times New Roman" w:eastAsia="仿宋_GB2312"/>
          <w:b w:val="0"/>
          <w:sz w:val="32"/>
          <w:szCs w:val="32"/>
        </w:rPr>
        <w:t>组织对2024年度本级预算项目支出全面开展绩效自评，共涉及资金61.76万元（决算金额）。其中，一般公共预算项目5个，涉及资金61.76万元，占一般公共预算项目支出总额的100%；政府性基金预算项目0个，涉及资金0万元，占政府性基金预算项目支出总额的0%；国有资本经营预算项目0个，涉及资金0万元，占国有资本经营预算项目支出总额的0%。</w:t>
      </w:r>
    </w:p>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组织对劳务派遣人员经费等5个项目开展了</w:t>
      </w:r>
      <w:r>
        <w:rPr>
          <w:rFonts w:hint="eastAsia" w:ascii="Times New Roman" w:eastAsia="仿宋_GB2312"/>
          <w:b w:val="0"/>
          <w:sz w:val="32"/>
          <w:szCs w:val="32"/>
          <w:lang w:eastAsia="zh-CN"/>
        </w:rPr>
        <w:t>单位</w:t>
      </w:r>
      <w:r>
        <w:rPr>
          <w:rFonts w:ascii="Times New Roman" w:eastAsia="仿宋_GB2312"/>
          <w:b w:val="0"/>
          <w:sz w:val="32"/>
          <w:szCs w:val="32"/>
        </w:rPr>
        <w:t>重点评价，涉及一般公共预算支出61.76万元，政府性基金预算支出0万元，国有资本经营预算支出0万元，从评价情况来看，一是辅助完成审计项目17个，审计项目报告合格率达98%，服务对象满意度100%；二是审计业务工作经费使用的进度与计划进度基本保持一致，预算完成率100%。（后附项目支出绩效自评表）。</w:t>
      </w:r>
    </w:p>
    <w:tbl>
      <w:tblPr>
        <w:tblStyle w:val="11"/>
        <w:tblW w:w="9117" w:type="dxa"/>
        <w:tblInd w:w="0" w:type="dxa"/>
        <w:shd w:val="clear" w:color="auto" w:fill="auto"/>
        <w:tblLayout w:type="fixed"/>
        <w:tblCellMar>
          <w:top w:w="0" w:type="dxa"/>
          <w:left w:w="0" w:type="dxa"/>
          <w:bottom w:w="0" w:type="dxa"/>
          <w:right w:w="0" w:type="dxa"/>
        </w:tblCellMar>
      </w:tblPr>
      <w:tblGrid>
        <w:gridCol w:w="984"/>
        <w:gridCol w:w="1635"/>
        <w:gridCol w:w="915"/>
        <w:gridCol w:w="1185"/>
        <w:gridCol w:w="965"/>
        <w:gridCol w:w="1060"/>
        <w:gridCol w:w="1005"/>
        <w:gridCol w:w="1368"/>
      </w:tblGrid>
      <w:tr>
        <w:tblPrEx>
          <w:shd w:val="clear" w:color="auto" w:fill="auto"/>
          <w:tblLayout w:type="fixed"/>
          <w:tblCellMar>
            <w:top w:w="0" w:type="dxa"/>
            <w:left w:w="0" w:type="dxa"/>
            <w:bottom w:w="0" w:type="dxa"/>
            <w:right w:w="0" w:type="dxa"/>
          </w:tblCellMar>
        </w:tblPrEx>
        <w:trPr>
          <w:trHeight w:val="360" w:hRule="atLeast"/>
        </w:trPr>
        <w:tc>
          <w:tcPr>
            <w:tcW w:w="984" w:type="dxa"/>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left"/>
              <w:textAlignment w:val="bottom"/>
              <w:rPr>
                <w:rFonts w:ascii="黑体" w:hAnsi="宋体" w:eastAsia="黑体" w:cs="黑体"/>
                <w:i w:val="0"/>
                <w:color w:val="000000"/>
                <w:sz w:val="32"/>
                <w:szCs w:val="32"/>
                <w:u w:val="none"/>
              </w:rPr>
            </w:pPr>
            <w:r>
              <w:rPr>
                <w:rFonts w:hint="eastAsia" w:ascii="黑体" w:hAnsi="宋体" w:eastAsia="黑体" w:cs="黑体"/>
                <w:i w:val="0"/>
                <w:color w:val="000000"/>
                <w:kern w:val="0"/>
                <w:sz w:val="32"/>
                <w:szCs w:val="32"/>
                <w:u w:val="none"/>
                <w:lang w:val="en-US" w:eastAsia="zh-CN" w:bidi="ar"/>
              </w:rPr>
              <w:t>附件2</w:t>
            </w:r>
          </w:p>
        </w:tc>
        <w:tc>
          <w:tcPr>
            <w:tcW w:w="163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1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96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c>
          <w:tcPr>
            <w:tcW w:w="1368"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2"/>
                <w:szCs w:val="22"/>
                <w:u w:val="none"/>
              </w:rPr>
            </w:pPr>
          </w:p>
        </w:tc>
      </w:tr>
      <w:tr>
        <w:tblPrEx>
          <w:tblLayout w:type="fixed"/>
          <w:tblCellMar>
            <w:top w:w="0" w:type="dxa"/>
            <w:left w:w="0" w:type="dxa"/>
            <w:bottom w:w="0" w:type="dxa"/>
            <w:right w:w="0" w:type="dxa"/>
          </w:tblCellMar>
        </w:tblPrEx>
        <w:trPr>
          <w:trHeight w:val="540" w:hRule="atLeast"/>
        </w:trPr>
        <w:tc>
          <w:tcPr>
            <w:tcW w:w="9117"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方正小标宋_GBK" w:hAnsi="方正小标宋_GBK" w:eastAsia="方正小标宋_GBK" w:cs="方正小标宋_GBK"/>
                <w:i w:val="0"/>
                <w:color w:val="000000"/>
                <w:sz w:val="44"/>
                <w:szCs w:val="44"/>
                <w:u w:val="none"/>
              </w:rPr>
            </w:pPr>
            <w:r>
              <w:rPr>
                <w:rFonts w:hint="default" w:ascii="方正小标宋_GBK" w:hAnsi="方正小标宋_GBK" w:eastAsia="方正小标宋_GBK" w:cs="方正小标宋_GBK"/>
                <w:i w:val="0"/>
                <w:color w:val="000000"/>
                <w:kern w:val="0"/>
                <w:sz w:val="44"/>
                <w:szCs w:val="44"/>
                <w:u w:val="none"/>
                <w:lang w:val="en-US" w:eastAsia="zh-CN" w:bidi="ar"/>
              </w:rPr>
              <w:t>县级</w:t>
            </w:r>
            <w:r>
              <w:rPr>
                <w:rFonts w:hint="eastAsia" w:ascii="方正小标宋_GBK" w:hAnsi="方正小标宋_GBK" w:eastAsia="方正小标宋_GBK" w:cs="方正小标宋_GBK"/>
                <w:i w:val="0"/>
                <w:color w:val="000000"/>
                <w:kern w:val="0"/>
                <w:sz w:val="44"/>
                <w:szCs w:val="44"/>
                <w:u w:val="none"/>
                <w:lang w:val="en-US" w:eastAsia="zh-CN" w:bidi="ar"/>
              </w:rPr>
              <w:t>单位</w:t>
            </w:r>
            <w:r>
              <w:rPr>
                <w:rFonts w:hint="default" w:ascii="方正小标宋_GBK" w:hAnsi="方正小标宋_GBK" w:eastAsia="方正小标宋_GBK" w:cs="方正小标宋_GBK"/>
                <w:i w:val="0"/>
                <w:color w:val="000000"/>
                <w:kern w:val="0"/>
                <w:sz w:val="44"/>
                <w:szCs w:val="44"/>
                <w:u w:val="none"/>
                <w:lang w:val="en-US" w:eastAsia="zh-CN" w:bidi="ar"/>
              </w:rPr>
              <w:t>预算项目绩效自评表</w:t>
            </w:r>
          </w:p>
        </w:tc>
      </w:tr>
      <w:tr>
        <w:tblPrEx>
          <w:tblLayout w:type="fixed"/>
          <w:tblCellMar>
            <w:top w:w="0" w:type="dxa"/>
            <w:left w:w="0" w:type="dxa"/>
            <w:bottom w:w="0" w:type="dxa"/>
            <w:right w:w="0" w:type="dxa"/>
          </w:tblCellMar>
        </w:tblPrEx>
        <w:trPr>
          <w:trHeight w:val="315" w:hRule="atLeast"/>
        </w:trPr>
        <w:tc>
          <w:tcPr>
            <w:tcW w:w="9117" w:type="dxa"/>
            <w:gridSpan w:val="8"/>
            <w:tcBorders>
              <w:top w:val="nil"/>
              <w:left w:val="nil"/>
              <w:bottom w:val="nil"/>
              <w:right w:val="nil"/>
            </w:tcBorders>
            <w:shd w:val="clear" w:color="auto" w:fill="auto"/>
            <w:noWrap/>
            <w:tcMar>
              <w:top w:w="15" w:type="dxa"/>
              <w:left w:w="15" w:type="dxa"/>
              <w:right w:w="15" w:type="dxa"/>
            </w:tcMar>
            <w:vAlign w:val="bottom"/>
          </w:tcPr>
          <w:p>
            <w:pPr>
              <w:keepNext w:val="0"/>
              <w:keepLines w:val="0"/>
              <w:widowControl/>
              <w:suppressLineNumbers w:val="0"/>
              <w:jc w:val="center"/>
              <w:textAlignment w:val="bottom"/>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2024 年度）</w:t>
            </w:r>
          </w:p>
        </w:tc>
      </w:tr>
      <w:tr>
        <w:tblPrEx>
          <w:tblLayout w:type="fixed"/>
          <w:tblCellMar>
            <w:top w:w="0" w:type="dxa"/>
            <w:left w:w="0" w:type="dxa"/>
            <w:bottom w:w="0" w:type="dxa"/>
            <w:right w:w="0" w:type="dxa"/>
          </w:tblCellMar>
        </w:tblPrEx>
        <w:trPr>
          <w:trHeight w:val="360" w:hRule="atLeast"/>
        </w:trPr>
        <w:tc>
          <w:tcPr>
            <w:tcW w:w="98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填报单位：</w:t>
            </w:r>
          </w:p>
        </w:tc>
        <w:tc>
          <w:tcPr>
            <w:tcW w:w="163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 xml:space="preserve">    行唐县审计局</w:t>
            </w:r>
          </w:p>
        </w:tc>
        <w:tc>
          <w:tcPr>
            <w:tcW w:w="91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18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6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60"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005"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368"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金额单位：万元</w:t>
            </w:r>
          </w:p>
        </w:tc>
      </w:tr>
      <w:tr>
        <w:tblPrEx>
          <w:tblLayout w:type="fixed"/>
          <w:tblCellMar>
            <w:top w:w="0" w:type="dxa"/>
            <w:left w:w="0" w:type="dxa"/>
            <w:bottom w:w="0" w:type="dxa"/>
            <w:right w:w="0" w:type="dxa"/>
          </w:tblCellMar>
        </w:tblPrEx>
        <w:trPr>
          <w:trHeight w:val="560" w:hRule="atLeast"/>
        </w:trPr>
        <w:tc>
          <w:tcPr>
            <w:tcW w:w="984"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25"/>
                <w:lang w:val="en-US" w:eastAsia="zh-CN" w:bidi="ar"/>
              </w:rPr>
              <w:t>一、</w:t>
            </w:r>
            <w:r>
              <w:rPr>
                <w:rStyle w:val="26"/>
                <w:rFonts w:eastAsia="宋体"/>
                <w:lang w:val="en-US" w:eastAsia="zh-CN" w:bidi="ar"/>
              </w:rPr>
              <w:t xml:space="preserve"> </w:t>
            </w:r>
            <w:r>
              <w:rPr>
                <w:rStyle w:val="25"/>
                <w:lang w:val="en-US" w:eastAsia="zh-CN" w:bidi="ar"/>
              </w:rPr>
              <w:t>基本情况</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项目名称</w:t>
            </w:r>
          </w:p>
        </w:tc>
        <w:tc>
          <w:tcPr>
            <w:tcW w:w="21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2024年劳务派遣人员经费     （专项）</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实施(主管）单位</w:t>
            </w:r>
          </w:p>
        </w:tc>
        <w:tc>
          <w:tcPr>
            <w:tcW w:w="343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行唐县审计局</w:t>
            </w:r>
          </w:p>
        </w:tc>
      </w:tr>
      <w:tr>
        <w:tblPrEx>
          <w:tblLayout w:type="fixed"/>
          <w:tblCellMar>
            <w:top w:w="0" w:type="dxa"/>
            <w:left w:w="0" w:type="dxa"/>
            <w:bottom w:w="0" w:type="dxa"/>
            <w:right w:w="0" w:type="dxa"/>
          </w:tblCellMar>
        </w:tblPrEx>
        <w:trPr>
          <w:trHeight w:val="480" w:hRule="atLeast"/>
        </w:trPr>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二、预算执行情况</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预算安排情况（调整后）</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资金到位情况</w:t>
            </w:r>
          </w:p>
        </w:tc>
        <w:tc>
          <w:tcPr>
            <w:tcW w:w="206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资金执行情况</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预算执行进度</w:t>
            </w:r>
          </w:p>
        </w:tc>
      </w:tr>
      <w:tr>
        <w:tblPrEx>
          <w:tblLayout w:type="fixed"/>
          <w:tblCellMar>
            <w:top w:w="0" w:type="dxa"/>
            <w:left w:w="0" w:type="dxa"/>
            <w:bottom w:w="0" w:type="dxa"/>
            <w:right w:w="0" w:type="dxa"/>
          </w:tblCellMar>
        </w:tblPrEx>
        <w:trPr>
          <w:trHeight w:val="4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预算数：</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到位数：</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执行数：</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3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100.00%</w:t>
            </w:r>
          </w:p>
        </w:tc>
      </w:tr>
      <w:tr>
        <w:tblPrEx>
          <w:tblLayout w:type="fixed"/>
          <w:tblCellMar>
            <w:top w:w="0" w:type="dxa"/>
            <w:left w:w="0" w:type="dxa"/>
            <w:bottom w:w="0" w:type="dxa"/>
            <w:right w:w="0" w:type="dxa"/>
          </w:tblCellMar>
        </w:tblPrEx>
        <w:trPr>
          <w:trHeight w:val="54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其中：                     财政资金</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19.75851</w:t>
            </w: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05"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Calibri" w:hAnsi="Calibri" w:eastAsia="宋体" w:cs="Calibri"/>
                <w:i w:val="0"/>
                <w:color w:val="000000"/>
                <w:sz w:val="20"/>
                <w:szCs w:val="20"/>
                <w:u w:val="none"/>
              </w:rPr>
            </w:pP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9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其他</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r>
      <w:tr>
        <w:tblPrEx>
          <w:tblLayout w:type="fixed"/>
          <w:tblCellMar>
            <w:top w:w="0" w:type="dxa"/>
            <w:left w:w="0" w:type="dxa"/>
            <w:bottom w:w="0" w:type="dxa"/>
            <w:right w:w="0" w:type="dxa"/>
          </w:tblCellMar>
        </w:tblPrEx>
        <w:trPr>
          <w:trHeight w:val="465" w:hRule="atLeast"/>
        </w:trPr>
        <w:tc>
          <w:tcPr>
            <w:tcW w:w="9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三、目标完成情况</w:t>
            </w:r>
          </w:p>
        </w:tc>
        <w:tc>
          <w:tcPr>
            <w:tcW w:w="37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年度预期目标</w:t>
            </w:r>
          </w:p>
        </w:tc>
        <w:tc>
          <w:tcPr>
            <w:tcW w:w="30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具体完成情况</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总体完成率</w:t>
            </w:r>
          </w:p>
        </w:tc>
      </w:tr>
      <w:tr>
        <w:tblPrEx>
          <w:tblLayout w:type="fixed"/>
          <w:tblCellMar>
            <w:top w:w="0" w:type="dxa"/>
            <w:left w:w="0" w:type="dxa"/>
            <w:bottom w:w="0" w:type="dxa"/>
            <w:right w:w="0" w:type="dxa"/>
          </w:tblCellMar>
        </w:tblPrEx>
        <w:trPr>
          <w:trHeight w:val="1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3月底25%，6月底50%，10月底75%，12月底100%</w:t>
            </w:r>
          </w:p>
        </w:tc>
        <w:tc>
          <w:tcPr>
            <w:tcW w:w="30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100.00%</w:t>
            </w:r>
          </w:p>
        </w:tc>
        <w:tc>
          <w:tcPr>
            <w:tcW w:w="136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100%</w:t>
            </w:r>
          </w:p>
        </w:tc>
      </w:tr>
      <w:tr>
        <w:tblPrEx>
          <w:tblLayout w:type="fixed"/>
          <w:tblCellMar>
            <w:top w:w="0" w:type="dxa"/>
            <w:left w:w="0" w:type="dxa"/>
            <w:bottom w:w="0" w:type="dxa"/>
            <w:right w:w="0" w:type="dxa"/>
          </w:tblCellMar>
        </w:tblPrEx>
        <w:trPr>
          <w:trHeight w:val="22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30" w:hRule="atLeast"/>
        </w:trPr>
        <w:tc>
          <w:tcPr>
            <w:tcW w:w="9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373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30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36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r>
      <w:tr>
        <w:tblPrEx>
          <w:tblLayout w:type="fixed"/>
          <w:tblCellMar>
            <w:top w:w="0" w:type="dxa"/>
            <w:left w:w="0" w:type="dxa"/>
            <w:bottom w:w="0" w:type="dxa"/>
            <w:right w:w="0" w:type="dxa"/>
          </w:tblCellMar>
        </w:tblPrEx>
        <w:trPr>
          <w:trHeight w:val="420" w:hRule="atLeast"/>
        </w:trPr>
        <w:tc>
          <w:tcPr>
            <w:tcW w:w="984" w:type="dxa"/>
            <w:vMerge w:val="restart"/>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Style w:val="25"/>
                <w:lang w:val="en-US" w:eastAsia="zh-CN" w:bidi="ar"/>
              </w:rPr>
              <w:t>四、</w:t>
            </w:r>
            <w:r>
              <w:rPr>
                <w:rStyle w:val="26"/>
                <w:rFonts w:eastAsia="宋体"/>
                <w:lang w:val="en-US" w:eastAsia="zh-CN" w:bidi="ar"/>
              </w:rPr>
              <w:t xml:space="preserve"> </w:t>
            </w:r>
            <w:r>
              <w:rPr>
                <w:rStyle w:val="25"/>
                <w:lang w:val="en-US" w:eastAsia="zh-CN" w:bidi="ar"/>
              </w:rPr>
              <w:t>年度绩效指标完成情况</w:t>
            </w: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一级指标</w:t>
            </w:r>
          </w:p>
        </w:tc>
        <w:tc>
          <w:tcPr>
            <w:tcW w:w="9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二级指标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三级指标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预期指标值</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实际完成值</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自评得分</w:t>
            </w:r>
          </w:p>
        </w:tc>
      </w:tr>
      <w:tr>
        <w:tblPrEx>
          <w:tblLayout w:type="fixed"/>
          <w:tblCellMar>
            <w:top w:w="0" w:type="dxa"/>
            <w:left w:w="0" w:type="dxa"/>
            <w:bottom w:w="0" w:type="dxa"/>
            <w:right w:w="0" w:type="dxa"/>
          </w:tblCellMar>
        </w:tblPrEx>
        <w:trPr>
          <w:trHeight w:val="66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产出指标（40）</w:t>
            </w: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数量指标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劳务派遣人数</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10</w:t>
            </w:r>
          </w:p>
        </w:tc>
      </w:tr>
      <w:tr>
        <w:tblPrEx>
          <w:tblLayout w:type="fixed"/>
          <w:tblCellMar>
            <w:top w:w="0" w:type="dxa"/>
            <w:left w:w="0" w:type="dxa"/>
            <w:bottom w:w="0" w:type="dxa"/>
            <w:right w:w="0" w:type="dxa"/>
          </w:tblCellMar>
        </w:tblPrEx>
        <w:trPr>
          <w:trHeight w:val="3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质量指标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审计报告合格率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时效指标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及时支付率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成本指标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劳务派遣人员工资</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19.81824</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w:t>
            </w:r>
          </w:p>
        </w:tc>
      </w:tr>
      <w:tr>
        <w:tblPrEx>
          <w:tblLayout w:type="fixed"/>
          <w:tblCellMar>
            <w:top w:w="0" w:type="dxa"/>
            <w:left w:w="0" w:type="dxa"/>
            <w:bottom w:w="0" w:type="dxa"/>
            <w:right w:w="0" w:type="dxa"/>
          </w:tblCellMar>
        </w:tblPrEx>
        <w:trPr>
          <w:trHeight w:val="3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2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7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预算执行率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效益指标（40）</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经济效益指标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社会效益指标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单位正常运转率</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40</w:t>
            </w: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生态效益指标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可持续影响指标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0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r>
              <w:rPr>
                <w:rFonts w:hint="eastAsia" w:ascii="宋体" w:hAnsi="宋体" w:eastAsia="宋体" w:cs="宋体"/>
                <w:i w:val="0"/>
                <w:color w:val="000000"/>
                <w:kern w:val="0"/>
                <w:sz w:val="20"/>
                <w:szCs w:val="20"/>
                <w:u w:val="none"/>
                <w:lang w:val="en-US" w:eastAsia="zh-CN" w:bidi="ar"/>
              </w:rPr>
              <w:br w:type="textWrapping"/>
            </w:r>
            <w:r>
              <w:rPr>
                <w:rFonts w:hint="eastAsia" w:ascii="宋体" w:hAnsi="宋体" w:eastAsia="宋体" w:cs="宋体"/>
                <w:i w:val="0"/>
                <w:color w:val="000000"/>
                <w:kern w:val="0"/>
                <w:sz w:val="20"/>
                <w:szCs w:val="20"/>
                <w:u w:val="none"/>
                <w:lang w:val="en-US" w:eastAsia="zh-CN" w:bidi="ar"/>
              </w:rPr>
              <w:t>（10分）</w:t>
            </w:r>
          </w:p>
        </w:tc>
        <w:tc>
          <w:tcPr>
            <w:tcW w:w="91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满意度指标</w:t>
            </w: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服务对象满意度</w:t>
            </w: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≥95%</w:t>
            </w: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100%</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rPr>
            </w:pPr>
            <w:r>
              <w:rPr>
                <w:rFonts w:hint="default" w:ascii="Calibri" w:hAnsi="Calibri" w:eastAsia="宋体" w:cs="Calibri"/>
                <w:i w:val="0"/>
                <w:color w:val="000000"/>
                <w:kern w:val="0"/>
                <w:sz w:val="21"/>
                <w:szCs w:val="21"/>
                <w:u w:val="none"/>
                <w:lang w:val="en-US" w:eastAsia="zh-CN" w:bidi="ar"/>
              </w:rPr>
              <w:t>10</w:t>
            </w: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7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91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2150" w:type="dxa"/>
            <w:gridSpan w:val="2"/>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0"/>
                <w:szCs w:val="20"/>
                <w:u w:val="none"/>
              </w:rPr>
            </w:pPr>
          </w:p>
        </w:tc>
        <w:tc>
          <w:tcPr>
            <w:tcW w:w="1060"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005"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c>
          <w:tcPr>
            <w:tcW w:w="1368" w:type="dxa"/>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0"/>
                <w:szCs w:val="20"/>
                <w:u w:val="none"/>
              </w:rPr>
            </w:pPr>
          </w:p>
        </w:tc>
      </w:tr>
      <w:tr>
        <w:tblPrEx>
          <w:tblLayout w:type="fixed"/>
          <w:tblCellMar>
            <w:top w:w="0" w:type="dxa"/>
            <w:left w:w="0" w:type="dxa"/>
            <w:bottom w:w="0" w:type="dxa"/>
            <w:right w:w="0" w:type="dxa"/>
          </w:tblCellMar>
        </w:tblPrEx>
        <w:trPr>
          <w:trHeight w:val="240" w:hRule="atLeast"/>
        </w:trPr>
        <w:tc>
          <w:tcPr>
            <w:tcW w:w="984" w:type="dxa"/>
            <w:vMerge w:val="continue"/>
            <w:tcBorders>
              <w:top w:val="single" w:color="000000" w:sz="4" w:space="0"/>
              <w:left w:val="single" w:color="000000" w:sz="4" w:space="0"/>
              <w:bottom w:val="single" w:color="000000" w:sz="4" w:space="0"/>
              <w:right w:val="nil"/>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20"/>
                <w:szCs w:val="20"/>
                <w:u w:val="none"/>
              </w:rPr>
            </w:pPr>
          </w:p>
        </w:tc>
        <w:tc>
          <w:tcPr>
            <w:tcW w:w="67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总分</w:t>
            </w:r>
          </w:p>
        </w:tc>
        <w:tc>
          <w:tcPr>
            <w:tcW w:w="13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0"/>
                <w:szCs w:val="20"/>
                <w:u w:val="none"/>
              </w:rPr>
            </w:pPr>
            <w:r>
              <w:rPr>
                <w:rFonts w:hint="default" w:ascii="Calibri" w:hAnsi="Calibri" w:eastAsia="宋体" w:cs="Calibri"/>
                <w:i w:val="0"/>
                <w:color w:val="000000"/>
                <w:kern w:val="0"/>
                <w:sz w:val="20"/>
                <w:szCs w:val="20"/>
                <w:u w:val="none"/>
                <w:lang w:val="en-US" w:eastAsia="zh-CN" w:bidi="ar"/>
              </w:rPr>
              <w:t>99</w:t>
            </w:r>
          </w:p>
        </w:tc>
      </w:tr>
      <w:tr>
        <w:tblPrEx>
          <w:tblLayout w:type="fixed"/>
          <w:tblCellMar>
            <w:top w:w="0" w:type="dxa"/>
            <w:left w:w="0" w:type="dxa"/>
            <w:bottom w:w="0" w:type="dxa"/>
            <w:right w:w="0" w:type="dxa"/>
          </w:tblCellMar>
        </w:tblPrEx>
        <w:trPr>
          <w:trHeight w:val="760" w:hRule="atLeast"/>
        </w:trPr>
        <w:tc>
          <w:tcPr>
            <w:tcW w:w="98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0"/>
                <w:szCs w:val="20"/>
                <w:u w:val="none"/>
              </w:rPr>
            </w:pPr>
            <w:r>
              <w:rPr>
                <w:rStyle w:val="25"/>
                <w:lang w:val="en-US" w:eastAsia="zh-CN" w:bidi="ar"/>
              </w:rPr>
              <w:t>五、</w:t>
            </w:r>
            <w:r>
              <w:rPr>
                <w:rStyle w:val="26"/>
                <w:rFonts w:eastAsia="宋体"/>
                <w:lang w:val="en-US" w:eastAsia="zh-CN" w:bidi="ar"/>
              </w:rPr>
              <w:t xml:space="preserve"> </w:t>
            </w:r>
            <w:r>
              <w:rPr>
                <w:rStyle w:val="25"/>
                <w:lang w:val="en-US" w:eastAsia="zh-CN" w:bidi="ar"/>
              </w:rPr>
              <w:t>存在问题、原因及下一步整改措施</w:t>
            </w:r>
          </w:p>
        </w:tc>
        <w:tc>
          <w:tcPr>
            <w:tcW w:w="8133"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0"/>
                <w:szCs w:val="20"/>
                <w:u w:val="none"/>
              </w:rPr>
            </w:pPr>
            <w:r>
              <w:rPr>
                <w:rFonts w:hint="eastAsia" w:ascii="宋体" w:hAnsi="宋体" w:eastAsia="宋体" w:cs="宋体"/>
                <w:i w:val="0"/>
                <w:color w:val="000000"/>
                <w:kern w:val="0"/>
                <w:sz w:val="20"/>
                <w:szCs w:val="20"/>
                <w:u w:val="none"/>
                <w:lang w:val="en-US" w:eastAsia="zh-CN" w:bidi="ar"/>
              </w:rPr>
              <w:t>无</w:t>
            </w:r>
          </w:p>
        </w:tc>
      </w:tr>
    </w:tbl>
    <w:p>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w:t>
      </w:r>
      <w:r>
        <w:rPr>
          <w:rFonts w:hint="eastAsia" w:ascii="Times New Roman" w:eastAsia="仿宋_GB2312"/>
          <w:b w:val="0"/>
          <w:sz w:val="32"/>
          <w:szCs w:val="32"/>
          <w:lang w:eastAsia="zh-CN"/>
        </w:rPr>
        <w:t>单位</w:t>
      </w:r>
      <w:r>
        <w:rPr>
          <w:rFonts w:ascii="Times New Roman" w:eastAsia="仿宋_GB2312"/>
          <w:b w:val="0"/>
          <w:sz w:val="32"/>
          <w:szCs w:val="32"/>
        </w:rPr>
        <w:t>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决算公开中反映劳务派遣人员经费等5个项目绩效自评结果。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劳务派遣人员经费项目绩效自评情况：根据年初设定的绩效目标，劳务派遣人员经费项目绩效自评得分为98分（绩效自评表附后）。全年预算数为19.82万元，执行数为19.76万元，完成预算的99.7%。项目绩效目标完成情况：一是预算数基本完成；二是。发现的主要问题及原因是：一是；二是。下一步改进措施：一是；二是。</w:t>
      </w:r>
    </w:p>
    <w:p>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hint="eastAsia" w:ascii="Times New Roman" w:eastAsia="仿宋_GB2312"/>
          <w:b/>
          <w:sz w:val="32"/>
          <w:szCs w:val="32"/>
          <w:lang w:eastAsia="zh-CN"/>
        </w:rPr>
        <w:t>单位</w:t>
      </w:r>
      <w:r>
        <w:rPr>
          <w:rFonts w:ascii="Times New Roman" w:eastAsia="仿宋_GB2312"/>
          <w:b/>
          <w:sz w:val="32"/>
          <w:szCs w:val="32"/>
        </w:rPr>
        <w:t>评价项目绩效评价结果</w:t>
      </w:r>
    </w:p>
    <w:p>
      <w:pPr>
        <w:widowControl/>
        <w:numPr>
          <w:ilvl w:val="0"/>
          <w:numId w:val="0"/>
        </w:numPr>
        <w:spacing w:before="0" w:beforeLines="0" w:beforeAutospacing="0" w:after="0" w:afterLines="0" w:afterAutospacing="0" w:line="360" w:lineRule="auto"/>
        <w:jc w:val="left"/>
        <w:rPr>
          <w:rFonts w:ascii="Times New Roman" w:eastAsia="仿宋_GB2312"/>
          <w:b/>
          <w:sz w:val="32"/>
          <w:szCs w:val="32"/>
        </w:rPr>
      </w:pP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w:t>
      </w:r>
      <w:r>
        <w:rPr>
          <w:rFonts w:hint="eastAsia" w:ascii="Times New Roman" w:eastAsia="仿宋_GB2312"/>
          <w:b w:val="0"/>
          <w:sz w:val="32"/>
          <w:szCs w:val="32"/>
          <w:lang w:eastAsia="zh-CN"/>
        </w:rPr>
        <w:t>单位</w:t>
      </w:r>
      <w:r>
        <w:rPr>
          <w:rFonts w:ascii="Times New Roman" w:eastAsia="仿宋_GB2312"/>
          <w:b w:val="0"/>
          <w:sz w:val="32"/>
          <w:szCs w:val="32"/>
        </w:rPr>
        <w:t>2024年度政府性基金预算财政拨款收入支出决算表（公开07表）、国有资本经营预算财政拨款支出决算表（公开08表）无相应收支，故空表列示。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w:t>
      </w:r>
      <w:r>
        <w:rPr>
          <w:rFonts w:hint="eastAsia" w:ascii="Times New Roman" w:eastAsia="仿宋_GB2312"/>
          <w:b w:val="0"/>
          <w:sz w:val="32"/>
          <w:szCs w:val="32"/>
          <w:lang w:eastAsia="zh-CN"/>
        </w:rPr>
        <w:t>单位</w:t>
      </w:r>
      <w:r>
        <w:rPr>
          <w:rFonts w:ascii="Times New Roman" w:eastAsia="仿宋_GB2312"/>
          <w:b w:val="0"/>
          <w:sz w:val="32"/>
          <w:szCs w:val="32"/>
        </w:rPr>
        <w:t>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w:t>
      </w:r>
      <w:r>
        <w:rPr>
          <w:rFonts w:hint="eastAsia" w:ascii="Times New Roman" w:eastAsia="仿宋_GB2312"/>
          <w:b w:val="0"/>
          <w:sz w:val="32"/>
          <w:szCs w:val="32"/>
          <w:lang w:eastAsia="zh-CN"/>
        </w:rPr>
        <w:t>单位</w:t>
      </w:r>
      <w:r>
        <w:rPr>
          <w:rFonts w:ascii="Times New Roman" w:eastAsia="仿宋_GB2312"/>
          <w:b w:val="0"/>
          <w:sz w:val="32"/>
          <w:szCs w:val="32"/>
        </w:rPr>
        <w:t>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footerReference r:id="rId11" w:type="default"/>
      <w:pgSz w:w="11850" w:h="16783"/>
      <w:pgMar w:top="2098" w:right="1417" w:bottom="1871" w:left="1417" w:header="851" w:footer="992" w:gutter="0"/>
      <w:pgBorders>
        <w:top w:val="none" w:sz="0" w:space="0"/>
        <w:left w:val="none" w:sz="0" w:space="0"/>
        <w:bottom w:val="none" w:sz="0" w:space="0"/>
        <w:right w:val="none" w:sz="0" w:space="0"/>
      </w:pgBorders>
      <w:pgNumType w:start="1"/>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83DA80C-11C4-4E8A-ACB2-40FA7DF3A667}"/>
  </w:font>
  <w:font w:name="黑体">
    <w:panose1 w:val="02010609060101010101"/>
    <w:charset w:val="86"/>
    <w:family w:val="auto"/>
    <w:pitch w:val="default"/>
    <w:sig w:usb0="800002BF" w:usb1="38CF7CFA" w:usb2="00000016" w:usb3="00000000" w:csb0="00040001" w:csb1="00000000"/>
    <w:embedRegular r:id="rId2" w:fontKey="{B386EE12-ADE0-4CFF-822B-3A52238BB10C}"/>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embedRegular r:id="rId3" w:fontKey="{C7D5649A-0B17-46B0-BE71-F7A1F1321D2C}"/>
  </w:font>
  <w:font w:name="仿宋">
    <w:panose1 w:val="02010609060101010101"/>
    <w:charset w:val="86"/>
    <w:family w:val="modern"/>
    <w:pitch w:val="default"/>
    <w:sig w:usb0="800002BF" w:usb1="38CF7CFA" w:usb2="00000016" w:usb3="00000000" w:csb0="00040001" w:csb1="00000000"/>
    <w:embedRegular r:id="rId4" w:fontKey="{B963D2A1-E1AD-497B-B089-D54237FB0ECF}"/>
  </w:font>
  <w:font w:name="Calibri Light">
    <w:altName w:val="Calibri"/>
    <w:panose1 w:val="020F0302020204030204"/>
    <w:charset w:val="00"/>
    <w:family w:val="auto"/>
    <w:pitch w:val="default"/>
    <w:sig w:usb0="00000000" w:usb1="00000000"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04A5DD4F-5FD0-4FB5-9053-EE6623ABE528}"/>
  </w:font>
  <w:font w:name="方正小标宋_GBK">
    <w:panose1 w:val="02000000000000000000"/>
    <w:charset w:val="86"/>
    <w:family w:val="script"/>
    <w:pitch w:val="default"/>
    <w:sig w:usb0="00000000" w:usb1="00000000" w:usb2="00000000" w:usb3="00000000" w:csb0="00000000" w:csb1="00000000"/>
    <w:embedRegular r:id="rId6" w:fontKey="{F4326191-E234-43C3-8F6F-C56F7FA89B7C}"/>
  </w:font>
  <w:font w:name="仿宋_GB2312">
    <w:panose1 w:val="02010609030101010101"/>
    <w:charset w:val="86"/>
    <w:family w:val="auto"/>
    <w:pitch w:val="default"/>
    <w:sig w:usb0="00000001" w:usb1="080E0000" w:usb2="00000000" w:usb3="00000000" w:csb0="00040000" w:csb1="00000000"/>
    <w:embedRegular r:id="rId7" w:fontKey="{964ED112-D5F5-41C6-B620-08E026B27E62}"/>
  </w:font>
  <w:font w:name="ArialUnicodeMS">
    <w:altName w:val="Malgun Gothic"/>
    <w:panose1 w:val="00000000000000000000"/>
    <w:charset w:val="81"/>
    <w:family w:val="auto"/>
    <w:pitch w:val="default"/>
    <w:sig w:usb0="00000000" w:usb1="00000000" w:usb2="00000010" w:usb3="00000000" w:csb0="00080001" w:csb1="00000000"/>
    <w:embedRegular r:id="rId8" w:fontKey="{F13071F6-C06C-4A2B-974D-2A2945E6F446}"/>
  </w:font>
  <w:font w:name="方正仿宋_GB2312">
    <w:panose1 w:val="02000000000000000000"/>
    <w:charset w:val="86"/>
    <w:family w:val="auto"/>
    <w:pitch w:val="default"/>
    <w:sig w:usb0="00000000" w:usb1="00000000" w:usb2="00000000" w:usb3="00000000" w:csb0="00000000" w:csb1="00000000"/>
    <w:embedRegular r:id="rId9" w:fontKey="{029BD64A-6AF6-4C60-A473-1DED53CDCE1B}"/>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AA109"/>
    <w:multiLevelType w:val="singleLevel"/>
    <w:tmpl w:val="1BFAA109"/>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04BFE"/>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802751"/>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5795E"/>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07DB6"/>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0016D7"/>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9F667E4"/>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0E53589"/>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21"/>
    <w:basedOn w:val="13"/>
    <w:uiPriority w:val="0"/>
    <w:rPr>
      <w:rFonts w:hint="eastAsia" w:ascii="宋体" w:hAnsi="宋体" w:eastAsia="宋体" w:cs="宋体"/>
      <w:color w:val="000000"/>
      <w:sz w:val="20"/>
      <w:szCs w:val="20"/>
      <w:u w:val="none"/>
    </w:rPr>
  </w:style>
  <w:style w:type="character" w:customStyle="1" w:styleId="26">
    <w:name w:val="font71"/>
    <w:basedOn w:val="13"/>
    <w:qFormat/>
    <w:uiPriority w:val="0"/>
    <w:rPr>
      <w:rFonts w:ascii="Calibri" w:hAnsi="Calibri" w:cs="Calibri"/>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chart" Target="charts/chart6.xml"/><Relationship Id="rId18" Type="http://schemas.openxmlformats.org/officeDocument/2006/relationships/chart" Target="charts/chart5.xml"/><Relationship Id="rId17" Type="http://schemas.openxmlformats.org/officeDocument/2006/relationships/chart" Target="charts/chart4.xml"/><Relationship Id="rId16" Type="http://schemas.openxmlformats.org/officeDocument/2006/relationships/chart" Target="charts/chart3.xml"/><Relationship Id="rId15" Type="http://schemas.openxmlformats.org/officeDocument/2006/relationships/chart" Target="charts/chart2.xml"/><Relationship Id="rId14" Type="http://schemas.openxmlformats.org/officeDocument/2006/relationships/chart" Target="charts/chart1.xml"/><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496.81</c:v>
                </c:pt>
                <c:pt idx="1">
                  <c:v>360.66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3606619.03</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2989033.93</c:v>
                </c:pt>
                <c:pt idx="1">
                  <c:v>617585.1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496.81</c:v>
                </c:pt>
                <c:pt idx="1">
                  <c:v>496.81</c:v>
                </c:pt>
                <c:pt idx="2">
                  <c:v>496.81</c:v>
                </c:pt>
                <c:pt idx="3">
                  <c:v>496.81</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360.66</c:v>
                </c:pt>
                <c:pt idx="1">
                  <c:v>360.66</c:v>
                </c:pt>
                <c:pt idx="2">
                  <c:v>360.66</c:v>
                </c:pt>
                <c:pt idx="3">
                  <c:v>360.66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350.63</c:v>
                </c:pt>
                <c:pt idx="1">
                  <c:v>350.63</c:v>
                </c:pt>
                <c:pt idx="2">
                  <c:v>350.63</c:v>
                </c:pt>
                <c:pt idx="3">
                  <c:v>350.63</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360.66</c:v>
                </c:pt>
                <c:pt idx="1">
                  <c:v>360.66</c:v>
                </c:pt>
                <c:pt idx="2">
                  <c:v>360.66</c:v>
                </c:pt>
                <c:pt idx="3">
                  <c:v>360.66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301.1</c:v>
                </c:pt>
                <c:pt idx="1">
                  <c:v>0</c:v>
                </c:pt>
                <c:pt idx="2">
                  <c:v>0</c:v>
                </c:pt>
                <c:pt idx="3">
                  <c:v>0</c:v>
                </c:pt>
                <c:pt idx="4">
                  <c:v>0</c:v>
                </c:pt>
                <c:pt idx="5">
                  <c:v>0</c:v>
                </c:pt>
                <c:pt idx="6">
                  <c:v>0</c:v>
                </c:pt>
                <c:pt idx="7">
                  <c:v>26.48</c:v>
                </c:pt>
                <c:pt idx="8">
                  <c:v>12.85</c:v>
                </c:pt>
                <c:pt idx="9">
                  <c:v>0</c:v>
                </c:pt>
                <c:pt idx="10">
                  <c:v>0</c:v>
                </c:pt>
                <c:pt idx="11">
                  <c:v>0</c:v>
                </c:pt>
                <c:pt idx="12">
                  <c:v>0</c:v>
                </c:pt>
                <c:pt idx="13">
                  <c:v>0</c:v>
                </c:pt>
                <c:pt idx="14">
                  <c:v>0</c:v>
                </c:pt>
                <c:pt idx="15">
                  <c:v>0</c:v>
                </c:pt>
                <c:pt idx="16">
                  <c:v>0</c:v>
                </c:pt>
                <c:pt idx="17">
                  <c:v>0</c:v>
                </c:pt>
                <c:pt idx="18">
                  <c:v>20.24</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27</TotalTime>
  <ScaleCrop>false</ScaleCrop>
  <LinksUpToDate>false</LinksUpToDate>
  <CharactersWithSpaces>2170</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2025-09-26T09:29:21Z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