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222</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lang w:eastAsia="zh-CN"/>
        </w:rPr>
        <w:t>部门</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：中共行唐县纪律检查委员会</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352F70F0">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中共行唐县纪律检查委员会</w:t>
      </w:r>
    </w:p>
    <w:p w14:paraId="2851C37F">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03510555">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中共行唐县纪律检查委员会</w:t>
      </w:r>
    </w:p>
    <w:p w14:paraId="1597CB4E">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003015D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0DF94D2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14:paraId="50E5505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7C88CBC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1A97C684">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369B8EB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43F5E06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2A904A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7254216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0AC477A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0CBA24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55E7AF4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7135B1F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25AC164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0C42D8B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62E968D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1D24F7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4B0D07D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25A0347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01750C0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2F26BE1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64D490B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3AC83C1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60720D2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41B8CF1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33599387">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4ADAEC7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14:paraId="31D0037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1EFEF1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eastAsia="zh-CN"/>
        </w:rPr>
        <w:t>负责</w:t>
      </w:r>
      <w:r>
        <w:rPr>
          <w:rFonts w:ascii="Times New Roman" w:eastAsia="仿宋_GB2312"/>
          <w:b w:val="0"/>
          <w:sz w:val="32"/>
          <w:szCs w:val="32"/>
        </w:rPr>
        <w:t>全县党的纪律检查工作；依照党的章程和其他党内法规履行监督、执纪、问责职责；支持配合巡视、巡察工作；负责全县监察工作；依照法律规定履行监督、调查、处置职责；负责组织协调全面从严治党、党风廉政建设和反腐败宣传教育工作；负责综合分析全面从严治党、党风廉政建设和反腐败工作情况，对纪检监察工作重要理论及实践问题进行调查研究，制定或者修改全县纪检监察有关制度，参与起草有关规定性文件；负责组织协调全县反腐败追逃追赃和防逃工作，督促有关单位做好相关工作；根据干部管理权限，负责全县纪检监察系统领导班子建设、干部队伍建设和组织建设的综合规划、政策研究、制度建设和业务指导；会同县委组织部负责县委巡察办的科级干部提名、考核、考察，报县委任免；根据干部管理权限负责县委巡察办科级以下干部人事工作；会同有关方面做好县纪委监委派驻机构、乡镇纪检监察机构领导班子建设有关工作；组织和指导全县纪检监察系统干部教育培训工作。</w:t>
      </w:r>
    </w:p>
    <w:p w14:paraId="60A0EB5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0CE2166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中共行唐县纪律检查委员会(本级)</w:t>
            </w:r>
          </w:p>
        </w:tc>
        <w:tc>
          <w:tcPr>
            <w:tcW w:w="2445" w:type="dxa"/>
          </w:tcPr>
          <w:p w14:paraId="2E443189">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1224E01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部门：中共行唐县纪律检查委员会</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1,470.35</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95.3</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43.61</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74.7</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部门：中共行唐县纪律检查委员会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1,683.96</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1,683.96</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1,470.35</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1,470.35</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A2E7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F4267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20111</w:t>
            </w:r>
          </w:p>
        </w:tc>
        <w:tc>
          <w:tcPr>
            <w:tcW w:w="1160" w:type="dxa"/>
            <w:tcBorders>
              <w:top w:val="nil"/>
              <w:left w:val="nil"/>
              <w:bottom w:val="single" w:color="000000" w:sz="4" w:space="0"/>
              <w:right w:val="single" w:color="000000" w:sz="4" w:space="0"/>
            </w:tcBorders>
            <w:noWrap/>
            <w:vAlign w:val="center"/>
          </w:tcPr>
          <w:p w14:paraId="21B2EE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纪检监察事务</w:t>
            </w:r>
          </w:p>
        </w:tc>
        <w:tc>
          <w:tcPr>
            <w:tcW w:w="1037" w:type="dxa"/>
            <w:tcBorders>
              <w:top w:val="nil"/>
              <w:left w:val="nil"/>
              <w:bottom w:val="single" w:color="000000" w:sz="4" w:space="0"/>
              <w:right w:val="single" w:color="000000" w:sz="4" w:space="0"/>
            </w:tcBorders>
            <w:noWrap/>
            <w:vAlign w:val="center"/>
          </w:tcPr>
          <w:p w14:paraId="53F2A3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1,470.35</w:t>
            </w:r>
          </w:p>
        </w:tc>
        <w:tc>
          <w:tcPr>
            <w:tcW w:w="1037" w:type="dxa"/>
            <w:tcBorders>
              <w:top w:val="nil"/>
              <w:left w:val="nil"/>
              <w:bottom w:val="single" w:color="000000" w:sz="4" w:space="0"/>
              <w:right w:val="single" w:color="000000" w:sz="4" w:space="0"/>
            </w:tcBorders>
            <w:noWrap/>
            <w:vAlign w:val="center"/>
          </w:tcPr>
          <w:p w14:paraId="45CE8F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1,470.35</w:t>
            </w:r>
          </w:p>
        </w:tc>
        <w:tc>
          <w:tcPr>
            <w:tcW w:w="1037" w:type="dxa"/>
            <w:tcBorders>
              <w:top w:val="nil"/>
              <w:left w:val="nil"/>
              <w:bottom w:val="single" w:color="000000" w:sz="4" w:space="0"/>
              <w:right w:val="single" w:color="000000" w:sz="4" w:space="0"/>
            </w:tcBorders>
            <w:noWrap/>
            <w:vAlign w:val="center"/>
          </w:tcPr>
          <w:p w14:paraId="604F95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4F59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244F2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E3DC5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4589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4053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0DC6E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2011101</w:t>
            </w:r>
          </w:p>
        </w:tc>
        <w:tc>
          <w:tcPr>
            <w:tcW w:w="1160" w:type="dxa"/>
            <w:tcBorders>
              <w:top w:val="nil"/>
              <w:left w:val="nil"/>
              <w:bottom w:val="single" w:color="000000" w:sz="4" w:space="0"/>
              <w:right w:val="single" w:color="000000" w:sz="4" w:space="0"/>
            </w:tcBorders>
            <w:noWrap/>
            <w:vAlign w:val="center"/>
          </w:tcPr>
          <w:p w14:paraId="1826566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5E9756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885.67</w:t>
            </w:r>
          </w:p>
        </w:tc>
        <w:tc>
          <w:tcPr>
            <w:tcW w:w="1037" w:type="dxa"/>
            <w:tcBorders>
              <w:top w:val="nil"/>
              <w:left w:val="nil"/>
              <w:bottom w:val="single" w:color="000000" w:sz="4" w:space="0"/>
              <w:right w:val="single" w:color="000000" w:sz="4" w:space="0"/>
            </w:tcBorders>
            <w:noWrap/>
            <w:vAlign w:val="center"/>
          </w:tcPr>
          <w:p w14:paraId="083892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885.67</w:t>
            </w:r>
          </w:p>
        </w:tc>
        <w:tc>
          <w:tcPr>
            <w:tcW w:w="1037" w:type="dxa"/>
            <w:tcBorders>
              <w:top w:val="nil"/>
              <w:left w:val="nil"/>
              <w:bottom w:val="single" w:color="000000" w:sz="4" w:space="0"/>
              <w:right w:val="single" w:color="000000" w:sz="4" w:space="0"/>
            </w:tcBorders>
            <w:noWrap/>
            <w:vAlign w:val="center"/>
          </w:tcPr>
          <w:p w14:paraId="274177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1855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D8E57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E25B1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8ADE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7471D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09348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2011102</w:t>
            </w:r>
          </w:p>
        </w:tc>
        <w:tc>
          <w:tcPr>
            <w:tcW w:w="1160" w:type="dxa"/>
            <w:tcBorders>
              <w:top w:val="nil"/>
              <w:left w:val="nil"/>
              <w:bottom w:val="single" w:color="000000" w:sz="4" w:space="0"/>
              <w:right w:val="single" w:color="000000" w:sz="4" w:space="0"/>
            </w:tcBorders>
            <w:noWrap/>
            <w:vAlign w:val="center"/>
          </w:tcPr>
          <w:p w14:paraId="6772D0E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360C0B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584.68</w:t>
            </w:r>
          </w:p>
        </w:tc>
        <w:tc>
          <w:tcPr>
            <w:tcW w:w="1037" w:type="dxa"/>
            <w:tcBorders>
              <w:top w:val="nil"/>
              <w:left w:val="nil"/>
              <w:bottom w:val="single" w:color="000000" w:sz="4" w:space="0"/>
              <w:right w:val="single" w:color="000000" w:sz="4" w:space="0"/>
            </w:tcBorders>
            <w:noWrap/>
            <w:vAlign w:val="center"/>
          </w:tcPr>
          <w:p w14:paraId="0F2314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584.68</w:t>
            </w:r>
          </w:p>
        </w:tc>
        <w:tc>
          <w:tcPr>
            <w:tcW w:w="1037" w:type="dxa"/>
            <w:tcBorders>
              <w:top w:val="nil"/>
              <w:left w:val="nil"/>
              <w:bottom w:val="single" w:color="000000" w:sz="4" w:space="0"/>
              <w:right w:val="single" w:color="000000" w:sz="4" w:space="0"/>
            </w:tcBorders>
            <w:noWrap/>
            <w:vAlign w:val="center"/>
          </w:tcPr>
          <w:p w14:paraId="55CC90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1520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8AB53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F16AD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DDA7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A3E3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F8EE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64B05BE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5707EF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95.3</w:t>
            </w:r>
          </w:p>
        </w:tc>
        <w:tc>
          <w:tcPr>
            <w:tcW w:w="1037" w:type="dxa"/>
            <w:tcBorders>
              <w:top w:val="nil"/>
              <w:left w:val="nil"/>
              <w:bottom w:val="single" w:color="000000" w:sz="4" w:space="0"/>
              <w:right w:val="single" w:color="000000" w:sz="4" w:space="0"/>
            </w:tcBorders>
            <w:noWrap/>
            <w:vAlign w:val="center"/>
          </w:tcPr>
          <w:p w14:paraId="3B1467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95.3</w:t>
            </w:r>
          </w:p>
        </w:tc>
        <w:tc>
          <w:tcPr>
            <w:tcW w:w="1037" w:type="dxa"/>
            <w:tcBorders>
              <w:top w:val="nil"/>
              <w:left w:val="nil"/>
              <w:bottom w:val="single" w:color="000000" w:sz="4" w:space="0"/>
              <w:right w:val="single" w:color="000000" w:sz="4" w:space="0"/>
            </w:tcBorders>
            <w:noWrap/>
            <w:vAlign w:val="center"/>
          </w:tcPr>
          <w:p w14:paraId="10D0F7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6E60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DA3C9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FB6A7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B67B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DF079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745AB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2C653EE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48C09F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92.1</w:t>
            </w:r>
          </w:p>
        </w:tc>
        <w:tc>
          <w:tcPr>
            <w:tcW w:w="1037" w:type="dxa"/>
            <w:tcBorders>
              <w:top w:val="nil"/>
              <w:left w:val="nil"/>
              <w:bottom w:val="single" w:color="000000" w:sz="4" w:space="0"/>
              <w:right w:val="single" w:color="000000" w:sz="4" w:space="0"/>
            </w:tcBorders>
            <w:noWrap/>
            <w:vAlign w:val="center"/>
          </w:tcPr>
          <w:p w14:paraId="25A08D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92.1</w:t>
            </w:r>
          </w:p>
        </w:tc>
        <w:tc>
          <w:tcPr>
            <w:tcW w:w="1037" w:type="dxa"/>
            <w:tcBorders>
              <w:top w:val="nil"/>
              <w:left w:val="nil"/>
              <w:bottom w:val="single" w:color="000000" w:sz="4" w:space="0"/>
              <w:right w:val="single" w:color="000000" w:sz="4" w:space="0"/>
            </w:tcBorders>
            <w:noWrap/>
            <w:vAlign w:val="center"/>
          </w:tcPr>
          <w:p w14:paraId="587CCF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5B9D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FB7C4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482D1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6318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8203E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2009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181821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313B33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92.1</w:t>
            </w:r>
          </w:p>
        </w:tc>
        <w:tc>
          <w:tcPr>
            <w:tcW w:w="1037" w:type="dxa"/>
            <w:tcBorders>
              <w:top w:val="nil"/>
              <w:left w:val="nil"/>
              <w:bottom w:val="single" w:color="000000" w:sz="4" w:space="0"/>
              <w:right w:val="single" w:color="000000" w:sz="4" w:space="0"/>
            </w:tcBorders>
            <w:noWrap/>
            <w:vAlign w:val="center"/>
          </w:tcPr>
          <w:p w14:paraId="1638BA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92.1</w:t>
            </w:r>
          </w:p>
        </w:tc>
        <w:tc>
          <w:tcPr>
            <w:tcW w:w="1037" w:type="dxa"/>
            <w:tcBorders>
              <w:top w:val="nil"/>
              <w:left w:val="nil"/>
              <w:bottom w:val="single" w:color="000000" w:sz="4" w:space="0"/>
              <w:right w:val="single" w:color="000000" w:sz="4" w:space="0"/>
            </w:tcBorders>
            <w:noWrap/>
            <w:vAlign w:val="center"/>
          </w:tcPr>
          <w:p w14:paraId="5EA660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3416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A2A28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7645D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3A70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2E4B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E87077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57BEF7A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09BBD9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w:t>
            </w:r>
          </w:p>
        </w:tc>
        <w:tc>
          <w:tcPr>
            <w:tcW w:w="1037" w:type="dxa"/>
            <w:tcBorders>
              <w:top w:val="nil"/>
              <w:left w:val="nil"/>
              <w:bottom w:val="single" w:color="000000" w:sz="4" w:space="0"/>
              <w:right w:val="single" w:color="000000" w:sz="4" w:space="0"/>
            </w:tcBorders>
            <w:noWrap/>
            <w:vAlign w:val="center"/>
          </w:tcPr>
          <w:p w14:paraId="7A96E1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w:t>
            </w:r>
          </w:p>
        </w:tc>
        <w:tc>
          <w:tcPr>
            <w:tcW w:w="1037" w:type="dxa"/>
            <w:tcBorders>
              <w:top w:val="nil"/>
              <w:left w:val="nil"/>
              <w:bottom w:val="single" w:color="000000" w:sz="4" w:space="0"/>
              <w:right w:val="single" w:color="000000" w:sz="4" w:space="0"/>
            </w:tcBorders>
            <w:noWrap/>
            <w:vAlign w:val="center"/>
          </w:tcPr>
          <w:p w14:paraId="06F972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1BB3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8964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DE2BA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5E2E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4A37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43C4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7DEAFA0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3E759C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0.78</w:t>
            </w:r>
          </w:p>
        </w:tc>
        <w:tc>
          <w:tcPr>
            <w:tcW w:w="1037" w:type="dxa"/>
            <w:tcBorders>
              <w:top w:val="nil"/>
              <w:left w:val="nil"/>
              <w:bottom w:val="single" w:color="000000" w:sz="4" w:space="0"/>
              <w:right w:val="single" w:color="000000" w:sz="4" w:space="0"/>
            </w:tcBorders>
            <w:noWrap/>
            <w:vAlign w:val="center"/>
          </w:tcPr>
          <w:p w14:paraId="23A704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0.78</w:t>
            </w:r>
          </w:p>
        </w:tc>
        <w:tc>
          <w:tcPr>
            <w:tcW w:w="1037" w:type="dxa"/>
            <w:tcBorders>
              <w:top w:val="nil"/>
              <w:left w:val="nil"/>
              <w:bottom w:val="single" w:color="000000" w:sz="4" w:space="0"/>
              <w:right w:val="single" w:color="000000" w:sz="4" w:space="0"/>
            </w:tcBorders>
            <w:noWrap/>
            <w:vAlign w:val="center"/>
          </w:tcPr>
          <w:p w14:paraId="54F97C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4FD8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2A02D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9763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531F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A55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9D552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4F4752A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272B30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w:t>
            </w:r>
          </w:p>
        </w:tc>
        <w:tc>
          <w:tcPr>
            <w:tcW w:w="1037" w:type="dxa"/>
            <w:tcBorders>
              <w:top w:val="nil"/>
              <w:left w:val="nil"/>
              <w:bottom w:val="single" w:color="000000" w:sz="4" w:space="0"/>
              <w:right w:val="single" w:color="000000" w:sz="4" w:space="0"/>
            </w:tcBorders>
            <w:noWrap/>
            <w:vAlign w:val="center"/>
          </w:tcPr>
          <w:p w14:paraId="4F70D8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w:t>
            </w:r>
          </w:p>
        </w:tc>
        <w:tc>
          <w:tcPr>
            <w:tcW w:w="1037" w:type="dxa"/>
            <w:tcBorders>
              <w:top w:val="nil"/>
              <w:left w:val="nil"/>
              <w:bottom w:val="single" w:color="000000" w:sz="4" w:space="0"/>
              <w:right w:val="single" w:color="000000" w:sz="4" w:space="0"/>
            </w:tcBorders>
            <w:noWrap/>
            <w:vAlign w:val="center"/>
          </w:tcPr>
          <w:p w14:paraId="2E497A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BFD0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FC98F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112B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19C7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DDCC1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4762C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044F66E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3E9947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43.61</w:t>
            </w:r>
          </w:p>
        </w:tc>
        <w:tc>
          <w:tcPr>
            <w:tcW w:w="1037" w:type="dxa"/>
            <w:tcBorders>
              <w:top w:val="nil"/>
              <w:left w:val="nil"/>
              <w:bottom w:val="single" w:color="000000" w:sz="4" w:space="0"/>
              <w:right w:val="single" w:color="000000" w:sz="4" w:space="0"/>
            </w:tcBorders>
            <w:noWrap/>
            <w:vAlign w:val="center"/>
          </w:tcPr>
          <w:p w14:paraId="0EA7C3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43.61</w:t>
            </w:r>
          </w:p>
        </w:tc>
        <w:tc>
          <w:tcPr>
            <w:tcW w:w="1037" w:type="dxa"/>
            <w:tcBorders>
              <w:top w:val="nil"/>
              <w:left w:val="nil"/>
              <w:bottom w:val="single" w:color="000000" w:sz="4" w:space="0"/>
              <w:right w:val="single" w:color="000000" w:sz="4" w:space="0"/>
            </w:tcBorders>
            <w:noWrap/>
            <w:vAlign w:val="center"/>
          </w:tcPr>
          <w:p w14:paraId="4941AD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891C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5D970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BAE87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2152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DEF1B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5A173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3A36A91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1DEB57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43.61</w:t>
            </w:r>
          </w:p>
        </w:tc>
        <w:tc>
          <w:tcPr>
            <w:tcW w:w="1037" w:type="dxa"/>
            <w:tcBorders>
              <w:top w:val="nil"/>
              <w:left w:val="nil"/>
              <w:bottom w:val="single" w:color="000000" w:sz="4" w:space="0"/>
              <w:right w:val="single" w:color="000000" w:sz="4" w:space="0"/>
            </w:tcBorders>
            <w:noWrap/>
            <w:vAlign w:val="center"/>
          </w:tcPr>
          <w:p w14:paraId="6FF3E5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43.61</w:t>
            </w:r>
          </w:p>
        </w:tc>
        <w:tc>
          <w:tcPr>
            <w:tcW w:w="1037" w:type="dxa"/>
            <w:tcBorders>
              <w:top w:val="nil"/>
              <w:left w:val="nil"/>
              <w:bottom w:val="single" w:color="000000" w:sz="4" w:space="0"/>
              <w:right w:val="single" w:color="000000" w:sz="4" w:space="0"/>
            </w:tcBorders>
            <w:noWrap/>
            <w:vAlign w:val="center"/>
          </w:tcPr>
          <w:p w14:paraId="504084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7264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EE431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EEBC6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3367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5524C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CF5E8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0832D24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0D2A7D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43.61</w:t>
            </w:r>
          </w:p>
        </w:tc>
        <w:tc>
          <w:tcPr>
            <w:tcW w:w="1037" w:type="dxa"/>
            <w:tcBorders>
              <w:top w:val="nil"/>
              <w:left w:val="nil"/>
              <w:bottom w:val="single" w:color="000000" w:sz="4" w:space="0"/>
              <w:right w:val="single" w:color="000000" w:sz="4" w:space="0"/>
            </w:tcBorders>
            <w:noWrap/>
            <w:vAlign w:val="center"/>
          </w:tcPr>
          <w:p w14:paraId="2A5B49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43.61</w:t>
            </w:r>
          </w:p>
        </w:tc>
        <w:tc>
          <w:tcPr>
            <w:tcW w:w="1037" w:type="dxa"/>
            <w:tcBorders>
              <w:top w:val="nil"/>
              <w:left w:val="nil"/>
              <w:bottom w:val="single" w:color="000000" w:sz="4" w:space="0"/>
              <w:right w:val="single" w:color="000000" w:sz="4" w:space="0"/>
            </w:tcBorders>
            <w:noWrap/>
            <w:vAlign w:val="center"/>
          </w:tcPr>
          <w:p w14:paraId="06C432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B585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625D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AA58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5A88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6EB9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AEFE7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5DAC814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711ADE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74.7</w:t>
            </w:r>
          </w:p>
        </w:tc>
        <w:tc>
          <w:tcPr>
            <w:tcW w:w="1037" w:type="dxa"/>
            <w:tcBorders>
              <w:top w:val="nil"/>
              <w:left w:val="nil"/>
              <w:bottom w:val="single" w:color="000000" w:sz="4" w:space="0"/>
              <w:right w:val="single" w:color="000000" w:sz="4" w:space="0"/>
            </w:tcBorders>
            <w:noWrap/>
            <w:vAlign w:val="center"/>
          </w:tcPr>
          <w:p w14:paraId="00F321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74.7</w:t>
            </w:r>
          </w:p>
        </w:tc>
        <w:tc>
          <w:tcPr>
            <w:tcW w:w="1037" w:type="dxa"/>
            <w:tcBorders>
              <w:top w:val="nil"/>
              <w:left w:val="nil"/>
              <w:bottom w:val="single" w:color="000000" w:sz="4" w:space="0"/>
              <w:right w:val="single" w:color="000000" w:sz="4" w:space="0"/>
            </w:tcBorders>
            <w:noWrap/>
            <w:vAlign w:val="center"/>
          </w:tcPr>
          <w:p w14:paraId="3A8C1D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F7C8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50AD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0E214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66C5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02EDB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5440E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6AD53B9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259894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74.7</w:t>
            </w:r>
          </w:p>
        </w:tc>
        <w:tc>
          <w:tcPr>
            <w:tcW w:w="1037" w:type="dxa"/>
            <w:tcBorders>
              <w:top w:val="nil"/>
              <w:left w:val="nil"/>
              <w:bottom w:val="single" w:color="000000" w:sz="4" w:space="0"/>
              <w:right w:val="single" w:color="000000" w:sz="4" w:space="0"/>
            </w:tcBorders>
            <w:noWrap/>
            <w:vAlign w:val="center"/>
          </w:tcPr>
          <w:p w14:paraId="49C818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74.7</w:t>
            </w:r>
          </w:p>
        </w:tc>
        <w:tc>
          <w:tcPr>
            <w:tcW w:w="1037" w:type="dxa"/>
            <w:tcBorders>
              <w:top w:val="nil"/>
              <w:left w:val="nil"/>
              <w:bottom w:val="single" w:color="000000" w:sz="4" w:space="0"/>
              <w:right w:val="single" w:color="000000" w:sz="4" w:space="0"/>
            </w:tcBorders>
            <w:noWrap/>
            <w:vAlign w:val="center"/>
          </w:tcPr>
          <w:p w14:paraId="6607F9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A364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6DC4A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29E86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DBAF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7F1F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DEB58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22837E0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0313BC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74.7</w:t>
            </w:r>
          </w:p>
        </w:tc>
        <w:tc>
          <w:tcPr>
            <w:tcW w:w="1037" w:type="dxa"/>
            <w:tcBorders>
              <w:top w:val="nil"/>
              <w:left w:val="nil"/>
              <w:bottom w:val="single" w:color="000000" w:sz="4" w:space="0"/>
              <w:right w:val="single" w:color="000000" w:sz="4" w:space="0"/>
            </w:tcBorders>
            <w:noWrap/>
            <w:vAlign w:val="center"/>
          </w:tcPr>
          <w:p w14:paraId="207B94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74.7</w:t>
            </w:r>
          </w:p>
        </w:tc>
        <w:tc>
          <w:tcPr>
            <w:tcW w:w="1037" w:type="dxa"/>
            <w:tcBorders>
              <w:top w:val="nil"/>
              <w:left w:val="nil"/>
              <w:bottom w:val="single" w:color="000000" w:sz="4" w:space="0"/>
              <w:right w:val="single" w:color="000000" w:sz="4" w:space="0"/>
            </w:tcBorders>
            <w:noWrap/>
            <w:vAlign w:val="center"/>
          </w:tcPr>
          <w:p w14:paraId="36A64B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C5A3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2DEEC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04611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9B54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部门：中共行唐县纪律检查委员会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1,099.28</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584.68</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1,470.35</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885.67</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584.68</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236B44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EFAF5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20111</w:t>
            </w:r>
          </w:p>
        </w:tc>
        <w:tc>
          <w:tcPr>
            <w:tcW w:w="635" w:type="pct"/>
            <w:tcBorders>
              <w:top w:val="nil"/>
              <w:left w:val="nil"/>
              <w:bottom w:val="single" w:color="000000" w:sz="4" w:space="0"/>
              <w:right w:val="single" w:color="000000" w:sz="4" w:space="0"/>
            </w:tcBorders>
            <w:noWrap/>
            <w:vAlign w:val="center"/>
          </w:tcPr>
          <w:p w14:paraId="41A1B3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纪检监察事务</w:t>
            </w:r>
          </w:p>
        </w:tc>
        <w:tc>
          <w:tcPr>
            <w:tcW w:w="603" w:type="pct"/>
            <w:tcBorders>
              <w:top w:val="nil"/>
              <w:left w:val="nil"/>
              <w:bottom w:val="single" w:color="000000" w:sz="4" w:space="0"/>
              <w:right w:val="single" w:color="000000" w:sz="4" w:space="0"/>
            </w:tcBorders>
            <w:noWrap/>
            <w:vAlign w:val="center"/>
          </w:tcPr>
          <w:p w14:paraId="362F04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1,470.35</w:t>
            </w:r>
          </w:p>
        </w:tc>
        <w:tc>
          <w:tcPr>
            <w:tcW w:w="602" w:type="pct"/>
            <w:gridSpan w:val="2"/>
            <w:tcBorders>
              <w:top w:val="nil"/>
              <w:left w:val="nil"/>
              <w:bottom w:val="single" w:color="000000" w:sz="4" w:space="0"/>
              <w:right w:val="single" w:color="000000" w:sz="4" w:space="0"/>
            </w:tcBorders>
            <w:noWrap/>
            <w:vAlign w:val="center"/>
          </w:tcPr>
          <w:p w14:paraId="00ABEB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885.67</w:t>
            </w:r>
          </w:p>
        </w:tc>
        <w:tc>
          <w:tcPr>
            <w:tcW w:w="602" w:type="pct"/>
            <w:tcBorders>
              <w:top w:val="nil"/>
              <w:left w:val="nil"/>
              <w:bottom w:val="single" w:color="000000" w:sz="4" w:space="0"/>
              <w:right w:val="single" w:color="000000" w:sz="4" w:space="0"/>
            </w:tcBorders>
            <w:noWrap/>
            <w:vAlign w:val="center"/>
          </w:tcPr>
          <w:p w14:paraId="644534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584.68</w:t>
            </w:r>
          </w:p>
        </w:tc>
        <w:tc>
          <w:tcPr>
            <w:tcW w:w="602" w:type="pct"/>
            <w:gridSpan w:val="2"/>
            <w:tcBorders>
              <w:top w:val="nil"/>
              <w:left w:val="nil"/>
              <w:bottom w:val="single" w:color="000000" w:sz="4" w:space="0"/>
              <w:right w:val="single" w:color="000000" w:sz="4" w:space="0"/>
            </w:tcBorders>
            <w:noWrap/>
            <w:vAlign w:val="center"/>
          </w:tcPr>
          <w:p w14:paraId="1E8198E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484F9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F94EBF3">
            <w:pPr>
              <w:jc w:val="right"/>
              <w:rPr>
                <w:rFonts w:hint="default" w:ascii="Times New Roman" w:hAnsi="Times New Roman" w:eastAsia="宋体" w:cs="Times New Roman"/>
                <w:i w:val="0"/>
                <w:iCs w:val="0"/>
                <w:color w:val="000000"/>
                <w:sz w:val="20"/>
                <w:szCs w:val="20"/>
                <w:highlight w:val="none"/>
                <w:u w:val="none"/>
              </w:rPr>
            </w:pPr>
          </w:p>
        </w:tc>
      </w:tr>
      <w:tr w14:paraId="04C00C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9919B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2011101</w:t>
            </w:r>
          </w:p>
        </w:tc>
        <w:tc>
          <w:tcPr>
            <w:tcW w:w="635" w:type="pct"/>
            <w:tcBorders>
              <w:top w:val="nil"/>
              <w:left w:val="nil"/>
              <w:bottom w:val="single" w:color="000000" w:sz="4" w:space="0"/>
              <w:right w:val="single" w:color="000000" w:sz="4" w:space="0"/>
            </w:tcBorders>
            <w:noWrap/>
            <w:vAlign w:val="center"/>
          </w:tcPr>
          <w:p w14:paraId="40627C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405060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885.67</w:t>
            </w:r>
          </w:p>
        </w:tc>
        <w:tc>
          <w:tcPr>
            <w:tcW w:w="602" w:type="pct"/>
            <w:gridSpan w:val="2"/>
            <w:tcBorders>
              <w:top w:val="nil"/>
              <w:left w:val="nil"/>
              <w:bottom w:val="single" w:color="000000" w:sz="4" w:space="0"/>
              <w:right w:val="single" w:color="000000" w:sz="4" w:space="0"/>
            </w:tcBorders>
            <w:noWrap/>
            <w:vAlign w:val="center"/>
          </w:tcPr>
          <w:p w14:paraId="64F8EC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885.67</w:t>
            </w:r>
          </w:p>
        </w:tc>
        <w:tc>
          <w:tcPr>
            <w:tcW w:w="602" w:type="pct"/>
            <w:tcBorders>
              <w:top w:val="nil"/>
              <w:left w:val="nil"/>
              <w:bottom w:val="single" w:color="000000" w:sz="4" w:space="0"/>
              <w:right w:val="single" w:color="000000" w:sz="4" w:space="0"/>
            </w:tcBorders>
            <w:noWrap/>
            <w:vAlign w:val="center"/>
          </w:tcPr>
          <w:p w14:paraId="40D6557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188F95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3B81A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11EE5F4">
            <w:pPr>
              <w:jc w:val="right"/>
              <w:rPr>
                <w:rFonts w:hint="default" w:ascii="Times New Roman" w:hAnsi="Times New Roman" w:eastAsia="宋体" w:cs="Times New Roman"/>
                <w:i w:val="0"/>
                <w:iCs w:val="0"/>
                <w:color w:val="000000"/>
                <w:sz w:val="20"/>
                <w:szCs w:val="20"/>
                <w:highlight w:val="none"/>
                <w:u w:val="none"/>
              </w:rPr>
            </w:pPr>
          </w:p>
        </w:tc>
      </w:tr>
      <w:tr w14:paraId="1AEB9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9CB5F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2011102</w:t>
            </w:r>
          </w:p>
        </w:tc>
        <w:tc>
          <w:tcPr>
            <w:tcW w:w="635" w:type="pct"/>
            <w:tcBorders>
              <w:top w:val="nil"/>
              <w:left w:val="nil"/>
              <w:bottom w:val="single" w:color="000000" w:sz="4" w:space="0"/>
              <w:right w:val="single" w:color="000000" w:sz="4" w:space="0"/>
            </w:tcBorders>
            <w:noWrap/>
            <w:vAlign w:val="center"/>
          </w:tcPr>
          <w:p w14:paraId="74C3B8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020420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584.68</w:t>
            </w:r>
          </w:p>
        </w:tc>
        <w:tc>
          <w:tcPr>
            <w:tcW w:w="602" w:type="pct"/>
            <w:gridSpan w:val="2"/>
            <w:tcBorders>
              <w:top w:val="nil"/>
              <w:left w:val="nil"/>
              <w:bottom w:val="single" w:color="000000" w:sz="4" w:space="0"/>
              <w:right w:val="single" w:color="000000" w:sz="4" w:space="0"/>
            </w:tcBorders>
            <w:noWrap/>
            <w:vAlign w:val="center"/>
          </w:tcPr>
          <w:p w14:paraId="07863DE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21BAE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584.68</w:t>
            </w:r>
          </w:p>
        </w:tc>
        <w:tc>
          <w:tcPr>
            <w:tcW w:w="602" w:type="pct"/>
            <w:gridSpan w:val="2"/>
            <w:tcBorders>
              <w:top w:val="nil"/>
              <w:left w:val="nil"/>
              <w:bottom w:val="single" w:color="000000" w:sz="4" w:space="0"/>
              <w:right w:val="single" w:color="000000" w:sz="4" w:space="0"/>
            </w:tcBorders>
            <w:noWrap/>
            <w:vAlign w:val="center"/>
          </w:tcPr>
          <w:p w14:paraId="20728D5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19CF3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2FDB804">
            <w:pPr>
              <w:jc w:val="right"/>
              <w:rPr>
                <w:rFonts w:hint="default" w:ascii="Times New Roman" w:hAnsi="Times New Roman" w:eastAsia="宋体" w:cs="Times New Roman"/>
                <w:i w:val="0"/>
                <w:iCs w:val="0"/>
                <w:color w:val="000000"/>
                <w:sz w:val="20"/>
                <w:szCs w:val="20"/>
                <w:highlight w:val="none"/>
                <w:u w:val="none"/>
              </w:rPr>
            </w:pPr>
          </w:p>
        </w:tc>
      </w:tr>
      <w:tr w14:paraId="396C6C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FFBFD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577848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41728B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w:t>
            </w:r>
          </w:p>
        </w:tc>
        <w:tc>
          <w:tcPr>
            <w:tcW w:w="602" w:type="pct"/>
            <w:gridSpan w:val="2"/>
            <w:tcBorders>
              <w:top w:val="nil"/>
              <w:left w:val="nil"/>
              <w:bottom w:val="single" w:color="000000" w:sz="4" w:space="0"/>
              <w:right w:val="single" w:color="000000" w:sz="4" w:space="0"/>
            </w:tcBorders>
            <w:noWrap/>
            <w:vAlign w:val="center"/>
          </w:tcPr>
          <w:p w14:paraId="38F448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w:t>
            </w:r>
          </w:p>
        </w:tc>
        <w:tc>
          <w:tcPr>
            <w:tcW w:w="602" w:type="pct"/>
            <w:tcBorders>
              <w:top w:val="nil"/>
              <w:left w:val="nil"/>
              <w:bottom w:val="single" w:color="000000" w:sz="4" w:space="0"/>
              <w:right w:val="single" w:color="000000" w:sz="4" w:space="0"/>
            </w:tcBorders>
            <w:noWrap/>
            <w:vAlign w:val="center"/>
          </w:tcPr>
          <w:p w14:paraId="132A59A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3A6513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DE127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47D0B0F">
            <w:pPr>
              <w:jc w:val="right"/>
              <w:rPr>
                <w:rFonts w:hint="default" w:ascii="Times New Roman" w:hAnsi="Times New Roman" w:eastAsia="宋体" w:cs="Times New Roman"/>
                <w:i w:val="0"/>
                <w:iCs w:val="0"/>
                <w:color w:val="000000"/>
                <w:sz w:val="20"/>
                <w:szCs w:val="20"/>
                <w:highlight w:val="none"/>
                <w:u w:val="none"/>
              </w:rPr>
            </w:pPr>
          </w:p>
        </w:tc>
      </w:tr>
      <w:tr w14:paraId="1600AC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8F0D4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550395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1021BC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w:t>
            </w:r>
          </w:p>
        </w:tc>
        <w:tc>
          <w:tcPr>
            <w:tcW w:w="602" w:type="pct"/>
            <w:gridSpan w:val="2"/>
            <w:tcBorders>
              <w:top w:val="nil"/>
              <w:left w:val="nil"/>
              <w:bottom w:val="single" w:color="000000" w:sz="4" w:space="0"/>
              <w:right w:val="single" w:color="000000" w:sz="4" w:space="0"/>
            </w:tcBorders>
            <w:noWrap/>
            <w:vAlign w:val="center"/>
          </w:tcPr>
          <w:p w14:paraId="783F08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w:t>
            </w:r>
          </w:p>
        </w:tc>
        <w:tc>
          <w:tcPr>
            <w:tcW w:w="602" w:type="pct"/>
            <w:tcBorders>
              <w:top w:val="nil"/>
              <w:left w:val="nil"/>
              <w:bottom w:val="single" w:color="000000" w:sz="4" w:space="0"/>
              <w:right w:val="single" w:color="000000" w:sz="4" w:space="0"/>
            </w:tcBorders>
            <w:noWrap/>
            <w:vAlign w:val="center"/>
          </w:tcPr>
          <w:p w14:paraId="5725FAD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427F9F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D1572A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BC65B84">
            <w:pPr>
              <w:jc w:val="right"/>
              <w:rPr>
                <w:rFonts w:hint="default" w:ascii="Times New Roman" w:hAnsi="Times New Roman" w:eastAsia="宋体" w:cs="Times New Roman"/>
                <w:i w:val="0"/>
                <w:iCs w:val="0"/>
                <w:color w:val="000000"/>
                <w:sz w:val="20"/>
                <w:szCs w:val="20"/>
                <w:highlight w:val="none"/>
                <w:u w:val="none"/>
              </w:rPr>
            </w:pPr>
          </w:p>
        </w:tc>
      </w:tr>
      <w:tr w14:paraId="01DE1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B9CFE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7F49E9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76039B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w:t>
            </w:r>
          </w:p>
        </w:tc>
        <w:tc>
          <w:tcPr>
            <w:tcW w:w="602" w:type="pct"/>
            <w:gridSpan w:val="2"/>
            <w:tcBorders>
              <w:top w:val="nil"/>
              <w:left w:val="nil"/>
              <w:bottom w:val="single" w:color="000000" w:sz="4" w:space="0"/>
              <w:right w:val="single" w:color="000000" w:sz="4" w:space="0"/>
            </w:tcBorders>
            <w:noWrap/>
            <w:vAlign w:val="center"/>
          </w:tcPr>
          <w:p w14:paraId="7D6AFE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w:t>
            </w:r>
          </w:p>
        </w:tc>
        <w:tc>
          <w:tcPr>
            <w:tcW w:w="602" w:type="pct"/>
            <w:tcBorders>
              <w:top w:val="nil"/>
              <w:left w:val="nil"/>
              <w:bottom w:val="single" w:color="000000" w:sz="4" w:space="0"/>
              <w:right w:val="single" w:color="000000" w:sz="4" w:space="0"/>
            </w:tcBorders>
            <w:noWrap/>
            <w:vAlign w:val="center"/>
          </w:tcPr>
          <w:p w14:paraId="6E49B5F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4399F5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96CF3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0BC3475">
            <w:pPr>
              <w:jc w:val="right"/>
              <w:rPr>
                <w:rFonts w:hint="default" w:ascii="Times New Roman" w:hAnsi="Times New Roman" w:eastAsia="宋体" w:cs="Times New Roman"/>
                <w:i w:val="0"/>
                <w:iCs w:val="0"/>
                <w:color w:val="000000"/>
                <w:sz w:val="20"/>
                <w:szCs w:val="20"/>
                <w:highlight w:val="none"/>
                <w:u w:val="none"/>
              </w:rPr>
            </w:pPr>
          </w:p>
        </w:tc>
      </w:tr>
      <w:tr w14:paraId="3F6339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6D27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0C083A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6C874E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w:t>
            </w:r>
          </w:p>
        </w:tc>
        <w:tc>
          <w:tcPr>
            <w:tcW w:w="602" w:type="pct"/>
            <w:gridSpan w:val="2"/>
            <w:tcBorders>
              <w:top w:val="nil"/>
              <w:left w:val="nil"/>
              <w:bottom w:val="single" w:color="000000" w:sz="4" w:space="0"/>
              <w:right w:val="single" w:color="000000" w:sz="4" w:space="0"/>
            </w:tcBorders>
            <w:noWrap/>
            <w:vAlign w:val="center"/>
          </w:tcPr>
          <w:p w14:paraId="6FED58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w:t>
            </w:r>
          </w:p>
        </w:tc>
        <w:tc>
          <w:tcPr>
            <w:tcW w:w="602" w:type="pct"/>
            <w:tcBorders>
              <w:top w:val="nil"/>
              <w:left w:val="nil"/>
              <w:bottom w:val="single" w:color="000000" w:sz="4" w:space="0"/>
              <w:right w:val="single" w:color="000000" w:sz="4" w:space="0"/>
            </w:tcBorders>
            <w:noWrap/>
            <w:vAlign w:val="center"/>
          </w:tcPr>
          <w:p w14:paraId="6469AC3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E0A76A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A940F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C299B53">
            <w:pPr>
              <w:jc w:val="right"/>
              <w:rPr>
                <w:rFonts w:hint="default" w:ascii="Times New Roman" w:hAnsi="Times New Roman" w:eastAsia="宋体" w:cs="Times New Roman"/>
                <w:i w:val="0"/>
                <w:iCs w:val="0"/>
                <w:color w:val="000000"/>
                <w:sz w:val="20"/>
                <w:szCs w:val="20"/>
                <w:highlight w:val="none"/>
                <w:u w:val="none"/>
              </w:rPr>
            </w:pPr>
          </w:p>
        </w:tc>
      </w:tr>
      <w:tr w14:paraId="21D0D6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008A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4007AB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626EE8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0.78</w:t>
            </w:r>
          </w:p>
        </w:tc>
        <w:tc>
          <w:tcPr>
            <w:tcW w:w="602" w:type="pct"/>
            <w:gridSpan w:val="2"/>
            <w:tcBorders>
              <w:top w:val="nil"/>
              <w:left w:val="nil"/>
              <w:bottom w:val="single" w:color="000000" w:sz="4" w:space="0"/>
              <w:right w:val="single" w:color="000000" w:sz="4" w:space="0"/>
            </w:tcBorders>
            <w:noWrap/>
            <w:vAlign w:val="center"/>
          </w:tcPr>
          <w:p w14:paraId="1CFE60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0.78</w:t>
            </w:r>
          </w:p>
        </w:tc>
        <w:tc>
          <w:tcPr>
            <w:tcW w:w="602" w:type="pct"/>
            <w:tcBorders>
              <w:top w:val="nil"/>
              <w:left w:val="nil"/>
              <w:bottom w:val="single" w:color="000000" w:sz="4" w:space="0"/>
              <w:right w:val="single" w:color="000000" w:sz="4" w:space="0"/>
            </w:tcBorders>
            <w:noWrap/>
            <w:vAlign w:val="center"/>
          </w:tcPr>
          <w:p w14:paraId="7E92F3E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210B94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E6400B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3EBCE50">
            <w:pPr>
              <w:jc w:val="right"/>
              <w:rPr>
                <w:rFonts w:hint="default" w:ascii="Times New Roman" w:hAnsi="Times New Roman" w:eastAsia="宋体" w:cs="Times New Roman"/>
                <w:i w:val="0"/>
                <w:iCs w:val="0"/>
                <w:color w:val="000000"/>
                <w:sz w:val="20"/>
                <w:szCs w:val="20"/>
                <w:highlight w:val="none"/>
                <w:u w:val="none"/>
              </w:rPr>
            </w:pPr>
          </w:p>
        </w:tc>
      </w:tr>
      <w:tr w14:paraId="4E5F9F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0F45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493FDA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0D8A12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w:t>
            </w:r>
          </w:p>
        </w:tc>
        <w:tc>
          <w:tcPr>
            <w:tcW w:w="602" w:type="pct"/>
            <w:gridSpan w:val="2"/>
            <w:tcBorders>
              <w:top w:val="nil"/>
              <w:left w:val="nil"/>
              <w:bottom w:val="single" w:color="000000" w:sz="4" w:space="0"/>
              <w:right w:val="single" w:color="000000" w:sz="4" w:space="0"/>
            </w:tcBorders>
            <w:noWrap/>
            <w:vAlign w:val="center"/>
          </w:tcPr>
          <w:p w14:paraId="01F011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w:t>
            </w:r>
          </w:p>
        </w:tc>
        <w:tc>
          <w:tcPr>
            <w:tcW w:w="602" w:type="pct"/>
            <w:tcBorders>
              <w:top w:val="nil"/>
              <w:left w:val="nil"/>
              <w:bottom w:val="single" w:color="000000" w:sz="4" w:space="0"/>
              <w:right w:val="single" w:color="000000" w:sz="4" w:space="0"/>
            </w:tcBorders>
            <w:noWrap/>
            <w:vAlign w:val="center"/>
          </w:tcPr>
          <w:p w14:paraId="6D0D00B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3134E5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35D89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98020E4">
            <w:pPr>
              <w:jc w:val="right"/>
              <w:rPr>
                <w:rFonts w:hint="default" w:ascii="Times New Roman" w:hAnsi="Times New Roman" w:eastAsia="宋体" w:cs="Times New Roman"/>
                <w:i w:val="0"/>
                <w:iCs w:val="0"/>
                <w:color w:val="000000"/>
                <w:sz w:val="20"/>
                <w:szCs w:val="20"/>
                <w:highlight w:val="none"/>
                <w:u w:val="none"/>
              </w:rPr>
            </w:pPr>
          </w:p>
        </w:tc>
      </w:tr>
      <w:tr w14:paraId="36B2FE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367A2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4D06FC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3747C5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602" w:type="pct"/>
            <w:gridSpan w:val="2"/>
            <w:tcBorders>
              <w:top w:val="nil"/>
              <w:left w:val="nil"/>
              <w:bottom w:val="single" w:color="000000" w:sz="4" w:space="0"/>
              <w:right w:val="single" w:color="000000" w:sz="4" w:space="0"/>
            </w:tcBorders>
            <w:noWrap/>
            <w:vAlign w:val="center"/>
          </w:tcPr>
          <w:p w14:paraId="278421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602" w:type="pct"/>
            <w:tcBorders>
              <w:top w:val="nil"/>
              <w:left w:val="nil"/>
              <w:bottom w:val="single" w:color="000000" w:sz="4" w:space="0"/>
              <w:right w:val="single" w:color="000000" w:sz="4" w:space="0"/>
            </w:tcBorders>
            <w:noWrap/>
            <w:vAlign w:val="center"/>
          </w:tcPr>
          <w:p w14:paraId="36EC824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59BA0D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55EE0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6FBC6F">
            <w:pPr>
              <w:jc w:val="right"/>
              <w:rPr>
                <w:rFonts w:hint="default" w:ascii="Times New Roman" w:hAnsi="Times New Roman" w:eastAsia="宋体" w:cs="Times New Roman"/>
                <w:i w:val="0"/>
                <w:iCs w:val="0"/>
                <w:color w:val="000000"/>
                <w:sz w:val="20"/>
                <w:szCs w:val="20"/>
                <w:highlight w:val="none"/>
                <w:u w:val="none"/>
              </w:rPr>
            </w:pPr>
          </w:p>
        </w:tc>
      </w:tr>
      <w:tr w14:paraId="495B2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3CA0C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718A1C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79154C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602" w:type="pct"/>
            <w:gridSpan w:val="2"/>
            <w:tcBorders>
              <w:top w:val="nil"/>
              <w:left w:val="nil"/>
              <w:bottom w:val="single" w:color="000000" w:sz="4" w:space="0"/>
              <w:right w:val="single" w:color="000000" w:sz="4" w:space="0"/>
            </w:tcBorders>
            <w:noWrap/>
            <w:vAlign w:val="center"/>
          </w:tcPr>
          <w:p w14:paraId="4FA989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602" w:type="pct"/>
            <w:tcBorders>
              <w:top w:val="nil"/>
              <w:left w:val="nil"/>
              <w:bottom w:val="single" w:color="000000" w:sz="4" w:space="0"/>
              <w:right w:val="single" w:color="000000" w:sz="4" w:space="0"/>
            </w:tcBorders>
            <w:noWrap/>
            <w:vAlign w:val="center"/>
          </w:tcPr>
          <w:p w14:paraId="2D16D16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CD0A2F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895716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D39E59E">
            <w:pPr>
              <w:jc w:val="right"/>
              <w:rPr>
                <w:rFonts w:hint="default" w:ascii="Times New Roman" w:hAnsi="Times New Roman" w:eastAsia="宋体" w:cs="Times New Roman"/>
                <w:i w:val="0"/>
                <w:iCs w:val="0"/>
                <w:color w:val="000000"/>
                <w:sz w:val="20"/>
                <w:szCs w:val="20"/>
                <w:highlight w:val="none"/>
                <w:u w:val="none"/>
              </w:rPr>
            </w:pPr>
          </w:p>
        </w:tc>
      </w:tr>
      <w:tr w14:paraId="315D2E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8F07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32D676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40C307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602" w:type="pct"/>
            <w:gridSpan w:val="2"/>
            <w:tcBorders>
              <w:top w:val="nil"/>
              <w:left w:val="nil"/>
              <w:bottom w:val="single" w:color="000000" w:sz="4" w:space="0"/>
              <w:right w:val="single" w:color="000000" w:sz="4" w:space="0"/>
            </w:tcBorders>
            <w:noWrap/>
            <w:vAlign w:val="center"/>
          </w:tcPr>
          <w:p w14:paraId="3606A0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602" w:type="pct"/>
            <w:tcBorders>
              <w:top w:val="nil"/>
              <w:left w:val="nil"/>
              <w:bottom w:val="single" w:color="000000" w:sz="4" w:space="0"/>
              <w:right w:val="single" w:color="000000" w:sz="4" w:space="0"/>
            </w:tcBorders>
            <w:noWrap/>
            <w:vAlign w:val="center"/>
          </w:tcPr>
          <w:p w14:paraId="65C0F0F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789102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62252D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1263201">
            <w:pPr>
              <w:jc w:val="right"/>
              <w:rPr>
                <w:rFonts w:hint="default" w:ascii="Times New Roman" w:hAnsi="Times New Roman" w:eastAsia="宋体" w:cs="Times New Roman"/>
                <w:i w:val="0"/>
                <w:iCs w:val="0"/>
                <w:color w:val="000000"/>
                <w:sz w:val="20"/>
                <w:szCs w:val="20"/>
                <w:highlight w:val="none"/>
                <w:u w:val="none"/>
              </w:rPr>
            </w:pPr>
          </w:p>
        </w:tc>
      </w:tr>
      <w:tr w14:paraId="76394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113E8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59C719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07C9C6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602" w:type="pct"/>
            <w:gridSpan w:val="2"/>
            <w:tcBorders>
              <w:top w:val="nil"/>
              <w:left w:val="nil"/>
              <w:bottom w:val="single" w:color="000000" w:sz="4" w:space="0"/>
              <w:right w:val="single" w:color="000000" w:sz="4" w:space="0"/>
            </w:tcBorders>
            <w:noWrap/>
            <w:vAlign w:val="center"/>
          </w:tcPr>
          <w:p w14:paraId="3B9BE4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602" w:type="pct"/>
            <w:tcBorders>
              <w:top w:val="nil"/>
              <w:left w:val="nil"/>
              <w:bottom w:val="single" w:color="000000" w:sz="4" w:space="0"/>
              <w:right w:val="single" w:color="000000" w:sz="4" w:space="0"/>
            </w:tcBorders>
            <w:noWrap/>
            <w:vAlign w:val="center"/>
          </w:tcPr>
          <w:p w14:paraId="558851A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3F3230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4561E7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651683E">
            <w:pPr>
              <w:jc w:val="right"/>
              <w:rPr>
                <w:rFonts w:hint="default" w:ascii="Times New Roman" w:hAnsi="Times New Roman" w:eastAsia="宋体" w:cs="Times New Roman"/>
                <w:i w:val="0"/>
                <w:iCs w:val="0"/>
                <w:color w:val="000000"/>
                <w:sz w:val="20"/>
                <w:szCs w:val="20"/>
                <w:highlight w:val="none"/>
                <w:u w:val="none"/>
              </w:rPr>
            </w:pPr>
          </w:p>
        </w:tc>
      </w:tr>
      <w:tr w14:paraId="148955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97987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4BE4AA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68CB69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602" w:type="pct"/>
            <w:gridSpan w:val="2"/>
            <w:tcBorders>
              <w:top w:val="nil"/>
              <w:left w:val="nil"/>
              <w:bottom w:val="single" w:color="000000" w:sz="4" w:space="0"/>
              <w:right w:val="single" w:color="000000" w:sz="4" w:space="0"/>
            </w:tcBorders>
            <w:noWrap/>
            <w:vAlign w:val="center"/>
          </w:tcPr>
          <w:p w14:paraId="2427D9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602" w:type="pct"/>
            <w:tcBorders>
              <w:top w:val="nil"/>
              <w:left w:val="nil"/>
              <w:bottom w:val="single" w:color="000000" w:sz="4" w:space="0"/>
              <w:right w:val="single" w:color="000000" w:sz="4" w:space="0"/>
            </w:tcBorders>
            <w:noWrap/>
            <w:vAlign w:val="center"/>
          </w:tcPr>
          <w:p w14:paraId="669AF6C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6271A7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DB86A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0B3DC0F">
            <w:pPr>
              <w:jc w:val="right"/>
              <w:rPr>
                <w:rFonts w:hint="default" w:ascii="Times New Roman" w:hAnsi="Times New Roman" w:eastAsia="宋体" w:cs="Times New Roman"/>
                <w:i w:val="0"/>
                <w:iCs w:val="0"/>
                <w:color w:val="000000"/>
                <w:sz w:val="20"/>
                <w:szCs w:val="20"/>
                <w:highlight w:val="none"/>
                <w:u w:val="none"/>
              </w:rPr>
            </w:pPr>
          </w:p>
        </w:tc>
      </w:tr>
      <w:tr w14:paraId="522EE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30490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5A747B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08BB60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602" w:type="pct"/>
            <w:gridSpan w:val="2"/>
            <w:tcBorders>
              <w:top w:val="nil"/>
              <w:left w:val="nil"/>
              <w:bottom w:val="single" w:color="000000" w:sz="4" w:space="0"/>
              <w:right w:val="single" w:color="000000" w:sz="4" w:space="0"/>
            </w:tcBorders>
            <w:noWrap/>
            <w:vAlign w:val="center"/>
          </w:tcPr>
          <w:p w14:paraId="3EFAA0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602" w:type="pct"/>
            <w:tcBorders>
              <w:top w:val="nil"/>
              <w:left w:val="nil"/>
              <w:bottom w:val="single" w:color="000000" w:sz="4" w:space="0"/>
              <w:right w:val="single" w:color="000000" w:sz="4" w:space="0"/>
            </w:tcBorders>
            <w:noWrap/>
            <w:vAlign w:val="center"/>
          </w:tcPr>
          <w:p w14:paraId="6352AD4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6E407A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E4A88F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056097F">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部门：中共行唐县纪律检查委员会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1,470.35</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1,470.35</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95.3</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43.61</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43.61</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74.7</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74.7</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1,683.96</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1"/>
        <w:gridCol w:w="3416"/>
        <w:gridCol w:w="321"/>
        <w:gridCol w:w="914"/>
        <w:gridCol w:w="1003"/>
        <w:gridCol w:w="377"/>
        <w:gridCol w:w="1658"/>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2702"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部门：中共行唐县纪律检查委员会</w:t>
            </w:r>
          </w:p>
        </w:tc>
        <w:tc>
          <w:tcPr>
            <w:tcW w:w="1115"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181"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515"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484"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29"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98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71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802"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962"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529"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198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71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802"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962"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29"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198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71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802"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962"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15"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719"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802"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962"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15"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719"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c>
          <w:tcPr>
            <w:tcW w:w="802"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1,099.28</w:t>
            </w:r>
          </w:p>
        </w:tc>
        <w:tc>
          <w:tcPr>
            <w:tcW w:w="962"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584.68</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29"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98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719"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1,470.35</w:t>
            </w:r>
          </w:p>
        </w:tc>
        <w:tc>
          <w:tcPr>
            <w:tcW w:w="802"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885.67</w:t>
            </w:r>
          </w:p>
        </w:tc>
        <w:tc>
          <w:tcPr>
            <w:tcW w:w="962"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584.68</w:t>
            </w:r>
          </w:p>
        </w:tc>
      </w:tr>
      <w:tr w14:paraId="49DD0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29" w:type="pct"/>
            <w:tcBorders>
              <w:top w:val="single" w:color="auto" w:sz="4" w:space="0"/>
              <w:left w:val="single" w:color="auto" w:sz="4" w:space="0"/>
              <w:bottom w:val="single" w:color="auto" w:sz="4" w:space="0"/>
              <w:right w:val="single" w:color="auto" w:sz="4" w:space="0"/>
            </w:tcBorders>
            <w:noWrap/>
            <w:vAlign w:val="center"/>
          </w:tcPr>
          <w:p w14:paraId="529CFD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20111</w:t>
            </w:r>
          </w:p>
        </w:tc>
        <w:tc>
          <w:tcPr>
            <w:tcW w:w="1986" w:type="pct"/>
            <w:tcBorders>
              <w:top w:val="single" w:color="auto" w:sz="4" w:space="0"/>
              <w:left w:val="single" w:color="auto" w:sz="4" w:space="0"/>
              <w:bottom w:val="single" w:color="auto" w:sz="4" w:space="0"/>
              <w:right w:val="single" w:color="auto" w:sz="4" w:space="0"/>
            </w:tcBorders>
            <w:noWrap/>
            <w:vAlign w:val="center"/>
          </w:tcPr>
          <w:p w14:paraId="498711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纪检监察事务</w:t>
            </w:r>
          </w:p>
        </w:tc>
        <w:tc>
          <w:tcPr>
            <w:tcW w:w="719" w:type="pct"/>
            <w:gridSpan w:val="2"/>
            <w:tcBorders>
              <w:top w:val="single" w:color="auto" w:sz="4" w:space="0"/>
              <w:left w:val="single" w:color="auto" w:sz="4" w:space="0"/>
              <w:bottom w:val="single" w:color="auto" w:sz="4" w:space="0"/>
              <w:right w:val="single" w:color="auto" w:sz="4" w:space="0"/>
            </w:tcBorders>
            <w:noWrap/>
            <w:vAlign w:val="center"/>
          </w:tcPr>
          <w:p w14:paraId="097601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1,470.35</w:t>
            </w:r>
          </w:p>
        </w:tc>
        <w:tc>
          <w:tcPr>
            <w:tcW w:w="802" w:type="pct"/>
            <w:gridSpan w:val="2"/>
            <w:tcBorders>
              <w:top w:val="single" w:color="auto" w:sz="4" w:space="0"/>
              <w:left w:val="single" w:color="auto" w:sz="4" w:space="0"/>
              <w:bottom w:val="single" w:color="auto" w:sz="4" w:space="0"/>
              <w:right w:val="single" w:color="auto" w:sz="4" w:space="0"/>
            </w:tcBorders>
            <w:noWrap/>
            <w:vAlign w:val="center"/>
          </w:tcPr>
          <w:p w14:paraId="130E66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885.67</w:t>
            </w:r>
          </w:p>
        </w:tc>
        <w:tc>
          <w:tcPr>
            <w:tcW w:w="962" w:type="pct"/>
            <w:tcBorders>
              <w:top w:val="single" w:color="auto" w:sz="4" w:space="0"/>
              <w:left w:val="single" w:color="auto" w:sz="4" w:space="0"/>
              <w:bottom w:val="single" w:color="auto" w:sz="4" w:space="0"/>
              <w:right w:val="single" w:color="auto" w:sz="4" w:space="0"/>
            </w:tcBorders>
            <w:noWrap/>
            <w:vAlign w:val="center"/>
          </w:tcPr>
          <w:p w14:paraId="3A758F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584.68</w:t>
            </w:r>
          </w:p>
        </w:tc>
      </w:tr>
      <w:tr w14:paraId="3CBE4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29" w:type="pct"/>
            <w:tcBorders>
              <w:top w:val="single" w:color="auto" w:sz="4" w:space="0"/>
              <w:left w:val="single" w:color="auto" w:sz="4" w:space="0"/>
              <w:bottom w:val="single" w:color="auto" w:sz="4" w:space="0"/>
              <w:right w:val="single" w:color="auto" w:sz="4" w:space="0"/>
            </w:tcBorders>
            <w:noWrap/>
            <w:vAlign w:val="center"/>
          </w:tcPr>
          <w:p w14:paraId="0CA7C4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2011101</w:t>
            </w:r>
          </w:p>
        </w:tc>
        <w:tc>
          <w:tcPr>
            <w:tcW w:w="1986" w:type="pct"/>
            <w:tcBorders>
              <w:top w:val="single" w:color="auto" w:sz="4" w:space="0"/>
              <w:left w:val="single" w:color="auto" w:sz="4" w:space="0"/>
              <w:bottom w:val="single" w:color="auto" w:sz="4" w:space="0"/>
              <w:right w:val="single" w:color="auto" w:sz="4" w:space="0"/>
            </w:tcBorders>
            <w:noWrap/>
            <w:vAlign w:val="center"/>
          </w:tcPr>
          <w:p w14:paraId="419539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719" w:type="pct"/>
            <w:gridSpan w:val="2"/>
            <w:tcBorders>
              <w:top w:val="single" w:color="auto" w:sz="4" w:space="0"/>
              <w:left w:val="single" w:color="auto" w:sz="4" w:space="0"/>
              <w:bottom w:val="single" w:color="auto" w:sz="4" w:space="0"/>
              <w:right w:val="single" w:color="auto" w:sz="4" w:space="0"/>
            </w:tcBorders>
            <w:noWrap/>
            <w:vAlign w:val="center"/>
          </w:tcPr>
          <w:p w14:paraId="0F5689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885.67</w:t>
            </w:r>
          </w:p>
        </w:tc>
        <w:tc>
          <w:tcPr>
            <w:tcW w:w="802" w:type="pct"/>
            <w:gridSpan w:val="2"/>
            <w:tcBorders>
              <w:top w:val="single" w:color="auto" w:sz="4" w:space="0"/>
              <w:left w:val="single" w:color="auto" w:sz="4" w:space="0"/>
              <w:bottom w:val="single" w:color="auto" w:sz="4" w:space="0"/>
              <w:right w:val="single" w:color="auto" w:sz="4" w:space="0"/>
            </w:tcBorders>
            <w:noWrap/>
            <w:vAlign w:val="center"/>
          </w:tcPr>
          <w:p w14:paraId="38687B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885.67</w:t>
            </w:r>
          </w:p>
        </w:tc>
        <w:tc>
          <w:tcPr>
            <w:tcW w:w="962" w:type="pct"/>
            <w:tcBorders>
              <w:top w:val="single" w:color="auto" w:sz="4" w:space="0"/>
              <w:left w:val="single" w:color="auto" w:sz="4" w:space="0"/>
              <w:bottom w:val="single" w:color="auto" w:sz="4" w:space="0"/>
              <w:right w:val="single" w:color="auto" w:sz="4" w:space="0"/>
            </w:tcBorders>
            <w:noWrap/>
            <w:vAlign w:val="center"/>
          </w:tcPr>
          <w:p w14:paraId="056C0914">
            <w:pPr>
              <w:jc w:val="right"/>
              <w:rPr>
                <w:rFonts w:hint="default" w:ascii="Times New Roman" w:hAnsi="Times New Roman" w:eastAsia="宋体" w:cs="Times New Roman"/>
                <w:i w:val="0"/>
                <w:iCs w:val="0"/>
                <w:color w:val="000000"/>
                <w:sz w:val="20"/>
                <w:szCs w:val="20"/>
                <w:highlight w:val="none"/>
                <w:u w:val="none"/>
              </w:rPr>
            </w:pPr>
          </w:p>
        </w:tc>
      </w:tr>
      <w:tr w14:paraId="45974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29" w:type="pct"/>
            <w:tcBorders>
              <w:top w:val="single" w:color="auto" w:sz="4" w:space="0"/>
              <w:left w:val="single" w:color="auto" w:sz="4" w:space="0"/>
              <w:bottom w:val="single" w:color="auto" w:sz="4" w:space="0"/>
              <w:right w:val="single" w:color="auto" w:sz="4" w:space="0"/>
            </w:tcBorders>
            <w:noWrap/>
            <w:vAlign w:val="center"/>
          </w:tcPr>
          <w:p w14:paraId="1DBEE6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2011102</w:t>
            </w:r>
          </w:p>
        </w:tc>
        <w:tc>
          <w:tcPr>
            <w:tcW w:w="1986" w:type="pct"/>
            <w:tcBorders>
              <w:top w:val="single" w:color="auto" w:sz="4" w:space="0"/>
              <w:left w:val="single" w:color="auto" w:sz="4" w:space="0"/>
              <w:bottom w:val="single" w:color="auto" w:sz="4" w:space="0"/>
              <w:right w:val="single" w:color="auto" w:sz="4" w:space="0"/>
            </w:tcBorders>
            <w:noWrap/>
            <w:vAlign w:val="center"/>
          </w:tcPr>
          <w:p w14:paraId="286F3E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719" w:type="pct"/>
            <w:gridSpan w:val="2"/>
            <w:tcBorders>
              <w:top w:val="single" w:color="auto" w:sz="4" w:space="0"/>
              <w:left w:val="single" w:color="auto" w:sz="4" w:space="0"/>
              <w:bottom w:val="single" w:color="auto" w:sz="4" w:space="0"/>
              <w:right w:val="single" w:color="auto" w:sz="4" w:space="0"/>
            </w:tcBorders>
            <w:noWrap/>
            <w:vAlign w:val="center"/>
          </w:tcPr>
          <w:p w14:paraId="5EDB73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584.68</w:t>
            </w:r>
          </w:p>
        </w:tc>
        <w:tc>
          <w:tcPr>
            <w:tcW w:w="802" w:type="pct"/>
            <w:gridSpan w:val="2"/>
            <w:tcBorders>
              <w:top w:val="single" w:color="auto" w:sz="4" w:space="0"/>
              <w:left w:val="single" w:color="auto" w:sz="4" w:space="0"/>
              <w:bottom w:val="single" w:color="auto" w:sz="4" w:space="0"/>
              <w:right w:val="single" w:color="auto" w:sz="4" w:space="0"/>
            </w:tcBorders>
            <w:noWrap/>
            <w:vAlign w:val="center"/>
          </w:tcPr>
          <w:p w14:paraId="3C669A7A">
            <w:pPr>
              <w:jc w:val="right"/>
              <w:rPr>
                <w:rFonts w:hint="default" w:ascii="Times New Roman" w:hAnsi="Times New Roman" w:eastAsia="宋体" w:cs="Times New Roman"/>
                <w:i w:val="0"/>
                <w:iCs w:val="0"/>
                <w:color w:val="000000"/>
                <w:sz w:val="20"/>
                <w:szCs w:val="20"/>
                <w:highlight w:val="none"/>
                <w:u w:val="none"/>
              </w:rPr>
            </w:pPr>
          </w:p>
        </w:tc>
        <w:tc>
          <w:tcPr>
            <w:tcW w:w="962" w:type="pct"/>
            <w:tcBorders>
              <w:top w:val="single" w:color="auto" w:sz="4" w:space="0"/>
              <w:left w:val="single" w:color="auto" w:sz="4" w:space="0"/>
              <w:bottom w:val="single" w:color="auto" w:sz="4" w:space="0"/>
              <w:right w:val="single" w:color="auto" w:sz="4" w:space="0"/>
            </w:tcBorders>
            <w:noWrap/>
            <w:vAlign w:val="center"/>
          </w:tcPr>
          <w:p w14:paraId="5E4678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584.68</w:t>
            </w:r>
          </w:p>
        </w:tc>
      </w:tr>
      <w:tr w14:paraId="1F278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29" w:type="pct"/>
            <w:tcBorders>
              <w:top w:val="single" w:color="auto" w:sz="4" w:space="0"/>
              <w:left w:val="single" w:color="auto" w:sz="4" w:space="0"/>
              <w:bottom w:val="single" w:color="auto" w:sz="4" w:space="0"/>
              <w:right w:val="single" w:color="auto" w:sz="4" w:space="0"/>
            </w:tcBorders>
            <w:noWrap/>
            <w:vAlign w:val="center"/>
          </w:tcPr>
          <w:p w14:paraId="4D5FE1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986" w:type="pct"/>
            <w:tcBorders>
              <w:top w:val="single" w:color="auto" w:sz="4" w:space="0"/>
              <w:left w:val="single" w:color="auto" w:sz="4" w:space="0"/>
              <w:bottom w:val="single" w:color="auto" w:sz="4" w:space="0"/>
              <w:right w:val="single" w:color="auto" w:sz="4" w:space="0"/>
            </w:tcBorders>
            <w:noWrap/>
            <w:vAlign w:val="center"/>
          </w:tcPr>
          <w:p w14:paraId="6DF279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719" w:type="pct"/>
            <w:gridSpan w:val="2"/>
            <w:tcBorders>
              <w:top w:val="single" w:color="auto" w:sz="4" w:space="0"/>
              <w:left w:val="single" w:color="auto" w:sz="4" w:space="0"/>
              <w:bottom w:val="single" w:color="auto" w:sz="4" w:space="0"/>
              <w:right w:val="single" w:color="auto" w:sz="4" w:space="0"/>
            </w:tcBorders>
            <w:noWrap/>
            <w:vAlign w:val="center"/>
          </w:tcPr>
          <w:p w14:paraId="2A43EB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w:t>
            </w:r>
          </w:p>
        </w:tc>
        <w:tc>
          <w:tcPr>
            <w:tcW w:w="802" w:type="pct"/>
            <w:gridSpan w:val="2"/>
            <w:tcBorders>
              <w:top w:val="single" w:color="auto" w:sz="4" w:space="0"/>
              <w:left w:val="single" w:color="auto" w:sz="4" w:space="0"/>
              <w:bottom w:val="single" w:color="auto" w:sz="4" w:space="0"/>
              <w:right w:val="single" w:color="auto" w:sz="4" w:space="0"/>
            </w:tcBorders>
            <w:noWrap/>
            <w:vAlign w:val="center"/>
          </w:tcPr>
          <w:p w14:paraId="6BA36E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w:t>
            </w:r>
          </w:p>
        </w:tc>
        <w:tc>
          <w:tcPr>
            <w:tcW w:w="962" w:type="pct"/>
            <w:tcBorders>
              <w:top w:val="single" w:color="auto" w:sz="4" w:space="0"/>
              <w:left w:val="single" w:color="auto" w:sz="4" w:space="0"/>
              <w:bottom w:val="single" w:color="auto" w:sz="4" w:space="0"/>
              <w:right w:val="single" w:color="auto" w:sz="4" w:space="0"/>
            </w:tcBorders>
            <w:noWrap/>
            <w:vAlign w:val="center"/>
          </w:tcPr>
          <w:p w14:paraId="1F492A38">
            <w:pPr>
              <w:jc w:val="right"/>
              <w:rPr>
                <w:rFonts w:hint="default" w:ascii="Times New Roman" w:hAnsi="Times New Roman" w:eastAsia="宋体" w:cs="Times New Roman"/>
                <w:i w:val="0"/>
                <w:iCs w:val="0"/>
                <w:color w:val="000000"/>
                <w:sz w:val="20"/>
                <w:szCs w:val="20"/>
                <w:highlight w:val="none"/>
                <w:u w:val="none"/>
              </w:rPr>
            </w:pPr>
          </w:p>
        </w:tc>
      </w:tr>
      <w:tr w14:paraId="653937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29" w:type="pct"/>
            <w:tcBorders>
              <w:top w:val="single" w:color="auto" w:sz="4" w:space="0"/>
              <w:left w:val="single" w:color="auto" w:sz="4" w:space="0"/>
              <w:bottom w:val="single" w:color="auto" w:sz="4" w:space="0"/>
              <w:right w:val="single" w:color="auto" w:sz="4" w:space="0"/>
            </w:tcBorders>
            <w:noWrap/>
            <w:vAlign w:val="center"/>
          </w:tcPr>
          <w:p w14:paraId="093C1A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986" w:type="pct"/>
            <w:tcBorders>
              <w:top w:val="single" w:color="auto" w:sz="4" w:space="0"/>
              <w:left w:val="single" w:color="auto" w:sz="4" w:space="0"/>
              <w:bottom w:val="single" w:color="auto" w:sz="4" w:space="0"/>
              <w:right w:val="single" w:color="auto" w:sz="4" w:space="0"/>
            </w:tcBorders>
            <w:noWrap/>
            <w:vAlign w:val="center"/>
          </w:tcPr>
          <w:p w14:paraId="5D2083E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719" w:type="pct"/>
            <w:gridSpan w:val="2"/>
            <w:tcBorders>
              <w:top w:val="single" w:color="auto" w:sz="4" w:space="0"/>
              <w:left w:val="single" w:color="auto" w:sz="4" w:space="0"/>
              <w:bottom w:val="single" w:color="auto" w:sz="4" w:space="0"/>
              <w:right w:val="single" w:color="auto" w:sz="4" w:space="0"/>
            </w:tcBorders>
            <w:noWrap/>
            <w:vAlign w:val="center"/>
          </w:tcPr>
          <w:p w14:paraId="16BAAB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w:t>
            </w:r>
          </w:p>
        </w:tc>
        <w:tc>
          <w:tcPr>
            <w:tcW w:w="802" w:type="pct"/>
            <w:gridSpan w:val="2"/>
            <w:tcBorders>
              <w:top w:val="single" w:color="auto" w:sz="4" w:space="0"/>
              <w:left w:val="single" w:color="auto" w:sz="4" w:space="0"/>
              <w:bottom w:val="single" w:color="auto" w:sz="4" w:space="0"/>
              <w:right w:val="single" w:color="auto" w:sz="4" w:space="0"/>
            </w:tcBorders>
            <w:noWrap/>
            <w:vAlign w:val="center"/>
          </w:tcPr>
          <w:p w14:paraId="79B4F2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w:t>
            </w:r>
          </w:p>
        </w:tc>
        <w:tc>
          <w:tcPr>
            <w:tcW w:w="962" w:type="pct"/>
            <w:tcBorders>
              <w:top w:val="single" w:color="auto" w:sz="4" w:space="0"/>
              <w:left w:val="single" w:color="auto" w:sz="4" w:space="0"/>
              <w:bottom w:val="single" w:color="auto" w:sz="4" w:space="0"/>
              <w:right w:val="single" w:color="auto" w:sz="4" w:space="0"/>
            </w:tcBorders>
            <w:noWrap/>
            <w:vAlign w:val="center"/>
          </w:tcPr>
          <w:p w14:paraId="1B85725C">
            <w:pPr>
              <w:jc w:val="right"/>
              <w:rPr>
                <w:rFonts w:hint="default" w:ascii="Times New Roman" w:hAnsi="Times New Roman" w:eastAsia="宋体" w:cs="Times New Roman"/>
                <w:i w:val="0"/>
                <w:iCs w:val="0"/>
                <w:color w:val="000000"/>
                <w:sz w:val="20"/>
                <w:szCs w:val="20"/>
                <w:highlight w:val="none"/>
                <w:u w:val="none"/>
              </w:rPr>
            </w:pPr>
          </w:p>
        </w:tc>
      </w:tr>
      <w:tr w14:paraId="6616F3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29" w:type="pct"/>
            <w:tcBorders>
              <w:top w:val="single" w:color="auto" w:sz="4" w:space="0"/>
              <w:left w:val="single" w:color="auto" w:sz="4" w:space="0"/>
              <w:bottom w:val="single" w:color="auto" w:sz="4" w:space="0"/>
              <w:right w:val="single" w:color="auto" w:sz="4" w:space="0"/>
            </w:tcBorders>
            <w:noWrap/>
            <w:vAlign w:val="center"/>
          </w:tcPr>
          <w:p w14:paraId="383E36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986" w:type="pct"/>
            <w:tcBorders>
              <w:top w:val="single" w:color="auto" w:sz="4" w:space="0"/>
              <w:left w:val="single" w:color="auto" w:sz="4" w:space="0"/>
              <w:bottom w:val="single" w:color="auto" w:sz="4" w:space="0"/>
              <w:right w:val="single" w:color="auto" w:sz="4" w:space="0"/>
            </w:tcBorders>
            <w:noWrap/>
            <w:vAlign w:val="center"/>
          </w:tcPr>
          <w:p w14:paraId="7D4883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719" w:type="pct"/>
            <w:gridSpan w:val="2"/>
            <w:tcBorders>
              <w:top w:val="single" w:color="auto" w:sz="4" w:space="0"/>
              <w:left w:val="single" w:color="auto" w:sz="4" w:space="0"/>
              <w:bottom w:val="single" w:color="auto" w:sz="4" w:space="0"/>
              <w:right w:val="single" w:color="auto" w:sz="4" w:space="0"/>
            </w:tcBorders>
            <w:noWrap/>
            <w:vAlign w:val="center"/>
          </w:tcPr>
          <w:p w14:paraId="3257FF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w:t>
            </w:r>
          </w:p>
        </w:tc>
        <w:tc>
          <w:tcPr>
            <w:tcW w:w="802" w:type="pct"/>
            <w:gridSpan w:val="2"/>
            <w:tcBorders>
              <w:top w:val="single" w:color="auto" w:sz="4" w:space="0"/>
              <w:left w:val="single" w:color="auto" w:sz="4" w:space="0"/>
              <w:bottom w:val="single" w:color="auto" w:sz="4" w:space="0"/>
              <w:right w:val="single" w:color="auto" w:sz="4" w:space="0"/>
            </w:tcBorders>
            <w:noWrap/>
            <w:vAlign w:val="center"/>
          </w:tcPr>
          <w:p w14:paraId="4E2640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w:t>
            </w:r>
          </w:p>
        </w:tc>
        <w:tc>
          <w:tcPr>
            <w:tcW w:w="962" w:type="pct"/>
            <w:tcBorders>
              <w:top w:val="single" w:color="auto" w:sz="4" w:space="0"/>
              <w:left w:val="single" w:color="auto" w:sz="4" w:space="0"/>
              <w:bottom w:val="single" w:color="auto" w:sz="4" w:space="0"/>
              <w:right w:val="single" w:color="auto" w:sz="4" w:space="0"/>
            </w:tcBorders>
            <w:noWrap/>
            <w:vAlign w:val="center"/>
          </w:tcPr>
          <w:p w14:paraId="64732892">
            <w:pPr>
              <w:jc w:val="right"/>
              <w:rPr>
                <w:rFonts w:hint="default" w:ascii="Times New Roman" w:hAnsi="Times New Roman" w:eastAsia="宋体" w:cs="Times New Roman"/>
                <w:i w:val="0"/>
                <w:iCs w:val="0"/>
                <w:color w:val="000000"/>
                <w:sz w:val="20"/>
                <w:szCs w:val="20"/>
                <w:highlight w:val="none"/>
                <w:u w:val="none"/>
              </w:rPr>
            </w:pPr>
          </w:p>
        </w:tc>
      </w:tr>
      <w:tr w14:paraId="4954B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29" w:type="pct"/>
            <w:tcBorders>
              <w:top w:val="single" w:color="auto" w:sz="4" w:space="0"/>
              <w:left w:val="single" w:color="auto" w:sz="4" w:space="0"/>
              <w:bottom w:val="single" w:color="auto" w:sz="4" w:space="0"/>
              <w:right w:val="single" w:color="auto" w:sz="4" w:space="0"/>
            </w:tcBorders>
            <w:noWrap/>
            <w:vAlign w:val="center"/>
          </w:tcPr>
          <w:p w14:paraId="429D51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1986" w:type="pct"/>
            <w:tcBorders>
              <w:top w:val="single" w:color="auto" w:sz="4" w:space="0"/>
              <w:left w:val="single" w:color="auto" w:sz="4" w:space="0"/>
              <w:bottom w:val="single" w:color="auto" w:sz="4" w:space="0"/>
              <w:right w:val="single" w:color="auto" w:sz="4" w:space="0"/>
            </w:tcBorders>
            <w:noWrap/>
            <w:vAlign w:val="center"/>
          </w:tcPr>
          <w:p w14:paraId="379938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719" w:type="pct"/>
            <w:gridSpan w:val="2"/>
            <w:tcBorders>
              <w:top w:val="single" w:color="auto" w:sz="4" w:space="0"/>
              <w:left w:val="single" w:color="auto" w:sz="4" w:space="0"/>
              <w:bottom w:val="single" w:color="auto" w:sz="4" w:space="0"/>
              <w:right w:val="single" w:color="auto" w:sz="4" w:space="0"/>
            </w:tcBorders>
            <w:noWrap/>
            <w:vAlign w:val="center"/>
          </w:tcPr>
          <w:p w14:paraId="3837BF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w:t>
            </w:r>
          </w:p>
        </w:tc>
        <w:tc>
          <w:tcPr>
            <w:tcW w:w="802" w:type="pct"/>
            <w:gridSpan w:val="2"/>
            <w:tcBorders>
              <w:top w:val="single" w:color="auto" w:sz="4" w:space="0"/>
              <w:left w:val="single" w:color="auto" w:sz="4" w:space="0"/>
              <w:bottom w:val="single" w:color="auto" w:sz="4" w:space="0"/>
              <w:right w:val="single" w:color="auto" w:sz="4" w:space="0"/>
            </w:tcBorders>
            <w:noWrap/>
            <w:vAlign w:val="center"/>
          </w:tcPr>
          <w:p w14:paraId="498290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w:t>
            </w:r>
          </w:p>
        </w:tc>
        <w:tc>
          <w:tcPr>
            <w:tcW w:w="962" w:type="pct"/>
            <w:tcBorders>
              <w:top w:val="single" w:color="auto" w:sz="4" w:space="0"/>
              <w:left w:val="single" w:color="auto" w:sz="4" w:space="0"/>
              <w:bottom w:val="single" w:color="auto" w:sz="4" w:space="0"/>
              <w:right w:val="single" w:color="auto" w:sz="4" w:space="0"/>
            </w:tcBorders>
            <w:noWrap/>
            <w:vAlign w:val="center"/>
          </w:tcPr>
          <w:p w14:paraId="0CC9FD3D">
            <w:pPr>
              <w:jc w:val="right"/>
              <w:rPr>
                <w:rFonts w:hint="default" w:ascii="Times New Roman" w:hAnsi="Times New Roman" w:eastAsia="宋体" w:cs="Times New Roman"/>
                <w:i w:val="0"/>
                <w:iCs w:val="0"/>
                <w:color w:val="000000"/>
                <w:sz w:val="20"/>
                <w:szCs w:val="20"/>
                <w:highlight w:val="none"/>
                <w:u w:val="none"/>
              </w:rPr>
            </w:pPr>
          </w:p>
        </w:tc>
      </w:tr>
      <w:tr w14:paraId="6740C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29" w:type="pct"/>
            <w:tcBorders>
              <w:top w:val="single" w:color="auto" w:sz="4" w:space="0"/>
              <w:left w:val="single" w:color="auto" w:sz="4" w:space="0"/>
              <w:bottom w:val="single" w:color="auto" w:sz="4" w:space="0"/>
              <w:right w:val="single" w:color="auto" w:sz="4" w:space="0"/>
            </w:tcBorders>
            <w:noWrap/>
            <w:vAlign w:val="center"/>
          </w:tcPr>
          <w:p w14:paraId="638284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1986" w:type="pct"/>
            <w:tcBorders>
              <w:top w:val="single" w:color="auto" w:sz="4" w:space="0"/>
              <w:left w:val="single" w:color="auto" w:sz="4" w:space="0"/>
              <w:bottom w:val="single" w:color="auto" w:sz="4" w:space="0"/>
              <w:right w:val="single" w:color="auto" w:sz="4" w:space="0"/>
            </w:tcBorders>
            <w:noWrap/>
            <w:vAlign w:val="center"/>
          </w:tcPr>
          <w:p w14:paraId="049A14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719" w:type="pct"/>
            <w:gridSpan w:val="2"/>
            <w:tcBorders>
              <w:top w:val="single" w:color="auto" w:sz="4" w:space="0"/>
              <w:left w:val="single" w:color="auto" w:sz="4" w:space="0"/>
              <w:bottom w:val="single" w:color="auto" w:sz="4" w:space="0"/>
              <w:right w:val="single" w:color="auto" w:sz="4" w:space="0"/>
            </w:tcBorders>
            <w:noWrap/>
            <w:vAlign w:val="center"/>
          </w:tcPr>
          <w:p w14:paraId="07D578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0.78</w:t>
            </w:r>
          </w:p>
        </w:tc>
        <w:tc>
          <w:tcPr>
            <w:tcW w:w="802" w:type="pct"/>
            <w:gridSpan w:val="2"/>
            <w:tcBorders>
              <w:top w:val="single" w:color="auto" w:sz="4" w:space="0"/>
              <w:left w:val="single" w:color="auto" w:sz="4" w:space="0"/>
              <w:bottom w:val="single" w:color="auto" w:sz="4" w:space="0"/>
              <w:right w:val="single" w:color="auto" w:sz="4" w:space="0"/>
            </w:tcBorders>
            <w:noWrap/>
            <w:vAlign w:val="center"/>
          </w:tcPr>
          <w:p w14:paraId="471E8D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0.78</w:t>
            </w:r>
          </w:p>
        </w:tc>
        <w:tc>
          <w:tcPr>
            <w:tcW w:w="962" w:type="pct"/>
            <w:tcBorders>
              <w:top w:val="single" w:color="auto" w:sz="4" w:space="0"/>
              <w:left w:val="single" w:color="auto" w:sz="4" w:space="0"/>
              <w:bottom w:val="single" w:color="auto" w:sz="4" w:space="0"/>
              <w:right w:val="single" w:color="auto" w:sz="4" w:space="0"/>
            </w:tcBorders>
            <w:noWrap/>
            <w:vAlign w:val="center"/>
          </w:tcPr>
          <w:p w14:paraId="2D3EC000">
            <w:pPr>
              <w:jc w:val="right"/>
              <w:rPr>
                <w:rFonts w:hint="default" w:ascii="Times New Roman" w:hAnsi="Times New Roman" w:eastAsia="宋体" w:cs="Times New Roman"/>
                <w:i w:val="0"/>
                <w:iCs w:val="0"/>
                <w:color w:val="000000"/>
                <w:sz w:val="20"/>
                <w:szCs w:val="20"/>
                <w:highlight w:val="none"/>
                <w:u w:val="none"/>
              </w:rPr>
            </w:pPr>
          </w:p>
        </w:tc>
      </w:tr>
      <w:tr w14:paraId="1A217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29" w:type="pct"/>
            <w:tcBorders>
              <w:top w:val="single" w:color="auto" w:sz="4" w:space="0"/>
              <w:left w:val="single" w:color="auto" w:sz="4" w:space="0"/>
              <w:bottom w:val="single" w:color="auto" w:sz="4" w:space="0"/>
              <w:right w:val="single" w:color="auto" w:sz="4" w:space="0"/>
            </w:tcBorders>
            <w:noWrap/>
            <w:vAlign w:val="center"/>
          </w:tcPr>
          <w:p w14:paraId="2A5EC5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1986" w:type="pct"/>
            <w:tcBorders>
              <w:top w:val="single" w:color="auto" w:sz="4" w:space="0"/>
              <w:left w:val="single" w:color="auto" w:sz="4" w:space="0"/>
              <w:bottom w:val="single" w:color="auto" w:sz="4" w:space="0"/>
              <w:right w:val="single" w:color="auto" w:sz="4" w:space="0"/>
            </w:tcBorders>
            <w:noWrap/>
            <w:vAlign w:val="center"/>
          </w:tcPr>
          <w:p w14:paraId="4A5001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719" w:type="pct"/>
            <w:gridSpan w:val="2"/>
            <w:tcBorders>
              <w:top w:val="single" w:color="auto" w:sz="4" w:space="0"/>
              <w:left w:val="single" w:color="auto" w:sz="4" w:space="0"/>
              <w:bottom w:val="single" w:color="auto" w:sz="4" w:space="0"/>
              <w:right w:val="single" w:color="auto" w:sz="4" w:space="0"/>
            </w:tcBorders>
            <w:noWrap/>
            <w:vAlign w:val="center"/>
          </w:tcPr>
          <w:p w14:paraId="507306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w:t>
            </w:r>
          </w:p>
        </w:tc>
        <w:tc>
          <w:tcPr>
            <w:tcW w:w="802" w:type="pct"/>
            <w:gridSpan w:val="2"/>
            <w:tcBorders>
              <w:top w:val="single" w:color="auto" w:sz="4" w:space="0"/>
              <w:left w:val="single" w:color="auto" w:sz="4" w:space="0"/>
              <w:bottom w:val="single" w:color="auto" w:sz="4" w:space="0"/>
              <w:right w:val="single" w:color="auto" w:sz="4" w:space="0"/>
            </w:tcBorders>
            <w:noWrap/>
            <w:vAlign w:val="center"/>
          </w:tcPr>
          <w:p w14:paraId="256B41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w:t>
            </w:r>
          </w:p>
        </w:tc>
        <w:tc>
          <w:tcPr>
            <w:tcW w:w="962" w:type="pct"/>
            <w:tcBorders>
              <w:top w:val="single" w:color="auto" w:sz="4" w:space="0"/>
              <w:left w:val="single" w:color="auto" w:sz="4" w:space="0"/>
              <w:bottom w:val="single" w:color="auto" w:sz="4" w:space="0"/>
              <w:right w:val="single" w:color="auto" w:sz="4" w:space="0"/>
            </w:tcBorders>
            <w:noWrap/>
            <w:vAlign w:val="center"/>
          </w:tcPr>
          <w:p w14:paraId="152EEFF9">
            <w:pPr>
              <w:jc w:val="right"/>
              <w:rPr>
                <w:rFonts w:hint="default" w:ascii="Times New Roman" w:hAnsi="Times New Roman" w:eastAsia="宋体" w:cs="Times New Roman"/>
                <w:i w:val="0"/>
                <w:iCs w:val="0"/>
                <w:color w:val="000000"/>
                <w:sz w:val="20"/>
                <w:szCs w:val="20"/>
                <w:highlight w:val="none"/>
                <w:u w:val="none"/>
              </w:rPr>
            </w:pPr>
          </w:p>
        </w:tc>
      </w:tr>
      <w:tr w14:paraId="03724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29" w:type="pct"/>
            <w:tcBorders>
              <w:top w:val="single" w:color="auto" w:sz="4" w:space="0"/>
              <w:left w:val="single" w:color="auto" w:sz="4" w:space="0"/>
              <w:bottom w:val="single" w:color="auto" w:sz="4" w:space="0"/>
              <w:right w:val="single" w:color="auto" w:sz="4" w:space="0"/>
            </w:tcBorders>
            <w:noWrap/>
            <w:vAlign w:val="center"/>
          </w:tcPr>
          <w:p w14:paraId="043560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986" w:type="pct"/>
            <w:tcBorders>
              <w:top w:val="single" w:color="auto" w:sz="4" w:space="0"/>
              <w:left w:val="single" w:color="auto" w:sz="4" w:space="0"/>
              <w:bottom w:val="single" w:color="auto" w:sz="4" w:space="0"/>
              <w:right w:val="single" w:color="auto" w:sz="4" w:space="0"/>
            </w:tcBorders>
            <w:noWrap/>
            <w:vAlign w:val="center"/>
          </w:tcPr>
          <w:p w14:paraId="6ABD53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719" w:type="pct"/>
            <w:gridSpan w:val="2"/>
            <w:tcBorders>
              <w:top w:val="single" w:color="auto" w:sz="4" w:space="0"/>
              <w:left w:val="single" w:color="auto" w:sz="4" w:space="0"/>
              <w:bottom w:val="single" w:color="auto" w:sz="4" w:space="0"/>
              <w:right w:val="single" w:color="auto" w:sz="4" w:space="0"/>
            </w:tcBorders>
            <w:noWrap/>
            <w:vAlign w:val="center"/>
          </w:tcPr>
          <w:p w14:paraId="07EEC0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802" w:type="pct"/>
            <w:gridSpan w:val="2"/>
            <w:tcBorders>
              <w:top w:val="single" w:color="auto" w:sz="4" w:space="0"/>
              <w:left w:val="single" w:color="auto" w:sz="4" w:space="0"/>
              <w:bottom w:val="single" w:color="auto" w:sz="4" w:space="0"/>
              <w:right w:val="single" w:color="auto" w:sz="4" w:space="0"/>
            </w:tcBorders>
            <w:noWrap/>
            <w:vAlign w:val="center"/>
          </w:tcPr>
          <w:p w14:paraId="50AD60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962" w:type="pct"/>
            <w:tcBorders>
              <w:top w:val="single" w:color="auto" w:sz="4" w:space="0"/>
              <w:left w:val="single" w:color="auto" w:sz="4" w:space="0"/>
              <w:bottom w:val="single" w:color="auto" w:sz="4" w:space="0"/>
              <w:right w:val="single" w:color="auto" w:sz="4" w:space="0"/>
            </w:tcBorders>
            <w:noWrap/>
            <w:vAlign w:val="center"/>
          </w:tcPr>
          <w:p w14:paraId="4A7F448D">
            <w:pPr>
              <w:jc w:val="right"/>
              <w:rPr>
                <w:rFonts w:hint="default" w:ascii="Times New Roman" w:hAnsi="Times New Roman" w:eastAsia="宋体" w:cs="Times New Roman"/>
                <w:i w:val="0"/>
                <w:iCs w:val="0"/>
                <w:color w:val="000000"/>
                <w:sz w:val="20"/>
                <w:szCs w:val="20"/>
                <w:highlight w:val="none"/>
                <w:u w:val="none"/>
              </w:rPr>
            </w:pPr>
          </w:p>
        </w:tc>
      </w:tr>
      <w:tr w14:paraId="2289EF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29" w:type="pct"/>
            <w:tcBorders>
              <w:top w:val="single" w:color="auto" w:sz="4" w:space="0"/>
              <w:left w:val="single" w:color="auto" w:sz="4" w:space="0"/>
              <w:bottom w:val="single" w:color="auto" w:sz="4" w:space="0"/>
              <w:right w:val="single" w:color="auto" w:sz="4" w:space="0"/>
            </w:tcBorders>
            <w:noWrap/>
            <w:vAlign w:val="center"/>
          </w:tcPr>
          <w:p w14:paraId="486F9A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986" w:type="pct"/>
            <w:tcBorders>
              <w:top w:val="single" w:color="auto" w:sz="4" w:space="0"/>
              <w:left w:val="single" w:color="auto" w:sz="4" w:space="0"/>
              <w:bottom w:val="single" w:color="auto" w:sz="4" w:space="0"/>
              <w:right w:val="single" w:color="auto" w:sz="4" w:space="0"/>
            </w:tcBorders>
            <w:noWrap/>
            <w:vAlign w:val="center"/>
          </w:tcPr>
          <w:p w14:paraId="0B2F9B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719" w:type="pct"/>
            <w:gridSpan w:val="2"/>
            <w:tcBorders>
              <w:top w:val="single" w:color="auto" w:sz="4" w:space="0"/>
              <w:left w:val="single" w:color="auto" w:sz="4" w:space="0"/>
              <w:bottom w:val="single" w:color="auto" w:sz="4" w:space="0"/>
              <w:right w:val="single" w:color="auto" w:sz="4" w:space="0"/>
            </w:tcBorders>
            <w:noWrap/>
            <w:vAlign w:val="center"/>
          </w:tcPr>
          <w:p w14:paraId="3AF4DE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802" w:type="pct"/>
            <w:gridSpan w:val="2"/>
            <w:tcBorders>
              <w:top w:val="single" w:color="auto" w:sz="4" w:space="0"/>
              <w:left w:val="single" w:color="auto" w:sz="4" w:space="0"/>
              <w:bottom w:val="single" w:color="auto" w:sz="4" w:space="0"/>
              <w:right w:val="single" w:color="auto" w:sz="4" w:space="0"/>
            </w:tcBorders>
            <w:noWrap/>
            <w:vAlign w:val="center"/>
          </w:tcPr>
          <w:p w14:paraId="33B809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962" w:type="pct"/>
            <w:tcBorders>
              <w:top w:val="single" w:color="auto" w:sz="4" w:space="0"/>
              <w:left w:val="single" w:color="auto" w:sz="4" w:space="0"/>
              <w:bottom w:val="single" w:color="auto" w:sz="4" w:space="0"/>
              <w:right w:val="single" w:color="auto" w:sz="4" w:space="0"/>
            </w:tcBorders>
            <w:noWrap/>
            <w:vAlign w:val="center"/>
          </w:tcPr>
          <w:p w14:paraId="32EFA2D9">
            <w:pPr>
              <w:jc w:val="right"/>
              <w:rPr>
                <w:rFonts w:hint="default" w:ascii="Times New Roman" w:hAnsi="Times New Roman" w:eastAsia="宋体" w:cs="Times New Roman"/>
                <w:i w:val="0"/>
                <w:iCs w:val="0"/>
                <w:color w:val="000000"/>
                <w:sz w:val="20"/>
                <w:szCs w:val="20"/>
                <w:highlight w:val="none"/>
                <w:u w:val="none"/>
              </w:rPr>
            </w:pPr>
          </w:p>
        </w:tc>
      </w:tr>
      <w:tr w14:paraId="50A8D8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29" w:type="pct"/>
            <w:tcBorders>
              <w:top w:val="single" w:color="auto" w:sz="4" w:space="0"/>
              <w:left w:val="single" w:color="auto" w:sz="4" w:space="0"/>
              <w:bottom w:val="single" w:color="auto" w:sz="4" w:space="0"/>
              <w:right w:val="single" w:color="auto" w:sz="4" w:space="0"/>
            </w:tcBorders>
            <w:noWrap/>
            <w:vAlign w:val="center"/>
          </w:tcPr>
          <w:p w14:paraId="4D3828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986" w:type="pct"/>
            <w:tcBorders>
              <w:top w:val="single" w:color="auto" w:sz="4" w:space="0"/>
              <w:left w:val="single" w:color="auto" w:sz="4" w:space="0"/>
              <w:bottom w:val="single" w:color="auto" w:sz="4" w:space="0"/>
              <w:right w:val="single" w:color="auto" w:sz="4" w:space="0"/>
            </w:tcBorders>
            <w:noWrap/>
            <w:vAlign w:val="center"/>
          </w:tcPr>
          <w:p w14:paraId="0CBCD9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719" w:type="pct"/>
            <w:gridSpan w:val="2"/>
            <w:tcBorders>
              <w:top w:val="single" w:color="auto" w:sz="4" w:space="0"/>
              <w:left w:val="single" w:color="auto" w:sz="4" w:space="0"/>
              <w:bottom w:val="single" w:color="auto" w:sz="4" w:space="0"/>
              <w:right w:val="single" w:color="auto" w:sz="4" w:space="0"/>
            </w:tcBorders>
            <w:noWrap/>
            <w:vAlign w:val="center"/>
          </w:tcPr>
          <w:p w14:paraId="1A2C11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802" w:type="pct"/>
            <w:gridSpan w:val="2"/>
            <w:tcBorders>
              <w:top w:val="single" w:color="auto" w:sz="4" w:space="0"/>
              <w:left w:val="single" w:color="auto" w:sz="4" w:space="0"/>
              <w:bottom w:val="single" w:color="auto" w:sz="4" w:space="0"/>
              <w:right w:val="single" w:color="auto" w:sz="4" w:space="0"/>
            </w:tcBorders>
            <w:noWrap/>
            <w:vAlign w:val="center"/>
          </w:tcPr>
          <w:p w14:paraId="7CE741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962" w:type="pct"/>
            <w:tcBorders>
              <w:top w:val="single" w:color="auto" w:sz="4" w:space="0"/>
              <w:left w:val="single" w:color="auto" w:sz="4" w:space="0"/>
              <w:bottom w:val="single" w:color="auto" w:sz="4" w:space="0"/>
              <w:right w:val="single" w:color="auto" w:sz="4" w:space="0"/>
            </w:tcBorders>
            <w:noWrap/>
            <w:vAlign w:val="center"/>
          </w:tcPr>
          <w:p w14:paraId="0C83C123">
            <w:pPr>
              <w:jc w:val="right"/>
              <w:rPr>
                <w:rFonts w:hint="default" w:ascii="Times New Roman" w:hAnsi="Times New Roman" w:eastAsia="宋体" w:cs="Times New Roman"/>
                <w:i w:val="0"/>
                <w:iCs w:val="0"/>
                <w:color w:val="000000"/>
                <w:sz w:val="20"/>
                <w:szCs w:val="20"/>
                <w:highlight w:val="none"/>
                <w:u w:val="none"/>
              </w:rPr>
            </w:pPr>
          </w:p>
        </w:tc>
      </w:tr>
      <w:tr w14:paraId="0EC62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29" w:type="pct"/>
            <w:tcBorders>
              <w:top w:val="single" w:color="auto" w:sz="4" w:space="0"/>
              <w:left w:val="single" w:color="auto" w:sz="4" w:space="0"/>
              <w:bottom w:val="single" w:color="auto" w:sz="4" w:space="0"/>
              <w:right w:val="single" w:color="auto" w:sz="4" w:space="0"/>
            </w:tcBorders>
            <w:noWrap/>
            <w:vAlign w:val="center"/>
          </w:tcPr>
          <w:p w14:paraId="56E898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986" w:type="pct"/>
            <w:tcBorders>
              <w:top w:val="single" w:color="auto" w:sz="4" w:space="0"/>
              <w:left w:val="single" w:color="auto" w:sz="4" w:space="0"/>
              <w:bottom w:val="single" w:color="auto" w:sz="4" w:space="0"/>
              <w:right w:val="single" w:color="auto" w:sz="4" w:space="0"/>
            </w:tcBorders>
            <w:noWrap/>
            <w:vAlign w:val="center"/>
          </w:tcPr>
          <w:p w14:paraId="68FEFE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719" w:type="pct"/>
            <w:gridSpan w:val="2"/>
            <w:tcBorders>
              <w:top w:val="single" w:color="auto" w:sz="4" w:space="0"/>
              <w:left w:val="single" w:color="auto" w:sz="4" w:space="0"/>
              <w:bottom w:val="single" w:color="auto" w:sz="4" w:space="0"/>
              <w:right w:val="single" w:color="auto" w:sz="4" w:space="0"/>
            </w:tcBorders>
            <w:noWrap/>
            <w:vAlign w:val="center"/>
          </w:tcPr>
          <w:p w14:paraId="192D39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802" w:type="pct"/>
            <w:gridSpan w:val="2"/>
            <w:tcBorders>
              <w:top w:val="single" w:color="auto" w:sz="4" w:space="0"/>
              <w:left w:val="single" w:color="auto" w:sz="4" w:space="0"/>
              <w:bottom w:val="single" w:color="auto" w:sz="4" w:space="0"/>
              <w:right w:val="single" w:color="auto" w:sz="4" w:space="0"/>
            </w:tcBorders>
            <w:noWrap/>
            <w:vAlign w:val="center"/>
          </w:tcPr>
          <w:p w14:paraId="3324DB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962" w:type="pct"/>
            <w:tcBorders>
              <w:top w:val="single" w:color="auto" w:sz="4" w:space="0"/>
              <w:left w:val="single" w:color="auto" w:sz="4" w:space="0"/>
              <w:bottom w:val="single" w:color="auto" w:sz="4" w:space="0"/>
              <w:right w:val="single" w:color="auto" w:sz="4" w:space="0"/>
            </w:tcBorders>
            <w:noWrap/>
            <w:vAlign w:val="center"/>
          </w:tcPr>
          <w:p w14:paraId="2B1FDCF6">
            <w:pPr>
              <w:jc w:val="right"/>
              <w:rPr>
                <w:rFonts w:hint="default" w:ascii="Times New Roman" w:hAnsi="Times New Roman" w:eastAsia="宋体" w:cs="Times New Roman"/>
                <w:i w:val="0"/>
                <w:iCs w:val="0"/>
                <w:color w:val="000000"/>
                <w:sz w:val="20"/>
                <w:szCs w:val="20"/>
                <w:highlight w:val="none"/>
                <w:u w:val="none"/>
              </w:rPr>
            </w:pPr>
          </w:p>
        </w:tc>
      </w:tr>
      <w:tr w14:paraId="4EF61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29" w:type="pct"/>
            <w:tcBorders>
              <w:top w:val="single" w:color="auto" w:sz="4" w:space="0"/>
              <w:left w:val="single" w:color="auto" w:sz="4" w:space="0"/>
              <w:bottom w:val="single" w:color="auto" w:sz="4" w:space="0"/>
              <w:right w:val="single" w:color="auto" w:sz="4" w:space="0"/>
            </w:tcBorders>
            <w:noWrap/>
            <w:vAlign w:val="center"/>
          </w:tcPr>
          <w:p w14:paraId="69BD60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986" w:type="pct"/>
            <w:tcBorders>
              <w:top w:val="single" w:color="auto" w:sz="4" w:space="0"/>
              <w:left w:val="single" w:color="auto" w:sz="4" w:space="0"/>
              <w:bottom w:val="single" w:color="auto" w:sz="4" w:space="0"/>
              <w:right w:val="single" w:color="auto" w:sz="4" w:space="0"/>
            </w:tcBorders>
            <w:noWrap/>
            <w:vAlign w:val="center"/>
          </w:tcPr>
          <w:p w14:paraId="4EEF62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719" w:type="pct"/>
            <w:gridSpan w:val="2"/>
            <w:tcBorders>
              <w:top w:val="single" w:color="auto" w:sz="4" w:space="0"/>
              <w:left w:val="single" w:color="auto" w:sz="4" w:space="0"/>
              <w:bottom w:val="single" w:color="auto" w:sz="4" w:space="0"/>
              <w:right w:val="single" w:color="auto" w:sz="4" w:space="0"/>
            </w:tcBorders>
            <w:noWrap/>
            <w:vAlign w:val="center"/>
          </w:tcPr>
          <w:p w14:paraId="762B80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802" w:type="pct"/>
            <w:gridSpan w:val="2"/>
            <w:tcBorders>
              <w:top w:val="single" w:color="auto" w:sz="4" w:space="0"/>
              <w:left w:val="single" w:color="auto" w:sz="4" w:space="0"/>
              <w:bottom w:val="single" w:color="auto" w:sz="4" w:space="0"/>
              <w:right w:val="single" w:color="auto" w:sz="4" w:space="0"/>
            </w:tcBorders>
            <w:noWrap/>
            <w:vAlign w:val="center"/>
          </w:tcPr>
          <w:p w14:paraId="10F2B6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962" w:type="pct"/>
            <w:tcBorders>
              <w:top w:val="single" w:color="auto" w:sz="4" w:space="0"/>
              <w:left w:val="single" w:color="auto" w:sz="4" w:space="0"/>
              <w:bottom w:val="single" w:color="auto" w:sz="4" w:space="0"/>
              <w:right w:val="single" w:color="auto" w:sz="4" w:space="0"/>
            </w:tcBorders>
            <w:noWrap/>
            <w:vAlign w:val="center"/>
          </w:tcPr>
          <w:p w14:paraId="127F311E">
            <w:pPr>
              <w:jc w:val="right"/>
              <w:rPr>
                <w:rFonts w:hint="default" w:ascii="Times New Roman" w:hAnsi="Times New Roman" w:eastAsia="宋体" w:cs="Times New Roman"/>
                <w:i w:val="0"/>
                <w:iCs w:val="0"/>
                <w:color w:val="000000"/>
                <w:sz w:val="20"/>
                <w:szCs w:val="20"/>
                <w:highlight w:val="none"/>
                <w:u w:val="none"/>
              </w:rPr>
            </w:pPr>
          </w:p>
        </w:tc>
      </w:tr>
      <w:tr w14:paraId="2C0E2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29" w:type="pct"/>
            <w:tcBorders>
              <w:top w:val="single" w:color="auto" w:sz="4" w:space="0"/>
              <w:left w:val="single" w:color="auto" w:sz="4" w:space="0"/>
              <w:bottom w:val="single" w:color="auto" w:sz="4" w:space="0"/>
              <w:right w:val="single" w:color="auto" w:sz="4" w:space="0"/>
            </w:tcBorders>
            <w:noWrap/>
            <w:vAlign w:val="center"/>
          </w:tcPr>
          <w:p w14:paraId="557746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986" w:type="pct"/>
            <w:tcBorders>
              <w:top w:val="single" w:color="auto" w:sz="4" w:space="0"/>
              <w:left w:val="single" w:color="auto" w:sz="4" w:space="0"/>
              <w:bottom w:val="single" w:color="auto" w:sz="4" w:space="0"/>
              <w:right w:val="single" w:color="auto" w:sz="4" w:space="0"/>
            </w:tcBorders>
            <w:noWrap/>
            <w:vAlign w:val="center"/>
          </w:tcPr>
          <w:p w14:paraId="13582B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719" w:type="pct"/>
            <w:gridSpan w:val="2"/>
            <w:tcBorders>
              <w:top w:val="single" w:color="auto" w:sz="4" w:space="0"/>
              <w:left w:val="single" w:color="auto" w:sz="4" w:space="0"/>
              <w:bottom w:val="single" w:color="auto" w:sz="4" w:space="0"/>
              <w:right w:val="single" w:color="auto" w:sz="4" w:space="0"/>
            </w:tcBorders>
            <w:noWrap/>
            <w:vAlign w:val="center"/>
          </w:tcPr>
          <w:p w14:paraId="780D41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802" w:type="pct"/>
            <w:gridSpan w:val="2"/>
            <w:tcBorders>
              <w:top w:val="single" w:color="auto" w:sz="4" w:space="0"/>
              <w:left w:val="single" w:color="auto" w:sz="4" w:space="0"/>
              <w:bottom w:val="single" w:color="auto" w:sz="4" w:space="0"/>
              <w:right w:val="single" w:color="auto" w:sz="4" w:space="0"/>
            </w:tcBorders>
            <w:noWrap/>
            <w:vAlign w:val="center"/>
          </w:tcPr>
          <w:p w14:paraId="618F0D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962" w:type="pct"/>
            <w:tcBorders>
              <w:top w:val="single" w:color="auto" w:sz="4" w:space="0"/>
              <w:left w:val="single" w:color="auto" w:sz="4" w:space="0"/>
              <w:bottom w:val="single" w:color="auto" w:sz="4" w:space="0"/>
              <w:right w:val="single" w:color="auto" w:sz="4" w:space="0"/>
            </w:tcBorders>
            <w:noWrap/>
            <w:vAlign w:val="center"/>
          </w:tcPr>
          <w:p w14:paraId="11D8D5AF">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部门：中共行唐县纪律检查委员会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904.28</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156.6</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335.83</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21.87</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136.02</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96.5</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122.32</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0.75</w:t>
            </w: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92.1</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13.5</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3.36</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43.61</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8.07</w:t>
            </w: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3.2</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7.05</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74.7</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17.2</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38.4</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34.56</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3.84</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6.26</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7.88</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14.03</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48.6</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8.04</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942.68</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156.6</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部门：中共行唐县纪律检查委员会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部门：中共行唐县纪律检查委员会</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部门：中共行唐县纪律检查委员会</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44.09</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43.1</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27.5</w:t>
            </w: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15.6</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0.99</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40.79</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40.79</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26.76</w:t>
            </w: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14.03</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04F6532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5842A60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3A7399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本部门2024年度收、支总计（含结转和结余）均为1683.96万元。与2023年度决算相比，收支各增加110.85万元，增长7%，主要原因是增加办案问责等经费。</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3F7C8ACB">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26CEEC0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本部门2024年度本年收入合计1683.96万元，其中：财政拨款收入1683.96万元，占100%；上级补助收入0万元，占0%；事业收入0万元，占0%；经营收入0万元，占0%；附属单位上缴收入0万元，占0%；其他收入0万元，占0%。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7C2D777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5F8A921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本部门2024年度本年支出合计1683.96万元，其中：基本支出1099.28万元，占65.3%；项目支出584.68万元，占34.7%；上缴上级支出0万元，占0%；经营支出0万元，占0%；对附属单位补助支出0万元，占0%。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4C5B30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232A520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695051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本部门2024年度财政拨款收、支总计（含结转和结余）均为1683.96万元。与2023年度相比，财政拨款收支各增加110.85万元，增长7%，主要原因是增加办案问责等经费。</w:t>
      </w:r>
    </w:p>
    <w:p w14:paraId="01BF42E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本部门2024年度财政拨款本年收入1683.96万元</w:t>
      </w:r>
      <w:r>
        <w:rPr>
          <w:rFonts w:hint="eastAsia" w:ascii="Times New Roman" w:eastAsia="仿宋_GB2312"/>
          <w:b w:val="0"/>
          <w:sz w:val="32"/>
          <w:szCs w:val="32"/>
          <w:lang w:eastAsia="zh-CN"/>
        </w:rPr>
        <w:t>，</w:t>
      </w:r>
      <w:r>
        <w:rPr>
          <w:rFonts w:ascii="Times New Roman" w:eastAsia="仿宋_GB2312"/>
          <w:b w:val="0"/>
          <w:sz w:val="32"/>
          <w:szCs w:val="32"/>
        </w:rPr>
        <w:t>比上年增加110.85万元，增长7%，主要原因是增加办案问责等经费；本年支出1683.96万元，比上年增加110.85万元，增长7%，主要原因是增加办案问责等经费。具体情况如下：</w:t>
      </w:r>
    </w:p>
    <w:p w14:paraId="31822540">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一般公共预算财政拨款本年收入1683.96万元</w:t>
      </w:r>
      <w:r>
        <w:rPr>
          <w:rFonts w:hint="eastAsia" w:ascii="Times New Roman" w:eastAsia="仿宋_GB2312"/>
          <w:b w:val="0"/>
          <w:sz w:val="32"/>
          <w:szCs w:val="32"/>
          <w:lang w:eastAsia="zh-CN"/>
        </w:rPr>
        <w:t>，</w:t>
      </w:r>
      <w:r>
        <w:rPr>
          <w:rFonts w:ascii="Times New Roman" w:eastAsia="仿宋_GB2312"/>
          <w:b w:val="0"/>
          <w:sz w:val="32"/>
          <w:szCs w:val="32"/>
        </w:rPr>
        <w:t>比上年增加110.85万元，增长7%，主要原因是增加办案问责等经费；本年支出1683.96万元，比上年增加110.85万元，增长7%，主要原因是增加办案问责等经费。</w:t>
      </w:r>
    </w:p>
    <w:p w14:paraId="631388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2. </w:t>
      </w:r>
      <w:r>
        <w:rPr>
          <w:rFonts w:hint="default" w:ascii="Times New Roman" w:hAnsi="Times New Roman" w:eastAsia="仿宋_GB2312" w:cs="Times New Roman"/>
          <w:kern w:val="2"/>
          <w:sz w:val="32"/>
          <w:szCs w:val="32"/>
          <w:lang w:val="zh-CN"/>
        </w:rPr>
        <w:t>政府性基金预算财政拨款本年收入0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w:t>
      </w:r>
      <w:r>
        <w:rPr>
          <w:rFonts w:hint="eastAsia" w:ascii="Times New Roman" w:hAnsi="Times New Roman" w:eastAsia="仿宋_GB2312" w:cs="Times New Roman"/>
          <w:kern w:val="2"/>
          <w:sz w:val="32"/>
          <w:szCs w:val="32"/>
          <w:lang w:val="zh-CN"/>
        </w:rPr>
        <w:t>与上年比无变化</w:t>
      </w:r>
      <w:r>
        <w:rPr>
          <w:rFonts w:hint="default" w:ascii="Times New Roman" w:hAnsi="Times New Roman" w:eastAsia="仿宋_GB2312" w:cs="Times New Roman"/>
          <w:kern w:val="2"/>
          <w:sz w:val="32"/>
          <w:szCs w:val="32"/>
          <w:lang w:val="zh-CN"/>
        </w:rPr>
        <w:t>；本年支出 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w:t>
      </w:r>
      <w:r>
        <w:rPr>
          <w:rFonts w:hint="eastAsia" w:ascii="Times New Roman" w:hAnsi="Times New Roman" w:eastAsia="仿宋_GB2312" w:cs="Times New Roman"/>
          <w:kern w:val="2"/>
          <w:sz w:val="32"/>
          <w:szCs w:val="32"/>
          <w:lang w:val="zh-CN"/>
        </w:rPr>
        <w:t>与上年比无变化</w:t>
      </w:r>
      <w:r>
        <w:rPr>
          <w:rFonts w:hint="default" w:ascii="Times New Roman" w:hAnsi="Times New Roman" w:eastAsia="仿宋_GB2312" w:cs="Times New Roman"/>
          <w:kern w:val="2"/>
          <w:sz w:val="32"/>
          <w:szCs w:val="32"/>
          <w:lang w:val="zh-CN"/>
        </w:rPr>
        <w:t>。</w:t>
      </w:r>
    </w:p>
    <w:p w14:paraId="603A9874">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ascii="Times New Roman" w:eastAsia="仿宋_GB2312"/>
          <w:b w:val="0"/>
          <w:sz w:val="32"/>
          <w:szCs w:val="32"/>
        </w:rPr>
        <w:t xml:space="preserve">3. </w:t>
      </w:r>
      <w:r>
        <w:rPr>
          <w:rFonts w:hint="default" w:ascii="Times New Roman" w:hAnsi="Times New Roman" w:eastAsia="仿宋_GB2312" w:cs="Times New Roman"/>
          <w:kern w:val="2"/>
          <w:sz w:val="32"/>
          <w:szCs w:val="32"/>
          <w:lang w:val="zh-CN"/>
        </w:rPr>
        <w:t>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w:t>
      </w:r>
      <w:r>
        <w:rPr>
          <w:rFonts w:hint="eastAsia" w:ascii="Times New Roman" w:hAnsi="Times New Roman" w:eastAsia="仿宋_GB2312" w:cs="Times New Roman"/>
          <w:kern w:val="2"/>
          <w:sz w:val="32"/>
          <w:szCs w:val="32"/>
          <w:lang w:val="zh-CN"/>
        </w:rPr>
        <w:t>与上年比无变化</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w:t>
      </w:r>
      <w:r>
        <w:rPr>
          <w:rFonts w:hint="eastAsia" w:ascii="Times New Roman" w:hAnsi="Times New Roman" w:eastAsia="仿宋_GB2312" w:cs="Times New Roman"/>
          <w:kern w:val="2"/>
          <w:sz w:val="32"/>
          <w:szCs w:val="32"/>
          <w:lang w:val="zh-CN"/>
        </w:rPr>
        <w:t>与上年比无变化</w:t>
      </w:r>
      <w:r>
        <w:rPr>
          <w:rFonts w:hint="default" w:ascii="Times New Roman" w:hAnsi="Times New Roman" w:eastAsia="仿宋_GB2312" w:cs="Times New Roman"/>
          <w:kern w:val="2"/>
          <w:sz w:val="32"/>
          <w:szCs w:val="32"/>
          <w:lang w:val="zh-CN"/>
        </w:rPr>
        <w:t>。</w:t>
      </w:r>
    </w:p>
    <w:p w14:paraId="12256A3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ascii="Times New Roman" w:hAnsi="Times New Roman" w:eastAsia="仿宋_GB2312"/>
          <w:sz w:val="32"/>
          <w:szCs w:val="32"/>
        </w:rPr>
      </w:pP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9799C2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001FB0C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1683.96万元，完成年初预算的108.7%，比年初预算增加135.26万元，决算数大于预算数主要原因是增加办案问责等经费；本年支出1683.96万元，完成年初预算的108.7%，比年初预算增加135.26万元，决算数大于预算数主要原因是增加办案问责等经费。具体情况如下：</w:t>
      </w:r>
    </w:p>
    <w:p w14:paraId="4623AE4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一般公共预算财政拨款本年收入完成年初预算的108.7%，比年初预算增加135.26万元，主要原因是；支出完成年初预算的108.7%，比年初预算增加135.26万元，主要原因是。</w:t>
      </w:r>
    </w:p>
    <w:p w14:paraId="0A527EE0">
      <w:pPr>
        <w:autoSpaceDE w:val="0"/>
        <w:autoSpaceDN w:val="0"/>
        <w:adjustRightInd w:val="0"/>
        <w:spacing w:line="580" w:lineRule="exact"/>
        <w:ind w:firstLine="640" w:firstLineChars="200"/>
        <w:jc w:val="left"/>
        <w:rPr>
          <w:rFonts w:ascii="Times New Roman" w:eastAsia="仿宋_GB2312"/>
          <w:sz w:val="32"/>
          <w:szCs w:val="32"/>
        </w:rPr>
      </w:pPr>
      <w:r>
        <w:rPr>
          <w:rFonts w:ascii="Times New Roman" w:eastAsia="仿宋_GB2312"/>
          <w:b w:val="0"/>
          <w:sz w:val="32"/>
          <w:szCs w:val="32"/>
        </w:rPr>
        <w:t xml:space="preserve">2. </w:t>
      </w:r>
      <w:r>
        <w:rPr>
          <w:rFonts w:hint="default" w:ascii="Times New Roman" w:hAnsi="Times New Roman" w:eastAsia="仿宋_GB2312" w:cs="Times New Roman"/>
          <w:kern w:val="2"/>
          <w:sz w:val="32"/>
          <w:szCs w:val="32"/>
          <w:lang w:val="zh-CN"/>
        </w:rPr>
        <w:t xml:space="preserve"> 政府性基金预算财政拨款本年收入0万元，完成年初预算的0%，</w:t>
      </w:r>
      <w:r>
        <w:rPr>
          <w:rFonts w:hint="eastAsia" w:ascii="仿宋_GB2312" w:hAnsi="Times New Roman" w:eastAsia="仿宋_GB2312" w:cs="DengXian-Regular"/>
          <w:sz w:val="32"/>
          <w:szCs w:val="32"/>
          <w:lang w:eastAsia="zh-CN"/>
        </w:rPr>
        <w:t>与上年比无变化</w:t>
      </w:r>
      <w:r>
        <w:rPr>
          <w:rFonts w:hint="default" w:ascii="Times New Roman" w:hAnsi="Times New Roman" w:eastAsia="仿宋_GB2312" w:cs="Times New Roman"/>
          <w:kern w:val="2"/>
          <w:sz w:val="32"/>
          <w:szCs w:val="32"/>
          <w:lang w:val="zh-CN"/>
        </w:rPr>
        <w:t>；本年支出0万元，完成年初预算的0%，</w:t>
      </w:r>
      <w:r>
        <w:rPr>
          <w:rFonts w:hint="eastAsia" w:ascii="仿宋_GB2312" w:hAnsi="Times New Roman" w:eastAsia="仿宋_GB2312" w:cs="DengXian-Regular"/>
          <w:sz w:val="32"/>
          <w:szCs w:val="32"/>
          <w:lang w:eastAsia="zh-CN"/>
        </w:rPr>
        <w:t>与上年比无变化</w:t>
      </w:r>
      <w:r>
        <w:rPr>
          <w:rFonts w:ascii="Times New Roman" w:eastAsia="仿宋_GB2312"/>
          <w:b w:val="0"/>
          <w:sz w:val="32"/>
          <w:szCs w:val="32"/>
        </w:rPr>
        <w:t>。</w:t>
      </w:r>
    </w:p>
    <w:p w14:paraId="41EC04BB">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fill="FFFFFF"/>
        </w:rPr>
      </w:pPr>
      <w:r>
        <w:rPr>
          <w:rFonts w:ascii="Times New Roman" w:eastAsia="仿宋_GB2312"/>
          <w:b w:val="0"/>
          <w:sz w:val="32"/>
          <w:szCs w:val="32"/>
        </w:rPr>
        <w:t xml:space="preserve">3. </w:t>
      </w:r>
      <w:r>
        <w:rPr>
          <w:rFonts w:hint="default" w:ascii="Times New Roman" w:hAnsi="Times New Roman" w:eastAsia="仿宋_GB2312" w:cs="Times New Roman"/>
          <w:kern w:val="2"/>
          <w:sz w:val="32"/>
          <w:szCs w:val="32"/>
          <w:lang w:val="zh-CN"/>
        </w:rPr>
        <w:t>国有资本经营预算财政拨款本年收入0万元，完成年初预算的0%，</w:t>
      </w:r>
      <w:r>
        <w:rPr>
          <w:rFonts w:hint="eastAsia" w:ascii="仿宋_GB2312" w:hAnsi="Times New Roman" w:eastAsia="仿宋_GB2312" w:cs="DengXian-Regular"/>
          <w:sz w:val="32"/>
          <w:szCs w:val="32"/>
          <w:lang w:eastAsia="zh-CN"/>
        </w:rPr>
        <w:t>与上年比无变化</w:t>
      </w:r>
      <w:r>
        <w:rPr>
          <w:rFonts w:hint="default" w:ascii="Times New Roman" w:hAnsi="Times New Roman" w:eastAsia="仿宋_GB2312" w:cs="Times New Roman"/>
          <w:kern w:val="2"/>
          <w:sz w:val="32"/>
          <w:szCs w:val="32"/>
          <w:lang w:val="zh-CN"/>
        </w:rPr>
        <w:t>；本年支出0万元，完成年初预算的0%，</w:t>
      </w:r>
      <w:r>
        <w:rPr>
          <w:rFonts w:hint="eastAsia" w:ascii="仿宋_GB2312" w:hAnsi="Times New Roman" w:eastAsia="仿宋_GB2312" w:cs="DengXian-Regular"/>
          <w:sz w:val="32"/>
          <w:szCs w:val="32"/>
          <w:lang w:eastAsia="zh-CN"/>
        </w:rPr>
        <w:t>与上年比无变化</w:t>
      </w:r>
      <w:r>
        <w:rPr>
          <w:rFonts w:hint="default" w:ascii="Times New Roman" w:hAnsi="Times New Roman" w:eastAsia="仿宋_GB2312" w:cs="Times New Roman"/>
          <w:kern w:val="2"/>
          <w:sz w:val="32"/>
          <w:szCs w:val="32"/>
          <w:lang w:val="zh-CN"/>
        </w:rPr>
        <w:t>。</w:t>
      </w:r>
    </w:p>
    <w:p w14:paraId="4A32F99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3C145C4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0EA4C7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0D55474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2024年度财政拨款支出1683.96万元，主要用于以下方面：</w:t>
      </w:r>
    </w:p>
    <w:p w14:paraId="38B098E5">
      <w:pPr>
        <w:widowControl/>
        <w:spacing w:before="0" w:beforeLines="0" w:beforeAutospacing="0" w:after="0" w:afterLines="0" w:afterAutospacing="0" w:line="360" w:lineRule="auto"/>
        <w:ind w:firstLine="643" w:firstLineChars="200"/>
        <w:jc w:val="left"/>
        <w:rPr>
          <w:rFonts w:ascii="Times New Roman" w:eastAsia="仿宋_GB2312"/>
          <w:b w:val="0"/>
          <w:sz w:val="32"/>
          <w:szCs w:val="32"/>
        </w:rPr>
      </w:pPr>
      <w:r>
        <w:rPr>
          <w:rFonts w:ascii="Times New Roman" w:eastAsia="仿宋_GB2312"/>
          <w:b/>
          <w:sz w:val="32"/>
          <w:szCs w:val="32"/>
        </w:rPr>
        <w:t>一般公共预算财政拨款支出：</w:t>
      </w:r>
      <w:r>
        <w:rPr>
          <w:rFonts w:ascii="Times New Roman" w:eastAsia="仿宋_GB2312"/>
          <w:b w:val="0"/>
          <w:sz w:val="32"/>
          <w:szCs w:val="32"/>
        </w:rPr>
        <w:t>一般公共服务（类）支出1470.35万元，占87.3%，主要用于</w:t>
      </w:r>
      <w:r>
        <w:rPr>
          <w:rFonts w:hint="eastAsia" w:ascii="Times New Roman" w:eastAsia="仿宋_GB2312"/>
          <w:b w:val="0"/>
          <w:sz w:val="32"/>
          <w:szCs w:val="32"/>
          <w:lang w:eastAsia="zh-CN"/>
        </w:rPr>
        <w:t>人员经费发放、机关正常运行经费</w:t>
      </w:r>
      <w:r>
        <w:rPr>
          <w:rFonts w:ascii="Times New Roman" w:eastAsia="仿宋_GB2312"/>
          <w:b w:val="0"/>
          <w:sz w:val="32"/>
          <w:szCs w:val="32"/>
        </w:rPr>
        <w:t>等支出；外交（类）支出0万元，占0%；国防（类）支出0万元，占0%；公共安全类（类）支出0万元，占0%；教育（类）支出0万元，占0%；科学技术（类）支出0万元，占0%；文化旅游体育与传媒（类）支出0万元，占0.0%；社会保障和就业（类）支出95.3万元，占5.7%，主要用于</w:t>
      </w:r>
      <w:r>
        <w:rPr>
          <w:rFonts w:hint="eastAsia" w:ascii="Times New Roman" w:eastAsia="仿宋_GB2312"/>
          <w:b w:val="0"/>
          <w:sz w:val="32"/>
          <w:szCs w:val="32"/>
          <w:lang w:eastAsia="zh-CN"/>
        </w:rPr>
        <w:t>人员养老保险等</w:t>
      </w:r>
      <w:r>
        <w:rPr>
          <w:rFonts w:ascii="Times New Roman" w:eastAsia="仿宋_GB2312"/>
          <w:b w:val="0"/>
          <w:sz w:val="32"/>
          <w:szCs w:val="32"/>
        </w:rPr>
        <w:t>支出；卫生健康（类）支出43.61万元，占2.6%，主要用于</w:t>
      </w:r>
      <w:r>
        <w:rPr>
          <w:rFonts w:hint="eastAsia" w:ascii="Times New Roman" w:eastAsia="仿宋_GB2312"/>
          <w:b w:val="0"/>
          <w:sz w:val="32"/>
          <w:szCs w:val="32"/>
          <w:lang w:eastAsia="zh-CN"/>
        </w:rPr>
        <w:t>人员医疗保险</w:t>
      </w:r>
      <w:r>
        <w:rPr>
          <w:rFonts w:ascii="Times New Roman" w:eastAsia="仿宋_GB2312"/>
          <w:b w:val="0"/>
          <w:sz w:val="32"/>
          <w:szCs w:val="32"/>
        </w:rPr>
        <w:t>支出；节能环保（类）支出0万元，占0%；城乡社区（类）支出0万元，占</w:t>
      </w:r>
      <w:r>
        <w:rPr>
          <w:rFonts w:hint="eastAsia" w:ascii="Times New Roman" w:eastAsia="仿宋_GB2312"/>
          <w:b w:val="0"/>
          <w:sz w:val="32"/>
          <w:szCs w:val="32"/>
          <w:lang w:val="en-US" w:eastAsia="zh-CN"/>
        </w:rPr>
        <w:t>0</w:t>
      </w:r>
      <w:r>
        <w:rPr>
          <w:rFonts w:ascii="Times New Roman" w:eastAsia="仿宋_GB2312"/>
          <w:b w:val="0"/>
          <w:sz w:val="32"/>
          <w:szCs w:val="32"/>
        </w:rPr>
        <w:t>%；农林水（类）支出0万元，占0%；交通运输（类）支出0万元，占0%；资源勘探信息等（类）支出0万元，占0%；商业服务业等（类）支出0万元，占0%；金融（类）支出0万元，占0%；援助其他地区（类）支出</w:t>
      </w:r>
      <w:r>
        <w:rPr>
          <w:rFonts w:hint="eastAsia" w:ascii="Times New Roman" w:eastAsia="仿宋_GB2312"/>
          <w:b w:val="0"/>
          <w:sz w:val="32"/>
          <w:szCs w:val="32"/>
          <w:lang w:val="en-US" w:eastAsia="zh-CN"/>
        </w:rPr>
        <w:t>0</w:t>
      </w:r>
      <w:r>
        <w:rPr>
          <w:rFonts w:ascii="Times New Roman" w:eastAsia="仿宋_GB2312"/>
          <w:b w:val="0"/>
          <w:sz w:val="32"/>
          <w:szCs w:val="32"/>
        </w:rPr>
        <w:t>万元，占0%；自然资源海洋气象等（类）支出0万元，占0%；住房保障（类）支出74.7万元，占4.4%，主要用于</w:t>
      </w:r>
      <w:r>
        <w:rPr>
          <w:rFonts w:hint="eastAsia" w:ascii="Times New Roman" w:eastAsia="仿宋_GB2312"/>
          <w:b w:val="0"/>
          <w:sz w:val="32"/>
          <w:szCs w:val="32"/>
          <w:lang w:eastAsia="zh-CN"/>
        </w:rPr>
        <w:t>人员住房公积金</w:t>
      </w:r>
      <w:r>
        <w:rPr>
          <w:rFonts w:ascii="Times New Roman" w:eastAsia="仿宋_GB2312"/>
          <w:b w:val="0"/>
          <w:sz w:val="32"/>
          <w:szCs w:val="32"/>
        </w:rPr>
        <w:t>支出；粮油物资储备（类）支出0万元，占0%；国有资本经营预算支出0万元，占0%；</w:t>
      </w:r>
      <w:r>
        <w:rPr>
          <w:rFonts w:hint="eastAsia" w:ascii="Times New Roman" w:eastAsia="仿宋_GB2312"/>
          <w:b w:val="0"/>
          <w:sz w:val="32"/>
          <w:szCs w:val="32"/>
          <w:lang w:eastAsia="zh-CN"/>
        </w:rPr>
        <w:t>灾</w:t>
      </w:r>
      <w:r>
        <w:rPr>
          <w:rFonts w:ascii="Times New Roman" w:eastAsia="仿宋_GB2312"/>
          <w:b w:val="0"/>
          <w:sz w:val="32"/>
          <w:szCs w:val="32"/>
        </w:rPr>
        <w:t>害防治及应急管理（类）支出0万元，占0%；其他（类）支出0万元，占0%</w:t>
      </w:r>
      <w:r>
        <w:rPr>
          <w:rFonts w:hint="eastAsia" w:ascii="Times New Roman" w:eastAsia="仿宋_GB2312"/>
          <w:b w:val="0"/>
          <w:sz w:val="32"/>
          <w:szCs w:val="32"/>
          <w:lang w:eastAsia="zh-CN"/>
        </w:rPr>
        <w:t>；</w:t>
      </w:r>
      <w:r>
        <w:rPr>
          <w:rFonts w:ascii="Times New Roman" w:eastAsia="仿宋_GB2312"/>
          <w:b w:val="0"/>
          <w:sz w:val="32"/>
          <w:szCs w:val="32"/>
        </w:rPr>
        <w:t>债务还本（类）支出0万元，占0%；债务付息（类）支出0万元，占0%；抗疫特别国债安排的支出0万元，占0%。</w:t>
      </w:r>
    </w:p>
    <w:p w14:paraId="2AE6F8C4">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A9B87A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559D988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2024年度财政拨款基本支出1099.28万元，其中：人员经费942.68万元，主要包括基本工资、津贴补贴、奖金</w:t>
      </w:r>
      <w:r>
        <w:rPr>
          <w:rFonts w:hint="eastAsia" w:ascii="Times New Roman" w:eastAsia="仿宋_GB2312"/>
          <w:b w:val="0"/>
          <w:sz w:val="32"/>
          <w:szCs w:val="32"/>
          <w:lang w:eastAsia="zh-CN"/>
        </w:rPr>
        <w:t>、</w:t>
      </w:r>
      <w:r>
        <w:rPr>
          <w:rFonts w:ascii="Times New Roman" w:eastAsia="仿宋_GB2312"/>
          <w:b w:val="0"/>
          <w:sz w:val="32"/>
          <w:szCs w:val="32"/>
        </w:rPr>
        <w:t>绩效工资、机关事业部门基本养老保险缴费、职业年金缴费、职工基本医疗保险缴费、住房公积金、医疗费、其他社会保障缴费、退休费、 抚恤金</w:t>
      </w:r>
      <w:r>
        <w:rPr>
          <w:rFonts w:hint="eastAsia" w:ascii="Times New Roman" w:eastAsia="仿宋_GB2312"/>
          <w:b w:val="0"/>
          <w:sz w:val="32"/>
          <w:szCs w:val="32"/>
          <w:lang w:eastAsia="zh-CN"/>
        </w:rPr>
        <w:t>等支出</w:t>
      </w:r>
      <w:r>
        <w:rPr>
          <w:rFonts w:ascii="Times New Roman" w:eastAsia="仿宋_GB2312"/>
          <w:b w:val="0"/>
          <w:sz w:val="32"/>
          <w:szCs w:val="32"/>
        </w:rPr>
        <w:t>。</w:t>
      </w:r>
    </w:p>
    <w:p w14:paraId="71EDFA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公用经费156.6万元，主要包括办公费、水费、电费、邮电费、取暖费</w:t>
      </w:r>
      <w:r>
        <w:rPr>
          <w:rFonts w:hint="eastAsia" w:ascii="Times New Roman" w:eastAsia="仿宋_GB2312"/>
          <w:b w:val="0"/>
          <w:sz w:val="32"/>
          <w:szCs w:val="32"/>
          <w:lang w:eastAsia="zh-CN"/>
        </w:rPr>
        <w:t>、</w:t>
      </w:r>
      <w:r>
        <w:rPr>
          <w:rFonts w:ascii="Times New Roman" w:eastAsia="仿宋_GB2312"/>
          <w:b w:val="0"/>
          <w:sz w:val="32"/>
          <w:szCs w:val="32"/>
        </w:rPr>
        <w:t>差旅费、维修（护）费、劳务费、工会经费、福利费、公务用车运行维护费、其他交通费用、其他商品和服务支出、公务用车购置</w:t>
      </w:r>
      <w:r>
        <w:rPr>
          <w:rFonts w:hint="eastAsia" w:ascii="Times New Roman" w:eastAsia="仿宋_GB2312"/>
          <w:b w:val="0"/>
          <w:sz w:val="32"/>
          <w:szCs w:val="32"/>
          <w:lang w:eastAsia="zh-CN"/>
        </w:rPr>
        <w:t>等</w:t>
      </w:r>
      <w:r>
        <w:rPr>
          <w:rFonts w:ascii="Times New Roman" w:eastAsia="仿宋_GB2312"/>
          <w:b w:val="0"/>
          <w:sz w:val="32"/>
          <w:szCs w:val="32"/>
        </w:rPr>
        <w:t>支出。</w:t>
      </w:r>
    </w:p>
    <w:p w14:paraId="291AF83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59BF7B7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w:t>
      </w:r>
      <w:r>
        <w:rPr>
          <w:rFonts w:hint="eastAsia" w:ascii="Times New Roman" w:eastAsia="楷体_GB2312"/>
          <w:b/>
          <w:sz w:val="32"/>
          <w:szCs w:val="32"/>
          <w:lang w:eastAsia="zh-CN"/>
        </w:rPr>
        <w:t>“</w:t>
      </w:r>
      <w:r>
        <w:rPr>
          <w:rFonts w:ascii="Times New Roman" w:eastAsia="楷体_GB2312"/>
          <w:b/>
          <w:sz w:val="32"/>
          <w:szCs w:val="32"/>
        </w:rPr>
        <w:t>三公</w:t>
      </w:r>
      <w:r>
        <w:rPr>
          <w:rFonts w:hint="eastAsia" w:ascii="Times New Roman" w:eastAsia="楷体_GB2312"/>
          <w:b/>
          <w:sz w:val="32"/>
          <w:szCs w:val="32"/>
          <w:lang w:eastAsia="zh-CN"/>
        </w:rPr>
        <w:t>”</w:t>
      </w:r>
      <w:r>
        <w:rPr>
          <w:rFonts w:ascii="Times New Roman" w:eastAsia="楷体_GB2312"/>
          <w:b/>
          <w:sz w:val="32"/>
          <w:szCs w:val="32"/>
        </w:rPr>
        <w:t>经费财政拨款支出决算总体情况说明</w:t>
      </w:r>
    </w:p>
    <w:p w14:paraId="32A5228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w:t>
      </w:r>
      <w:r>
        <w:rPr>
          <w:rFonts w:hint="eastAsia" w:ascii="Times New Roman" w:eastAsia="仿宋_GB2312"/>
          <w:b w:val="0"/>
          <w:sz w:val="32"/>
          <w:szCs w:val="32"/>
          <w:lang w:eastAsia="zh-CN"/>
        </w:rPr>
        <w:t>“</w:t>
      </w:r>
      <w:r>
        <w:rPr>
          <w:rFonts w:ascii="Times New Roman" w:eastAsia="仿宋_GB2312"/>
          <w:b w:val="0"/>
          <w:sz w:val="32"/>
          <w:szCs w:val="32"/>
        </w:rPr>
        <w:t>三公</w:t>
      </w:r>
      <w:r>
        <w:rPr>
          <w:rFonts w:hint="eastAsia" w:ascii="Times New Roman" w:eastAsia="仿宋_GB2312"/>
          <w:b w:val="0"/>
          <w:sz w:val="32"/>
          <w:szCs w:val="32"/>
          <w:lang w:eastAsia="zh-CN"/>
        </w:rPr>
        <w:t>”</w:t>
      </w:r>
      <w:r>
        <w:rPr>
          <w:rFonts w:ascii="Times New Roman" w:eastAsia="仿宋_GB2312"/>
          <w:b w:val="0"/>
          <w:sz w:val="32"/>
          <w:szCs w:val="32"/>
        </w:rPr>
        <w:t>经费财政拨款支出预算为44.09万元，支出决算为40.79万元</w:t>
      </w:r>
      <w:r>
        <w:rPr>
          <w:rFonts w:hint="eastAsia" w:ascii="Times New Roman" w:eastAsia="仿宋_GB2312"/>
          <w:b w:val="0"/>
          <w:sz w:val="32"/>
          <w:szCs w:val="32"/>
          <w:lang w:eastAsia="zh-CN"/>
        </w:rPr>
        <w:t>，</w:t>
      </w:r>
      <w:r>
        <w:rPr>
          <w:rFonts w:ascii="Times New Roman" w:eastAsia="仿宋_GB2312"/>
          <w:b w:val="0"/>
          <w:sz w:val="32"/>
          <w:szCs w:val="32"/>
        </w:rPr>
        <w:t>完成预算的92.5%，较预算减少3.3万元，降低7.5%，主要原因是节俭意识增强；较2023年度决算增加22.79万元，增长126.7%，主要原因是购置执法执勤用车1辆。</w:t>
      </w:r>
    </w:p>
    <w:p w14:paraId="7255CC3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w:t>
      </w:r>
      <w:r>
        <w:rPr>
          <w:rFonts w:hint="eastAsia" w:ascii="Times New Roman" w:eastAsia="楷体_GB2312"/>
          <w:b/>
          <w:sz w:val="32"/>
          <w:szCs w:val="32"/>
          <w:lang w:eastAsia="zh-CN"/>
        </w:rPr>
        <w:t>“</w:t>
      </w:r>
      <w:r>
        <w:rPr>
          <w:rFonts w:ascii="Times New Roman" w:eastAsia="楷体_GB2312"/>
          <w:b/>
          <w:sz w:val="32"/>
          <w:szCs w:val="32"/>
        </w:rPr>
        <w:t>三公</w:t>
      </w:r>
      <w:r>
        <w:rPr>
          <w:rFonts w:hint="eastAsia" w:ascii="Times New Roman" w:eastAsia="楷体_GB2312"/>
          <w:b/>
          <w:sz w:val="32"/>
          <w:szCs w:val="32"/>
          <w:lang w:eastAsia="zh-CN"/>
        </w:rPr>
        <w:t>”</w:t>
      </w:r>
      <w:r>
        <w:rPr>
          <w:rFonts w:ascii="Times New Roman" w:eastAsia="楷体_GB2312"/>
          <w:b/>
          <w:sz w:val="32"/>
          <w:szCs w:val="32"/>
        </w:rPr>
        <w:t>经费财政拨款支出决算具体情况说明</w:t>
      </w:r>
    </w:p>
    <w:p w14:paraId="0149183A">
      <w:pPr>
        <w:widowControl/>
        <w:spacing w:before="0" w:beforeLines="0" w:beforeAutospacing="0" w:after="0" w:afterLines="0" w:afterAutospacing="0" w:line="360" w:lineRule="auto"/>
        <w:ind w:firstLine="643" w:firstLineChars="200"/>
        <w:jc w:val="left"/>
        <w:rPr>
          <w:rFonts w:hint="default" w:ascii="Times New Roman" w:hAnsi="Times New Roman" w:eastAsia="仿宋_GB2312" w:cs="Times New Roman"/>
          <w:color w:val="auto"/>
          <w:kern w:val="2"/>
          <w:sz w:val="32"/>
          <w:szCs w:val="32"/>
          <w:lang w:val="en-US" w:eastAsia="zh-CN" w:bidi="ar-SA"/>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本部门2024年度因公出国（境）费支出预算为0万元</w:t>
      </w:r>
      <w:r>
        <w:rPr>
          <w:rFonts w:hint="eastAsia" w:ascii="Times New Roman" w:eastAsia="仿宋_GB2312"/>
          <w:b w:val="0"/>
          <w:sz w:val="32"/>
          <w:szCs w:val="32"/>
          <w:lang w:eastAsia="zh-CN"/>
        </w:rPr>
        <w:t>，</w:t>
      </w:r>
      <w:r>
        <w:rPr>
          <w:rFonts w:ascii="Times New Roman" w:eastAsia="仿宋_GB2312"/>
          <w:b w:val="0"/>
          <w:sz w:val="32"/>
          <w:szCs w:val="32"/>
        </w:rPr>
        <w:t>支出决算0万元。完成预算的0%。因公出国（境）费支出较预算增加0万元，增长0%</w:t>
      </w:r>
      <w:r>
        <w:rPr>
          <w:rFonts w:hint="eastAsia" w:ascii="Times New Roman" w:eastAsia="仿宋_GB2312"/>
          <w:b w:val="0"/>
          <w:sz w:val="32"/>
          <w:szCs w:val="32"/>
          <w:lang w:eastAsia="zh-CN"/>
        </w:rPr>
        <w:t>。</w:t>
      </w:r>
      <w:r>
        <w:rPr>
          <w:rFonts w:hint="eastAsia" w:ascii="仿宋_GB2312" w:hAnsi="Times New Roman" w:eastAsia="仿宋_GB2312" w:cs="DengXian-Regular"/>
          <w:sz w:val="32"/>
          <w:szCs w:val="32"/>
          <w:lang w:eastAsia="zh-CN"/>
        </w:rPr>
        <w:t>未发生因公出国（境）经费支出。因公出国（境）费用预决算均与上年一致</w:t>
      </w:r>
      <w:r>
        <w:rPr>
          <w:rFonts w:hint="default" w:ascii="Times New Roman" w:hAnsi="Times New Roman" w:eastAsia="仿宋_GB2312" w:cs="Times New Roman"/>
          <w:color w:val="auto"/>
          <w:kern w:val="2"/>
          <w:sz w:val="32"/>
          <w:szCs w:val="32"/>
          <w:lang w:val="en-US" w:eastAsia="zh-CN" w:bidi="ar-SA"/>
        </w:rPr>
        <w:t>。因公出国（境）团组0个、共0人、参加其他单位组织的因公出国（境）团组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个、共</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人</w:t>
      </w:r>
      <w:r>
        <w:rPr>
          <w:rFonts w:hint="eastAsia" w:ascii="Times New Roman" w:hAnsi="Times New Roman" w:eastAsia="仿宋_GB2312" w:cs="Times New Roman"/>
          <w:color w:val="auto"/>
          <w:kern w:val="2"/>
          <w:sz w:val="32"/>
          <w:szCs w:val="32"/>
          <w:lang w:val="en-US" w:eastAsia="zh-CN" w:bidi="ar-SA"/>
        </w:rPr>
        <w:t>，</w:t>
      </w:r>
      <w:r>
        <w:rPr>
          <w:rFonts w:hint="default" w:ascii="Times New Roman" w:hAnsi="Times New Roman" w:eastAsia="仿宋_GB2312" w:cs="Times New Roman"/>
          <w:color w:val="auto"/>
          <w:kern w:val="2"/>
          <w:sz w:val="32"/>
          <w:szCs w:val="32"/>
          <w:lang w:val="en-US" w:eastAsia="zh-CN" w:bidi="ar-SA"/>
        </w:rPr>
        <w:t>本</w:t>
      </w:r>
      <w:r>
        <w:rPr>
          <w:rFonts w:hint="eastAsia" w:ascii="Times New Roman" w:hAnsi="Times New Roman" w:eastAsia="仿宋_GB2312" w:cs="Times New Roman"/>
          <w:color w:val="auto"/>
          <w:kern w:val="2"/>
          <w:sz w:val="32"/>
          <w:szCs w:val="32"/>
          <w:lang w:val="en-US" w:eastAsia="zh-CN" w:bidi="ar-SA"/>
        </w:rPr>
        <w:t>单位无</w:t>
      </w:r>
      <w:r>
        <w:rPr>
          <w:rFonts w:hint="default" w:ascii="Times New Roman" w:hAnsi="Times New Roman" w:eastAsia="仿宋_GB2312" w:cs="Times New Roman"/>
          <w:color w:val="auto"/>
          <w:kern w:val="2"/>
          <w:sz w:val="32"/>
          <w:szCs w:val="32"/>
          <w:lang w:val="en-US" w:eastAsia="zh-CN" w:bidi="ar-SA"/>
        </w:rPr>
        <w:t>出国（境）团组。</w:t>
      </w:r>
    </w:p>
    <w:p w14:paraId="54483FB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本部门2024年度公务用车购置及运行维护费预算为43.1万元，支出决算40.79万元，完成预算的94.6%</w:t>
      </w:r>
      <w:r>
        <w:rPr>
          <w:rFonts w:hint="eastAsia" w:ascii="Times New Roman" w:eastAsia="仿宋_GB2312"/>
          <w:b w:val="0"/>
          <w:sz w:val="32"/>
          <w:szCs w:val="32"/>
          <w:lang w:eastAsia="zh-CN"/>
        </w:rPr>
        <w:t>，</w:t>
      </w:r>
      <w:r>
        <w:rPr>
          <w:rFonts w:ascii="Times New Roman" w:eastAsia="仿宋_GB2312"/>
          <w:b w:val="0"/>
          <w:sz w:val="32"/>
          <w:szCs w:val="32"/>
        </w:rPr>
        <w:t>较预算减少2.31万元，降低5.4%</w:t>
      </w:r>
      <w:r>
        <w:rPr>
          <w:rFonts w:hint="eastAsia" w:ascii="Times New Roman" w:eastAsia="仿宋_GB2312"/>
          <w:b w:val="0"/>
          <w:sz w:val="32"/>
          <w:szCs w:val="32"/>
          <w:lang w:eastAsia="zh-CN"/>
        </w:rPr>
        <w:t>，</w:t>
      </w:r>
      <w:r>
        <w:rPr>
          <w:rFonts w:ascii="Times New Roman" w:eastAsia="仿宋_GB2312"/>
          <w:b w:val="0"/>
          <w:sz w:val="32"/>
          <w:szCs w:val="32"/>
        </w:rPr>
        <w:t>主要原因是节俭意识增强；较上年增加22.79万元，增长126.7%,主要原因是购置执法执勤用车1辆。其中：</w:t>
      </w:r>
    </w:p>
    <w:p w14:paraId="71C8529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公务用车购置费支出26.76万元：</w:t>
      </w:r>
      <w:r>
        <w:rPr>
          <w:rFonts w:ascii="Times New Roman" w:eastAsia="仿宋_GB2312"/>
          <w:b w:val="0"/>
          <w:sz w:val="32"/>
          <w:szCs w:val="32"/>
        </w:rPr>
        <w:t>本部门2024年度公务用车购置量1辆，发生</w:t>
      </w:r>
      <w:r>
        <w:rPr>
          <w:rFonts w:hint="eastAsia" w:ascii="Times New Roman" w:eastAsia="仿宋_GB2312"/>
          <w:b w:val="0"/>
          <w:sz w:val="32"/>
          <w:szCs w:val="32"/>
          <w:lang w:eastAsia="zh-CN"/>
        </w:rPr>
        <w:t>“</w:t>
      </w:r>
      <w:r>
        <w:rPr>
          <w:rFonts w:ascii="Times New Roman" w:eastAsia="仿宋_GB2312"/>
          <w:b w:val="0"/>
          <w:sz w:val="32"/>
          <w:szCs w:val="32"/>
        </w:rPr>
        <w:t>公务用车购置</w:t>
      </w:r>
      <w:r>
        <w:rPr>
          <w:rFonts w:hint="eastAsia" w:ascii="Times New Roman" w:eastAsia="仿宋_GB2312"/>
          <w:b w:val="0"/>
          <w:sz w:val="32"/>
          <w:szCs w:val="32"/>
          <w:lang w:eastAsia="zh-CN"/>
        </w:rPr>
        <w:t>”</w:t>
      </w:r>
      <w:r>
        <w:rPr>
          <w:rFonts w:ascii="Times New Roman" w:eastAsia="仿宋_GB2312"/>
          <w:b w:val="0"/>
          <w:sz w:val="32"/>
          <w:szCs w:val="32"/>
        </w:rPr>
        <w:t>经费支出26.76万元。公务用车购置费支出较预算减少0.74万元，降低2.7%,主要原因是按标准购买公务用车；较上年增加26.76万元，增长100.00%,主要原因是上年度无公务用车购置，本年度购买执法执勤公务用车1辆。</w:t>
      </w:r>
    </w:p>
    <w:p w14:paraId="087050A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公务用车运行维护费支出14.03万元：</w:t>
      </w:r>
      <w:r>
        <w:rPr>
          <w:rFonts w:ascii="Times New Roman" w:eastAsia="仿宋_GB2312"/>
          <w:b w:val="0"/>
          <w:sz w:val="32"/>
          <w:szCs w:val="32"/>
        </w:rPr>
        <w:t>本部门2024年度单位公务用车保有量5辆，发生运行维护费支出14.03万元。公车运行维护费支出较预算减少1.57万元，降低10.1%</w:t>
      </w:r>
      <w:r>
        <w:rPr>
          <w:rFonts w:hint="eastAsia" w:ascii="Times New Roman" w:eastAsia="仿宋_GB2312"/>
          <w:b w:val="0"/>
          <w:sz w:val="32"/>
          <w:szCs w:val="32"/>
          <w:lang w:eastAsia="zh-CN"/>
        </w:rPr>
        <w:t>，</w:t>
      </w:r>
      <w:r>
        <w:rPr>
          <w:rFonts w:ascii="Times New Roman" w:eastAsia="仿宋_GB2312"/>
          <w:b w:val="0"/>
          <w:sz w:val="32"/>
          <w:szCs w:val="32"/>
        </w:rPr>
        <w:t>主要原因是节俭意识增强；较上年减少3.96万元，降低22%，主要原因是节俭意识增强。</w:t>
      </w:r>
    </w:p>
    <w:p w14:paraId="6EB2D60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本部门2024年度公务接待费支出预算为0.99万元，支出决算</w:t>
      </w:r>
      <w:r>
        <w:rPr>
          <w:rFonts w:hint="eastAsia" w:ascii="Times New Roman" w:eastAsia="仿宋_GB2312"/>
          <w:b w:val="0"/>
          <w:sz w:val="32"/>
          <w:szCs w:val="32"/>
          <w:lang w:val="en-US" w:eastAsia="zh-CN"/>
        </w:rPr>
        <w:t>0</w:t>
      </w:r>
      <w:r>
        <w:rPr>
          <w:rFonts w:ascii="Times New Roman" w:eastAsia="仿宋_GB2312"/>
          <w:b w:val="0"/>
          <w:sz w:val="32"/>
          <w:szCs w:val="32"/>
        </w:rPr>
        <w:t>万元，完成预算的0%。公务接待费支出较预算减少0.99万元，降低100%</w:t>
      </w:r>
      <w:r>
        <w:rPr>
          <w:rFonts w:hint="eastAsia" w:ascii="Times New Roman" w:eastAsia="仿宋_GB2312"/>
          <w:b w:val="0"/>
          <w:sz w:val="32"/>
          <w:szCs w:val="32"/>
          <w:lang w:eastAsia="zh-CN"/>
        </w:rPr>
        <w:t>，</w:t>
      </w:r>
      <w:r>
        <w:rPr>
          <w:rFonts w:ascii="Times New Roman" w:eastAsia="仿宋_GB2312"/>
          <w:b w:val="0"/>
          <w:sz w:val="32"/>
          <w:szCs w:val="32"/>
        </w:rPr>
        <w:t>主要原因是</w:t>
      </w:r>
      <w:r>
        <w:rPr>
          <w:rFonts w:hint="eastAsia" w:ascii="Times New Roman" w:eastAsia="仿宋_GB2312"/>
          <w:b w:val="0"/>
          <w:sz w:val="32"/>
          <w:szCs w:val="32"/>
          <w:lang w:eastAsia="zh-CN"/>
        </w:rPr>
        <w:t>减少公务接待</w:t>
      </w:r>
      <w:r>
        <w:rPr>
          <w:rFonts w:ascii="Times New Roman" w:eastAsia="仿宋_GB2312"/>
          <w:b w:val="0"/>
          <w:sz w:val="32"/>
          <w:szCs w:val="32"/>
        </w:rPr>
        <w:t>；较上年度增加0万元，增长0%</w:t>
      </w:r>
      <w:r>
        <w:rPr>
          <w:rFonts w:hint="eastAsia" w:ascii="Times New Roman" w:eastAsia="仿宋_GB2312"/>
          <w:b w:val="0"/>
          <w:sz w:val="32"/>
          <w:szCs w:val="32"/>
          <w:lang w:eastAsia="zh-CN"/>
        </w:rPr>
        <w:t>，</w:t>
      </w:r>
      <w:r>
        <w:rPr>
          <w:rFonts w:ascii="Times New Roman" w:eastAsia="仿宋_GB2312"/>
          <w:b w:val="0"/>
          <w:sz w:val="32"/>
          <w:szCs w:val="32"/>
        </w:rPr>
        <w:t>主要原因是</w:t>
      </w:r>
      <w:r>
        <w:rPr>
          <w:rFonts w:hint="eastAsia" w:ascii="Times New Roman" w:eastAsia="仿宋_GB2312"/>
          <w:b w:val="0"/>
          <w:sz w:val="32"/>
          <w:szCs w:val="32"/>
          <w:lang w:eastAsia="zh-CN"/>
        </w:rPr>
        <w:t>减少公务接待</w:t>
      </w:r>
      <w:r>
        <w:rPr>
          <w:rFonts w:ascii="Times New Roman" w:eastAsia="仿宋_GB2312"/>
          <w:b w:val="0"/>
          <w:sz w:val="32"/>
          <w:szCs w:val="32"/>
        </w:rPr>
        <w:t>。本年度共发生公务接待0批次、0人次。</w:t>
      </w:r>
    </w:p>
    <w:p w14:paraId="5010185B">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338B7D4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本部门2024年度机关运行经费支出156.6万元，较2023年度减少24.04万元，降低13.3%。主要原因是节俭意识增强。</w:t>
      </w:r>
    </w:p>
    <w:p w14:paraId="5363733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29EF1B0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0万元，从采购类型来看，政府采购货物支出0万元、政府采购工程支出0万元、政府采购服务支出0万元。授予中小企业合同金额0万元，占政府采购支出总额的0%，其中授予小微企业合同金额0万元，占政府采购支出总额的0%。</w:t>
      </w:r>
    </w:p>
    <w:p w14:paraId="5DBE9EE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4B201F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截至2024年12月31日，本部门共有车辆5辆，比上年增加0辆，主要是</w:t>
      </w:r>
      <w:r>
        <w:rPr>
          <w:rFonts w:hint="eastAsia" w:ascii="Times New Roman" w:eastAsia="仿宋_GB2312"/>
          <w:b w:val="0"/>
          <w:sz w:val="32"/>
          <w:szCs w:val="32"/>
          <w:lang w:eastAsia="zh-CN"/>
        </w:rPr>
        <w:t>因为</w:t>
      </w:r>
      <w:r>
        <w:rPr>
          <w:rFonts w:ascii="Times New Roman" w:eastAsia="仿宋_GB2312"/>
          <w:b w:val="0"/>
          <w:sz w:val="32"/>
          <w:szCs w:val="32"/>
        </w:rPr>
        <w:t>按编制</w:t>
      </w:r>
      <w:r>
        <w:rPr>
          <w:rFonts w:hint="eastAsia" w:ascii="Times New Roman" w:eastAsia="仿宋_GB2312"/>
          <w:b w:val="0"/>
          <w:sz w:val="32"/>
          <w:szCs w:val="32"/>
          <w:lang w:eastAsia="zh-CN"/>
        </w:rPr>
        <w:t>数</w:t>
      </w:r>
      <w:r>
        <w:rPr>
          <w:rFonts w:ascii="Times New Roman" w:eastAsia="仿宋_GB2312"/>
          <w:b w:val="0"/>
          <w:sz w:val="32"/>
          <w:szCs w:val="32"/>
        </w:rPr>
        <w:t>保留车辆。其中，副部（省）级及以上领导用车0辆，主要负责人用车0辆，机要通信用车0辆，应急保障用车1辆，执法执勤用车4辆，特种专业技术用车0辆，离退休干部用车0辆，其他用车0辆。单位价值100万元（含）以上设备（不含车辆）0台（套）。</w:t>
      </w:r>
    </w:p>
    <w:p w14:paraId="522C6C02">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4FD120A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27AED8D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根据预算绩效管理要求，本部门组织对2024年度本级预算项目支出全面开展绩效自评，共涉及资金584.68万元（决算金额）。其中，一般公共预算项目</w:t>
      </w:r>
      <w:r>
        <w:rPr>
          <w:rFonts w:hint="eastAsia" w:ascii="Times New Roman" w:eastAsia="仿宋_GB2312"/>
          <w:b w:val="0"/>
          <w:sz w:val="32"/>
          <w:szCs w:val="32"/>
          <w:lang w:val="en-US" w:eastAsia="zh-CN"/>
        </w:rPr>
        <w:t>10</w:t>
      </w:r>
      <w:r>
        <w:rPr>
          <w:rFonts w:ascii="Times New Roman" w:eastAsia="仿宋_GB2312"/>
          <w:b w:val="0"/>
          <w:sz w:val="32"/>
          <w:szCs w:val="32"/>
        </w:rPr>
        <w:t>个，涉及资金584.68万元，占一般公共预算项目支出总额的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6D80C1D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组织对2024年劳务派遣人员经费</w:t>
      </w:r>
      <w:r>
        <w:rPr>
          <w:rFonts w:hint="eastAsia" w:ascii="Times New Roman" w:eastAsia="仿宋_GB2312"/>
          <w:b w:val="0"/>
          <w:sz w:val="32"/>
          <w:szCs w:val="32"/>
          <w:lang w:val="en-US" w:eastAsia="zh-CN"/>
        </w:rPr>
        <w:t>1</w:t>
      </w:r>
      <w:r>
        <w:rPr>
          <w:rFonts w:ascii="Times New Roman" w:eastAsia="仿宋_GB2312"/>
          <w:b w:val="0"/>
          <w:sz w:val="32"/>
          <w:szCs w:val="32"/>
        </w:rPr>
        <w:t>个项目开展了部门重点评价，涉及一般公共预算支出36.97万元，政府性基金预算支出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w:t>
      </w:r>
      <w:r>
        <w:rPr>
          <w:rFonts w:hint="eastAsia" w:ascii="Times New Roman" w:eastAsia="仿宋_GB2312"/>
          <w:b w:val="0"/>
          <w:sz w:val="32"/>
          <w:szCs w:val="32"/>
          <w:lang w:eastAsia="zh-CN"/>
        </w:rPr>
        <w:t>。</w:t>
      </w:r>
      <w:r>
        <w:rPr>
          <w:rFonts w:ascii="Times New Roman" w:eastAsia="仿宋_GB2312"/>
          <w:b w:val="0"/>
          <w:sz w:val="32"/>
          <w:szCs w:val="32"/>
        </w:rPr>
        <w:t>从评价情况来看，该项目用于支付2024年劳务派遣人员工资，解决了人员不足的问题，为监督检查、案件办理工作提供了保障，保障机关正常运转</w:t>
      </w:r>
      <w:r>
        <w:rPr>
          <w:rFonts w:ascii="Times New Roman" w:eastAsia="仿宋_GB2312"/>
          <w:b w:val="0"/>
          <w:color w:val="0000FF"/>
          <w:sz w:val="32"/>
          <w:szCs w:val="32"/>
        </w:rPr>
        <w:t>。</w:t>
      </w:r>
    </w:p>
    <w:p w14:paraId="6C51B6F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5E5BA85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本部门在今年部门决算公开中反映办案问责经费1个项目绩效自评结果。</w:t>
      </w:r>
    </w:p>
    <w:p w14:paraId="1D9EAABD">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分（绩效自评表附后）。全年预算数为183万元，执行数为183万元，完成预算的100%。项目绩效目标完成情况：一是完成信访、举报等问题线索的查办问责；二是完成案件办理工作。</w:t>
      </w:r>
    </w:p>
    <w:p w14:paraId="47BC48B4">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tbl>
      <w:tblPr>
        <w:tblStyle w:val="11"/>
        <w:tblW w:w="9658"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994"/>
        <w:gridCol w:w="1734"/>
        <w:gridCol w:w="1133"/>
        <w:gridCol w:w="987"/>
        <w:gridCol w:w="1160"/>
        <w:gridCol w:w="1034"/>
        <w:gridCol w:w="789"/>
        <w:gridCol w:w="827"/>
      </w:tblGrid>
      <w:tr w14:paraId="0E4DCD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658" w:type="dxa"/>
            <w:gridSpan w:val="8"/>
            <w:tcBorders>
              <w:top w:val="nil"/>
              <w:left w:val="nil"/>
              <w:bottom w:val="nil"/>
              <w:right w:val="nil"/>
            </w:tcBorders>
            <w:shd w:val="clear" w:color="auto" w:fill="auto"/>
            <w:noWrap/>
            <w:vAlign w:val="center"/>
          </w:tcPr>
          <w:p w14:paraId="32A89D2D">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县级部门预算项目绩效自评表</w:t>
            </w:r>
          </w:p>
        </w:tc>
      </w:tr>
      <w:tr w14:paraId="6A600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658" w:type="dxa"/>
            <w:gridSpan w:val="8"/>
            <w:tcBorders>
              <w:top w:val="nil"/>
              <w:left w:val="nil"/>
              <w:bottom w:val="nil"/>
              <w:right w:val="nil"/>
            </w:tcBorders>
            <w:shd w:val="clear" w:color="auto" w:fill="auto"/>
            <w:noWrap/>
            <w:vAlign w:val="bottom"/>
          </w:tcPr>
          <w:p w14:paraId="3BC4F30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11E7E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861" w:type="dxa"/>
            <w:gridSpan w:val="3"/>
            <w:tcBorders>
              <w:top w:val="nil"/>
              <w:left w:val="nil"/>
              <w:bottom w:val="nil"/>
              <w:right w:val="nil"/>
            </w:tcBorders>
            <w:shd w:val="clear" w:color="auto" w:fill="auto"/>
            <w:noWrap/>
            <w:vAlign w:val="center"/>
          </w:tcPr>
          <w:p w14:paraId="502748F6">
            <w:pPr>
              <w:jc w:val="left"/>
              <w:rPr>
                <w:rFonts w:hint="eastAsia" w:ascii="宋体" w:hAnsi="宋体" w:eastAsia="宋体" w:cs="宋体"/>
                <w:i w:val="0"/>
                <w:iCs w:val="0"/>
                <w:color w:val="000000"/>
                <w:sz w:val="20"/>
                <w:szCs w:val="20"/>
                <w:u w:val="none"/>
              </w:rPr>
            </w:pPr>
            <w:bookmarkStart w:id="0" w:name="_GoBack"/>
            <w:bookmarkEnd w:id="0"/>
            <w:r>
              <w:rPr>
                <w:rFonts w:hint="eastAsia" w:ascii="宋体" w:hAnsi="宋体" w:eastAsia="宋体" w:cs="宋体"/>
                <w:i w:val="0"/>
                <w:iCs w:val="0"/>
                <w:color w:val="000000"/>
                <w:kern w:val="0"/>
                <w:sz w:val="20"/>
                <w:szCs w:val="20"/>
                <w:u w:val="none"/>
                <w:lang w:val="en-US" w:eastAsia="zh-CN" w:bidi="ar"/>
              </w:rPr>
              <w:t>填报部门：中共行唐县纪律检查委员会</w:t>
            </w:r>
          </w:p>
        </w:tc>
        <w:tc>
          <w:tcPr>
            <w:tcW w:w="987" w:type="dxa"/>
            <w:tcBorders>
              <w:top w:val="nil"/>
              <w:left w:val="nil"/>
              <w:bottom w:val="nil"/>
              <w:right w:val="nil"/>
            </w:tcBorders>
            <w:shd w:val="clear" w:color="auto" w:fill="auto"/>
            <w:noWrap/>
            <w:vAlign w:val="center"/>
          </w:tcPr>
          <w:p w14:paraId="359080F5">
            <w:pPr>
              <w:jc w:val="center"/>
              <w:rPr>
                <w:rFonts w:hint="eastAsia" w:ascii="宋体" w:hAnsi="宋体" w:eastAsia="宋体" w:cs="宋体"/>
                <w:i w:val="0"/>
                <w:iCs w:val="0"/>
                <w:color w:val="000000"/>
                <w:sz w:val="20"/>
                <w:szCs w:val="20"/>
                <w:u w:val="none"/>
              </w:rPr>
            </w:pPr>
          </w:p>
        </w:tc>
        <w:tc>
          <w:tcPr>
            <w:tcW w:w="1160" w:type="dxa"/>
            <w:tcBorders>
              <w:top w:val="nil"/>
              <w:left w:val="nil"/>
              <w:bottom w:val="nil"/>
              <w:right w:val="nil"/>
            </w:tcBorders>
            <w:shd w:val="clear" w:color="auto" w:fill="auto"/>
            <w:noWrap/>
            <w:vAlign w:val="center"/>
          </w:tcPr>
          <w:p w14:paraId="62AADB7B">
            <w:pPr>
              <w:jc w:val="center"/>
              <w:rPr>
                <w:rFonts w:hint="eastAsia" w:ascii="宋体" w:hAnsi="宋体" w:eastAsia="宋体" w:cs="宋体"/>
                <w:i w:val="0"/>
                <w:iCs w:val="0"/>
                <w:color w:val="000000"/>
                <w:sz w:val="20"/>
                <w:szCs w:val="20"/>
                <w:u w:val="none"/>
              </w:rPr>
            </w:pPr>
          </w:p>
        </w:tc>
        <w:tc>
          <w:tcPr>
            <w:tcW w:w="1034" w:type="dxa"/>
            <w:tcBorders>
              <w:top w:val="nil"/>
              <w:left w:val="nil"/>
              <w:bottom w:val="nil"/>
              <w:right w:val="nil"/>
            </w:tcBorders>
            <w:shd w:val="clear" w:color="auto" w:fill="auto"/>
            <w:noWrap/>
            <w:vAlign w:val="center"/>
          </w:tcPr>
          <w:p w14:paraId="7B2745DA">
            <w:pPr>
              <w:jc w:val="center"/>
              <w:rPr>
                <w:rFonts w:hint="eastAsia" w:ascii="宋体" w:hAnsi="宋体" w:eastAsia="宋体" w:cs="宋体"/>
                <w:i w:val="0"/>
                <w:iCs w:val="0"/>
                <w:color w:val="000000"/>
                <w:sz w:val="20"/>
                <w:szCs w:val="20"/>
                <w:u w:val="none"/>
              </w:rPr>
            </w:pPr>
          </w:p>
        </w:tc>
        <w:tc>
          <w:tcPr>
            <w:tcW w:w="1616" w:type="dxa"/>
            <w:gridSpan w:val="2"/>
            <w:tcBorders>
              <w:top w:val="nil"/>
              <w:left w:val="nil"/>
              <w:bottom w:val="nil"/>
              <w:right w:val="nil"/>
            </w:tcBorders>
            <w:shd w:val="clear" w:color="auto" w:fill="auto"/>
            <w:noWrap/>
            <w:vAlign w:val="center"/>
          </w:tcPr>
          <w:p w14:paraId="2EE7F6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72DD9D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9" w:hRule="atLeast"/>
        </w:trPr>
        <w:tc>
          <w:tcPr>
            <w:tcW w:w="1994" w:type="dxa"/>
            <w:tcBorders>
              <w:top w:val="single" w:color="000000" w:sz="4" w:space="0"/>
              <w:left w:val="single" w:color="000000" w:sz="4" w:space="0"/>
              <w:bottom w:val="nil"/>
              <w:right w:val="single" w:color="000000" w:sz="4" w:space="0"/>
            </w:tcBorders>
            <w:shd w:val="clear" w:color="auto" w:fill="auto"/>
            <w:vAlign w:val="center"/>
          </w:tcPr>
          <w:p w14:paraId="5652EA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CFF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1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EECF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办案问责经费</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E64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26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BBB2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中国共产党行唐县纪律检查委员会</w:t>
            </w:r>
          </w:p>
        </w:tc>
      </w:tr>
      <w:tr w14:paraId="6BFEA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99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3D0A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8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10ED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1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ECA8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8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260A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F6B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0857E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9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3573E3">
            <w:pPr>
              <w:jc w:val="left"/>
              <w:rPr>
                <w:rFonts w:hint="eastAsia" w:ascii="宋体" w:hAnsi="宋体" w:eastAsia="宋体" w:cs="宋体"/>
                <w:i w:val="0"/>
                <w:iCs w:val="0"/>
                <w:color w:val="000000"/>
                <w:sz w:val="20"/>
                <w:szCs w:val="20"/>
                <w:u w:val="none"/>
              </w:rPr>
            </w:pPr>
          </w:p>
        </w:tc>
        <w:tc>
          <w:tcPr>
            <w:tcW w:w="1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151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8BE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183</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260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707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183</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5C9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8C0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183</w:t>
            </w:r>
          </w:p>
        </w:tc>
        <w:tc>
          <w:tcPr>
            <w:tcW w:w="8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263A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036A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9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24AFAC">
            <w:pPr>
              <w:jc w:val="left"/>
              <w:rPr>
                <w:rFonts w:hint="eastAsia" w:ascii="宋体" w:hAnsi="宋体" w:eastAsia="宋体" w:cs="宋体"/>
                <w:i w:val="0"/>
                <w:iCs w:val="0"/>
                <w:color w:val="000000"/>
                <w:sz w:val="20"/>
                <w:szCs w:val="20"/>
                <w:u w:val="none"/>
              </w:rPr>
            </w:pPr>
          </w:p>
        </w:tc>
        <w:tc>
          <w:tcPr>
            <w:tcW w:w="1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747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660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183</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EFAF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920C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183</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150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8B7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183</w:t>
            </w:r>
          </w:p>
        </w:tc>
        <w:tc>
          <w:tcPr>
            <w:tcW w:w="8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C55D91">
            <w:pPr>
              <w:jc w:val="center"/>
              <w:rPr>
                <w:rFonts w:hint="eastAsia" w:ascii="宋体" w:hAnsi="宋体" w:eastAsia="宋体" w:cs="宋体"/>
                <w:i w:val="0"/>
                <w:iCs w:val="0"/>
                <w:color w:val="000000"/>
                <w:sz w:val="20"/>
                <w:szCs w:val="20"/>
                <w:u w:val="none"/>
              </w:rPr>
            </w:pPr>
          </w:p>
        </w:tc>
      </w:tr>
      <w:tr w14:paraId="7E100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9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59D5A0">
            <w:pPr>
              <w:jc w:val="left"/>
              <w:rPr>
                <w:rFonts w:hint="eastAsia" w:ascii="宋体" w:hAnsi="宋体" w:eastAsia="宋体" w:cs="宋体"/>
                <w:i w:val="0"/>
                <w:iCs w:val="0"/>
                <w:color w:val="000000"/>
                <w:sz w:val="20"/>
                <w:szCs w:val="20"/>
                <w:u w:val="none"/>
              </w:rPr>
            </w:pPr>
          </w:p>
        </w:tc>
        <w:tc>
          <w:tcPr>
            <w:tcW w:w="1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197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F9C23">
            <w:pPr>
              <w:jc w:val="left"/>
              <w:rPr>
                <w:rFonts w:hint="default" w:ascii="Calibri" w:hAnsi="Calibri" w:eastAsia="宋体" w:cs="Calibri"/>
                <w:i w:val="0"/>
                <w:iCs w:val="0"/>
                <w:color w:val="000000"/>
                <w:sz w:val="20"/>
                <w:szCs w:val="20"/>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031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A5D9F">
            <w:pPr>
              <w:jc w:val="left"/>
              <w:rPr>
                <w:rFonts w:hint="eastAsia" w:ascii="宋体" w:hAnsi="宋体" w:eastAsia="宋体" w:cs="宋体"/>
                <w:i w:val="0"/>
                <w:iCs w:val="0"/>
                <w:color w:val="000000"/>
                <w:sz w:val="20"/>
                <w:szCs w:val="20"/>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B1D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81513">
            <w:pPr>
              <w:jc w:val="left"/>
              <w:rPr>
                <w:rFonts w:hint="eastAsia" w:ascii="宋体" w:hAnsi="宋体" w:eastAsia="宋体" w:cs="宋体"/>
                <w:i w:val="0"/>
                <w:iCs w:val="0"/>
                <w:color w:val="000000"/>
                <w:sz w:val="20"/>
                <w:szCs w:val="20"/>
                <w:u w:val="none"/>
              </w:rPr>
            </w:pPr>
          </w:p>
        </w:tc>
        <w:tc>
          <w:tcPr>
            <w:tcW w:w="8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4B7100">
            <w:pPr>
              <w:jc w:val="center"/>
              <w:rPr>
                <w:rFonts w:hint="eastAsia" w:ascii="宋体" w:hAnsi="宋体" w:eastAsia="宋体" w:cs="宋体"/>
                <w:i w:val="0"/>
                <w:iCs w:val="0"/>
                <w:color w:val="000000"/>
                <w:sz w:val="20"/>
                <w:szCs w:val="20"/>
                <w:u w:val="none"/>
              </w:rPr>
            </w:pPr>
          </w:p>
        </w:tc>
      </w:tr>
      <w:tr w14:paraId="0CD7F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99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EBE1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8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0C6A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98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56A9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ADB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76647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9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16F0EE">
            <w:pPr>
              <w:jc w:val="left"/>
              <w:rPr>
                <w:rFonts w:hint="eastAsia" w:ascii="宋体" w:hAnsi="宋体" w:eastAsia="宋体" w:cs="宋体"/>
                <w:i w:val="0"/>
                <w:iCs w:val="0"/>
                <w:color w:val="000000"/>
                <w:sz w:val="20"/>
                <w:szCs w:val="20"/>
                <w:u w:val="none"/>
              </w:rPr>
            </w:pPr>
          </w:p>
        </w:tc>
        <w:tc>
          <w:tcPr>
            <w:tcW w:w="385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C443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完成信访、举报等问题线索的查办问责。</w:t>
            </w:r>
          </w:p>
        </w:tc>
        <w:tc>
          <w:tcPr>
            <w:tcW w:w="298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A767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完成案件办理工作</w:t>
            </w:r>
          </w:p>
        </w:tc>
        <w:tc>
          <w:tcPr>
            <w:tcW w:w="8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DF6C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63F87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 w:hRule="atLeast"/>
        </w:trPr>
        <w:tc>
          <w:tcPr>
            <w:tcW w:w="19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2BF998">
            <w:pPr>
              <w:jc w:val="left"/>
              <w:rPr>
                <w:rFonts w:hint="eastAsia" w:ascii="宋体" w:hAnsi="宋体" w:eastAsia="宋体" w:cs="宋体"/>
                <w:i w:val="0"/>
                <w:iCs w:val="0"/>
                <w:color w:val="000000"/>
                <w:sz w:val="20"/>
                <w:szCs w:val="20"/>
                <w:u w:val="none"/>
              </w:rPr>
            </w:pPr>
          </w:p>
        </w:tc>
        <w:tc>
          <w:tcPr>
            <w:tcW w:w="385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F1BB99">
            <w:pPr>
              <w:jc w:val="center"/>
              <w:rPr>
                <w:rFonts w:hint="eastAsia" w:ascii="宋体" w:hAnsi="宋体" w:eastAsia="宋体" w:cs="宋体"/>
                <w:i w:val="0"/>
                <w:iCs w:val="0"/>
                <w:color w:val="000000"/>
                <w:sz w:val="20"/>
                <w:szCs w:val="20"/>
                <w:u w:val="none"/>
              </w:rPr>
            </w:pPr>
          </w:p>
        </w:tc>
        <w:tc>
          <w:tcPr>
            <w:tcW w:w="29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A1DA67">
            <w:pPr>
              <w:jc w:val="center"/>
              <w:rPr>
                <w:rFonts w:hint="eastAsia" w:ascii="宋体" w:hAnsi="宋体" w:eastAsia="宋体" w:cs="宋体"/>
                <w:i w:val="0"/>
                <w:iCs w:val="0"/>
                <w:color w:val="000000"/>
                <w:sz w:val="20"/>
                <w:szCs w:val="20"/>
                <w:u w:val="none"/>
              </w:rPr>
            </w:pPr>
          </w:p>
        </w:tc>
        <w:tc>
          <w:tcPr>
            <w:tcW w:w="8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0E0674">
            <w:pPr>
              <w:jc w:val="center"/>
              <w:rPr>
                <w:rFonts w:hint="eastAsia" w:ascii="宋体" w:hAnsi="宋体" w:eastAsia="宋体" w:cs="宋体"/>
                <w:i w:val="0"/>
                <w:iCs w:val="0"/>
                <w:color w:val="000000"/>
                <w:sz w:val="20"/>
                <w:szCs w:val="20"/>
                <w:u w:val="none"/>
              </w:rPr>
            </w:pPr>
          </w:p>
        </w:tc>
      </w:tr>
      <w:tr w14:paraId="555156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 w:hRule="atLeast"/>
        </w:trPr>
        <w:tc>
          <w:tcPr>
            <w:tcW w:w="19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FEB6A7">
            <w:pPr>
              <w:jc w:val="left"/>
              <w:rPr>
                <w:rFonts w:hint="eastAsia" w:ascii="宋体" w:hAnsi="宋体" w:eastAsia="宋体" w:cs="宋体"/>
                <w:i w:val="0"/>
                <w:iCs w:val="0"/>
                <w:color w:val="000000"/>
                <w:sz w:val="20"/>
                <w:szCs w:val="20"/>
                <w:u w:val="none"/>
              </w:rPr>
            </w:pPr>
          </w:p>
        </w:tc>
        <w:tc>
          <w:tcPr>
            <w:tcW w:w="385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59768A">
            <w:pPr>
              <w:jc w:val="center"/>
              <w:rPr>
                <w:rFonts w:hint="eastAsia" w:ascii="宋体" w:hAnsi="宋体" w:eastAsia="宋体" w:cs="宋体"/>
                <w:i w:val="0"/>
                <w:iCs w:val="0"/>
                <w:color w:val="000000"/>
                <w:sz w:val="20"/>
                <w:szCs w:val="20"/>
                <w:u w:val="none"/>
              </w:rPr>
            </w:pPr>
          </w:p>
        </w:tc>
        <w:tc>
          <w:tcPr>
            <w:tcW w:w="29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4AB0AA">
            <w:pPr>
              <w:jc w:val="center"/>
              <w:rPr>
                <w:rFonts w:hint="eastAsia" w:ascii="宋体" w:hAnsi="宋体" w:eastAsia="宋体" w:cs="宋体"/>
                <w:i w:val="0"/>
                <w:iCs w:val="0"/>
                <w:color w:val="000000"/>
                <w:sz w:val="20"/>
                <w:szCs w:val="20"/>
                <w:u w:val="none"/>
              </w:rPr>
            </w:pPr>
          </w:p>
        </w:tc>
        <w:tc>
          <w:tcPr>
            <w:tcW w:w="8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88D0D1">
            <w:pPr>
              <w:jc w:val="center"/>
              <w:rPr>
                <w:rFonts w:hint="eastAsia" w:ascii="宋体" w:hAnsi="宋体" w:eastAsia="宋体" w:cs="宋体"/>
                <w:i w:val="0"/>
                <w:iCs w:val="0"/>
                <w:color w:val="000000"/>
                <w:sz w:val="20"/>
                <w:szCs w:val="20"/>
                <w:u w:val="none"/>
              </w:rPr>
            </w:pPr>
          </w:p>
        </w:tc>
      </w:tr>
      <w:tr w14:paraId="3851D5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4" w:hRule="atLeast"/>
        </w:trPr>
        <w:tc>
          <w:tcPr>
            <w:tcW w:w="1994" w:type="dxa"/>
            <w:vMerge w:val="restart"/>
            <w:tcBorders>
              <w:top w:val="single" w:color="auto" w:sz="4" w:space="0"/>
              <w:left w:val="single" w:color="auto" w:sz="4" w:space="0"/>
              <w:bottom w:val="single" w:color="000000" w:sz="4" w:space="0"/>
              <w:right w:val="nil"/>
            </w:tcBorders>
            <w:shd w:val="clear" w:color="auto" w:fill="auto"/>
            <w:vAlign w:val="center"/>
          </w:tcPr>
          <w:p w14:paraId="7D14F9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734" w:type="dxa"/>
            <w:tcBorders>
              <w:top w:val="single" w:color="auto" w:sz="4" w:space="0"/>
              <w:left w:val="single" w:color="000000" w:sz="4" w:space="0"/>
              <w:bottom w:val="single" w:color="000000" w:sz="4" w:space="0"/>
              <w:right w:val="single" w:color="000000" w:sz="4" w:space="0"/>
            </w:tcBorders>
            <w:shd w:val="clear" w:color="auto" w:fill="auto"/>
            <w:vAlign w:val="center"/>
          </w:tcPr>
          <w:p w14:paraId="3EA15E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33" w:type="dxa"/>
            <w:tcBorders>
              <w:top w:val="single" w:color="auto" w:sz="4" w:space="0"/>
              <w:left w:val="single" w:color="000000" w:sz="4" w:space="0"/>
              <w:bottom w:val="single" w:color="000000" w:sz="4" w:space="0"/>
              <w:right w:val="single" w:color="auto" w:sz="4" w:space="0"/>
            </w:tcBorders>
            <w:shd w:val="clear" w:color="auto" w:fill="auto"/>
            <w:vAlign w:val="center"/>
          </w:tcPr>
          <w:p w14:paraId="6B2C22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147"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20AFF4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FB9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A60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488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265F19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3" w:hRule="atLeast"/>
        </w:trPr>
        <w:tc>
          <w:tcPr>
            <w:tcW w:w="1994" w:type="dxa"/>
            <w:vMerge w:val="continue"/>
            <w:tcBorders>
              <w:top w:val="single" w:color="000000" w:sz="4" w:space="0"/>
              <w:left w:val="single" w:color="auto" w:sz="4" w:space="0"/>
              <w:bottom w:val="single" w:color="000000" w:sz="4" w:space="0"/>
              <w:right w:val="nil"/>
            </w:tcBorders>
            <w:shd w:val="clear" w:color="auto" w:fill="auto"/>
            <w:vAlign w:val="center"/>
          </w:tcPr>
          <w:p w14:paraId="1BA342FE">
            <w:pPr>
              <w:jc w:val="left"/>
              <w:rPr>
                <w:rFonts w:hint="eastAsia" w:ascii="宋体" w:hAnsi="宋体" w:eastAsia="宋体" w:cs="宋体"/>
                <w:i w:val="0"/>
                <w:iCs w:val="0"/>
                <w:color w:val="000000"/>
                <w:sz w:val="20"/>
                <w:szCs w:val="20"/>
                <w:u w:val="none"/>
              </w:rPr>
            </w:pPr>
          </w:p>
        </w:tc>
        <w:tc>
          <w:tcPr>
            <w:tcW w:w="1734" w:type="dxa"/>
            <w:vMerge w:val="restart"/>
            <w:tcBorders>
              <w:top w:val="single" w:color="000000" w:sz="4" w:space="0"/>
              <w:left w:val="single" w:color="000000" w:sz="4" w:space="0"/>
              <w:bottom w:val="nil"/>
              <w:right w:val="single" w:color="000000" w:sz="4" w:space="0"/>
            </w:tcBorders>
            <w:shd w:val="clear" w:color="auto" w:fill="auto"/>
            <w:vAlign w:val="center"/>
          </w:tcPr>
          <w:p w14:paraId="2E3C00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133" w:type="dxa"/>
            <w:tcBorders>
              <w:top w:val="single" w:color="000000" w:sz="4" w:space="0"/>
              <w:left w:val="single" w:color="000000" w:sz="4" w:space="0"/>
              <w:bottom w:val="nil"/>
              <w:right w:val="single" w:color="auto" w:sz="4" w:space="0"/>
            </w:tcBorders>
            <w:shd w:val="clear" w:color="auto" w:fill="auto"/>
            <w:vAlign w:val="center"/>
          </w:tcPr>
          <w:p w14:paraId="16636F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147"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648FD4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案件结案率(%)</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D86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D66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AA0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990F7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3" w:hRule="atLeast"/>
        </w:trPr>
        <w:tc>
          <w:tcPr>
            <w:tcW w:w="1994" w:type="dxa"/>
            <w:vMerge w:val="continue"/>
            <w:tcBorders>
              <w:top w:val="single" w:color="000000" w:sz="4" w:space="0"/>
              <w:left w:val="single" w:color="auto" w:sz="4" w:space="0"/>
              <w:bottom w:val="single" w:color="000000" w:sz="4" w:space="0"/>
              <w:right w:val="nil"/>
            </w:tcBorders>
            <w:shd w:val="clear" w:color="auto" w:fill="auto"/>
            <w:vAlign w:val="center"/>
          </w:tcPr>
          <w:p w14:paraId="363F7689">
            <w:pPr>
              <w:jc w:val="left"/>
              <w:rPr>
                <w:rFonts w:hint="eastAsia" w:ascii="宋体" w:hAnsi="宋体" w:eastAsia="宋体" w:cs="宋体"/>
                <w:i w:val="0"/>
                <w:iCs w:val="0"/>
                <w:color w:val="000000"/>
                <w:sz w:val="20"/>
                <w:szCs w:val="20"/>
                <w:u w:val="none"/>
              </w:rPr>
            </w:pPr>
          </w:p>
        </w:tc>
        <w:tc>
          <w:tcPr>
            <w:tcW w:w="1734" w:type="dxa"/>
            <w:vMerge w:val="continue"/>
            <w:tcBorders>
              <w:top w:val="single" w:color="000000" w:sz="4" w:space="0"/>
              <w:left w:val="single" w:color="000000" w:sz="4" w:space="0"/>
              <w:bottom w:val="nil"/>
              <w:right w:val="single" w:color="000000" w:sz="4" w:space="0"/>
            </w:tcBorders>
            <w:shd w:val="clear" w:color="auto" w:fill="auto"/>
            <w:vAlign w:val="center"/>
          </w:tcPr>
          <w:p w14:paraId="60BCC8FB">
            <w:pPr>
              <w:jc w:val="center"/>
              <w:rPr>
                <w:rFonts w:hint="eastAsia" w:ascii="宋体" w:hAnsi="宋体" w:eastAsia="宋体" w:cs="宋体"/>
                <w:i w:val="0"/>
                <w:iCs w:val="0"/>
                <w:color w:val="000000"/>
                <w:sz w:val="20"/>
                <w:szCs w:val="20"/>
                <w:u w:val="none"/>
              </w:rPr>
            </w:pPr>
          </w:p>
        </w:tc>
        <w:tc>
          <w:tcPr>
            <w:tcW w:w="1133" w:type="dxa"/>
            <w:tcBorders>
              <w:top w:val="single" w:color="000000" w:sz="4" w:space="0"/>
              <w:left w:val="single" w:color="000000" w:sz="4" w:space="0"/>
              <w:bottom w:val="single" w:color="000000" w:sz="4" w:space="0"/>
              <w:right w:val="single" w:color="auto" w:sz="4" w:space="0"/>
            </w:tcBorders>
            <w:shd w:val="clear" w:color="auto" w:fill="auto"/>
            <w:vAlign w:val="center"/>
          </w:tcPr>
          <w:p w14:paraId="39BD9D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147"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5AA702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结案审核通过率</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D27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420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2F6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6417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4" w:hRule="atLeast"/>
        </w:trPr>
        <w:tc>
          <w:tcPr>
            <w:tcW w:w="1994" w:type="dxa"/>
            <w:vMerge w:val="continue"/>
            <w:tcBorders>
              <w:top w:val="single" w:color="000000" w:sz="4" w:space="0"/>
              <w:left w:val="single" w:color="auto" w:sz="4" w:space="0"/>
              <w:bottom w:val="single" w:color="000000" w:sz="4" w:space="0"/>
              <w:right w:val="nil"/>
            </w:tcBorders>
            <w:shd w:val="clear" w:color="auto" w:fill="auto"/>
            <w:vAlign w:val="center"/>
          </w:tcPr>
          <w:p w14:paraId="780F79E0">
            <w:pPr>
              <w:jc w:val="left"/>
              <w:rPr>
                <w:rFonts w:hint="eastAsia" w:ascii="宋体" w:hAnsi="宋体" w:eastAsia="宋体" w:cs="宋体"/>
                <w:i w:val="0"/>
                <w:iCs w:val="0"/>
                <w:color w:val="000000"/>
                <w:sz w:val="20"/>
                <w:szCs w:val="20"/>
                <w:u w:val="none"/>
              </w:rPr>
            </w:pPr>
          </w:p>
        </w:tc>
        <w:tc>
          <w:tcPr>
            <w:tcW w:w="1734" w:type="dxa"/>
            <w:vMerge w:val="continue"/>
            <w:tcBorders>
              <w:top w:val="single" w:color="000000" w:sz="4" w:space="0"/>
              <w:left w:val="single" w:color="000000" w:sz="4" w:space="0"/>
              <w:bottom w:val="nil"/>
              <w:right w:val="single" w:color="000000" w:sz="4" w:space="0"/>
            </w:tcBorders>
            <w:shd w:val="clear" w:color="auto" w:fill="auto"/>
            <w:vAlign w:val="center"/>
          </w:tcPr>
          <w:p w14:paraId="1C990F16">
            <w:pPr>
              <w:jc w:val="center"/>
              <w:rPr>
                <w:rFonts w:hint="eastAsia" w:ascii="宋体" w:hAnsi="宋体" w:eastAsia="宋体" w:cs="宋体"/>
                <w:i w:val="0"/>
                <w:iCs w:val="0"/>
                <w:color w:val="000000"/>
                <w:sz w:val="20"/>
                <w:szCs w:val="20"/>
                <w:u w:val="none"/>
              </w:rPr>
            </w:pPr>
          </w:p>
        </w:tc>
        <w:tc>
          <w:tcPr>
            <w:tcW w:w="1133" w:type="dxa"/>
            <w:tcBorders>
              <w:top w:val="single" w:color="000000" w:sz="4" w:space="0"/>
              <w:left w:val="single" w:color="000000" w:sz="4" w:space="0"/>
              <w:bottom w:val="single" w:color="000000" w:sz="4" w:space="0"/>
              <w:right w:val="single" w:color="auto" w:sz="4" w:space="0"/>
            </w:tcBorders>
            <w:shd w:val="clear" w:color="auto" w:fill="auto"/>
            <w:vAlign w:val="center"/>
          </w:tcPr>
          <w:p w14:paraId="2CC1DD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147"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3039ED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案件办理及时率</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242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44B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4D0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72D40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994" w:type="dxa"/>
            <w:vMerge w:val="continue"/>
            <w:tcBorders>
              <w:top w:val="single" w:color="000000" w:sz="4" w:space="0"/>
              <w:left w:val="single" w:color="auto" w:sz="4" w:space="0"/>
              <w:bottom w:val="single" w:color="000000" w:sz="4" w:space="0"/>
              <w:right w:val="nil"/>
            </w:tcBorders>
            <w:shd w:val="clear" w:color="auto" w:fill="auto"/>
            <w:vAlign w:val="center"/>
          </w:tcPr>
          <w:p w14:paraId="2A4DAD64">
            <w:pPr>
              <w:jc w:val="left"/>
              <w:rPr>
                <w:rFonts w:hint="eastAsia" w:ascii="宋体" w:hAnsi="宋体" w:eastAsia="宋体" w:cs="宋体"/>
                <w:i w:val="0"/>
                <w:iCs w:val="0"/>
                <w:color w:val="000000"/>
                <w:sz w:val="20"/>
                <w:szCs w:val="20"/>
                <w:u w:val="none"/>
              </w:rPr>
            </w:pPr>
          </w:p>
        </w:tc>
        <w:tc>
          <w:tcPr>
            <w:tcW w:w="1734" w:type="dxa"/>
            <w:vMerge w:val="continue"/>
            <w:tcBorders>
              <w:top w:val="single" w:color="000000" w:sz="4" w:space="0"/>
              <w:left w:val="single" w:color="000000" w:sz="4" w:space="0"/>
              <w:bottom w:val="nil"/>
              <w:right w:val="single" w:color="000000" w:sz="4" w:space="0"/>
            </w:tcBorders>
            <w:shd w:val="clear" w:color="auto" w:fill="auto"/>
            <w:vAlign w:val="center"/>
          </w:tcPr>
          <w:p w14:paraId="3C60EE05">
            <w:pPr>
              <w:jc w:val="center"/>
              <w:rPr>
                <w:rFonts w:hint="eastAsia" w:ascii="宋体" w:hAnsi="宋体" w:eastAsia="宋体" w:cs="宋体"/>
                <w:i w:val="0"/>
                <w:iCs w:val="0"/>
                <w:color w:val="000000"/>
                <w:sz w:val="20"/>
                <w:szCs w:val="20"/>
                <w:u w:val="none"/>
              </w:rPr>
            </w:pPr>
          </w:p>
        </w:tc>
        <w:tc>
          <w:tcPr>
            <w:tcW w:w="1133" w:type="dxa"/>
            <w:tcBorders>
              <w:top w:val="single" w:color="000000" w:sz="4" w:space="0"/>
              <w:left w:val="single" w:color="000000" w:sz="4" w:space="0"/>
              <w:bottom w:val="single" w:color="000000" w:sz="4" w:space="0"/>
              <w:right w:val="single" w:color="auto" w:sz="4" w:space="0"/>
            </w:tcBorders>
            <w:shd w:val="clear" w:color="auto" w:fill="auto"/>
            <w:vAlign w:val="center"/>
          </w:tcPr>
          <w:p w14:paraId="01946C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147"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0E1D63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工作开展所需的成本情况</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216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≤195</w:t>
            </w:r>
            <w:r>
              <w:rPr>
                <w:rFonts w:hint="eastAsia" w:ascii="宋体" w:hAnsi="宋体" w:eastAsia="宋体" w:cs="宋体"/>
                <w:i w:val="0"/>
                <w:iCs w:val="0"/>
                <w:color w:val="000000"/>
                <w:kern w:val="0"/>
                <w:sz w:val="20"/>
                <w:szCs w:val="20"/>
                <w:u w:val="none"/>
                <w:lang w:val="en-US" w:eastAsia="zh-CN" w:bidi="ar"/>
              </w:rPr>
              <w:t>万元</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D8C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183</w:t>
            </w:r>
            <w:r>
              <w:rPr>
                <w:rFonts w:hint="eastAsia" w:ascii="宋体" w:hAnsi="宋体" w:eastAsia="宋体" w:cs="宋体"/>
                <w:i w:val="0"/>
                <w:iCs w:val="0"/>
                <w:color w:val="000000"/>
                <w:kern w:val="0"/>
                <w:sz w:val="20"/>
                <w:szCs w:val="20"/>
                <w:u w:val="none"/>
                <w:lang w:val="en-US" w:eastAsia="zh-CN" w:bidi="ar"/>
              </w:rPr>
              <w:t>万元</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856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7EA85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7" w:hRule="atLeast"/>
        </w:trPr>
        <w:tc>
          <w:tcPr>
            <w:tcW w:w="1994" w:type="dxa"/>
            <w:vMerge w:val="continue"/>
            <w:tcBorders>
              <w:top w:val="single" w:color="000000" w:sz="4" w:space="0"/>
              <w:left w:val="single" w:color="auto" w:sz="4" w:space="0"/>
              <w:bottom w:val="single" w:color="000000" w:sz="4" w:space="0"/>
              <w:right w:val="nil"/>
            </w:tcBorders>
            <w:shd w:val="clear" w:color="auto" w:fill="auto"/>
            <w:vAlign w:val="center"/>
          </w:tcPr>
          <w:p w14:paraId="2A6B5B90">
            <w:pPr>
              <w:jc w:val="left"/>
              <w:rPr>
                <w:rFonts w:hint="eastAsia" w:ascii="宋体" w:hAnsi="宋体" w:eastAsia="宋体" w:cs="宋体"/>
                <w:i w:val="0"/>
                <w:iCs w:val="0"/>
                <w:color w:val="000000"/>
                <w:sz w:val="20"/>
                <w:szCs w:val="20"/>
                <w:u w:val="none"/>
              </w:rPr>
            </w:pPr>
          </w:p>
        </w:tc>
        <w:tc>
          <w:tcPr>
            <w:tcW w:w="1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AA7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33" w:type="dxa"/>
            <w:tcBorders>
              <w:top w:val="nil"/>
              <w:left w:val="nil"/>
              <w:bottom w:val="single" w:color="000000" w:sz="4" w:space="0"/>
              <w:right w:val="single" w:color="auto" w:sz="4" w:space="0"/>
            </w:tcBorders>
            <w:shd w:val="clear" w:color="auto" w:fill="auto"/>
            <w:vAlign w:val="center"/>
          </w:tcPr>
          <w:p w14:paraId="51693C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147"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55AA02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按时间节点要求执行</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B81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565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E2D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0AE34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994" w:type="dxa"/>
            <w:vMerge w:val="continue"/>
            <w:tcBorders>
              <w:top w:val="single" w:color="000000" w:sz="4" w:space="0"/>
              <w:left w:val="single" w:color="auto" w:sz="4" w:space="0"/>
              <w:bottom w:val="single" w:color="auto" w:sz="4" w:space="0"/>
              <w:right w:val="nil"/>
            </w:tcBorders>
            <w:shd w:val="clear" w:color="auto" w:fill="auto"/>
            <w:vAlign w:val="center"/>
          </w:tcPr>
          <w:p w14:paraId="258BA682">
            <w:pPr>
              <w:jc w:val="left"/>
              <w:rPr>
                <w:rFonts w:hint="eastAsia" w:ascii="宋体" w:hAnsi="宋体" w:eastAsia="宋体" w:cs="宋体"/>
                <w:i w:val="0"/>
                <w:iCs w:val="0"/>
                <w:color w:val="000000"/>
                <w:sz w:val="20"/>
                <w:szCs w:val="20"/>
                <w:u w:val="none"/>
              </w:rPr>
            </w:pPr>
          </w:p>
        </w:tc>
        <w:tc>
          <w:tcPr>
            <w:tcW w:w="1734" w:type="dxa"/>
            <w:tcBorders>
              <w:top w:val="nil"/>
              <w:left w:val="single" w:color="000000" w:sz="4" w:space="0"/>
              <w:bottom w:val="single" w:color="auto" w:sz="4" w:space="0"/>
              <w:right w:val="single" w:color="000000" w:sz="4" w:space="0"/>
            </w:tcBorders>
            <w:shd w:val="clear" w:color="auto" w:fill="auto"/>
            <w:vAlign w:val="center"/>
          </w:tcPr>
          <w:p w14:paraId="30D47A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（40分）</w:t>
            </w:r>
          </w:p>
        </w:tc>
        <w:tc>
          <w:tcPr>
            <w:tcW w:w="1133" w:type="dxa"/>
            <w:tcBorders>
              <w:top w:val="single" w:color="000000" w:sz="4" w:space="0"/>
              <w:left w:val="nil"/>
              <w:bottom w:val="single" w:color="auto" w:sz="4" w:space="0"/>
              <w:right w:val="single" w:color="auto" w:sz="4" w:space="0"/>
            </w:tcBorders>
            <w:shd w:val="clear" w:color="auto" w:fill="auto"/>
            <w:vAlign w:val="center"/>
          </w:tcPr>
          <w:p w14:paraId="6053E7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147"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797169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受理案件查办率（%）</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97D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358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272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14:paraId="5DCCEF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4" w:hRule="atLeast"/>
        </w:trPr>
        <w:tc>
          <w:tcPr>
            <w:tcW w:w="1994" w:type="dxa"/>
            <w:vMerge w:val="continue"/>
            <w:tcBorders>
              <w:top w:val="single" w:color="auto" w:sz="4" w:space="0"/>
              <w:left w:val="single" w:color="auto" w:sz="4" w:space="0"/>
              <w:bottom w:val="single" w:color="000000" w:sz="4" w:space="0"/>
              <w:right w:val="nil"/>
            </w:tcBorders>
            <w:shd w:val="clear" w:color="auto" w:fill="auto"/>
            <w:vAlign w:val="center"/>
          </w:tcPr>
          <w:p w14:paraId="05726561">
            <w:pPr>
              <w:jc w:val="left"/>
              <w:rPr>
                <w:rFonts w:hint="eastAsia" w:ascii="宋体" w:hAnsi="宋体" w:eastAsia="宋体" w:cs="宋体"/>
                <w:i w:val="0"/>
                <w:iCs w:val="0"/>
                <w:color w:val="000000"/>
                <w:sz w:val="20"/>
                <w:szCs w:val="20"/>
                <w:u w:val="none"/>
              </w:rPr>
            </w:pPr>
          </w:p>
        </w:tc>
        <w:tc>
          <w:tcPr>
            <w:tcW w:w="1734" w:type="dxa"/>
            <w:tcBorders>
              <w:top w:val="single" w:color="auto" w:sz="4" w:space="0"/>
              <w:left w:val="single" w:color="000000" w:sz="4" w:space="0"/>
              <w:bottom w:val="single" w:color="000000" w:sz="4" w:space="0"/>
              <w:right w:val="single" w:color="000000" w:sz="4" w:space="0"/>
            </w:tcBorders>
            <w:shd w:val="clear" w:color="auto" w:fill="auto"/>
            <w:vAlign w:val="center"/>
          </w:tcPr>
          <w:p w14:paraId="5BB9BC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33" w:type="dxa"/>
            <w:tcBorders>
              <w:top w:val="single" w:color="auto" w:sz="4" w:space="0"/>
              <w:left w:val="nil"/>
              <w:bottom w:val="single" w:color="000000" w:sz="4" w:space="0"/>
              <w:right w:val="single" w:color="000000" w:sz="4" w:space="0"/>
            </w:tcBorders>
            <w:shd w:val="clear" w:color="auto" w:fill="auto"/>
            <w:vAlign w:val="center"/>
          </w:tcPr>
          <w:p w14:paraId="01DE99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1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8592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信访群众满意度</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93D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EA4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C3D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2275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994" w:type="dxa"/>
            <w:vMerge w:val="continue"/>
            <w:tcBorders>
              <w:top w:val="single" w:color="000000" w:sz="4" w:space="0"/>
              <w:left w:val="single" w:color="auto" w:sz="4" w:space="0"/>
              <w:bottom w:val="single" w:color="000000" w:sz="4" w:space="0"/>
              <w:right w:val="nil"/>
            </w:tcBorders>
            <w:shd w:val="clear" w:color="auto" w:fill="auto"/>
            <w:vAlign w:val="center"/>
          </w:tcPr>
          <w:p w14:paraId="39DFE06C">
            <w:pPr>
              <w:jc w:val="left"/>
              <w:rPr>
                <w:rFonts w:hint="eastAsia" w:ascii="宋体" w:hAnsi="宋体" w:eastAsia="宋体" w:cs="宋体"/>
                <w:i w:val="0"/>
                <w:iCs w:val="0"/>
                <w:color w:val="000000"/>
                <w:sz w:val="20"/>
                <w:szCs w:val="20"/>
                <w:u w:val="none"/>
              </w:rPr>
            </w:pPr>
          </w:p>
        </w:tc>
        <w:tc>
          <w:tcPr>
            <w:tcW w:w="683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E44E3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3C5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5C3C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trPr>
        <w:tc>
          <w:tcPr>
            <w:tcW w:w="1994" w:type="dxa"/>
            <w:tcBorders>
              <w:top w:val="nil"/>
              <w:left w:val="single" w:color="000000" w:sz="4" w:space="0"/>
              <w:bottom w:val="single" w:color="000000" w:sz="4" w:space="0"/>
              <w:right w:val="single" w:color="000000" w:sz="4" w:space="0"/>
            </w:tcBorders>
            <w:shd w:val="clear" w:color="auto" w:fill="auto"/>
            <w:vAlign w:val="center"/>
          </w:tcPr>
          <w:p w14:paraId="6827BD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766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70D60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54E957E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w:t>
      </w:r>
    </w:p>
    <w:p w14:paraId="001C714B">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无</w:t>
      </w:r>
    </w:p>
    <w:p w14:paraId="4DD3DEA1">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6860D9C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1.本部门2024年度政府性基金预算财政拨款收入支出决算表（公开07表）、国有资本经营预算财政拨款支出决算表（公开08表）无相应收支，故空表列示。</w:t>
      </w:r>
    </w:p>
    <w:p w14:paraId="14072ED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21F82BC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376C5D3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0153C09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2ECD85E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00D136F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3EA7CD5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3B295A2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5BD383D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5810FF4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30B4D1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3E38ECF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4FE5E74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3A72921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6F3161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704ADB9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2D5D9A2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05DFF35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03472CF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6DC4C79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15CF5259-9FAF-482C-86A6-6FCBA20F3BCD}"/>
  </w:font>
  <w:font w:name="黑体">
    <w:panose1 w:val="02010609060101010101"/>
    <w:charset w:val="86"/>
    <w:family w:val="auto"/>
    <w:pitch w:val="default"/>
    <w:sig w:usb0="800002BF" w:usb1="38CF7CFA" w:usb2="00000016" w:usb3="00000000" w:csb0="00040001" w:csb1="00000000"/>
    <w:embedRegular r:id="rId2" w:fontKey="{0F2C2499-BB97-497F-9CCC-068CF467CE52}"/>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9E9B38EA-8C21-4588-91DC-97C5F91C9D50}"/>
  </w:font>
  <w:font w:name="仿宋">
    <w:panose1 w:val="02010609060101010101"/>
    <w:charset w:val="86"/>
    <w:family w:val="modern"/>
    <w:pitch w:val="default"/>
    <w:sig w:usb0="800002BF" w:usb1="38CF7CFA" w:usb2="00000016" w:usb3="00000000" w:csb0="00040001" w:csb1="00000000"/>
    <w:embedRegular r:id="rId4" w:fontKey="{0916419C-9D13-4A0F-BA52-FDDBF212242F}"/>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231CE58F-411E-4F83-8510-396AC4E7887A}"/>
  </w:font>
  <w:font w:name="方正小标宋_GBK">
    <w:panose1 w:val="03000502000000000000"/>
    <w:charset w:val="86"/>
    <w:family w:val="script"/>
    <w:pitch w:val="default"/>
    <w:sig w:usb0="00000001" w:usb1="080E0000" w:usb2="00000000" w:usb3="00000000" w:csb0="00040000" w:csb1="00000000"/>
    <w:embedRegular r:id="rId6" w:fontKey="{BD113337-C0E0-4431-AB53-D97E60010FA2}"/>
  </w:font>
  <w:font w:name="仿宋_GB2312">
    <w:panose1 w:val="02010609030101010101"/>
    <w:charset w:val="86"/>
    <w:family w:val="auto"/>
    <w:pitch w:val="default"/>
    <w:sig w:usb0="00000001" w:usb1="080E0000" w:usb2="00000000" w:usb3="00000000" w:csb0="00040000" w:csb1="00000000"/>
    <w:embedRegular r:id="rId7" w:fontKey="{1632590A-1D39-44D7-BE4A-0A393E56A967}"/>
  </w:font>
  <w:font w:name="ArialUnicodeMS">
    <w:altName w:val="Malgun Gothic"/>
    <w:panose1 w:val="00000000000000000000"/>
    <w:charset w:val="81"/>
    <w:family w:val="auto"/>
    <w:pitch w:val="default"/>
    <w:sig w:usb0="00000000" w:usb1="00000000" w:usb2="00000010" w:usb3="00000000" w:csb0="00080001" w:csb1="00000000"/>
    <w:embedRegular r:id="rId8" w:fontKey="{0AABAD06-5E3C-468B-BEF6-84295F910AC0}"/>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C968348C-997E-4ACD-9BD5-BD54F8E270CD}"/>
  </w:font>
  <w:font w:name="DengXian-Regular">
    <w:altName w:val="宋体"/>
    <w:panose1 w:val="00000000000000000000"/>
    <w:charset w:val="86"/>
    <w:family w:val="auto"/>
    <w:pitch w:val="default"/>
    <w:sig w:usb0="00000000" w:usb1="00000000" w:usb2="00000010" w:usb3="00000000" w:csb0="00040001" w:csb1="00000000"/>
    <w:embedRegular r:id="rId10" w:fontKey="{9B9BAFDC-9711-4641-B921-0E148783B5F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9E7B31">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1D9602">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F5E494">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323BDC">
    <w:pPr>
      <w:jc w:val="center"/>
    </w:pPr>
    <w:r>
      <w:fldChar w:fldCharType="begin"/>
    </w:r>
    <w:r>
      <w:instrText xml:space="preserve">PAGE</w:instrText>
    </w:r>
    <w:r>
      <w:fldChar w:fldCharType="separate"/>
    </w:r>
    <w: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1E83B0">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E623B0"/>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406515"/>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C4970"/>
    <w:rsid w:val="22FD3CF7"/>
    <w:rsid w:val="232C221B"/>
    <w:rsid w:val="2356249E"/>
    <w:rsid w:val="236E713A"/>
    <w:rsid w:val="23700968"/>
    <w:rsid w:val="238761A6"/>
    <w:rsid w:val="23920578"/>
    <w:rsid w:val="23BB6F9A"/>
    <w:rsid w:val="23FC3864"/>
    <w:rsid w:val="24857B00"/>
    <w:rsid w:val="24B352F0"/>
    <w:rsid w:val="24F25212"/>
    <w:rsid w:val="251B0465"/>
    <w:rsid w:val="254B0AC6"/>
    <w:rsid w:val="25571AB6"/>
    <w:rsid w:val="25B40AD6"/>
    <w:rsid w:val="25BE7872"/>
    <w:rsid w:val="25BF702A"/>
    <w:rsid w:val="25D00961"/>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2D048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DEA6510"/>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A84C21"/>
    <w:rsid w:val="36FE3ABA"/>
    <w:rsid w:val="37072BDE"/>
    <w:rsid w:val="37455334"/>
    <w:rsid w:val="37527C32"/>
    <w:rsid w:val="37731921"/>
    <w:rsid w:val="37BD36D2"/>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571468"/>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3926E5"/>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05C15"/>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845D68"/>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9DB635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8E57AF"/>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2F5115C"/>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1573.11</c:v>
                </c:pt>
                <c:pt idx="1">
                  <c:v>1683.96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16839635.52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10992807.77</c:v>
                </c:pt>
                <c:pt idx="1">
                  <c:v>5846827.75</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1573.11</c:v>
                </c:pt>
                <c:pt idx="1">
                  <c:v>1573.11</c:v>
                </c:pt>
                <c:pt idx="2">
                  <c:v>1573.11</c:v>
                </c:pt>
                <c:pt idx="3">
                  <c:v>1573.11</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1683.96</c:v>
                </c:pt>
                <c:pt idx="1">
                  <c:v>1683.96</c:v>
                </c:pt>
                <c:pt idx="2">
                  <c:v>1683.96</c:v>
                </c:pt>
                <c:pt idx="3">
                  <c:v>1683.96</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1548.7</c:v>
                </c:pt>
                <c:pt idx="1">
                  <c:v>1548.7</c:v>
                </c:pt>
                <c:pt idx="2">
                  <c:v>1548.7</c:v>
                </c:pt>
                <c:pt idx="3">
                  <c:v>1548.7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1683.96</c:v>
                </c:pt>
                <c:pt idx="1">
                  <c:v>1683.96</c:v>
                </c:pt>
                <c:pt idx="2">
                  <c:v>1683.96</c:v>
                </c:pt>
                <c:pt idx="3">
                  <c:v>1683.96</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1470.35</c:v>
                </c:pt>
                <c:pt idx="1">
                  <c:v>0</c:v>
                </c:pt>
                <c:pt idx="2">
                  <c:v>0</c:v>
                </c:pt>
                <c:pt idx="3">
                  <c:v>0</c:v>
                </c:pt>
                <c:pt idx="4">
                  <c:v>0</c:v>
                </c:pt>
                <c:pt idx="5">
                  <c:v>0</c:v>
                </c:pt>
                <c:pt idx="6">
                  <c:v>0</c:v>
                </c:pt>
                <c:pt idx="7">
                  <c:v>95.3</c:v>
                </c:pt>
                <c:pt idx="8">
                  <c:v>43.61</c:v>
                </c:pt>
                <c:pt idx="9">
                  <c:v>0</c:v>
                </c:pt>
                <c:pt idx="10">
                  <c:v>0</c:v>
                </c:pt>
                <c:pt idx="11">
                  <c:v>0</c:v>
                </c:pt>
                <c:pt idx="12">
                  <c:v>0</c:v>
                </c:pt>
                <c:pt idx="13">
                  <c:v>0</c:v>
                </c:pt>
                <c:pt idx="14">
                  <c:v>0</c:v>
                </c:pt>
                <c:pt idx="15">
                  <c:v>0</c:v>
                </c:pt>
                <c:pt idx="16">
                  <c:v>0</c:v>
                </c:pt>
                <c:pt idx="17">
                  <c:v>0</c:v>
                </c:pt>
                <c:pt idx="18">
                  <c:v>74.7</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37</Pages>
  <Words>1385</Words>
  <Characters>1492</Characters>
  <Lines>86</Lines>
  <Paragraphs>24</Paragraphs>
  <TotalTime>2</TotalTime>
  <ScaleCrop>false</ScaleCrop>
  <LinksUpToDate>false</LinksUpToDate>
  <CharactersWithSpaces>1498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小高</cp:lastModifiedBy>
  <cp:lastPrinted>2023-08-04T01:00:00Z</cp:lastPrinted>
  <dcterms:modified xsi:type="dcterms:W3CDTF">2025-09-26T05:07:43Z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eyJoZGlkIjoiMTg2OWQ5MTQzMGM5NzYyZGEyY2IyYjE5YzgzMmQ5ZWQiLCJ1c2VySWQiOiI0NjU3MTc0NjkifQ==</vt:lpwstr>
  </property>
</Properties>
</file>