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843001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：行唐县口头镇人民政府</w:t>
      </w: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8E8B73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50B814D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val="en-US" w:eastAsia="zh-CN"/>
        </w:rPr>
        <w:t>部门</w:t>
      </w:r>
      <w:r>
        <w:rPr>
          <w:rFonts w:ascii="Times New Roman" w:eastAsia="黑体"/>
          <w:b w:val="0"/>
          <w:sz w:val="32"/>
          <w:szCs w:val="32"/>
        </w:rPr>
        <w:t>概况</w:t>
      </w:r>
    </w:p>
    <w:p w14:paraId="4295B8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val="en-US" w:eastAsia="zh-CN"/>
        </w:rPr>
        <w:t>部门</w:t>
      </w:r>
      <w:r>
        <w:rPr>
          <w:rFonts w:ascii="Times New Roman" w:eastAsia="仿宋_GB2312"/>
          <w:b w:val="0"/>
          <w:sz w:val="32"/>
          <w:szCs w:val="32"/>
        </w:rPr>
        <w:t>职责</w:t>
      </w:r>
    </w:p>
    <w:p w14:paraId="58B875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C7C348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0064B3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F0B00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72CF8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38CB1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906EE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5362E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D68E2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41BE3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0CFD9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F84EAE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4D820A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80383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1A61C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85724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DD870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D6ABB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3B040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DBDA8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7B4CD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96BA2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8B5FF2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911A3A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部门</w:t>
      </w:r>
      <w:r>
        <w:rPr>
          <w:rFonts w:ascii="Times New Roman" w:eastAsia="黑体"/>
          <w:b w:val="0"/>
          <w:sz w:val="44"/>
          <w:szCs w:val="44"/>
        </w:rPr>
        <w:t>概况</w:t>
      </w:r>
    </w:p>
    <w:p w14:paraId="048AC31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val="en-US" w:eastAsia="zh-CN"/>
        </w:rPr>
        <w:t>部门</w:t>
      </w:r>
      <w:r>
        <w:rPr>
          <w:rFonts w:ascii="Times New Roman" w:eastAsia="黑体"/>
          <w:b w:val="0"/>
          <w:sz w:val="32"/>
          <w:szCs w:val="32"/>
        </w:rPr>
        <w:t>职责</w:t>
      </w:r>
    </w:p>
    <w:p w14:paraId="43629C3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11EEDAB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1875AB7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45C54E4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7692693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2610673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6299F99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117C3B25">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6124BB5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56295FB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负责新农村建设，推进和美乡村、美丽庭院创建工作;负责农村环境卫生工作，推进农村改厕、生活垃圾处理、生活污水治理等工作;负责推进农村移风易俗、文明创建等工作。</w:t>
      </w:r>
    </w:p>
    <w:p w14:paraId="265DE0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5A4CCCF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56F2F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val="en-US" w:eastAsia="zh-CN"/>
              </w:rPr>
              <w:t>部门</w:t>
            </w:r>
            <w:r>
              <w:rPr>
                <w:rFonts w:hint="eastAsia" w:ascii="仿宋_GB2312" w:hAnsi="Calibri" w:eastAsia="仿宋_GB2312" w:cs="ArialUnicodeMS"/>
                <w:b/>
                <w:bCs/>
                <w:kern w:val="0"/>
                <w:sz w:val="28"/>
                <w:szCs w:val="28"/>
              </w:rPr>
              <w:t>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val="en-US" w:eastAsia="zh-CN"/>
              </w:rPr>
              <w:t>部门</w:t>
            </w:r>
            <w:r>
              <w:rPr>
                <w:rFonts w:hint="eastAsia" w:ascii="仿宋_GB2312" w:hAnsi="Calibri" w:eastAsia="仿宋_GB2312" w:cs="ArialUnicodeMS"/>
                <w:b/>
                <w:bCs/>
                <w:kern w:val="0"/>
                <w:sz w:val="28"/>
                <w:szCs w:val="28"/>
              </w:rPr>
              <w:t>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行唐县口头镇人民政府</w:t>
            </w:r>
          </w:p>
        </w:tc>
        <w:tc>
          <w:tcPr>
            <w:tcW w:w="244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C61F79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部门：行唐县口头镇人民政府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829.98</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67.87</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35.60</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694.61</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47.26</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部门：行唐县口头镇人民政府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1,675.32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1,675.32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54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0744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0D0883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7196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536125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12320D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74E8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30AD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E124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32D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F57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1D11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047BF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05BFAB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759.62</w:t>
            </w:r>
          </w:p>
        </w:tc>
        <w:tc>
          <w:tcPr>
            <w:tcW w:w="1037" w:type="dxa"/>
            <w:tcBorders>
              <w:top w:val="nil"/>
              <w:left w:val="nil"/>
              <w:bottom w:val="single" w:color="000000" w:sz="4" w:space="0"/>
              <w:right w:val="single" w:color="000000" w:sz="4" w:space="0"/>
            </w:tcBorders>
            <w:noWrap/>
            <w:vAlign w:val="center"/>
          </w:tcPr>
          <w:p w14:paraId="6FBE82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759.62</w:t>
            </w:r>
          </w:p>
        </w:tc>
        <w:tc>
          <w:tcPr>
            <w:tcW w:w="1037" w:type="dxa"/>
            <w:tcBorders>
              <w:top w:val="nil"/>
              <w:left w:val="nil"/>
              <w:bottom w:val="single" w:color="000000" w:sz="4" w:space="0"/>
              <w:right w:val="single" w:color="000000" w:sz="4" w:space="0"/>
            </w:tcBorders>
            <w:noWrap/>
            <w:vAlign w:val="center"/>
          </w:tcPr>
          <w:p w14:paraId="43CD4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1E40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F7F7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25D2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0E37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F43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E7CA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0D89FB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240D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70.36</w:t>
            </w:r>
          </w:p>
        </w:tc>
        <w:tc>
          <w:tcPr>
            <w:tcW w:w="1037" w:type="dxa"/>
            <w:tcBorders>
              <w:top w:val="nil"/>
              <w:left w:val="nil"/>
              <w:bottom w:val="single" w:color="000000" w:sz="4" w:space="0"/>
              <w:right w:val="single" w:color="000000" w:sz="4" w:space="0"/>
            </w:tcBorders>
            <w:noWrap/>
            <w:vAlign w:val="center"/>
          </w:tcPr>
          <w:p w14:paraId="6C687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70.36</w:t>
            </w:r>
          </w:p>
        </w:tc>
        <w:tc>
          <w:tcPr>
            <w:tcW w:w="1037" w:type="dxa"/>
            <w:tcBorders>
              <w:top w:val="nil"/>
              <w:left w:val="nil"/>
              <w:bottom w:val="single" w:color="000000" w:sz="4" w:space="0"/>
              <w:right w:val="single" w:color="000000" w:sz="4" w:space="0"/>
            </w:tcBorders>
            <w:noWrap/>
            <w:vAlign w:val="center"/>
          </w:tcPr>
          <w:p w14:paraId="327479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63E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CC9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BCB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C79D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7A4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2B28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B3923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8CCB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67.87</w:t>
            </w:r>
          </w:p>
        </w:tc>
        <w:tc>
          <w:tcPr>
            <w:tcW w:w="1037" w:type="dxa"/>
            <w:tcBorders>
              <w:top w:val="nil"/>
              <w:left w:val="nil"/>
              <w:bottom w:val="single" w:color="000000" w:sz="4" w:space="0"/>
              <w:right w:val="single" w:color="000000" w:sz="4" w:space="0"/>
            </w:tcBorders>
            <w:noWrap/>
            <w:vAlign w:val="center"/>
          </w:tcPr>
          <w:p w14:paraId="3E431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67.87</w:t>
            </w:r>
          </w:p>
        </w:tc>
        <w:tc>
          <w:tcPr>
            <w:tcW w:w="1037" w:type="dxa"/>
            <w:tcBorders>
              <w:top w:val="nil"/>
              <w:left w:val="nil"/>
              <w:bottom w:val="single" w:color="000000" w:sz="4" w:space="0"/>
              <w:right w:val="single" w:color="000000" w:sz="4" w:space="0"/>
            </w:tcBorders>
            <w:noWrap/>
            <w:vAlign w:val="center"/>
          </w:tcPr>
          <w:p w14:paraId="7DD0CD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1729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B34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42C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702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992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6CD4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30F11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F0C97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4A4A9F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35F8A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4826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B2D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958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EABC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A40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FFE2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DCF6B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0F547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4D5F06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5344F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5952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2F2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D9A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3368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E86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77C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7686DA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11C02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w:t>
            </w:r>
          </w:p>
        </w:tc>
        <w:tc>
          <w:tcPr>
            <w:tcW w:w="1037" w:type="dxa"/>
            <w:tcBorders>
              <w:top w:val="nil"/>
              <w:left w:val="nil"/>
              <w:bottom w:val="single" w:color="000000" w:sz="4" w:space="0"/>
              <w:right w:val="single" w:color="000000" w:sz="4" w:space="0"/>
            </w:tcBorders>
            <w:noWrap/>
            <w:vAlign w:val="center"/>
          </w:tcPr>
          <w:p w14:paraId="396D4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w:t>
            </w:r>
          </w:p>
        </w:tc>
        <w:tc>
          <w:tcPr>
            <w:tcW w:w="1037" w:type="dxa"/>
            <w:tcBorders>
              <w:top w:val="nil"/>
              <w:left w:val="nil"/>
              <w:bottom w:val="single" w:color="000000" w:sz="4" w:space="0"/>
              <w:right w:val="single" w:color="000000" w:sz="4" w:space="0"/>
            </w:tcBorders>
            <w:noWrap/>
            <w:vAlign w:val="center"/>
          </w:tcPr>
          <w:p w14:paraId="31C8E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3D72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F042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36E0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C0E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65B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EE40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51B73D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32EAF6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w:t>
            </w:r>
          </w:p>
        </w:tc>
        <w:tc>
          <w:tcPr>
            <w:tcW w:w="1037" w:type="dxa"/>
            <w:tcBorders>
              <w:top w:val="nil"/>
              <w:left w:val="nil"/>
              <w:bottom w:val="single" w:color="000000" w:sz="4" w:space="0"/>
              <w:right w:val="single" w:color="000000" w:sz="4" w:space="0"/>
            </w:tcBorders>
            <w:noWrap/>
            <w:vAlign w:val="center"/>
          </w:tcPr>
          <w:p w14:paraId="3844B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w:t>
            </w:r>
          </w:p>
        </w:tc>
        <w:tc>
          <w:tcPr>
            <w:tcW w:w="1037" w:type="dxa"/>
            <w:tcBorders>
              <w:top w:val="nil"/>
              <w:left w:val="nil"/>
              <w:bottom w:val="single" w:color="000000" w:sz="4" w:space="0"/>
              <w:right w:val="single" w:color="000000" w:sz="4" w:space="0"/>
            </w:tcBorders>
            <w:noWrap/>
            <w:vAlign w:val="center"/>
          </w:tcPr>
          <w:p w14:paraId="32CE61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7758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EF7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8D21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2F76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A9A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16E3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5D4F1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774CF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w:t>
            </w:r>
          </w:p>
        </w:tc>
        <w:tc>
          <w:tcPr>
            <w:tcW w:w="1037" w:type="dxa"/>
            <w:tcBorders>
              <w:top w:val="nil"/>
              <w:left w:val="nil"/>
              <w:bottom w:val="single" w:color="000000" w:sz="4" w:space="0"/>
              <w:right w:val="single" w:color="000000" w:sz="4" w:space="0"/>
            </w:tcBorders>
            <w:noWrap/>
            <w:vAlign w:val="center"/>
          </w:tcPr>
          <w:p w14:paraId="6ECA72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w:t>
            </w:r>
          </w:p>
        </w:tc>
        <w:tc>
          <w:tcPr>
            <w:tcW w:w="1037" w:type="dxa"/>
            <w:tcBorders>
              <w:top w:val="nil"/>
              <w:left w:val="nil"/>
              <w:bottom w:val="single" w:color="000000" w:sz="4" w:space="0"/>
              <w:right w:val="single" w:color="000000" w:sz="4" w:space="0"/>
            </w:tcBorders>
            <w:noWrap/>
            <w:vAlign w:val="center"/>
          </w:tcPr>
          <w:p w14:paraId="7D1202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DC0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D088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A180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168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CBB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74A1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067C1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37D7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463084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472304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1BB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A40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8EF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4772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97D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009C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B1C11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531E98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492FE8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20BACB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7D3E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AEE5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9A96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4DE6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C7E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8DDA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9243F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53CC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5346C0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79AF05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170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619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210F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E5D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1CD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D150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7AFA99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C8066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0A960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48A8A9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A25F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D350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41B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7E7F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6B9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3C61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53AB7D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79C0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05F740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6A03DC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8EF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DBE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56B2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BEE9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313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89A7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3DEAB1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242E5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55F16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334317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089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4F5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7A7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F44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EED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E5C9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9DD08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5CA58E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27A29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00905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04F5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8726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1C6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22E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84A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189A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C7EE0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975BD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5C416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37DCE9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178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1AB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B368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F679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1B0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8909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9ED85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4D9F2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11980E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561A13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DDD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71F8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C47A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C84C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部门：行唐县口头镇人民政府</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910.35</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764.97</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A2DE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D225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3A173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77943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602" w:type="pct"/>
            <w:gridSpan w:val="2"/>
            <w:tcBorders>
              <w:top w:val="nil"/>
              <w:left w:val="nil"/>
              <w:bottom w:val="single" w:color="000000" w:sz="4" w:space="0"/>
              <w:right w:val="single" w:color="000000" w:sz="4" w:space="0"/>
            </w:tcBorders>
            <w:noWrap/>
            <w:vAlign w:val="center"/>
          </w:tcPr>
          <w:p w14:paraId="171879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tcBorders>
              <w:top w:val="nil"/>
              <w:left w:val="nil"/>
              <w:bottom w:val="single" w:color="000000" w:sz="4" w:space="0"/>
              <w:right w:val="single" w:color="000000" w:sz="4" w:space="0"/>
            </w:tcBorders>
            <w:noWrap/>
            <w:vAlign w:val="center"/>
          </w:tcPr>
          <w:p w14:paraId="6FB047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628F55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392E7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0F69EB">
            <w:pPr>
              <w:jc w:val="right"/>
              <w:rPr>
                <w:rFonts w:hint="default" w:ascii="Times New Roman" w:hAnsi="Times New Roman" w:eastAsia="宋体" w:cs="Times New Roman"/>
                <w:i w:val="0"/>
                <w:iCs w:val="0"/>
                <w:color w:val="000000"/>
                <w:sz w:val="20"/>
                <w:szCs w:val="20"/>
                <w:highlight w:val="none"/>
                <w:u w:val="none"/>
              </w:rPr>
            </w:pPr>
          </w:p>
        </w:tc>
      </w:tr>
      <w:tr w14:paraId="0ED95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AC55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58A80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489A3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gridSpan w:val="2"/>
            <w:tcBorders>
              <w:top w:val="nil"/>
              <w:left w:val="nil"/>
              <w:bottom w:val="single" w:color="000000" w:sz="4" w:space="0"/>
              <w:right w:val="single" w:color="000000" w:sz="4" w:space="0"/>
            </w:tcBorders>
            <w:noWrap/>
            <w:vAlign w:val="center"/>
          </w:tcPr>
          <w:p w14:paraId="285800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tcBorders>
              <w:top w:val="nil"/>
              <w:left w:val="nil"/>
              <w:bottom w:val="single" w:color="000000" w:sz="4" w:space="0"/>
              <w:right w:val="single" w:color="000000" w:sz="4" w:space="0"/>
            </w:tcBorders>
            <w:noWrap/>
            <w:vAlign w:val="center"/>
          </w:tcPr>
          <w:p w14:paraId="2495FF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1D95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8B5A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EC8562">
            <w:pPr>
              <w:jc w:val="right"/>
              <w:rPr>
                <w:rFonts w:hint="default" w:ascii="Times New Roman" w:hAnsi="Times New Roman" w:eastAsia="宋体" w:cs="Times New Roman"/>
                <w:i w:val="0"/>
                <w:iCs w:val="0"/>
                <w:color w:val="000000"/>
                <w:sz w:val="20"/>
                <w:szCs w:val="20"/>
                <w:highlight w:val="none"/>
                <w:u w:val="none"/>
              </w:rPr>
            </w:pPr>
          </w:p>
        </w:tc>
      </w:tr>
      <w:tr w14:paraId="7DCC7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09E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0829A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37882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5BEDB91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074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7D20B5F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3AD69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09A813">
            <w:pPr>
              <w:jc w:val="right"/>
              <w:rPr>
                <w:rFonts w:hint="default" w:ascii="Times New Roman" w:hAnsi="Times New Roman" w:eastAsia="宋体" w:cs="Times New Roman"/>
                <w:i w:val="0"/>
                <w:iCs w:val="0"/>
                <w:color w:val="000000"/>
                <w:sz w:val="20"/>
                <w:szCs w:val="20"/>
                <w:highlight w:val="none"/>
                <w:u w:val="none"/>
              </w:rPr>
            </w:pPr>
          </w:p>
        </w:tc>
      </w:tr>
      <w:tr w14:paraId="1873F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827D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06EE4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22A45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602" w:type="pct"/>
            <w:gridSpan w:val="2"/>
            <w:tcBorders>
              <w:top w:val="nil"/>
              <w:left w:val="nil"/>
              <w:bottom w:val="single" w:color="000000" w:sz="4" w:space="0"/>
              <w:right w:val="single" w:color="000000" w:sz="4" w:space="0"/>
            </w:tcBorders>
            <w:noWrap/>
            <w:vAlign w:val="center"/>
          </w:tcPr>
          <w:p w14:paraId="6F6980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602" w:type="pct"/>
            <w:tcBorders>
              <w:top w:val="nil"/>
              <w:left w:val="nil"/>
              <w:bottom w:val="single" w:color="000000" w:sz="4" w:space="0"/>
              <w:right w:val="single" w:color="000000" w:sz="4" w:space="0"/>
            </w:tcBorders>
            <w:noWrap/>
            <w:vAlign w:val="center"/>
          </w:tcPr>
          <w:p w14:paraId="21FDE67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8AA2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D16D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DE7E0C">
            <w:pPr>
              <w:jc w:val="right"/>
              <w:rPr>
                <w:rFonts w:hint="default" w:ascii="Times New Roman" w:hAnsi="Times New Roman" w:eastAsia="宋体" w:cs="Times New Roman"/>
                <w:i w:val="0"/>
                <w:iCs w:val="0"/>
                <w:color w:val="000000"/>
                <w:sz w:val="20"/>
                <w:szCs w:val="20"/>
                <w:highlight w:val="none"/>
                <w:u w:val="none"/>
              </w:rPr>
            </w:pPr>
          </w:p>
        </w:tc>
      </w:tr>
      <w:tr w14:paraId="420F9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6DAE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322F8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5962C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gridSpan w:val="2"/>
            <w:tcBorders>
              <w:top w:val="nil"/>
              <w:left w:val="nil"/>
              <w:bottom w:val="single" w:color="000000" w:sz="4" w:space="0"/>
              <w:right w:val="single" w:color="000000" w:sz="4" w:space="0"/>
            </w:tcBorders>
            <w:noWrap/>
            <w:vAlign w:val="center"/>
          </w:tcPr>
          <w:p w14:paraId="2F2305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tcBorders>
              <w:top w:val="nil"/>
              <w:left w:val="nil"/>
              <w:bottom w:val="single" w:color="000000" w:sz="4" w:space="0"/>
              <w:right w:val="single" w:color="000000" w:sz="4" w:space="0"/>
            </w:tcBorders>
            <w:noWrap/>
            <w:vAlign w:val="center"/>
          </w:tcPr>
          <w:p w14:paraId="47C4BD7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63FE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519B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CF81A2">
            <w:pPr>
              <w:jc w:val="right"/>
              <w:rPr>
                <w:rFonts w:hint="default" w:ascii="Times New Roman" w:hAnsi="Times New Roman" w:eastAsia="宋体" w:cs="Times New Roman"/>
                <w:i w:val="0"/>
                <w:iCs w:val="0"/>
                <w:color w:val="000000"/>
                <w:sz w:val="20"/>
                <w:szCs w:val="20"/>
                <w:highlight w:val="none"/>
                <w:u w:val="none"/>
              </w:rPr>
            </w:pPr>
          </w:p>
        </w:tc>
      </w:tr>
      <w:tr w14:paraId="045E1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04EE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6AD73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6B4B8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gridSpan w:val="2"/>
            <w:tcBorders>
              <w:top w:val="nil"/>
              <w:left w:val="nil"/>
              <w:bottom w:val="single" w:color="000000" w:sz="4" w:space="0"/>
              <w:right w:val="single" w:color="000000" w:sz="4" w:space="0"/>
            </w:tcBorders>
            <w:noWrap/>
            <w:vAlign w:val="center"/>
          </w:tcPr>
          <w:p w14:paraId="3EA299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tcBorders>
              <w:top w:val="nil"/>
              <w:left w:val="nil"/>
              <w:bottom w:val="single" w:color="000000" w:sz="4" w:space="0"/>
              <w:right w:val="single" w:color="000000" w:sz="4" w:space="0"/>
            </w:tcBorders>
            <w:noWrap/>
            <w:vAlign w:val="center"/>
          </w:tcPr>
          <w:p w14:paraId="25C659E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C38D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D36A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5C3415">
            <w:pPr>
              <w:jc w:val="right"/>
              <w:rPr>
                <w:rFonts w:hint="default" w:ascii="Times New Roman" w:hAnsi="Times New Roman" w:eastAsia="宋体" w:cs="Times New Roman"/>
                <w:i w:val="0"/>
                <w:iCs w:val="0"/>
                <w:color w:val="000000"/>
                <w:sz w:val="20"/>
                <w:szCs w:val="20"/>
                <w:highlight w:val="none"/>
                <w:u w:val="none"/>
              </w:rPr>
            </w:pPr>
          </w:p>
        </w:tc>
      </w:tr>
      <w:tr w14:paraId="7EF39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CDB6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227A23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7D3247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602" w:type="pct"/>
            <w:gridSpan w:val="2"/>
            <w:tcBorders>
              <w:top w:val="nil"/>
              <w:left w:val="nil"/>
              <w:bottom w:val="single" w:color="000000" w:sz="4" w:space="0"/>
              <w:right w:val="single" w:color="000000" w:sz="4" w:space="0"/>
            </w:tcBorders>
            <w:noWrap/>
            <w:vAlign w:val="center"/>
          </w:tcPr>
          <w:p w14:paraId="744C68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602" w:type="pct"/>
            <w:tcBorders>
              <w:top w:val="nil"/>
              <w:left w:val="nil"/>
              <w:bottom w:val="single" w:color="000000" w:sz="4" w:space="0"/>
              <w:right w:val="single" w:color="000000" w:sz="4" w:space="0"/>
            </w:tcBorders>
            <w:noWrap/>
            <w:vAlign w:val="center"/>
          </w:tcPr>
          <w:p w14:paraId="7C2B7FC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BAC8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D442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5C823D">
            <w:pPr>
              <w:jc w:val="right"/>
              <w:rPr>
                <w:rFonts w:hint="default" w:ascii="Times New Roman" w:hAnsi="Times New Roman" w:eastAsia="宋体" w:cs="Times New Roman"/>
                <w:i w:val="0"/>
                <w:iCs w:val="0"/>
                <w:color w:val="000000"/>
                <w:sz w:val="20"/>
                <w:szCs w:val="20"/>
                <w:highlight w:val="none"/>
                <w:u w:val="none"/>
              </w:rPr>
            </w:pPr>
          </w:p>
        </w:tc>
      </w:tr>
      <w:tr w14:paraId="72E35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5F7F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087964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2E8E73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602" w:type="pct"/>
            <w:gridSpan w:val="2"/>
            <w:tcBorders>
              <w:top w:val="nil"/>
              <w:left w:val="nil"/>
              <w:bottom w:val="single" w:color="000000" w:sz="4" w:space="0"/>
              <w:right w:val="single" w:color="000000" w:sz="4" w:space="0"/>
            </w:tcBorders>
            <w:noWrap/>
            <w:vAlign w:val="center"/>
          </w:tcPr>
          <w:p w14:paraId="545E6E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602" w:type="pct"/>
            <w:tcBorders>
              <w:top w:val="nil"/>
              <w:left w:val="nil"/>
              <w:bottom w:val="single" w:color="000000" w:sz="4" w:space="0"/>
              <w:right w:val="single" w:color="000000" w:sz="4" w:space="0"/>
            </w:tcBorders>
            <w:noWrap/>
            <w:vAlign w:val="center"/>
          </w:tcPr>
          <w:p w14:paraId="6229713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0CF8F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478F7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C0141A">
            <w:pPr>
              <w:jc w:val="right"/>
              <w:rPr>
                <w:rFonts w:hint="default" w:ascii="Times New Roman" w:hAnsi="Times New Roman" w:eastAsia="宋体" w:cs="Times New Roman"/>
                <w:i w:val="0"/>
                <w:iCs w:val="0"/>
                <w:color w:val="000000"/>
                <w:sz w:val="20"/>
                <w:szCs w:val="20"/>
                <w:highlight w:val="none"/>
                <w:u w:val="none"/>
              </w:rPr>
            </w:pPr>
          </w:p>
        </w:tc>
      </w:tr>
      <w:tr w14:paraId="3801D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1491F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4B633F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37E1D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602" w:type="pct"/>
            <w:gridSpan w:val="2"/>
            <w:tcBorders>
              <w:top w:val="nil"/>
              <w:left w:val="nil"/>
              <w:bottom w:val="single" w:color="000000" w:sz="4" w:space="0"/>
              <w:right w:val="single" w:color="000000" w:sz="4" w:space="0"/>
            </w:tcBorders>
            <w:noWrap/>
            <w:vAlign w:val="center"/>
          </w:tcPr>
          <w:p w14:paraId="6192D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602" w:type="pct"/>
            <w:tcBorders>
              <w:top w:val="nil"/>
              <w:left w:val="nil"/>
              <w:bottom w:val="single" w:color="000000" w:sz="4" w:space="0"/>
              <w:right w:val="single" w:color="000000" w:sz="4" w:space="0"/>
            </w:tcBorders>
            <w:noWrap/>
            <w:vAlign w:val="center"/>
          </w:tcPr>
          <w:p w14:paraId="5D5CDD9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9AC7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6473B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DF980A">
            <w:pPr>
              <w:jc w:val="right"/>
              <w:rPr>
                <w:rFonts w:hint="default" w:ascii="Times New Roman" w:hAnsi="Times New Roman" w:eastAsia="宋体" w:cs="Times New Roman"/>
                <w:i w:val="0"/>
                <w:iCs w:val="0"/>
                <w:color w:val="000000"/>
                <w:sz w:val="20"/>
                <w:szCs w:val="20"/>
                <w:highlight w:val="none"/>
                <w:u w:val="none"/>
              </w:rPr>
            </w:pPr>
          </w:p>
        </w:tc>
      </w:tr>
      <w:tr w14:paraId="3C944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C606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190EC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AA84A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gridSpan w:val="2"/>
            <w:tcBorders>
              <w:top w:val="nil"/>
              <w:left w:val="nil"/>
              <w:bottom w:val="single" w:color="000000" w:sz="4" w:space="0"/>
              <w:right w:val="single" w:color="000000" w:sz="4" w:space="0"/>
            </w:tcBorders>
            <w:noWrap/>
            <w:vAlign w:val="center"/>
          </w:tcPr>
          <w:p w14:paraId="7A9711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tcBorders>
              <w:top w:val="nil"/>
              <w:left w:val="nil"/>
              <w:bottom w:val="single" w:color="000000" w:sz="4" w:space="0"/>
              <w:right w:val="single" w:color="000000" w:sz="4" w:space="0"/>
            </w:tcBorders>
            <w:noWrap/>
            <w:vAlign w:val="center"/>
          </w:tcPr>
          <w:p w14:paraId="3A12B80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9926F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2F89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274CB1">
            <w:pPr>
              <w:jc w:val="right"/>
              <w:rPr>
                <w:rFonts w:hint="default" w:ascii="Times New Roman" w:hAnsi="Times New Roman" w:eastAsia="宋体" w:cs="Times New Roman"/>
                <w:i w:val="0"/>
                <w:iCs w:val="0"/>
                <w:color w:val="000000"/>
                <w:sz w:val="20"/>
                <w:szCs w:val="20"/>
                <w:highlight w:val="none"/>
                <w:u w:val="none"/>
              </w:rPr>
            </w:pPr>
          </w:p>
        </w:tc>
      </w:tr>
      <w:tr w14:paraId="5F4B3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4B70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9228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2A5632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gridSpan w:val="2"/>
            <w:tcBorders>
              <w:top w:val="nil"/>
              <w:left w:val="nil"/>
              <w:bottom w:val="single" w:color="000000" w:sz="4" w:space="0"/>
              <w:right w:val="single" w:color="000000" w:sz="4" w:space="0"/>
            </w:tcBorders>
            <w:noWrap/>
            <w:vAlign w:val="center"/>
          </w:tcPr>
          <w:p w14:paraId="3D6361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tcBorders>
              <w:top w:val="nil"/>
              <w:left w:val="nil"/>
              <w:bottom w:val="single" w:color="000000" w:sz="4" w:space="0"/>
              <w:right w:val="single" w:color="000000" w:sz="4" w:space="0"/>
            </w:tcBorders>
            <w:noWrap/>
            <w:vAlign w:val="center"/>
          </w:tcPr>
          <w:p w14:paraId="5AC6B7C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2C05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DAC6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59343C">
            <w:pPr>
              <w:jc w:val="right"/>
              <w:rPr>
                <w:rFonts w:hint="default" w:ascii="Times New Roman" w:hAnsi="Times New Roman" w:eastAsia="宋体" w:cs="Times New Roman"/>
                <w:i w:val="0"/>
                <w:iCs w:val="0"/>
                <w:color w:val="000000"/>
                <w:sz w:val="20"/>
                <w:szCs w:val="20"/>
                <w:highlight w:val="none"/>
                <w:u w:val="none"/>
              </w:rPr>
            </w:pPr>
          </w:p>
        </w:tc>
      </w:tr>
      <w:tr w14:paraId="445AE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D733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57AEE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F121B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gridSpan w:val="2"/>
            <w:tcBorders>
              <w:top w:val="nil"/>
              <w:left w:val="nil"/>
              <w:bottom w:val="single" w:color="000000" w:sz="4" w:space="0"/>
              <w:right w:val="single" w:color="000000" w:sz="4" w:space="0"/>
            </w:tcBorders>
            <w:noWrap/>
            <w:vAlign w:val="center"/>
          </w:tcPr>
          <w:p w14:paraId="068B37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tcBorders>
              <w:top w:val="nil"/>
              <w:left w:val="nil"/>
              <w:bottom w:val="single" w:color="000000" w:sz="4" w:space="0"/>
              <w:right w:val="single" w:color="000000" w:sz="4" w:space="0"/>
            </w:tcBorders>
            <w:noWrap/>
            <w:vAlign w:val="center"/>
          </w:tcPr>
          <w:p w14:paraId="7B5582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DE70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1875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6E5AD2">
            <w:pPr>
              <w:jc w:val="right"/>
              <w:rPr>
                <w:rFonts w:hint="default" w:ascii="Times New Roman" w:hAnsi="Times New Roman" w:eastAsia="宋体" w:cs="Times New Roman"/>
                <w:i w:val="0"/>
                <w:iCs w:val="0"/>
                <w:color w:val="000000"/>
                <w:sz w:val="20"/>
                <w:szCs w:val="20"/>
                <w:highlight w:val="none"/>
                <w:u w:val="none"/>
              </w:rPr>
            </w:pPr>
          </w:p>
        </w:tc>
      </w:tr>
      <w:tr w14:paraId="3F2D9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9E01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79FB24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48445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5F4110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9E06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628017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5520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B46CC4">
            <w:pPr>
              <w:jc w:val="right"/>
              <w:rPr>
                <w:rFonts w:hint="default" w:ascii="Times New Roman" w:hAnsi="Times New Roman" w:eastAsia="宋体" w:cs="Times New Roman"/>
                <w:i w:val="0"/>
                <w:iCs w:val="0"/>
                <w:color w:val="000000"/>
                <w:sz w:val="20"/>
                <w:szCs w:val="20"/>
                <w:highlight w:val="none"/>
                <w:u w:val="none"/>
              </w:rPr>
            </w:pPr>
          </w:p>
        </w:tc>
      </w:tr>
      <w:tr w14:paraId="29E87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7294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46D203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083E4D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1D46BD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0C09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14540F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D2742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371296">
            <w:pPr>
              <w:jc w:val="right"/>
              <w:rPr>
                <w:rFonts w:hint="default" w:ascii="Times New Roman" w:hAnsi="Times New Roman" w:eastAsia="宋体" w:cs="Times New Roman"/>
                <w:i w:val="0"/>
                <w:iCs w:val="0"/>
                <w:color w:val="000000"/>
                <w:sz w:val="20"/>
                <w:szCs w:val="20"/>
                <w:highlight w:val="none"/>
                <w:u w:val="none"/>
              </w:rPr>
            </w:pPr>
          </w:p>
        </w:tc>
      </w:tr>
      <w:tr w14:paraId="55807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DDE0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4A18E3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3F7DD2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7412D2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0670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576EDA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4127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C23E29">
            <w:pPr>
              <w:jc w:val="right"/>
              <w:rPr>
                <w:rFonts w:hint="default" w:ascii="Times New Roman" w:hAnsi="Times New Roman" w:eastAsia="宋体" w:cs="Times New Roman"/>
                <w:i w:val="0"/>
                <w:iCs w:val="0"/>
                <w:color w:val="000000"/>
                <w:sz w:val="20"/>
                <w:szCs w:val="20"/>
                <w:highlight w:val="none"/>
                <w:u w:val="none"/>
              </w:rPr>
            </w:pPr>
          </w:p>
        </w:tc>
      </w:tr>
      <w:tr w14:paraId="0EE7D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6A7D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E9555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D1552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gridSpan w:val="2"/>
            <w:tcBorders>
              <w:top w:val="nil"/>
              <w:left w:val="nil"/>
              <w:bottom w:val="single" w:color="000000" w:sz="4" w:space="0"/>
              <w:right w:val="single" w:color="000000" w:sz="4" w:space="0"/>
            </w:tcBorders>
            <w:noWrap/>
            <w:vAlign w:val="center"/>
          </w:tcPr>
          <w:p w14:paraId="159611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tcBorders>
              <w:top w:val="nil"/>
              <w:left w:val="nil"/>
              <w:bottom w:val="single" w:color="000000" w:sz="4" w:space="0"/>
              <w:right w:val="single" w:color="000000" w:sz="4" w:space="0"/>
            </w:tcBorders>
            <w:noWrap/>
            <w:vAlign w:val="center"/>
          </w:tcPr>
          <w:p w14:paraId="6522B90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AB18B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6D42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A1B913">
            <w:pPr>
              <w:jc w:val="right"/>
              <w:rPr>
                <w:rFonts w:hint="default" w:ascii="Times New Roman" w:hAnsi="Times New Roman" w:eastAsia="宋体" w:cs="Times New Roman"/>
                <w:i w:val="0"/>
                <w:iCs w:val="0"/>
                <w:color w:val="000000"/>
                <w:sz w:val="20"/>
                <w:szCs w:val="20"/>
                <w:highlight w:val="none"/>
                <w:u w:val="none"/>
              </w:rPr>
            </w:pPr>
          </w:p>
        </w:tc>
      </w:tr>
      <w:tr w14:paraId="6F374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D38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B3D8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CF17F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gridSpan w:val="2"/>
            <w:tcBorders>
              <w:top w:val="nil"/>
              <w:left w:val="nil"/>
              <w:bottom w:val="single" w:color="000000" w:sz="4" w:space="0"/>
              <w:right w:val="single" w:color="000000" w:sz="4" w:space="0"/>
            </w:tcBorders>
            <w:noWrap/>
            <w:vAlign w:val="center"/>
          </w:tcPr>
          <w:p w14:paraId="0F5C80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tcBorders>
              <w:top w:val="nil"/>
              <w:left w:val="nil"/>
              <w:bottom w:val="single" w:color="000000" w:sz="4" w:space="0"/>
              <w:right w:val="single" w:color="000000" w:sz="4" w:space="0"/>
            </w:tcBorders>
            <w:noWrap/>
            <w:vAlign w:val="center"/>
          </w:tcPr>
          <w:p w14:paraId="2445A1F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0BF39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2BE7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EF7529">
            <w:pPr>
              <w:jc w:val="right"/>
              <w:rPr>
                <w:rFonts w:hint="default" w:ascii="Times New Roman" w:hAnsi="Times New Roman" w:eastAsia="宋体" w:cs="Times New Roman"/>
                <w:i w:val="0"/>
                <w:iCs w:val="0"/>
                <w:color w:val="000000"/>
                <w:sz w:val="20"/>
                <w:szCs w:val="20"/>
                <w:highlight w:val="none"/>
                <w:u w:val="none"/>
              </w:rPr>
            </w:pPr>
          </w:p>
        </w:tc>
      </w:tr>
      <w:tr w14:paraId="6F9B0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752F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522F2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33BA2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gridSpan w:val="2"/>
            <w:tcBorders>
              <w:top w:val="nil"/>
              <w:left w:val="nil"/>
              <w:bottom w:val="single" w:color="000000" w:sz="4" w:space="0"/>
              <w:right w:val="single" w:color="000000" w:sz="4" w:space="0"/>
            </w:tcBorders>
            <w:noWrap/>
            <w:vAlign w:val="center"/>
          </w:tcPr>
          <w:p w14:paraId="24E8C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tcBorders>
              <w:top w:val="nil"/>
              <w:left w:val="nil"/>
              <w:bottom w:val="single" w:color="000000" w:sz="4" w:space="0"/>
              <w:right w:val="single" w:color="000000" w:sz="4" w:space="0"/>
            </w:tcBorders>
            <w:noWrap/>
            <w:vAlign w:val="center"/>
          </w:tcPr>
          <w:p w14:paraId="28266ED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F212B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8586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ECAA29">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部门：行唐县口头镇人民政府</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829.98</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829.98</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67.87</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67.87</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35.60</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35.60</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694.61</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694.61</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47.26</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47.26</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1,675.32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编制部门：行唐县口头镇人民政府</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910.35</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764.97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r>
      <w:tr w14:paraId="6830A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9FAC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B931A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90E3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70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218" w:type="pct"/>
            <w:tcBorders>
              <w:top w:val="single" w:color="auto" w:sz="4" w:space="0"/>
              <w:left w:val="single" w:color="auto" w:sz="4" w:space="0"/>
              <w:bottom w:val="single" w:color="auto" w:sz="4" w:space="0"/>
              <w:right w:val="single" w:color="auto" w:sz="4" w:space="0"/>
            </w:tcBorders>
            <w:noWrap/>
            <w:vAlign w:val="center"/>
          </w:tcPr>
          <w:p w14:paraId="25F63D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r>
      <w:tr w14:paraId="763D7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130B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9CAEF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759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F52B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218" w:type="pct"/>
            <w:tcBorders>
              <w:top w:val="single" w:color="auto" w:sz="4" w:space="0"/>
              <w:left w:val="single" w:color="auto" w:sz="4" w:space="0"/>
              <w:bottom w:val="single" w:color="auto" w:sz="4" w:space="0"/>
              <w:right w:val="single" w:color="auto" w:sz="4" w:space="0"/>
            </w:tcBorders>
            <w:noWrap/>
            <w:vAlign w:val="center"/>
          </w:tcPr>
          <w:p w14:paraId="2B348218">
            <w:pPr>
              <w:jc w:val="right"/>
              <w:rPr>
                <w:rFonts w:hint="default" w:ascii="Times New Roman" w:hAnsi="Times New Roman" w:eastAsia="宋体" w:cs="Times New Roman"/>
                <w:i w:val="0"/>
                <w:iCs w:val="0"/>
                <w:color w:val="000000"/>
                <w:sz w:val="20"/>
                <w:szCs w:val="20"/>
                <w:highlight w:val="none"/>
                <w:u w:val="none"/>
              </w:rPr>
            </w:pPr>
          </w:p>
        </w:tc>
      </w:tr>
      <w:tr w14:paraId="06CBD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1DC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2A5399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C06D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F627A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46D1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r>
      <w:tr w14:paraId="65532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66D8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11886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81AE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7273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1218" w:type="pct"/>
            <w:tcBorders>
              <w:top w:val="single" w:color="auto" w:sz="4" w:space="0"/>
              <w:left w:val="single" w:color="auto" w:sz="4" w:space="0"/>
              <w:bottom w:val="single" w:color="auto" w:sz="4" w:space="0"/>
              <w:right w:val="single" w:color="auto" w:sz="4" w:space="0"/>
            </w:tcBorders>
            <w:noWrap/>
            <w:vAlign w:val="center"/>
          </w:tcPr>
          <w:p w14:paraId="74767624">
            <w:pPr>
              <w:jc w:val="right"/>
              <w:rPr>
                <w:rFonts w:hint="default" w:ascii="Times New Roman" w:hAnsi="Times New Roman" w:eastAsia="宋体" w:cs="Times New Roman"/>
                <w:i w:val="0"/>
                <w:iCs w:val="0"/>
                <w:color w:val="000000"/>
                <w:sz w:val="20"/>
                <w:szCs w:val="20"/>
                <w:highlight w:val="none"/>
                <w:u w:val="none"/>
              </w:rPr>
            </w:pPr>
          </w:p>
        </w:tc>
      </w:tr>
      <w:tr w14:paraId="6BCF0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2175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C1FF1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44DF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B704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218" w:type="pct"/>
            <w:tcBorders>
              <w:top w:val="single" w:color="auto" w:sz="4" w:space="0"/>
              <w:left w:val="single" w:color="auto" w:sz="4" w:space="0"/>
              <w:bottom w:val="single" w:color="auto" w:sz="4" w:space="0"/>
              <w:right w:val="single" w:color="auto" w:sz="4" w:space="0"/>
            </w:tcBorders>
            <w:noWrap/>
            <w:vAlign w:val="center"/>
          </w:tcPr>
          <w:p w14:paraId="363FFA33">
            <w:pPr>
              <w:jc w:val="right"/>
              <w:rPr>
                <w:rFonts w:hint="default" w:ascii="Times New Roman" w:hAnsi="Times New Roman" w:eastAsia="宋体" w:cs="Times New Roman"/>
                <w:i w:val="0"/>
                <w:iCs w:val="0"/>
                <w:color w:val="000000"/>
                <w:sz w:val="20"/>
                <w:szCs w:val="20"/>
                <w:highlight w:val="none"/>
                <w:u w:val="none"/>
              </w:rPr>
            </w:pPr>
          </w:p>
        </w:tc>
      </w:tr>
      <w:tr w14:paraId="43204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BD52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92D5E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A5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1AEB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218" w:type="pct"/>
            <w:tcBorders>
              <w:top w:val="single" w:color="auto" w:sz="4" w:space="0"/>
              <w:left w:val="single" w:color="auto" w:sz="4" w:space="0"/>
              <w:bottom w:val="single" w:color="auto" w:sz="4" w:space="0"/>
              <w:right w:val="single" w:color="auto" w:sz="4" w:space="0"/>
            </w:tcBorders>
            <w:noWrap/>
            <w:vAlign w:val="center"/>
          </w:tcPr>
          <w:p w14:paraId="2C47A1AA">
            <w:pPr>
              <w:jc w:val="right"/>
              <w:rPr>
                <w:rFonts w:hint="default" w:ascii="Times New Roman" w:hAnsi="Times New Roman" w:eastAsia="宋体" w:cs="Times New Roman"/>
                <w:i w:val="0"/>
                <w:iCs w:val="0"/>
                <w:color w:val="000000"/>
                <w:sz w:val="20"/>
                <w:szCs w:val="20"/>
                <w:highlight w:val="none"/>
                <w:u w:val="none"/>
              </w:rPr>
            </w:pPr>
          </w:p>
        </w:tc>
      </w:tr>
      <w:tr w14:paraId="07788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A1BB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4A9787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FCE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49F3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1218" w:type="pct"/>
            <w:tcBorders>
              <w:top w:val="single" w:color="auto" w:sz="4" w:space="0"/>
              <w:left w:val="single" w:color="auto" w:sz="4" w:space="0"/>
              <w:bottom w:val="single" w:color="auto" w:sz="4" w:space="0"/>
              <w:right w:val="single" w:color="auto" w:sz="4" w:space="0"/>
            </w:tcBorders>
            <w:noWrap/>
            <w:vAlign w:val="center"/>
          </w:tcPr>
          <w:p w14:paraId="66983948">
            <w:pPr>
              <w:jc w:val="right"/>
              <w:rPr>
                <w:rFonts w:hint="default" w:ascii="Times New Roman" w:hAnsi="Times New Roman" w:eastAsia="宋体" w:cs="Times New Roman"/>
                <w:i w:val="0"/>
                <w:iCs w:val="0"/>
                <w:color w:val="000000"/>
                <w:sz w:val="20"/>
                <w:szCs w:val="20"/>
                <w:highlight w:val="none"/>
                <w:u w:val="none"/>
              </w:rPr>
            </w:pPr>
          </w:p>
        </w:tc>
      </w:tr>
      <w:tr w14:paraId="19897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F235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1401B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D7AE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70BF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1218" w:type="pct"/>
            <w:tcBorders>
              <w:top w:val="single" w:color="auto" w:sz="4" w:space="0"/>
              <w:left w:val="single" w:color="auto" w:sz="4" w:space="0"/>
              <w:bottom w:val="single" w:color="auto" w:sz="4" w:space="0"/>
              <w:right w:val="single" w:color="auto" w:sz="4" w:space="0"/>
            </w:tcBorders>
            <w:noWrap/>
            <w:vAlign w:val="center"/>
          </w:tcPr>
          <w:p w14:paraId="6A5EF9FA">
            <w:pPr>
              <w:jc w:val="right"/>
              <w:rPr>
                <w:rFonts w:hint="default" w:ascii="Times New Roman" w:hAnsi="Times New Roman" w:eastAsia="宋体" w:cs="Times New Roman"/>
                <w:i w:val="0"/>
                <w:iCs w:val="0"/>
                <w:color w:val="000000"/>
                <w:sz w:val="20"/>
                <w:szCs w:val="20"/>
                <w:highlight w:val="none"/>
                <w:u w:val="none"/>
              </w:rPr>
            </w:pPr>
          </w:p>
        </w:tc>
      </w:tr>
      <w:tr w14:paraId="3ECE5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779A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633941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2B7B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8082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1218" w:type="pct"/>
            <w:tcBorders>
              <w:top w:val="single" w:color="auto" w:sz="4" w:space="0"/>
              <w:left w:val="single" w:color="auto" w:sz="4" w:space="0"/>
              <w:bottom w:val="single" w:color="auto" w:sz="4" w:space="0"/>
              <w:right w:val="single" w:color="auto" w:sz="4" w:space="0"/>
            </w:tcBorders>
            <w:noWrap/>
            <w:vAlign w:val="center"/>
          </w:tcPr>
          <w:p w14:paraId="61F910EF">
            <w:pPr>
              <w:jc w:val="right"/>
              <w:rPr>
                <w:rFonts w:hint="default" w:ascii="Times New Roman" w:hAnsi="Times New Roman" w:eastAsia="宋体" w:cs="Times New Roman"/>
                <w:i w:val="0"/>
                <w:iCs w:val="0"/>
                <w:color w:val="000000"/>
                <w:sz w:val="20"/>
                <w:szCs w:val="20"/>
                <w:highlight w:val="none"/>
                <w:u w:val="none"/>
              </w:rPr>
            </w:pPr>
          </w:p>
        </w:tc>
      </w:tr>
      <w:tr w14:paraId="62232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9E46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32B26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8036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B828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218" w:type="pct"/>
            <w:tcBorders>
              <w:top w:val="single" w:color="auto" w:sz="4" w:space="0"/>
              <w:left w:val="single" w:color="auto" w:sz="4" w:space="0"/>
              <w:bottom w:val="single" w:color="auto" w:sz="4" w:space="0"/>
              <w:right w:val="single" w:color="auto" w:sz="4" w:space="0"/>
            </w:tcBorders>
            <w:noWrap/>
            <w:vAlign w:val="center"/>
          </w:tcPr>
          <w:p w14:paraId="28B424FE">
            <w:pPr>
              <w:jc w:val="right"/>
              <w:rPr>
                <w:rFonts w:hint="default" w:ascii="Times New Roman" w:hAnsi="Times New Roman" w:eastAsia="宋体" w:cs="Times New Roman"/>
                <w:i w:val="0"/>
                <w:iCs w:val="0"/>
                <w:color w:val="000000"/>
                <w:sz w:val="20"/>
                <w:szCs w:val="20"/>
                <w:highlight w:val="none"/>
                <w:u w:val="none"/>
              </w:rPr>
            </w:pPr>
          </w:p>
        </w:tc>
      </w:tr>
      <w:tr w14:paraId="77822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D9F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168C0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DC0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71C3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218" w:type="pct"/>
            <w:tcBorders>
              <w:top w:val="single" w:color="auto" w:sz="4" w:space="0"/>
              <w:left w:val="single" w:color="auto" w:sz="4" w:space="0"/>
              <w:bottom w:val="single" w:color="auto" w:sz="4" w:space="0"/>
              <w:right w:val="single" w:color="auto" w:sz="4" w:space="0"/>
            </w:tcBorders>
            <w:noWrap/>
            <w:vAlign w:val="center"/>
          </w:tcPr>
          <w:p w14:paraId="1F978275">
            <w:pPr>
              <w:jc w:val="right"/>
              <w:rPr>
                <w:rFonts w:hint="default" w:ascii="Times New Roman" w:hAnsi="Times New Roman" w:eastAsia="宋体" w:cs="Times New Roman"/>
                <w:i w:val="0"/>
                <w:iCs w:val="0"/>
                <w:color w:val="000000"/>
                <w:sz w:val="20"/>
                <w:szCs w:val="20"/>
                <w:highlight w:val="none"/>
                <w:u w:val="none"/>
              </w:rPr>
            </w:pPr>
          </w:p>
        </w:tc>
      </w:tr>
      <w:tr w14:paraId="6C4D6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B63E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981BF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9178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0A8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218" w:type="pct"/>
            <w:tcBorders>
              <w:top w:val="single" w:color="auto" w:sz="4" w:space="0"/>
              <w:left w:val="single" w:color="auto" w:sz="4" w:space="0"/>
              <w:bottom w:val="single" w:color="auto" w:sz="4" w:space="0"/>
              <w:right w:val="single" w:color="auto" w:sz="4" w:space="0"/>
            </w:tcBorders>
            <w:noWrap/>
            <w:vAlign w:val="center"/>
          </w:tcPr>
          <w:p w14:paraId="1BF10C6A">
            <w:pPr>
              <w:jc w:val="right"/>
              <w:rPr>
                <w:rFonts w:hint="default" w:ascii="Times New Roman" w:hAnsi="Times New Roman" w:eastAsia="宋体" w:cs="Times New Roman"/>
                <w:i w:val="0"/>
                <w:iCs w:val="0"/>
                <w:color w:val="000000"/>
                <w:sz w:val="20"/>
                <w:szCs w:val="20"/>
                <w:highlight w:val="none"/>
                <w:u w:val="none"/>
              </w:rPr>
            </w:pPr>
          </w:p>
        </w:tc>
      </w:tr>
      <w:tr w14:paraId="21544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99EB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3D12CA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D578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18D8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4676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r>
      <w:tr w14:paraId="297AC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C8CB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6DB6C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7B1C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DFD16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D8E5F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r>
      <w:tr w14:paraId="4E152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DD26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D19E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8D65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9C3E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56F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r>
      <w:tr w14:paraId="3104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D2DF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213FE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6B6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0B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218" w:type="pct"/>
            <w:tcBorders>
              <w:top w:val="single" w:color="auto" w:sz="4" w:space="0"/>
              <w:left w:val="single" w:color="auto" w:sz="4" w:space="0"/>
              <w:bottom w:val="single" w:color="auto" w:sz="4" w:space="0"/>
              <w:right w:val="single" w:color="auto" w:sz="4" w:space="0"/>
            </w:tcBorders>
            <w:noWrap/>
            <w:vAlign w:val="center"/>
          </w:tcPr>
          <w:p w14:paraId="1C34ED6E">
            <w:pPr>
              <w:jc w:val="right"/>
              <w:rPr>
                <w:rFonts w:hint="default" w:ascii="Times New Roman" w:hAnsi="Times New Roman" w:eastAsia="宋体" w:cs="Times New Roman"/>
                <w:i w:val="0"/>
                <w:iCs w:val="0"/>
                <w:color w:val="000000"/>
                <w:sz w:val="20"/>
                <w:szCs w:val="20"/>
                <w:highlight w:val="none"/>
                <w:u w:val="none"/>
              </w:rPr>
            </w:pPr>
          </w:p>
        </w:tc>
      </w:tr>
      <w:tr w14:paraId="45E26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0EF8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13672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FEDC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8A0B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218" w:type="pct"/>
            <w:tcBorders>
              <w:top w:val="single" w:color="auto" w:sz="4" w:space="0"/>
              <w:left w:val="single" w:color="auto" w:sz="4" w:space="0"/>
              <w:bottom w:val="single" w:color="auto" w:sz="4" w:space="0"/>
              <w:right w:val="single" w:color="auto" w:sz="4" w:space="0"/>
            </w:tcBorders>
            <w:noWrap/>
            <w:vAlign w:val="center"/>
          </w:tcPr>
          <w:p w14:paraId="192CCB16">
            <w:pPr>
              <w:jc w:val="right"/>
              <w:rPr>
                <w:rFonts w:hint="default" w:ascii="Times New Roman" w:hAnsi="Times New Roman" w:eastAsia="宋体" w:cs="Times New Roman"/>
                <w:i w:val="0"/>
                <w:iCs w:val="0"/>
                <w:color w:val="000000"/>
                <w:sz w:val="20"/>
                <w:szCs w:val="20"/>
                <w:highlight w:val="none"/>
                <w:u w:val="none"/>
              </w:rPr>
            </w:pPr>
          </w:p>
        </w:tc>
      </w:tr>
      <w:tr w14:paraId="50A53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849E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504D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56E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AF21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29F61ED">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部门：行唐县口头镇人民政府</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780.51</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74.05</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146.70</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7.34</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173.53</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58.36</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54.73</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65.23</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16.25</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35.60</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47.26</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6.01</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196.47</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55.79</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43.16</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5.58</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1.55</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6.25</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29.72</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836.30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74.05</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部门：行唐县口头镇人民政府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部门：行唐县口头镇人民政府</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部门：行唐县口头镇人民政府</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8.39</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0.59</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foot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4A4920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170BE61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FFF5C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2024年度收、支总计（含结转和结余）均为1,675.32万元。与2023年度决算相比，收支各减少636.45万元，下降27.5%，主要原因是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D8515D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FD67F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2024年度本年收入合计1,675.32万元，其中：财政拨款收入1,675.32万元，占100.0%；上级补助收入0.00万元，占0.0%；事业收入0.00万元，占0.0%；经营收入0.00万元，占0.0%；附属</w:t>
      </w:r>
      <w:r>
        <w:rPr>
          <w:rFonts w:hint="eastAsia" w:ascii="Times New Roman" w:eastAsia="仿宋_GB2312"/>
          <w:b w:val="0"/>
          <w:sz w:val="32"/>
          <w:szCs w:val="32"/>
          <w:lang w:val="en-US" w:eastAsia="zh-CN"/>
        </w:rPr>
        <w:t>部门</w:t>
      </w:r>
      <w:r>
        <w:rPr>
          <w:rFonts w:ascii="Times New Roman" w:eastAsia="仿宋_GB2312"/>
          <w:b w:val="0"/>
          <w:sz w:val="32"/>
          <w:szCs w:val="32"/>
        </w:rPr>
        <w:t>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DA5F0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B4B7C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2024年度本年支出合计1,675.32万元，其中：基本支出910.35万元，占54.3%；项目支出764.97万元，占45.7%；上缴上级支出0.00万元，占0.0%；经营支出0.00万元，占0.0%；对附属</w:t>
      </w:r>
      <w:r>
        <w:rPr>
          <w:rFonts w:hint="eastAsia" w:ascii="Times New Roman" w:eastAsia="仿宋_GB2312"/>
          <w:b w:val="0"/>
          <w:sz w:val="32"/>
          <w:szCs w:val="32"/>
          <w:lang w:val="en-US" w:eastAsia="zh-CN"/>
        </w:rPr>
        <w:t>部门</w:t>
      </w:r>
      <w:r>
        <w:rPr>
          <w:rFonts w:ascii="Times New Roman" w:eastAsia="仿宋_GB2312"/>
          <w:b w:val="0"/>
          <w:sz w:val="32"/>
          <w:szCs w:val="32"/>
        </w:rPr>
        <w:t>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75AE21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904461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4867F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2024年度财政拨款收、支总计（含结转和结余）均为1,675.32万元。与2023年度相比，财政拨款收支各减少636.45万元，降低27.5%，主要原因是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w:t>
      </w:r>
    </w:p>
    <w:p w14:paraId="3E7D7E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2024年度财政拨款本年收入1,675.32万元,比上年减少636.45万元，降低27.5%，主要原因是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；本年支出1,675.32万元，比上年减少636.45万元，降低27.5%，主要原因是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。具体情况如下：</w:t>
      </w:r>
    </w:p>
    <w:p w14:paraId="05F27C2E">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一般公共预算财政拨款本年收入1,675.32万元,比上年减少590.15万元，降低26.0%，主要原因是；本年支出1,675.32万元，比上年减少590.15万元，降低26.0%，主要原因是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w:t>
      </w:r>
    </w:p>
    <w:p w14:paraId="3DA28C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政府性基金预算财政拨款本年收入0.00万元，比上年减少46.30万元，降低100.0%，主要原因是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；本年支出0.00万元，比上年减少46.30万元，降低100.0%，主要原因是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18D8CE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w:t>
      </w:r>
      <w:r>
        <w:rPr>
          <w:rFonts w:hint="eastAsia" w:ascii="Times New Roman" w:eastAsia="仿宋_GB2312"/>
          <w:b w:val="0"/>
          <w:sz w:val="32"/>
          <w:szCs w:val="32"/>
          <w:lang w:val="en-US" w:eastAsia="zh-CN"/>
        </w:rPr>
        <w:t>与上年持平</w:t>
      </w:r>
      <w:r>
        <w:rPr>
          <w:rFonts w:ascii="Times New Roman" w:eastAsia="仿宋_GB2312"/>
          <w:b w:val="0"/>
          <w:sz w:val="32"/>
          <w:szCs w:val="32"/>
        </w:rPr>
        <w:t>。</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6700DC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9F493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财政拨款本年收入1,675.32万元，完成年初预算的95.8%，比年初预算减少74.03万元，决算数小于预算数主要原因是；本年支出1,675.32万元，完成年初预算的95.8%，比年初预算减少74.03万元，决算数小于预算数主要原因是</w:t>
      </w:r>
      <w:r>
        <w:rPr>
          <w:rFonts w:hint="eastAsia" w:ascii="Times New Roman" w:eastAsia="仿宋_GB2312"/>
          <w:b w:val="0"/>
          <w:sz w:val="32"/>
          <w:szCs w:val="32"/>
          <w:lang w:eastAsia="zh-CN"/>
        </w:rPr>
        <w:t>项目减少</w:t>
      </w:r>
      <w:r>
        <w:rPr>
          <w:rFonts w:ascii="Times New Roman" w:eastAsia="仿宋_GB2312"/>
          <w:b w:val="0"/>
          <w:sz w:val="32"/>
          <w:szCs w:val="32"/>
        </w:rPr>
        <w:t>。具体情况如下：</w:t>
      </w:r>
    </w:p>
    <w:p w14:paraId="04E943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一般公共预算财政拨款本年收入完成年初预算的95.8%，比年初预算减少74.03万元，主要原因是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；支出完成年初预算的95.8%，比年初预算减少74.03万元，主要原因是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4F1B9C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w:t>
      </w:r>
      <w:r>
        <w:rPr>
          <w:rFonts w:hint="eastAsia" w:ascii="Times New Roman" w:eastAsia="仿宋_GB2312"/>
          <w:b w:val="0"/>
          <w:sz w:val="32"/>
          <w:szCs w:val="32"/>
          <w:lang w:val="en-US" w:eastAsia="zh-CN"/>
        </w:rPr>
        <w:t>与年初预算持平</w:t>
      </w:r>
      <w:r>
        <w:rPr>
          <w:rFonts w:ascii="Times New Roman" w:eastAsia="仿宋_GB2312"/>
          <w:b w:val="0"/>
          <w:sz w:val="32"/>
          <w:szCs w:val="32"/>
        </w:rPr>
        <w:t>。</w:t>
      </w:r>
    </w:p>
    <w:p w14:paraId="778962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hint="eastAsia" w:ascii="Times New Roman" w:eastAsia="仿宋_GB2312"/>
          <w:b w:val="0"/>
          <w:sz w:val="32"/>
          <w:szCs w:val="32"/>
          <w:lang w:val="en-US" w:eastAsia="zh-CN"/>
        </w:rPr>
        <w:t>与年初预算持平</w:t>
      </w:r>
      <w:r>
        <w:rPr>
          <w:rFonts w:ascii="Times New Roman" w:eastAsia="仿宋_GB2312"/>
          <w:b w:val="0"/>
          <w:sz w:val="32"/>
          <w:szCs w:val="32"/>
        </w:rPr>
        <w:t>。</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E8760A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861F3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2024年度财政拨款支出1,675.32万元，主要用于以下方面：</w:t>
      </w:r>
    </w:p>
    <w:p w14:paraId="6818F7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500DC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一般公共服务（类）支出829.98万元，占49.5%；；社会保障和就业 （类）支出67.87万元，占4.1%，主要用于等支出；卫生健康（类）支出35.60万元，占2.1%，主要用于等支出；农林水（类）支出694.61万元，占41.5%，主要用于等支出；住房保障（类）支出47.26万元，占2.8%，主要用于等支出。</w:t>
      </w:r>
    </w:p>
    <w:p w14:paraId="5C1EF9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hint="eastAsia" w:ascii="Times New Roman" w:eastAsia="仿宋_GB2312"/>
          <w:b/>
          <w:sz w:val="32"/>
          <w:szCs w:val="32"/>
          <w:lang w:val="en-US" w:eastAsia="zh-CN"/>
        </w:rPr>
        <w:t>无</w:t>
      </w:r>
      <w:r>
        <w:rPr>
          <w:rFonts w:ascii="Times New Roman" w:eastAsia="仿宋_GB2312"/>
          <w:b/>
          <w:sz w:val="32"/>
          <w:szCs w:val="32"/>
        </w:rPr>
        <w:t>政府性基金预算财政拨款支出：</w:t>
      </w:r>
    </w:p>
    <w:p w14:paraId="0B5F33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hint="eastAsia" w:ascii="Times New Roman" w:eastAsia="仿宋_GB2312"/>
          <w:b/>
          <w:sz w:val="32"/>
          <w:szCs w:val="32"/>
          <w:lang w:val="en-US" w:eastAsia="zh-CN"/>
        </w:rPr>
        <w:t>无</w:t>
      </w:r>
      <w:r>
        <w:rPr>
          <w:rFonts w:ascii="Times New Roman" w:eastAsia="仿宋_GB2312"/>
          <w:b/>
          <w:sz w:val="32"/>
          <w:szCs w:val="32"/>
        </w:rPr>
        <w:t>国有资本经营预算财政拨款支出：</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BCFE67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90566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2024年度财政拨款基本支出910.35万元，其中：</w:t>
      </w:r>
    </w:p>
    <w:p w14:paraId="75565A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836.30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BA802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公用经费74.05万元，主要包括办公费、印刷费、咨询费、手续费、水费、电费、邮电费、取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EFB8EE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0A55FA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01FA2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2024年度“三公”经费财政拨款支出预算为8.39万元，支出决算为6.25万元，完成预算的74.5%，较预算减少2.14万元，降低25.5%，主要原因是</w:t>
      </w:r>
      <w:r>
        <w:rPr>
          <w:rFonts w:hint="eastAsia" w:ascii="Times New Roman" w:eastAsia="仿宋_GB2312"/>
          <w:b w:val="0"/>
          <w:sz w:val="32"/>
          <w:szCs w:val="32"/>
          <w:lang w:val="en-US" w:eastAsia="zh-CN"/>
        </w:rPr>
        <w:t>减少公务接待费</w:t>
      </w:r>
      <w:r>
        <w:rPr>
          <w:rFonts w:ascii="Times New Roman" w:eastAsia="仿宋_GB2312"/>
          <w:b w:val="0"/>
          <w:sz w:val="32"/>
          <w:szCs w:val="32"/>
        </w:rPr>
        <w:t>；较2023年度决算减少6.95万元，降低52.7%，主要原因是</w:t>
      </w:r>
      <w:r>
        <w:rPr>
          <w:rFonts w:hint="eastAsia" w:ascii="仿宋_GB2312" w:hAnsi="Times New Roman" w:eastAsia="仿宋_GB2312" w:cs="DengXian-Regular"/>
          <w:sz w:val="32"/>
          <w:szCs w:val="32"/>
        </w:rPr>
        <w:t>公车运行维护费</w:t>
      </w:r>
      <w:r>
        <w:rPr>
          <w:rFonts w:ascii="Times New Roman" w:eastAsia="仿宋_GB2312"/>
          <w:b w:val="0"/>
          <w:sz w:val="32"/>
          <w:szCs w:val="32"/>
        </w:rPr>
        <w:t>。</w:t>
      </w:r>
    </w:p>
    <w:p w14:paraId="5DEB0FD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EC551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6F5858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2024年度公务用车购置及运行维护费预算为7.80万元，支出决算6.25万元，完成预算的80.1%,较预算减少1.55万元，降低19.9%,主要原因是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；较上年减少6.95万元，降低52.7%,主要原因是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。其中：</w:t>
      </w:r>
    </w:p>
    <w:p w14:paraId="2C06C44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2024年度公务用车购置量0辆，发生“公务用车购置”经费支出0.00万元。公务用车购置费支出较预算增加0.00万元，</w:t>
      </w:r>
      <w:r>
        <w:rPr>
          <w:rFonts w:ascii="Times New Roman" w:hAnsi="Times New Roman" w:eastAsia="仿宋_GB2312"/>
          <w:kern w:val="2"/>
          <w:sz w:val="32"/>
          <w:szCs w:val="32"/>
          <w:lang w:val="zh-CN"/>
        </w:rPr>
        <w:t>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较上年</w:t>
      </w:r>
      <w:r>
        <w:rPr>
          <w:rFonts w:hint="eastAsia" w:ascii="Times New Roman" w:hAnsi="Times New Roman" w:eastAsia="仿宋_GB2312"/>
          <w:kern w:val="2"/>
          <w:sz w:val="32"/>
          <w:szCs w:val="32"/>
          <w:lang w:val="zh-CN"/>
        </w:rPr>
        <w:t>持平</w:t>
      </w:r>
      <w:r>
        <w:rPr>
          <w:rFonts w:ascii="Times New Roman" w:eastAsia="仿宋_GB2312"/>
          <w:b w:val="0"/>
          <w:sz w:val="32"/>
          <w:szCs w:val="32"/>
        </w:rPr>
        <w:t>。</w:t>
      </w:r>
    </w:p>
    <w:p w14:paraId="7AD3F0B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公务用车运行维护费支出6.25万元：</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w:t>
      </w:r>
      <w:r>
        <w:rPr>
          <w:rFonts w:hint="eastAsia" w:ascii="Times New Roman" w:eastAsia="仿宋_GB2312"/>
          <w:b w:val="0"/>
          <w:sz w:val="32"/>
          <w:szCs w:val="32"/>
          <w:lang w:val="en-US" w:eastAsia="zh-CN"/>
        </w:rPr>
        <w:t>部门</w:t>
      </w:r>
      <w:r>
        <w:rPr>
          <w:rFonts w:ascii="Times New Roman" w:eastAsia="仿宋_GB2312"/>
          <w:b w:val="0"/>
          <w:sz w:val="32"/>
          <w:szCs w:val="32"/>
        </w:rPr>
        <w:t>公务用车保有量4辆，发生运行维护费支出6.25万元。公车运行维护费支出较预算减少1.55万元，降低19.9%,主要原因是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；较上年减少6.95万元，降低52.7%，主要原因是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w:t>
      </w:r>
    </w:p>
    <w:p w14:paraId="03F0B9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2024年度公务接待费支出预算为0.59万元，支出决算0.00万元，完成预算的0.0%。公务接待费支出较预算减少0.59万元，降低100.0%；较上年度增加0.00万元，增长0.00%,主要原因是</w:t>
      </w:r>
      <w:r>
        <w:rPr>
          <w:rFonts w:hint="eastAsia" w:ascii="仿宋_GB2312" w:hAnsi="Times New Roman" w:eastAsia="仿宋_GB2312" w:cs="Wingdings"/>
          <w:sz w:val="32"/>
          <w:szCs w:val="32"/>
        </w:rPr>
        <w:t>未发生公务接待费用</w:t>
      </w:r>
      <w:r>
        <w:rPr>
          <w:rFonts w:ascii="Times New Roman" w:eastAsia="仿宋_GB2312"/>
          <w:b w:val="0"/>
          <w:sz w:val="32"/>
          <w:szCs w:val="32"/>
        </w:rPr>
        <w:t>。本年度共发生公务接待0批次、0人次。</w:t>
      </w:r>
    </w:p>
    <w:p w14:paraId="1FF86DB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39C9A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2024年度机关运行经费支出74.05万元，较2023年度减少44.41万元，降低37.5%。主要原因是</w:t>
      </w:r>
      <w:r>
        <w:rPr>
          <w:rFonts w:hint="eastAsia" w:ascii="Times New Roman" w:hAnsi="Times New Roman" w:eastAsia="仿宋_GB2312"/>
          <w:kern w:val="2"/>
          <w:sz w:val="32"/>
          <w:szCs w:val="32"/>
        </w:rPr>
        <w:t>厉行节约减少支出</w:t>
      </w:r>
      <w:r>
        <w:rPr>
          <w:rFonts w:ascii="Times New Roman" w:eastAsia="仿宋_GB2312"/>
          <w:b w:val="0"/>
          <w:sz w:val="32"/>
          <w:szCs w:val="32"/>
        </w:rPr>
        <w:t>。</w:t>
      </w:r>
    </w:p>
    <w:p w14:paraId="41FD9C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2C2D6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政府采购支出总额82.84万元，从采购类型来看，政府采购货物支出0.00万元、政府采购工程支出82.84万元、政府采购服务支出0.00万元。授予中小企业合同金额82.84万元，占政府采购支出总额的100.0%，其中授予小微企业合同金额82.84万元，占政府采购支出总额的100.0%。</w:t>
      </w:r>
    </w:p>
    <w:p w14:paraId="6C29AE4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DD673F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val="en-US" w:eastAsia="zh-CN"/>
        </w:rPr>
        <w:t>部门</w:t>
      </w:r>
      <w:r>
        <w:rPr>
          <w:rFonts w:ascii="Times New Roman" w:eastAsia="仿宋_GB2312"/>
          <w:b w:val="0"/>
          <w:sz w:val="32"/>
          <w:szCs w:val="32"/>
        </w:rPr>
        <w:t>共有车辆5辆，比上年增加0辆，主要是。其中，副部（省）级及以上领导用车0辆，主要负责人用车0辆，机要通信用车0辆，应急保障用车0辆，执法执勤用车0辆，特种专业技术用车5辆，离退休干部用车0辆，其他用车0辆，其他用车主要是。</w:t>
      </w:r>
      <w:r>
        <w:rPr>
          <w:rFonts w:hint="eastAsia" w:ascii="Times New Roman" w:eastAsia="仿宋_GB2312"/>
          <w:b w:val="0"/>
          <w:sz w:val="32"/>
          <w:szCs w:val="32"/>
          <w:lang w:val="en-US" w:eastAsia="zh-CN"/>
        </w:rPr>
        <w:t>部门</w:t>
      </w:r>
      <w:r>
        <w:rPr>
          <w:rFonts w:ascii="Times New Roman" w:eastAsia="仿宋_GB2312"/>
          <w:b w:val="0"/>
          <w:sz w:val="32"/>
          <w:szCs w:val="32"/>
        </w:rPr>
        <w:t>价值100万元（含）以上设备（不含车辆）0台（套）。</w:t>
      </w:r>
    </w:p>
    <w:p w14:paraId="3D92638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3F778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C80BE8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根据预算绩效管理要求，本</w:t>
      </w:r>
      <w:r>
        <w:rPr>
          <w:rFonts w:hint="eastAsia" w:ascii="Times New Roman" w:eastAsia="仿宋_GB2312"/>
          <w:b w:val="0"/>
          <w:sz w:val="32"/>
          <w:szCs w:val="32"/>
          <w:lang w:val="en-US" w:eastAsia="zh-CN"/>
        </w:rPr>
        <w:t>部门</w:t>
      </w:r>
      <w:r>
        <w:rPr>
          <w:rFonts w:ascii="Times New Roman" w:eastAsia="仿宋_GB2312"/>
          <w:b w:val="0"/>
          <w:sz w:val="32"/>
          <w:szCs w:val="32"/>
        </w:rPr>
        <w:t>组织对2024年度</w:t>
      </w:r>
      <w:r>
        <w:rPr>
          <w:rFonts w:hint="eastAsia" w:ascii="Times New Roman" w:eastAsia="仿宋_GB2312"/>
          <w:b w:val="0"/>
          <w:sz w:val="32"/>
          <w:szCs w:val="32"/>
          <w:lang w:val="en-US" w:eastAsia="zh-CN"/>
        </w:rPr>
        <w:t>部门</w:t>
      </w:r>
      <w:r>
        <w:rPr>
          <w:rFonts w:ascii="Times New Roman" w:eastAsia="仿宋_GB2312"/>
          <w:b w:val="0"/>
          <w:sz w:val="32"/>
          <w:szCs w:val="32"/>
        </w:rPr>
        <w:t>预算项目支出全面开展绩效自评，共涉及资金</w:t>
      </w:r>
      <w:r>
        <w:rPr>
          <w:rFonts w:hint="eastAsia" w:ascii="Times New Roman" w:eastAsia="仿宋_GB2312"/>
          <w:b w:val="0"/>
          <w:sz w:val="32"/>
          <w:szCs w:val="32"/>
          <w:lang w:val="en-US" w:eastAsia="zh-CN"/>
        </w:rPr>
        <w:t>764.973</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10</w:t>
      </w:r>
      <w:r>
        <w:rPr>
          <w:rFonts w:ascii="Times New Roman" w:eastAsia="仿宋_GB2312"/>
          <w:b w:val="0"/>
          <w:sz w:val="32"/>
          <w:szCs w:val="32"/>
        </w:rPr>
        <w:t>个，涉及资金</w:t>
      </w:r>
      <w:r>
        <w:rPr>
          <w:rFonts w:hint="eastAsia" w:ascii="Times New Roman" w:eastAsia="仿宋_GB2312"/>
          <w:b w:val="0"/>
          <w:sz w:val="32"/>
          <w:szCs w:val="32"/>
          <w:lang w:val="en-US" w:eastAsia="zh-CN"/>
        </w:rPr>
        <w:t>764.973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r>
        <w:rPr>
          <w:rFonts w:ascii="Times New Roman" w:eastAsia="仿宋_GB2312"/>
          <w:b w:val="0"/>
          <w:sz w:val="32"/>
          <w:szCs w:val="32"/>
        </w:rPr>
        <w:t>从评价情况来看，</w:t>
      </w:r>
      <w:r>
        <w:rPr>
          <w:rFonts w:hint="eastAsia" w:ascii="Times New Roman" w:eastAsia="仿宋_GB2312"/>
          <w:b w:val="0"/>
          <w:sz w:val="32"/>
          <w:szCs w:val="32"/>
        </w:rPr>
        <w:t>各个项目绩效评价结果均在良好以上</w:t>
      </w:r>
      <w:r>
        <w:rPr>
          <w:rFonts w:hint="eastAsia" w:ascii="Times New Roman" w:eastAsia="仿宋_GB2312"/>
          <w:b w:val="0"/>
          <w:sz w:val="32"/>
          <w:szCs w:val="32"/>
          <w:lang w:eastAsia="zh-CN"/>
        </w:rPr>
        <w:t>。</w:t>
      </w:r>
    </w:p>
    <w:p w14:paraId="520D2F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0F5FB0D1">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仿宋_GB2312" w:hAnsi="仿宋_GB2312" w:eastAsia="仿宋_GB2312" w:cs="仿宋_GB2312"/>
          <w:sz w:val="32"/>
          <w:szCs w:val="32"/>
        </w:rPr>
        <w:t>村级组织办公经费</w:t>
      </w:r>
      <w:r>
        <w:rPr>
          <w:rFonts w:hint="eastAsia" w:ascii="仿宋_GB2312" w:hAnsi="仿宋_GB2312" w:eastAsia="仿宋_GB2312" w:cs="仿宋_GB2312"/>
          <w:sz w:val="32"/>
          <w:szCs w:val="32"/>
          <w:lang w:eastAsia="zh-CN"/>
        </w:rPr>
        <w:t>、村党组织活动经费、服务群众专项经费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3</w:t>
      </w:r>
      <w:r>
        <w:rPr>
          <w:rFonts w:ascii="Times New Roman" w:hAnsi="Times New Roman" w:eastAsia="仿宋_GB2312"/>
          <w:kern w:val="2"/>
          <w:sz w:val="32"/>
          <w:szCs w:val="32"/>
          <w:lang w:val="zh-CN"/>
        </w:rPr>
        <w:t>个项目绩效自评结果</w:t>
      </w:r>
      <w:r>
        <w:rPr>
          <w:rFonts w:hint="eastAsia" w:ascii="Times New Roman" w:hAnsi="Times New Roman" w:eastAsia="仿宋_GB2312"/>
          <w:kern w:val="2"/>
          <w:sz w:val="32"/>
          <w:szCs w:val="32"/>
          <w:lang w:val="zh-CN"/>
        </w:rPr>
        <w:t>情况：</w:t>
      </w:r>
    </w:p>
    <w:p w14:paraId="5AC40B26">
      <w:pPr>
        <w:widowControl/>
        <w:spacing w:before="0" w:beforeLines="0" w:beforeAutospacing="0" w:after="0" w:afterLines="0" w:afterAutospacing="0" w:line="360" w:lineRule="auto"/>
        <w:ind w:firstLine="640" w:firstLineChars="200"/>
        <w:jc w:val="left"/>
        <w:rPr>
          <w:rFonts w:ascii="Times New Roman" w:eastAsia="仿宋_GB2312"/>
          <w:b/>
          <w:sz w:val="32"/>
          <w:szCs w:val="32"/>
        </w:rPr>
      </w:pPr>
      <w:r>
        <w:rPr>
          <w:rFonts w:hint="eastAsia" w:ascii="Times New Roman" w:eastAsia="仿宋_GB2312" w:cs="宋体" w:hAnsiTheme="minorHAnsi"/>
          <w:b w:val="0"/>
          <w:color w:val="auto"/>
          <w:kern w:val="0"/>
          <w:sz w:val="32"/>
          <w:szCs w:val="32"/>
          <w:lang w:val="en-US" w:eastAsia="zh-CN" w:bidi="ar"/>
        </w:rPr>
        <w:t>村级组织办公经费、村党组织活动经费、服务群众专项经费</w:t>
      </w:r>
      <w:r>
        <w:rPr>
          <w:rFonts w:ascii="Times New Roman" w:eastAsia="仿宋_GB2312" w:cs="宋体" w:hAnsiTheme="minorHAnsi"/>
          <w:b w:val="0"/>
          <w:color w:val="auto"/>
          <w:kern w:val="0"/>
          <w:sz w:val="32"/>
          <w:szCs w:val="32"/>
          <w:lang w:val="zh-CN" w:eastAsia="zh-CN" w:bidi="ar"/>
        </w:rPr>
        <w:t>项目</w:t>
      </w:r>
      <w:r>
        <w:rPr>
          <w:rFonts w:ascii="Times New Roman" w:eastAsia="仿宋_GB2312" w:cs="宋体" w:hAnsiTheme="minorHAnsi"/>
          <w:b w:val="0"/>
          <w:color w:val="auto"/>
          <w:kern w:val="0"/>
          <w:sz w:val="32"/>
          <w:szCs w:val="32"/>
          <w:lang w:val="en-US" w:eastAsia="zh-CN" w:bidi="ar"/>
        </w:rPr>
        <w:t>项目绩效自评情况：根据年初设定的绩效目标，</w:t>
      </w:r>
      <w:r>
        <w:rPr>
          <w:rFonts w:hint="eastAsia" w:ascii="Times New Roman" w:eastAsia="仿宋_GB2312" w:cs="宋体"/>
          <w:b w:val="0"/>
          <w:color w:val="auto"/>
          <w:kern w:val="0"/>
          <w:sz w:val="32"/>
          <w:szCs w:val="32"/>
          <w:lang w:val="en-US" w:eastAsia="zh-CN" w:bidi="ar"/>
        </w:rPr>
        <w:t>3</w:t>
      </w:r>
      <w:r>
        <w:rPr>
          <w:rFonts w:hint="eastAsia" w:ascii="Times New Roman" w:eastAsia="仿宋_GB2312" w:cs="宋体" w:hAnsiTheme="minorHAnsi"/>
          <w:b w:val="0"/>
          <w:color w:val="auto"/>
          <w:kern w:val="0"/>
          <w:sz w:val="32"/>
          <w:szCs w:val="32"/>
          <w:lang w:val="en-US" w:eastAsia="zh-CN" w:bidi="ar"/>
        </w:rPr>
        <w:t>个</w:t>
      </w:r>
      <w:r>
        <w:rPr>
          <w:rFonts w:ascii="Times New Roman" w:eastAsia="仿宋_GB2312" w:cs="宋体" w:hAnsiTheme="minorHAnsi"/>
          <w:b w:val="0"/>
          <w:color w:val="auto"/>
          <w:kern w:val="0"/>
          <w:sz w:val="32"/>
          <w:szCs w:val="32"/>
          <w:lang w:val="en-US" w:eastAsia="zh-CN" w:bidi="ar"/>
        </w:rPr>
        <w:t>项目绩效自评得分为</w:t>
      </w:r>
      <w:r>
        <w:rPr>
          <w:rFonts w:hint="eastAsia" w:ascii="Times New Roman" w:eastAsia="仿宋_GB2312" w:cs="宋体"/>
          <w:b w:val="0"/>
          <w:color w:val="auto"/>
          <w:kern w:val="0"/>
          <w:sz w:val="32"/>
          <w:szCs w:val="32"/>
          <w:lang w:val="en-US" w:eastAsia="zh-CN" w:bidi="ar"/>
        </w:rPr>
        <w:t>100</w:t>
      </w:r>
      <w:r>
        <w:rPr>
          <w:rFonts w:ascii="Times New Roman" w:eastAsia="仿宋_GB2312" w:cs="宋体" w:hAnsiTheme="minorHAnsi"/>
          <w:b w:val="0"/>
          <w:color w:val="auto"/>
          <w:kern w:val="0"/>
          <w:sz w:val="32"/>
          <w:szCs w:val="32"/>
          <w:lang w:val="en-US" w:eastAsia="zh-CN" w:bidi="ar"/>
        </w:rPr>
        <w:t>分（绩效自评表附后）。</w:t>
      </w:r>
      <w:r>
        <w:rPr>
          <w:rFonts w:hint="eastAsia" w:ascii="Times New Roman" w:eastAsia="仿宋_GB2312" w:cs="宋体" w:hAnsiTheme="minorHAnsi"/>
          <w:b w:val="0"/>
          <w:color w:val="auto"/>
          <w:kern w:val="0"/>
          <w:sz w:val="32"/>
          <w:szCs w:val="32"/>
          <w:lang w:val="en-US" w:eastAsia="zh-CN" w:bidi="ar"/>
        </w:rPr>
        <w:t xml:space="preserve">全年预算数为 </w:t>
      </w:r>
      <w:r>
        <w:rPr>
          <w:rFonts w:hint="eastAsia" w:ascii="Times New Roman" w:eastAsia="仿宋_GB2312" w:cs="宋体"/>
          <w:b w:val="0"/>
          <w:color w:val="auto"/>
          <w:kern w:val="0"/>
          <w:sz w:val="32"/>
          <w:szCs w:val="32"/>
          <w:lang w:val="en-US" w:eastAsia="zh-CN" w:bidi="ar"/>
        </w:rPr>
        <w:t>339.79</w:t>
      </w:r>
      <w:r>
        <w:rPr>
          <w:rFonts w:hint="eastAsia" w:ascii="Times New Roman" w:eastAsia="仿宋_GB2312" w:cs="宋体" w:hAnsiTheme="minorHAnsi"/>
          <w:b w:val="0"/>
          <w:color w:val="auto"/>
          <w:kern w:val="0"/>
          <w:sz w:val="32"/>
          <w:szCs w:val="32"/>
          <w:lang w:val="en-US" w:eastAsia="zh-CN" w:bidi="ar"/>
        </w:rPr>
        <w:t xml:space="preserve"> 万元，执行数为</w:t>
      </w:r>
      <w:r>
        <w:rPr>
          <w:rFonts w:hint="eastAsia" w:ascii="Times New Roman" w:eastAsia="仿宋_GB2312" w:cs="宋体"/>
          <w:b w:val="0"/>
          <w:color w:val="auto"/>
          <w:kern w:val="0"/>
          <w:sz w:val="32"/>
          <w:szCs w:val="32"/>
          <w:lang w:val="en-US" w:eastAsia="zh-CN" w:bidi="ar"/>
        </w:rPr>
        <w:t>339.79</w:t>
      </w:r>
      <w:r>
        <w:rPr>
          <w:rFonts w:hint="eastAsia" w:ascii="Times New Roman" w:eastAsia="仿宋_GB2312" w:cs="宋体" w:hAnsiTheme="minorHAnsi"/>
          <w:b w:val="0"/>
          <w:color w:val="auto"/>
          <w:kern w:val="0"/>
          <w:sz w:val="32"/>
          <w:szCs w:val="32"/>
          <w:lang w:val="en-US" w:eastAsia="zh-CN" w:bidi="ar"/>
        </w:rPr>
        <w:t>万元，完成预算的 100%。项目绩效目标完成情况：2024年我乡项目绩</w:t>
      </w:r>
      <w:r>
        <w:rPr>
          <w:rFonts w:hint="eastAsia" w:eastAsia="仿宋" w:cs="仿宋"/>
          <w:sz w:val="32"/>
          <w:szCs w:val="32"/>
        </w:rPr>
        <w:t>效目标明确，资金到位及时，项目实施过程中严格按照有关项目管理和资金管理的规定执行，全年绩效整体完成率较好，</w:t>
      </w:r>
      <w:r>
        <w:rPr>
          <w:rFonts w:hint="eastAsia" w:ascii="Times New Roman" w:eastAsia="仿宋_GB2312"/>
          <w:b w:val="0"/>
          <w:sz w:val="32"/>
          <w:szCs w:val="32"/>
          <w:lang w:val="en-US" w:eastAsia="zh-CN"/>
        </w:rPr>
        <w:t>项目效果：</w:t>
      </w:r>
      <w:r>
        <w:rPr>
          <w:rFonts w:hint="eastAsia" w:eastAsia="仿宋" w:cs="仿宋"/>
          <w:sz w:val="32"/>
          <w:szCs w:val="32"/>
        </w:rPr>
        <w:t>调动了村级干部干事创业积极性</w:t>
      </w:r>
      <w:r>
        <w:rPr>
          <w:rFonts w:hint="eastAsia" w:eastAsia="仿宋" w:cs="仿宋"/>
          <w:sz w:val="32"/>
          <w:szCs w:val="32"/>
          <w:lang w:eastAsia="zh-CN"/>
        </w:rPr>
        <w:t>，</w:t>
      </w:r>
      <w:r>
        <w:rPr>
          <w:rFonts w:hint="eastAsia" w:eastAsia="仿宋" w:cs="仿宋"/>
          <w:sz w:val="32"/>
          <w:szCs w:val="32"/>
        </w:rPr>
        <w:t>提高了工作效率，最大限度为民排忧解难，带领群众脱贫致富。</w:t>
      </w:r>
    </w:p>
    <w:p w14:paraId="21D2EF6A">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drawing>
          <wp:inline distT="0" distB="0" distL="114300" distR="114300">
            <wp:extent cx="5162550" cy="7277100"/>
            <wp:effectExtent l="0" t="0" r="3810" b="7620"/>
            <wp:docPr id="8" name="图片 8" descr="987884a8d1334535c006479c69199c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87884a8d1334535c006479c69199c03"/>
                    <pic:cNvPicPr>
                      <a:picLocks noChangeAspect="1"/>
                    </pic:cNvPicPr>
                  </pic:nvPicPr>
                  <pic:blipFill>
                    <a:blip r:embed="rId19"/>
                    <a:stretch>
                      <a:fillRect/>
                    </a:stretch>
                  </pic:blipFill>
                  <pic:spPr>
                    <a:xfrm>
                      <a:off x="0" y="0"/>
                      <a:ext cx="5162550" cy="7277100"/>
                    </a:xfrm>
                    <a:prstGeom prst="rect">
                      <a:avLst/>
                    </a:prstGeom>
                  </pic:spPr>
                </pic:pic>
              </a:graphicData>
            </a:graphic>
          </wp:inline>
        </w:drawing>
      </w:r>
      <w:r>
        <w:rPr>
          <w:rFonts w:ascii="Times New Roman" w:eastAsia="仿宋_GB2312"/>
          <w:b/>
          <w:sz w:val="32"/>
          <w:szCs w:val="32"/>
        </w:rPr>
        <w:drawing>
          <wp:inline distT="0" distB="0" distL="114300" distR="114300">
            <wp:extent cx="5527675" cy="8022590"/>
            <wp:effectExtent l="0" t="0" r="4445" b="8890"/>
            <wp:docPr id="6" name="图片 6" descr="17364f77fce6aeebe168e8c0cde4c3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364f77fce6aeebe168e8c0cde4c3fa"/>
                    <pic:cNvPicPr>
                      <a:picLocks noChangeAspect="1"/>
                    </pic:cNvPicPr>
                  </pic:nvPicPr>
                  <pic:blipFill>
                    <a:blip r:embed="rId20"/>
                    <a:stretch>
                      <a:fillRect/>
                    </a:stretch>
                  </pic:blipFill>
                  <pic:spPr>
                    <a:xfrm>
                      <a:off x="0" y="0"/>
                      <a:ext cx="5527675" cy="8022590"/>
                    </a:xfrm>
                    <a:prstGeom prst="rect">
                      <a:avLst/>
                    </a:prstGeom>
                  </pic:spPr>
                </pic:pic>
              </a:graphicData>
            </a:graphic>
          </wp:inline>
        </w:drawing>
      </w:r>
      <w:r>
        <w:rPr>
          <w:rFonts w:ascii="Times New Roman" w:eastAsia="仿宋_GB2312"/>
          <w:b/>
          <w:sz w:val="32"/>
          <w:szCs w:val="32"/>
        </w:rPr>
        <w:drawing>
          <wp:inline distT="0" distB="0" distL="114300" distR="114300">
            <wp:extent cx="5507355" cy="7362825"/>
            <wp:effectExtent l="0" t="0" r="9525" b="13335"/>
            <wp:docPr id="4" name="图片 4" descr="72823f4add3cbfcf624ef911fc9430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72823f4add3cbfcf624ef911fc94304e"/>
                    <pic:cNvPicPr>
                      <a:picLocks noChangeAspect="1"/>
                    </pic:cNvPicPr>
                  </pic:nvPicPr>
                  <pic:blipFill>
                    <a:blip r:embed="rId21"/>
                    <a:stretch>
                      <a:fillRect/>
                    </a:stretch>
                  </pic:blipFill>
                  <pic:spPr>
                    <a:xfrm>
                      <a:off x="0" y="0"/>
                      <a:ext cx="5507355" cy="7362825"/>
                    </a:xfrm>
                    <a:prstGeom prst="rect">
                      <a:avLst/>
                    </a:prstGeom>
                  </pic:spPr>
                </pic:pic>
              </a:graphicData>
            </a:graphic>
          </wp:inline>
        </w:drawing>
      </w:r>
    </w:p>
    <w:p w14:paraId="45162918">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4A2CB24D">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部门评价项目绩效评价结果（如有）</w:t>
      </w:r>
    </w:p>
    <w:p w14:paraId="6B89C1F8">
      <w:pPr>
        <w:adjustRightInd w:val="0"/>
        <w:snapToGrid w:val="0"/>
        <w:spacing w:line="580" w:lineRule="exact"/>
        <w:ind w:left="720" w:leftChars="300"/>
        <w:rPr>
          <w:rFonts w:ascii="Times New Roman" w:eastAsia="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年度本</w:t>
      </w:r>
      <w:r>
        <w:rPr>
          <w:rFonts w:hint="eastAsia" w:ascii="Times New Roman" w:eastAsia="仿宋_GB2312"/>
          <w:b w:val="0"/>
          <w:sz w:val="32"/>
          <w:szCs w:val="32"/>
          <w:lang w:val="en-US" w:eastAsia="zh-CN"/>
        </w:rPr>
        <w:t>部门</w:t>
      </w:r>
      <w:r>
        <w:rPr>
          <w:rFonts w:hint="eastAsia" w:ascii="仿宋_GB2312" w:hAnsi="仿宋_GB2312" w:eastAsia="仿宋_GB2312" w:cs="仿宋_GB2312"/>
          <w:color w:val="000000" w:themeColor="text1"/>
          <w:sz w:val="32"/>
          <w:szCs w:val="32"/>
          <w14:textFill>
            <w14:solidFill>
              <w14:schemeClr w14:val="tx1"/>
            </w14:solidFill>
          </w14:textFill>
        </w:rPr>
        <w:t>无财政评价项目绩效情况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14:paraId="319719C4">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24E80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val="en-US" w:eastAsia="zh-CN"/>
        </w:rPr>
        <w:t>部门</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14:paraId="63C12C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102DA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19FBA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w:t>
      </w:r>
      <w:r>
        <w:rPr>
          <w:rFonts w:hint="eastAsia" w:ascii="Times New Roman" w:eastAsia="仿宋_GB2312"/>
          <w:b w:val="0"/>
          <w:sz w:val="32"/>
          <w:szCs w:val="32"/>
          <w:lang w:val="en-US" w:eastAsia="zh-CN"/>
        </w:rPr>
        <w:t>部门</w:t>
      </w:r>
      <w:r>
        <w:rPr>
          <w:rFonts w:ascii="Times New Roman" w:eastAsia="仿宋_GB2312"/>
          <w:b w:val="0"/>
          <w:sz w:val="32"/>
          <w:szCs w:val="32"/>
        </w:rPr>
        <w:t>从同级财政部门取得的财政预算资金。</w:t>
      </w:r>
    </w:p>
    <w:p w14:paraId="2DA4C2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69953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bookmarkStart w:id="0" w:name="_GoBack"/>
      <w:bookmarkEnd w:id="0"/>
    </w:p>
    <w:p w14:paraId="1267A2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w:t>
      </w:r>
      <w:r>
        <w:rPr>
          <w:rFonts w:hint="eastAsia" w:ascii="Times New Roman" w:eastAsia="仿宋_GB2312"/>
          <w:b w:val="0"/>
          <w:sz w:val="32"/>
          <w:szCs w:val="32"/>
          <w:lang w:val="en-US" w:eastAsia="zh-CN"/>
        </w:rPr>
        <w:t>部门</w:t>
      </w:r>
      <w:r>
        <w:rPr>
          <w:rFonts w:ascii="Times New Roman" w:eastAsia="仿宋_GB2312"/>
          <w:b w:val="0"/>
          <w:sz w:val="32"/>
          <w:szCs w:val="32"/>
        </w:rPr>
        <w:t>取得的除上述收入以外的各项收入。主要是事业单位固定资产出租收入、存款利息收入等。</w:t>
      </w:r>
    </w:p>
    <w:p w14:paraId="0A713E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4D09E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w:t>
      </w:r>
      <w:r>
        <w:rPr>
          <w:rFonts w:hint="eastAsia" w:ascii="Times New Roman" w:eastAsia="仿宋_GB2312"/>
          <w:b w:val="0"/>
          <w:sz w:val="32"/>
          <w:szCs w:val="32"/>
          <w:lang w:val="en-US" w:eastAsia="zh-CN"/>
        </w:rPr>
        <w:t>部门</w:t>
      </w:r>
      <w:r>
        <w:rPr>
          <w:rFonts w:ascii="Times New Roman" w:eastAsia="仿宋_GB2312"/>
          <w:b w:val="0"/>
          <w:sz w:val="32"/>
          <w:szCs w:val="32"/>
        </w:rPr>
        <w:t>以前年度尚未完成、结转到本年仍按原规定用途继续使用的资金，或项目已完成等产生的结余资金。</w:t>
      </w:r>
    </w:p>
    <w:p w14:paraId="47086E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214C6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w:t>
      </w:r>
      <w:r>
        <w:rPr>
          <w:rFonts w:hint="eastAsia" w:ascii="Times New Roman" w:eastAsia="仿宋_GB2312"/>
          <w:b w:val="0"/>
          <w:sz w:val="32"/>
          <w:szCs w:val="32"/>
          <w:lang w:val="en-US" w:eastAsia="zh-CN"/>
        </w:rPr>
        <w:t>部门</w:t>
      </w:r>
      <w:r>
        <w:rPr>
          <w:rFonts w:ascii="Times New Roman" w:eastAsia="仿宋_GB2312"/>
          <w:b w:val="0"/>
          <w:sz w:val="32"/>
          <w:szCs w:val="32"/>
        </w:rPr>
        <w:t>按有关规定结转到下年或以后年度继续使用的资金，或项目已完成等产生的结余资金。</w:t>
      </w:r>
    </w:p>
    <w:p w14:paraId="49A17D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B173C0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34510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1891A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090AC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7EE69A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w:t>
      </w:r>
      <w:r>
        <w:rPr>
          <w:rFonts w:hint="eastAsia" w:ascii="Times New Roman" w:eastAsia="仿宋_GB2312"/>
          <w:b w:val="0"/>
          <w:sz w:val="32"/>
          <w:szCs w:val="32"/>
          <w:lang w:val="en-US" w:eastAsia="zh-CN"/>
        </w:rPr>
        <w:t>部门</w:t>
      </w:r>
      <w:r>
        <w:rPr>
          <w:rFonts w:ascii="Times New Roman" w:eastAsia="仿宋_GB2312"/>
          <w:b w:val="0"/>
          <w:sz w:val="32"/>
          <w:szCs w:val="32"/>
        </w:rPr>
        <w:t>公务出国（境）的国际旅费、国外城市间交通费、住宿费、伙食费、培训费、公杂费等支出；公务用车购置及运行费反映</w:t>
      </w:r>
      <w:r>
        <w:rPr>
          <w:rFonts w:hint="eastAsia" w:ascii="Times New Roman" w:eastAsia="仿宋_GB2312"/>
          <w:b w:val="0"/>
          <w:sz w:val="32"/>
          <w:szCs w:val="32"/>
          <w:lang w:val="en-US" w:eastAsia="zh-CN"/>
        </w:rPr>
        <w:t>部门</w:t>
      </w:r>
      <w:r>
        <w:rPr>
          <w:rFonts w:ascii="Times New Roman" w:eastAsia="仿宋_GB2312"/>
          <w:b w:val="0"/>
          <w:sz w:val="32"/>
          <w:szCs w:val="32"/>
        </w:rPr>
        <w:t>公务用车购置支出（含车辆购置税、牌照费）及按规定保留的公务用车燃料费、维修费、过桥过路费、保险费、安全奖励费用等支出；公务接待费反映</w:t>
      </w:r>
      <w:r>
        <w:rPr>
          <w:rFonts w:hint="eastAsia" w:ascii="Times New Roman" w:eastAsia="仿宋_GB2312"/>
          <w:b w:val="0"/>
          <w:sz w:val="32"/>
          <w:szCs w:val="32"/>
          <w:lang w:val="en-US" w:eastAsia="zh-CN"/>
        </w:rPr>
        <w:t>部门</w:t>
      </w:r>
      <w:r>
        <w:rPr>
          <w:rFonts w:ascii="Times New Roman" w:eastAsia="仿宋_GB2312"/>
          <w:b w:val="0"/>
          <w:sz w:val="32"/>
          <w:szCs w:val="32"/>
        </w:rPr>
        <w:t>按规定开支的各类公务接待（含外宾接待）支出。</w:t>
      </w:r>
    </w:p>
    <w:p w14:paraId="03C09F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w:t>
      </w:r>
      <w:r>
        <w:rPr>
          <w:rFonts w:hint="eastAsia" w:ascii="Times New Roman" w:eastAsia="仿宋_GB2312"/>
          <w:b w:val="0"/>
          <w:sz w:val="32"/>
          <w:szCs w:val="32"/>
          <w:lang w:val="en-US" w:eastAsia="zh-CN"/>
        </w:rPr>
        <w:t>部门</w:t>
      </w:r>
      <w:r>
        <w:rPr>
          <w:rFonts w:ascii="Times New Roman" w:eastAsia="仿宋_GB2312"/>
          <w:b w:val="0"/>
          <w:sz w:val="32"/>
          <w:szCs w:val="32"/>
        </w:rPr>
        <w:t>除公务用车运行维护费以外的其他交通费用。如公务交通补贴、租车费用、出租车费用，飞机、船舶等燃料费、维修费、保险费等。</w:t>
      </w:r>
    </w:p>
    <w:p w14:paraId="3C3AD1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w:t>
      </w:r>
      <w:r>
        <w:rPr>
          <w:rFonts w:hint="eastAsia" w:ascii="Times New Roman" w:eastAsia="仿宋_GB2312"/>
          <w:b w:val="0"/>
          <w:sz w:val="32"/>
          <w:szCs w:val="32"/>
          <w:lang w:val="en-US" w:eastAsia="zh-CN"/>
        </w:rPr>
        <w:t>部门</w:t>
      </w:r>
      <w:r>
        <w:rPr>
          <w:rFonts w:ascii="Times New Roman" w:eastAsia="仿宋_GB2312"/>
          <w:b w:val="0"/>
          <w:sz w:val="32"/>
          <w:szCs w:val="32"/>
        </w:rPr>
        <w:t>公务用车车辆购置支出（含车辆购置税、牌照费）。</w:t>
      </w:r>
    </w:p>
    <w:p w14:paraId="25DB7E6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w:t>
      </w:r>
      <w:r>
        <w:rPr>
          <w:rFonts w:hint="eastAsia" w:ascii="Times New Roman" w:eastAsia="仿宋_GB2312"/>
          <w:b w:val="0"/>
          <w:sz w:val="32"/>
          <w:szCs w:val="32"/>
          <w:lang w:val="en-US" w:eastAsia="zh-CN"/>
        </w:rPr>
        <w:t>部门</w:t>
      </w:r>
      <w:r>
        <w:rPr>
          <w:rFonts w:ascii="Times New Roman" w:eastAsia="仿宋_GB2312"/>
          <w:b w:val="0"/>
          <w:sz w:val="32"/>
          <w:szCs w:val="32"/>
        </w:rPr>
        <w:t>除公务用车外的其他各类交通工具（如船舶、飞机等）购置支出（含车辆购置税、牌照费）。</w:t>
      </w:r>
    </w:p>
    <w:p w14:paraId="373A3B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w:t>
      </w:r>
      <w:r>
        <w:rPr>
          <w:rFonts w:hint="eastAsia" w:ascii="Times New Roman" w:eastAsia="仿宋_GB2312"/>
          <w:b w:val="0"/>
          <w:sz w:val="32"/>
          <w:szCs w:val="32"/>
          <w:lang w:val="en-US" w:eastAsia="zh-CN"/>
        </w:rPr>
        <w:t>部门</w:t>
      </w:r>
      <w:r>
        <w:rPr>
          <w:rFonts w:ascii="Times New Roman" w:eastAsia="仿宋_GB2312"/>
          <w:b w:val="0"/>
          <w:sz w:val="32"/>
          <w:szCs w:val="32"/>
        </w:rPr>
        <w:t>（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0"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2825918E-089F-4BE3-A0A3-C71BC4A09078}"/>
  </w:font>
  <w:font w:name="Arial">
    <w:panose1 w:val="020B0604020202020204"/>
    <w:charset w:val="01"/>
    <w:family w:val="swiss"/>
    <w:pitch w:val="default"/>
    <w:sig w:usb0="E0002EFF" w:usb1="C000785B" w:usb2="00000009" w:usb3="00000000" w:csb0="400001FF" w:csb1="FFFF0000"/>
    <w:embedRegular r:id="rId2" w:fontKey="{01EE964F-74FE-4DF8-9392-0DF51C3E089E}"/>
  </w:font>
  <w:font w:name="黑体">
    <w:panose1 w:val="02010609060101010101"/>
    <w:charset w:val="86"/>
    <w:family w:val="auto"/>
    <w:pitch w:val="default"/>
    <w:sig w:usb0="800002BF" w:usb1="38CF7CFA" w:usb2="00000016" w:usb3="00000000" w:csb0="00040001" w:csb1="00000000"/>
    <w:embedRegular r:id="rId3" w:fontKey="{32CD0DFB-0539-482C-A21A-B36F95F4BDF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FEF64D00-5020-4AF7-83DA-E1C8042FC6B8}"/>
  </w:font>
  <w:font w:name="仿宋">
    <w:panose1 w:val="02010609060101010101"/>
    <w:charset w:val="86"/>
    <w:family w:val="modern"/>
    <w:pitch w:val="default"/>
    <w:sig w:usb0="800002BF" w:usb1="38CF7CFA" w:usb2="00000016" w:usb3="00000000" w:csb0="00040001" w:csb1="00000000"/>
    <w:embedRegular r:id="rId5" w:fontKey="{FD474B2F-17F9-4599-B1D0-0972D6DE8FB9}"/>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5381AEC2-7000-4A96-8D40-C363BEA2BE29}"/>
  </w:font>
  <w:font w:name="方正小标宋_GBK">
    <w:panose1 w:val="02000000000000000000"/>
    <w:charset w:val="86"/>
    <w:family w:val="script"/>
    <w:pitch w:val="default"/>
    <w:sig w:usb0="A00002BF" w:usb1="38CF7CFA" w:usb2="00082016" w:usb3="00000000" w:csb0="00040001" w:csb1="00000000"/>
    <w:embedRegular r:id="rId7" w:fontKey="{822BE933-87BD-4792-89AA-93E0DC73AC7B}"/>
  </w:font>
  <w:font w:name="仿宋_GB2312">
    <w:panose1 w:val="02010609030101010101"/>
    <w:charset w:val="86"/>
    <w:family w:val="auto"/>
    <w:pitch w:val="default"/>
    <w:sig w:usb0="00000001" w:usb1="080E0000" w:usb2="00000000" w:usb3="00000000" w:csb0="00040000" w:csb1="00000000"/>
    <w:embedRegular r:id="rId8" w:fontKey="{44CBEAB5-D3FC-48C7-B2D6-5578B2C53F7E}"/>
  </w:font>
  <w:font w:name="ArialUnicodeMS">
    <w:altName w:val="Malgun Gothic"/>
    <w:panose1 w:val="00000000000000000000"/>
    <w:charset w:val="81"/>
    <w:family w:val="auto"/>
    <w:pitch w:val="default"/>
    <w:sig w:usb0="00000000" w:usb1="00000000" w:usb2="00000010" w:usb3="00000000" w:csb0="00080001" w:csb1="00000000"/>
    <w:embedRegular r:id="rId9" w:fontKey="{B5117F48-19CA-460E-9A5A-5EA44B1FC74F}"/>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614C29EE-8826-4A6C-870F-6CA1111560C4}"/>
  </w:font>
  <w:font w:name="DengXian-Regular">
    <w:altName w:val="宋体"/>
    <w:panose1 w:val="00000000000000000000"/>
    <w:charset w:val="86"/>
    <w:family w:val="auto"/>
    <w:pitch w:val="default"/>
    <w:sig w:usb0="00000000" w:usb1="00000000" w:usb2="00000010" w:usb3="00000000" w:csb0="00040001" w:csb1="00000000"/>
    <w:embedRegular r:id="rId11" w:fontKey="{8B679CCD-ACC1-42B3-92E3-C911380A993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91BA7">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731A5">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FFC38">
    <w:pPr>
      <w:jc w:val="center"/>
    </w:pPr>
    <w:r>
      <w:fldChar w:fldCharType="begin"/>
    </w:r>
    <w:r>
      <w:instrText xml:space="preserve">PAGE</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56E84">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5B9771"/>
    <w:multiLevelType w:val="singleLevel"/>
    <w:tmpl w:val="D15B9771"/>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074E87"/>
    <w:rsid w:val="03450B90"/>
    <w:rsid w:val="037B12D4"/>
    <w:rsid w:val="03804D63"/>
    <w:rsid w:val="03FB73B0"/>
    <w:rsid w:val="04806B11"/>
    <w:rsid w:val="049C1B9D"/>
    <w:rsid w:val="04BD008C"/>
    <w:rsid w:val="04C55939"/>
    <w:rsid w:val="04DA28BB"/>
    <w:rsid w:val="04F12F8D"/>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E770DF"/>
    <w:rsid w:val="0DFA5D82"/>
    <w:rsid w:val="0E1E52CE"/>
    <w:rsid w:val="0E611DA6"/>
    <w:rsid w:val="0E866524"/>
    <w:rsid w:val="0E9268D3"/>
    <w:rsid w:val="0E957F1F"/>
    <w:rsid w:val="0F0E7284"/>
    <w:rsid w:val="0F1A64E0"/>
    <w:rsid w:val="0F28110F"/>
    <w:rsid w:val="0F37083F"/>
    <w:rsid w:val="0F7470AF"/>
    <w:rsid w:val="0F891DB8"/>
    <w:rsid w:val="0F8D3287"/>
    <w:rsid w:val="0FAA3B86"/>
    <w:rsid w:val="10072DFF"/>
    <w:rsid w:val="10191346"/>
    <w:rsid w:val="102A01A6"/>
    <w:rsid w:val="105A290D"/>
    <w:rsid w:val="106751B7"/>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EF52EF"/>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5123B"/>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76D68"/>
    <w:rsid w:val="236E713A"/>
    <w:rsid w:val="23700968"/>
    <w:rsid w:val="238761A6"/>
    <w:rsid w:val="23920578"/>
    <w:rsid w:val="23BB6F9A"/>
    <w:rsid w:val="23FC3864"/>
    <w:rsid w:val="24857B00"/>
    <w:rsid w:val="24F25212"/>
    <w:rsid w:val="251B0465"/>
    <w:rsid w:val="254B0AC6"/>
    <w:rsid w:val="25571AB6"/>
    <w:rsid w:val="25B40AD6"/>
    <w:rsid w:val="25BD5B44"/>
    <w:rsid w:val="25BE7872"/>
    <w:rsid w:val="25BF702A"/>
    <w:rsid w:val="26390459"/>
    <w:rsid w:val="264D2D17"/>
    <w:rsid w:val="26D50E55"/>
    <w:rsid w:val="271A539C"/>
    <w:rsid w:val="273823FA"/>
    <w:rsid w:val="274972D4"/>
    <w:rsid w:val="27AA3D97"/>
    <w:rsid w:val="27B151F7"/>
    <w:rsid w:val="280A3758"/>
    <w:rsid w:val="28292E99"/>
    <w:rsid w:val="287A79C9"/>
    <w:rsid w:val="289057C5"/>
    <w:rsid w:val="28A67C7A"/>
    <w:rsid w:val="28DF0DFC"/>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21333"/>
    <w:rsid w:val="2BE35C27"/>
    <w:rsid w:val="2BFA504B"/>
    <w:rsid w:val="2C681F1F"/>
    <w:rsid w:val="2C8608DC"/>
    <w:rsid w:val="2CA4764A"/>
    <w:rsid w:val="2CC42ECA"/>
    <w:rsid w:val="2CDA4349"/>
    <w:rsid w:val="2D225539"/>
    <w:rsid w:val="2D4618D2"/>
    <w:rsid w:val="2D5F021B"/>
    <w:rsid w:val="2D6E1286"/>
    <w:rsid w:val="2D70583E"/>
    <w:rsid w:val="2DCE1EBA"/>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4FF53FE"/>
    <w:rsid w:val="35277FF8"/>
    <w:rsid w:val="35763460"/>
    <w:rsid w:val="35776F72"/>
    <w:rsid w:val="35997371"/>
    <w:rsid w:val="359D7886"/>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463C3B"/>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371D33"/>
    <w:rsid w:val="4050218A"/>
    <w:rsid w:val="405C7868"/>
    <w:rsid w:val="408B24EB"/>
    <w:rsid w:val="408D1DBF"/>
    <w:rsid w:val="40C652D1"/>
    <w:rsid w:val="417044B8"/>
    <w:rsid w:val="41A203A0"/>
    <w:rsid w:val="41A25D3E"/>
    <w:rsid w:val="41C77987"/>
    <w:rsid w:val="41E83F8C"/>
    <w:rsid w:val="422D1842"/>
    <w:rsid w:val="425B7C31"/>
    <w:rsid w:val="427D66D0"/>
    <w:rsid w:val="42B00232"/>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6F5103"/>
    <w:rsid w:val="468A1A00"/>
    <w:rsid w:val="46CB071B"/>
    <w:rsid w:val="46DE140B"/>
    <w:rsid w:val="46E77334"/>
    <w:rsid w:val="46F22E29"/>
    <w:rsid w:val="46F7142F"/>
    <w:rsid w:val="47107AE3"/>
    <w:rsid w:val="473C62ED"/>
    <w:rsid w:val="47617242"/>
    <w:rsid w:val="477321DC"/>
    <w:rsid w:val="478C16C9"/>
    <w:rsid w:val="47BD246B"/>
    <w:rsid w:val="47CB2B0C"/>
    <w:rsid w:val="47E773CE"/>
    <w:rsid w:val="47EE2C9A"/>
    <w:rsid w:val="47F00499"/>
    <w:rsid w:val="48015FF5"/>
    <w:rsid w:val="483820D2"/>
    <w:rsid w:val="48396D9A"/>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2597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7C5EAE"/>
    <w:rsid w:val="5D9217C2"/>
    <w:rsid w:val="5DAD06BF"/>
    <w:rsid w:val="5DC92CE9"/>
    <w:rsid w:val="5DE23CB3"/>
    <w:rsid w:val="5DE97EEC"/>
    <w:rsid w:val="5DFA5EB0"/>
    <w:rsid w:val="5E000E4D"/>
    <w:rsid w:val="5E070ED0"/>
    <w:rsid w:val="5E0B583E"/>
    <w:rsid w:val="5E201A7B"/>
    <w:rsid w:val="5EA45884"/>
    <w:rsid w:val="5EBD0484"/>
    <w:rsid w:val="5F2C5C7C"/>
    <w:rsid w:val="5F36141C"/>
    <w:rsid w:val="5FA263AE"/>
    <w:rsid w:val="5FC5273F"/>
    <w:rsid w:val="602A5424"/>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093C45"/>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46776"/>
    <w:rsid w:val="68A519DF"/>
    <w:rsid w:val="68C4160B"/>
    <w:rsid w:val="68C41C30"/>
    <w:rsid w:val="68CF3BA4"/>
    <w:rsid w:val="69257FA7"/>
    <w:rsid w:val="693F26C7"/>
    <w:rsid w:val="697E12B2"/>
    <w:rsid w:val="69A460C2"/>
    <w:rsid w:val="69AC4F69"/>
    <w:rsid w:val="69C8706D"/>
    <w:rsid w:val="69EB486C"/>
    <w:rsid w:val="69FC3483"/>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B34F1C"/>
    <w:rsid w:val="6EEB4AC4"/>
    <w:rsid w:val="6F212DD6"/>
    <w:rsid w:val="6F3B5912"/>
    <w:rsid w:val="6FA14A81"/>
    <w:rsid w:val="6FA3261F"/>
    <w:rsid w:val="6FAA5BC9"/>
    <w:rsid w:val="6FB44BAA"/>
    <w:rsid w:val="6FCF25B2"/>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AF2DAD"/>
    <w:rsid w:val="73F46595"/>
    <w:rsid w:val="73F47FAE"/>
    <w:rsid w:val="74283FA2"/>
    <w:rsid w:val="742C135B"/>
    <w:rsid w:val="74463733"/>
    <w:rsid w:val="748A2F40"/>
    <w:rsid w:val="74D84FF7"/>
    <w:rsid w:val="74F85778"/>
    <w:rsid w:val="75272439"/>
    <w:rsid w:val="752E0B23"/>
    <w:rsid w:val="758F1E9B"/>
    <w:rsid w:val="75CE266B"/>
    <w:rsid w:val="76120141"/>
    <w:rsid w:val="768216BE"/>
    <w:rsid w:val="76B1779A"/>
    <w:rsid w:val="76C23B43"/>
    <w:rsid w:val="76FD6F97"/>
    <w:rsid w:val="770218E8"/>
    <w:rsid w:val="779469CE"/>
    <w:rsid w:val="77C33FD9"/>
    <w:rsid w:val="77C875A5"/>
    <w:rsid w:val="78A27DF6"/>
    <w:rsid w:val="791D3642"/>
    <w:rsid w:val="79285B3A"/>
    <w:rsid w:val="79490B03"/>
    <w:rsid w:val="79625CA9"/>
    <w:rsid w:val="79A91196"/>
    <w:rsid w:val="79DA4CFA"/>
    <w:rsid w:val="7A0B32D3"/>
    <w:rsid w:val="7A941506"/>
    <w:rsid w:val="7AC13CD3"/>
    <w:rsid w:val="7AE10264"/>
    <w:rsid w:val="7AE4248E"/>
    <w:rsid w:val="7B4A207F"/>
    <w:rsid w:val="7B936F45"/>
    <w:rsid w:val="7B9457F2"/>
    <w:rsid w:val="7BA47419"/>
    <w:rsid w:val="7BB10D45"/>
    <w:rsid w:val="7BB44151"/>
    <w:rsid w:val="7C1B430A"/>
    <w:rsid w:val="7C5807CC"/>
    <w:rsid w:val="7C656A39"/>
    <w:rsid w:val="7CB93996"/>
    <w:rsid w:val="7CBE0F99"/>
    <w:rsid w:val="7D4E45F1"/>
    <w:rsid w:val="7DE04732"/>
    <w:rsid w:val="7DFB6D82"/>
    <w:rsid w:val="7E1D71D1"/>
    <w:rsid w:val="7E246254"/>
    <w:rsid w:val="7E553215"/>
    <w:rsid w:val="7E6D090F"/>
    <w:rsid w:val="7E8A52E3"/>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2311.77</c:v>
                </c:pt>
                <c:pt idx="1">
                  <c:v>1675.32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16753197.8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9103493.71</c:v>
                </c:pt>
                <c:pt idx="1">
                  <c:v>7649704.09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2311.77</c:v>
                </c:pt>
                <c:pt idx="1">
                  <c:v>2311.77</c:v>
                </c:pt>
                <c:pt idx="2">
                  <c:v>2265.47</c:v>
                </c:pt>
                <c:pt idx="3">
                  <c:v>2265.47</c:v>
                </c:pt>
                <c:pt idx="4">
                  <c:v>46.3</c:v>
                </c:pt>
                <c:pt idx="5">
                  <c:v>46.3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1675.32</c:v>
                </c:pt>
                <c:pt idx="1">
                  <c:v>1675.32</c:v>
                </c:pt>
                <c:pt idx="2">
                  <c:v>1675.32</c:v>
                </c:pt>
                <c:pt idx="3">
                  <c:v>1675.32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1749.35</c:v>
                </c:pt>
                <c:pt idx="1">
                  <c:v>1749.35</c:v>
                </c:pt>
                <c:pt idx="2">
                  <c:v>1749.35</c:v>
                </c:pt>
                <c:pt idx="3">
                  <c:v>1749.35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1675.32</c:v>
                </c:pt>
                <c:pt idx="1">
                  <c:v>1675.32</c:v>
                </c:pt>
                <c:pt idx="2">
                  <c:v>1675.32</c:v>
                </c:pt>
                <c:pt idx="3">
                  <c:v>1675.32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829.98</c:v>
                </c:pt>
                <c:pt idx="1">
                  <c:v>0</c:v>
                </c:pt>
                <c:pt idx="2">
                  <c:v>0</c:v>
                </c:pt>
                <c:pt idx="3">
                  <c:v>0</c:v>
                </c:pt>
                <c:pt idx="4">
                  <c:v>0</c:v>
                </c:pt>
                <c:pt idx="5">
                  <c:v>0</c:v>
                </c:pt>
                <c:pt idx="6">
                  <c:v>0</c:v>
                </c:pt>
                <c:pt idx="7">
                  <c:v>67.87</c:v>
                </c:pt>
                <c:pt idx="8">
                  <c:v>35.6</c:v>
                </c:pt>
                <c:pt idx="9">
                  <c:v>0</c:v>
                </c:pt>
                <c:pt idx="10">
                  <c:v>0</c:v>
                </c:pt>
                <c:pt idx="11">
                  <c:v>694.61</c:v>
                </c:pt>
                <c:pt idx="12">
                  <c:v>0</c:v>
                </c:pt>
                <c:pt idx="13">
                  <c:v>0</c:v>
                </c:pt>
                <c:pt idx="14">
                  <c:v>0</c:v>
                </c:pt>
                <c:pt idx="15">
                  <c:v>0</c:v>
                </c:pt>
                <c:pt idx="16">
                  <c:v>0</c:v>
                </c:pt>
                <c:pt idx="17">
                  <c:v>0</c:v>
                </c:pt>
                <c:pt idx="18">
                  <c:v>47.26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2749</Words>
  <Characters>2837</Characters>
  <Lines>86</Lines>
  <Paragraphs>24</Paragraphs>
  <TotalTime>12</TotalTime>
  <ScaleCrop>false</ScaleCrop>
  <LinksUpToDate>false</LinksUpToDate>
  <CharactersWithSpaces>2843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绵绵思远道</cp:lastModifiedBy>
  <cp:lastPrinted>2023-08-04T01:00:00Z</cp:lastPrinted>
  <dcterms:modified xsi:type="dcterms:W3CDTF">2025-09-26T03:56:34Z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eyJoZGlkIjoiYTBlNDViY2RjOGUxZjliMmM1OTQ5ODUyZTYzZTIwNzEiLCJ1c2VySWQiOiI0MTAzOTEzMTUifQ==</vt:lpwstr>
  </property>
</Properties>
</file>