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1">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楷体"/>
          <w:color w:val="000000"/>
          <w:sz w:val="40"/>
          <w:szCs w:val="40"/>
          <w:lang w:val="en-US" w:eastAsia="zh-CN"/>
        </w:rPr>
        <w:t>837001</w:t>
      </w:r>
    </w:p>
    <w:p w14:paraId="0E049937">
      <w:pPr>
        <w:spacing w:line="600" w:lineRule="auto"/>
        <w:jc w:val="both"/>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：行唐县上碑镇人民政府</w:t>
      </w:r>
    </w:p>
    <w:p w14:paraId="7B70906A">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5F015B3">
      <w:pPr>
        <w:widowControl/>
        <w:spacing w:before="0" w:beforeLines="0" w:beforeAutospacing="0" w:after="0" w:afterLines="0" w:afterAutospacing="0" w:line="360" w:lineRule="auto"/>
        <w:jc w:val="center"/>
        <w:outlineLvl w:val="0"/>
        <w:rPr>
          <w:rFonts w:ascii="Times New Roman" w:eastAsia="黑体"/>
          <w:b w:val="0"/>
          <w:sz w:val="44"/>
          <w:szCs w:val="44"/>
        </w:rPr>
      </w:pPr>
    </w:p>
    <w:p w14:paraId="27FA980B">
      <w:pPr>
        <w:widowControl/>
        <w:spacing w:before="0" w:beforeLines="0" w:beforeAutospacing="0" w:after="0" w:afterLines="0" w:afterAutospacing="0" w:line="360" w:lineRule="auto"/>
        <w:jc w:val="center"/>
        <w:outlineLvl w:val="0"/>
        <w:rPr>
          <w:rFonts w:ascii="Times New Roman" w:eastAsia="黑体"/>
          <w:b w:val="0"/>
          <w:sz w:val="44"/>
          <w:szCs w:val="44"/>
        </w:rPr>
      </w:pPr>
    </w:p>
    <w:p w14:paraId="585EDF0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1CD92DA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val="en-US" w:eastAsia="zh-CN"/>
        </w:rPr>
        <w:t xml:space="preserve"> 部门</w:t>
      </w:r>
      <w:r>
        <w:rPr>
          <w:rFonts w:ascii="Times New Roman" w:eastAsia="黑体"/>
          <w:b w:val="0"/>
          <w:sz w:val="32"/>
          <w:szCs w:val="32"/>
        </w:rPr>
        <w:t>概况</w:t>
      </w:r>
    </w:p>
    <w:p w14:paraId="6DDC51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val="en-US" w:eastAsia="zh-CN"/>
        </w:rPr>
        <w:t>部门</w:t>
      </w:r>
      <w:r>
        <w:rPr>
          <w:rFonts w:ascii="Times New Roman" w:eastAsia="仿宋_GB2312"/>
          <w:b w:val="0"/>
          <w:sz w:val="32"/>
          <w:szCs w:val="32"/>
        </w:rPr>
        <w:t>职责</w:t>
      </w:r>
    </w:p>
    <w:p w14:paraId="46E576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6068B0B">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431F26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37CA1D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5FD18D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111B4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BC74B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2E3193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FB211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89988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0A6E49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DDA3131">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65DB4A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6971A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3A1105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20D73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FC78A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678AFD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378C8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3C15F2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1BCF1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F2922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D23260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45F8F503">
      <w:pPr>
        <w:widowControl/>
        <w:spacing w:after="160" w:line="580" w:lineRule="exact"/>
        <w:rPr>
          <w:rFonts w:hint="eastAsia" w:ascii="Times New Roman" w:hAnsi="Times New Roman" w:eastAsia="黑体" w:cs="Times New Roman"/>
          <w:sz w:val="32"/>
          <w:szCs w:val="32"/>
          <w:lang w:val="en-US" w:eastAsia="zh-CN"/>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46A1AD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w:t>
      </w:r>
      <w:r>
        <w:rPr>
          <w:rFonts w:hint="eastAsia" w:ascii="Times New Roman" w:eastAsia="黑体"/>
          <w:b w:val="0"/>
          <w:sz w:val="44"/>
          <w:szCs w:val="44"/>
          <w:lang w:val="en-US" w:eastAsia="zh-CN"/>
        </w:rPr>
        <w:t xml:space="preserve"> </w:t>
      </w:r>
      <w:r>
        <w:rPr>
          <w:rFonts w:hint="eastAsia" w:ascii="Times New Roman" w:eastAsia="黑体"/>
          <w:b w:val="0"/>
          <w:sz w:val="44"/>
          <w:szCs w:val="44"/>
          <w:lang w:eastAsia="zh-CN"/>
        </w:rPr>
        <w:t>部门</w:t>
      </w:r>
      <w:r>
        <w:rPr>
          <w:rFonts w:ascii="Times New Roman" w:eastAsia="黑体"/>
          <w:b w:val="0"/>
          <w:sz w:val="44"/>
          <w:szCs w:val="44"/>
        </w:rPr>
        <w:t>概况</w:t>
      </w:r>
    </w:p>
    <w:p w14:paraId="718ED25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eastAsia="zh-CN"/>
        </w:rPr>
        <w:t>部门</w:t>
      </w:r>
      <w:r>
        <w:rPr>
          <w:rFonts w:ascii="Times New Roman" w:eastAsia="黑体"/>
          <w:b w:val="0"/>
          <w:sz w:val="32"/>
          <w:szCs w:val="32"/>
        </w:rPr>
        <w:t>职责</w:t>
      </w:r>
    </w:p>
    <w:p w14:paraId="3D84A705">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lang w:val="en-US" w:eastAsia="zh-CN"/>
        </w:rPr>
        <w:t>1、</w:t>
      </w:r>
      <w:r>
        <w:rPr>
          <w:rFonts w:hint="eastAsia" w:ascii="仿宋" w:hAnsi="仿宋" w:eastAsia="仿宋" w:cs="仿宋"/>
          <w:spacing w:val="5"/>
          <w:sz w:val="31"/>
          <w:szCs w:val="31"/>
        </w:rPr>
        <w:t>党政综合办公室。负责机关日常工作的综合协调和督促检查;负责机关文电、值班、会务、机要、保密、档案、党务政务公开、对外联络、后勤保障等日常运转工作;负责机关和所属单位财务及国有资产管理等工作，负责编制乡财政预决算，负责乡政府预算单位的财务管理和核算。</w:t>
      </w:r>
    </w:p>
    <w:p w14:paraId="0E8224A6">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2</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党建工作办公室。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负责指导基层自治和居民区建设工作，负责指导村(居)民委员会建立健全各项自治制度，指导村(居)民委员会的换届选举;负责社区工作者的日常管理工作，指导基层开展社区社会工作实践，收集、反映社情民意。</w:t>
      </w:r>
    </w:p>
    <w:p w14:paraId="2C11763B">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3</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经济发展办公室。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6301A00B">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4</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安全发展办公室。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w:t>
      </w:r>
    </w:p>
    <w:p w14:paraId="32790577">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5</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综合行政执法队。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w:t>
      </w:r>
    </w:p>
    <w:p w14:paraId="00A5823F">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6</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行政综合服务中心。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0048A82F">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7</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农业综合服务中心。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负责新农村建设，推进和美乡村、美丽庭院创建工作;负责农村环境卫生工作，推进农村改厕、生活垃圾处理、生活污水治理等工作;负责推进农村移风易俗、文明创建等工作。</w:t>
      </w:r>
    </w:p>
    <w:p w14:paraId="09D49721">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8</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退役军人服务站。负责退役军人就业创业扶持、拥军优属、优抚帮扶、走访慰问、信访接待、权益保障等工作;配合做好征兵、民兵、预备役、国防教育、国民经济动员、人民防空、国防交通、国防设施保护等国防动员相关工作。</w:t>
      </w:r>
    </w:p>
    <w:p w14:paraId="761ACF5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7EE01FE">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从决算编报单位构成看，纳入2024年度本部门决算汇编范围的独立核算单位（以下简称“单位”）共</w:t>
      </w:r>
      <w:r>
        <w:rPr>
          <w:rFonts w:hint="eastAsia" w:ascii="仿宋" w:hAnsi="仿宋" w:eastAsia="仿宋" w:cs="仿宋"/>
          <w:spacing w:val="5"/>
          <w:sz w:val="31"/>
          <w:szCs w:val="31"/>
          <w:lang w:val="en-US" w:eastAsia="zh-CN"/>
        </w:rPr>
        <w:t>1</w:t>
      </w:r>
      <w:r>
        <w:rPr>
          <w:rFonts w:hint="eastAsia" w:ascii="仿宋" w:hAnsi="仿宋" w:eastAsia="仿宋" w:cs="仿宋"/>
          <w:spacing w:val="5"/>
          <w:sz w:val="31"/>
          <w:szCs w:val="31"/>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775"/>
        <w:gridCol w:w="2313"/>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27"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77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313"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7"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775" w:type="dxa"/>
          </w:tcPr>
          <w:p w14:paraId="3E1DE48C">
            <w:pPr>
              <w:spacing w:line="560" w:lineRule="exact"/>
              <w:jc w:val="center"/>
              <w:rPr>
                <w:rFonts w:ascii="仿宋_GB2312" w:hAnsi="Calibri" w:eastAsia="仿宋_GB2312" w:cs="ArialUnicodeMS"/>
                <w:kern w:val="0"/>
                <w:sz w:val="28"/>
                <w:szCs w:val="28"/>
              </w:rPr>
            </w:pPr>
            <w:r>
              <w:rPr>
                <w:rFonts w:hint="eastAsia" w:ascii="方正仿宋_GB2312" w:hAnsi="方正仿宋_GB2312" w:eastAsia="方正仿宋_GB2312" w:cs="方正仿宋_GB2312"/>
                <w:kern w:val="0"/>
                <w:sz w:val="28"/>
                <w:szCs w:val="28"/>
                <w:lang w:val="en-US" w:eastAsia="zh-CN"/>
              </w:rPr>
              <w:t>行唐县上碑镇人民政府</w:t>
            </w:r>
          </w:p>
        </w:tc>
        <w:tc>
          <w:tcPr>
            <w:tcW w:w="2313" w:type="dxa"/>
          </w:tcPr>
          <w:p w14:paraId="2E443189">
            <w:pPr>
              <w:spacing w:line="560" w:lineRule="exact"/>
              <w:jc w:val="center"/>
              <w:rPr>
                <w:rFonts w:ascii="仿宋_GB2312" w:hAnsi="Calibri" w:eastAsia="仿宋_GB2312" w:cs="ArialUnicodeMS"/>
                <w:kern w:val="0"/>
                <w:sz w:val="28"/>
                <w:szCs w:val="28"/>
              </w:rPr>
            </w:pPr>
            <w:r>
              <w:rPr>
                <w:rFonts w:ascii="仿宋" w:hAnsi="仿宋" w:eastAsia="仿宋" w:cs="仿宋"/>
                <w:spacing w:val="-3"/>
                <w:sz w:val="28"/>
                <w:szCs w:val="28"/>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方正仿宋_GB2312" w:hAnsi="方正仿宋_GB2312" w:eastAsia="方正仿宋_GB2312" w:cs="方正仿宋_GB2312"/>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5DCC7C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hint="eastAsia" w:ascii="Times New Roman" w:eastAsia="黑体"/>
          <w:b w:val="0"/>
          <w:sz w:val="44"/>
          <w:szCs w:val="44"/>
          <w:lang w:val="en-US" w:eastAsia="zh-CN"/>
        </w:rPr>
        <w:t xml:space="preserve">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部门：行唐县上碑镇人民政府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1,089.19</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1,089.19</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2F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45C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6D70BE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46B2F1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7647D3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13ECD0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B2E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BA75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72F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2DAB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FC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E04A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342812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70FEA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595.31</w:t>
            </w:r>
          </w:p>
        </w:tc>
        <w:tc>
          <w:tcPr>
            <w:tcW w:w="1037" w:type="dxa"/>
            <w:tcBorders>
              <w:top w:val="nil"/>
              <w:left w:val="nil"/>
              <w:bottom w:val="single" w:color="000000" w:sz="4" w:space="0"/>
              <w:right w:val="single" w:color="000000" w:sz="4" w:space="0"/>
            </w:tcBorders>
            <w:noWrap/>
            <w:vAlign w:val="center"/>
          </w:tcPr>
          <w:p w14:paraId="78A251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595.31</w:t>
            </w:r>
          </w:p>
        </w:tc>
        <w:tc>
          <w:tcPr>
            <w:tcW w:w="1037" w:type="dxa"/>
            <w:tcBorders>
              <w:top w:val="nil"/>
              <w:left w:val="nil"/>
              <w:bottom w:val="single" w:color="000000" w:sz="4" w:space="0"/>
              <w:right w:val="single" w:color="000000" w:sz="4" w:space="0"/>
            </w:tcBorders>
            <w:noWrap/>
            <w:vAlign w:val="center"/>
          </w:tcPr>
          <w:p w14:paraId="58B28D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F4D2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FFE4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BD5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793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B1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4123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2061C7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9DA88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14:paraId="3C3C2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14:paraId="76FDC5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B92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FFCF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B95E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7E99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E76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F67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13EBB8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1F74E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45.24</w:t>
            </w:r>
          </w:p>
        </w:tc>
        <w:tc>
          <w:tcPr>
            <w:tcW w:w="1037" w:type="dxa"/>
            <w:tcBorders>
              <w:top w:val="nil"/>
              <w:left w:val="nil"/>
              <w:bottom w:val="single" w:color="000000" w:sz="4" w:space="0"/>
              <w:right w:val="single" w:color="000000" w:sz="4" w:space="0"/>
            </w:tcBorders>
            <w:noWrap/>
            <w:vAlign w:val="center"/>
          </w:tcPr>
          <w:p w14:paraId="349AC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45.24</w:t>
            </w:r>
          </w:p>
        </w:tc>
        <w:tc>
          <w:tcPr>
            <w:tcW w:w="1037" w:type="dxa"/>
            <w:tcBorders>
              <w:top w:val="nil"/>
              <w:left w:val="nil"/>
              <w:bottom w:val="single" w:color="000000" w:sz="4" w:space="0"/>
              <w:right w:val="single" w:color="000000" w:sz="4" w:space="0"/>
            </w:tcBorders>
            <w:noWrap/>
            <w:vAlign w:val="center"/>
          </w:tcPr>
          <w:p w14:paraId="4969B3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F2D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F0F2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A5E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96AF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ED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3C1C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w:t>
            </w:r>
          </w:p>
        </w:tc>
        <w:tc>
          <w:tcPr>
            <w:tcW w:w="1160" w:type="dxa"/>
            <w:tcBorders>
              <w:top w:val="nil"/>
              <w:left w:val="nil"/>
              <w:bottom w:val="single" w:color="000000" w:sz="4" w:space="0"/>
              <w:right w:val="single" w:color="000000" w:sz="4" w:space="0"/>
            </w:tcBorders>
            <w:noWrap/>
            <w:vAlign w:val="center"/>
          </w:tcPr>
          <w:p w14:paraId="2226ED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人力资源和社会保障管理事务</w:t>
            </w:r>
          </w:p>
        </w:tc>
        <w:tc>
          <w:tcPr>
            <w:tcW w:w="1037" w:type="dxa"/>
            <w:tcBorders>
              <w:top w:val="nil"/>
              <w:left w:val="nil"/>
              <w:bottom w:val="single" w:color="000000" w:sz="4" w:space="0"/>
              <w:right w:val="single" w:color="000000" w:sz="4" w:space="0"/>
            </w:tcBorders>
            <w:noWrap/>
            <w:vAlign w:val="center"/>
          </w:tcPr>
          <w:p w14:paraId="1F3FCC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26CDF2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05A20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DBD1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725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42A3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A7D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40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0E3B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2080101</w:t>
            </w:r>
          </w:p>
        </w:tc>
        <w:tc>
          <w:tcPr>
            <w:tcW w:w="1160" w:type="dxa"/>
            <w:tcBorders>
              <w:top w:val="nil"/>
              <w:left w:val="nil"/>
              <w:bottom w:val="single" w:color="000000" w:sz="4" w:space="0"/>
              <w:right w:val="single" w:color="000000" w:sz="4" w:space="0"/>
            </w:tcBorders>
            <w:noWrap/>
            <w:vAlign w:val="center"/>
          </w:tcPr>
          <w:p w14:paraId="6C9F7D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073BD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60673D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6A928E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E15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050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C63F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E347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B4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315C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0A3D1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606C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42.80</w:t>
            </w:r>
          </w:p>
        </w:tc>
        <w:tc>
          <w:tcPr>
            <w:tcW w:w="1037" w:type="dxa"/>
            <w:tcBorders>
              <w:top w:val="nil"/>
              <w:left w:val="nil"/>
              <w:bottom w:val="single" w:color="000000" w:sz="4" w:space="0"/>
              <w:right w:val="single" w:color="000000" w:sz="4" w:space="0"/>
            </w:tcBorders>
            <w:noWrap/>
            <w:vAlign w:val="center"/>
          </w:tcPr>
          <w:p w14:paraId="74BC67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42.80</w:t>
            </w:r>
          </w:p>
        </w:tc>
        <w:tc>
          <w:tcPr>
            <w:tcW w:w="1037" w:type="dxa"/>
            <w:tcBorders>
              <w:top w:val="nil"/>
              <w:left w:val="nil"/>
              <w:bottom w:val="single" w:color="000000" w:sz="4" w:space="0"/>
              <w:right w:val="single" w:color="000000" w:sz="4" w:space="0"/>
            </w:tcBorders>
            <w:noWrap/>
            <w:vAlign w:val="center"/>
          </w:tcPr>
          <w:p w14:paraId="643202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31CE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92B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8BB3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ABC9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37B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0F5D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D265C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0B545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39.44</w:t>
            </w:r>
          </w:p>
        </w:tc>
        <w:tc>
          <w:tcPr>
            <w:tcW w:w="1037" w:type="dxa"/>
            <w:tcBorders>
              <w:top w:val="nil"/>
              <w:left w:val="nil"/>
              <w:bottom w:val="single" w:color="000000" w:sz="4" w:space="0"/>
              <w:right w:val="single" w:color="000000" w:sz="4" w:space="0"/>
            </w:tcBorders>
            <w:noWrap/>
            <w:vAlign w:val="center"/>
          </w:tcPr>
          <w:p w14:paraId="63770E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39.44</w:t>
            </w:r>
          </w:p>
        </w:tc>
        <w:tc>
          <w:tcPr>
            <w:tcW w:w="1037" w:type="dxa"/>
            <w:tcBorders>
              <w:top w:val="nil"/>
              <w:left w:val="nil"/>
              <w:bottom w:val="single" w:color="000000" w:sz="4" w:space="0"/>
              <w:right w:val="single" w:color="000000" w:sz="4" w:space="0"/>
            </w:tcBorders>
            <w:noWrap/>
            <w:vAlign w:val="center"/>
          </w:tcPr>
          <w:p w14:paraId="062FC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56D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9285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918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E253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4C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9D8B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5E6DFE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64A377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w:t>
            </w:r>
          </w:p>
        </w:tc>
        <w:tc>
          <w:tcPr>
            <w:tcW w:w="1037" w:type="dxa"/>
            <w:tcBorders>
              <w:top w:val="nil"/>
              <w:left w:val="nil"/>
              <w:bottom w:val="single" w:color="000000" w:sz="4" w:space="0"/>
              <w:right w:val="single" w:color="000000" w:sz="4" w:space="0"/>
            </w:tcBorders>
            <w:noWrap/>
            <w:vAlign w:val="center"/>
          </w:tcPr>
          <w:p w14:paraId="26CA4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w:t>
            </w:r>
          </w:p>
        </w:tc>
        <w:tc>
          <w:tcPr>
            <w:tcW w:w="1037" w:type="dxa"/>
            <w:tcBorders>
              <w:top w:val="nil"/>
              <w:left w:val="nil"/>
              <w:bottom w:val="single" w:color="000000" w:sz="4" w:space="0"/>
              <w:right w:val="single" w:color="000000" w:sz="4" w:space="0"/>
            </w:tcBorders>
            <w:noWrap/>
            <w:vAlign w:val="center"/>
          </w:tcPr>
          <w:p w14:paraId="3827F3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20D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AA61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E7F0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50F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820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60B2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1A4803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4A336D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1.83</w:t>
            </w:r>
          </w:p>
        </w:tc>
        <w:tc>
          <w:tcPr>
            <w:tcW w:w="1037" w:type="dxa"/>
            <w:tcBorders>
              <w:top w:val="nil"/>
              <w:left w:val="nil"/>
              <w:bottom w:val="single" w:color="000000" w:sz="4" w:space="0"/>
              <w:right w:val="single" w:color="000000" w:sz="4" w:space="0"/>
            </w:tcBorders>
            <w:noWrap/>
            <w:vAlign w:val="center"/>
          </w:tcPr>
          <w:p w14:paraId="5990C9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1.83</w:t>
            </w:r>
          </w:p>
        </w:tc>
        <w:tc>
          <w:tcPr>
            <w:tcW w:w="1037" w:type="dxa"/>
            <w:tcBorders>
              <w:top w:val="nil"/>
              <w:left w:val="nil"/>
              <w:bottom w:val="single" w:color="000000" w:sz="4" w:space="0"/>
              <w:right w:val="single" w:color="000000" w:sz="4" w:space="0"/>
            </w:tcBorders>
            <w:noWrap/>
            <w:vAlign w:val="center"/>
          </w:tcPr>
          <w:p w14:paraId="529600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E36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1CF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1CD6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9EFB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4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CBF1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5BDB97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50BC35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0.52</w:t>
            </w:r>
          </w:p>
        </w:tc>
        <w:tc>
          <w:tcPr>
            <w:tcW w:w="1037" w:type="dxa"/>
            <w:tcBorders>
              <w:top w:val="nil"/>
              <w:left w:val="nil"/>
              <w:bottom w:val="single" w:color="000000" w:sz="4" w:space="0"/>
              <w:right w:val="single" w:color="000000" w:sz="4" w:space="0"/>
            </w:tcBorders>
            <w:noWrap/>
            <w:vAlign w:val="center"/>
          </w:tcPr>
          <w:p w14:paraId="6C30A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0.52</w:t>
            </w:r>
          </w:p>
        </w:tc>
        <w:tc>
          <w:tcPr>
            <w:tcW w:w="1037" w:type="dxa"/>
            <w:tcBorders>
              <w:top w:val="nil"/>
              <w:left w:val="nil"/>
              <w:bottom w:val="single" w:color="000000" w:sz="4" w:space="0"/>
              <w:right w:val="single" w:color="000000" w:sz="4" w:space="0"/>
            </w:tcBorders>
            <w:noWrap/>
            <w:vAlign w:val="center"/>
          </w:tcPr>
          <w:p w14:paraId="7FEDD3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DC2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67C3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02FF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808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F2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35D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67E3E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4B172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w:t>
            </w:r>
          </w:p>
        </w:tc>
        <w:tc>
          <w:tcPr>
            <w:tcW w:w="1037" w:type="dxa"/>
            <w:tcBorders>
              <w:top w:val="nil"/>
              <w:left w:val="nil"/>
              <w:bottom w:val="single" w:color="000000" w:sz="4" w:space="0"/>
              <w:right w:val="single" w:color="000000" w:sz="4" w:space="0"/>
            </w:tcBorders>
            <w:noWrap/>
            <w:vAlign w:val="center"/>
          </w:tcPr>
          <w:p w14:paraId="1E3918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w:t>
            </w:r>
          </w:p>
        </w:tc>
        <w:tc>
          <w:tcPr>
            <w:tcW w:w="1037" w:type="dxa"/>
            <w:tcBorders>
              <w:top w:val="nil"/>
              <w:left w:val="nil"/>
              <w:bottom w:val="single" w:color="000000" w:sz="4" w:space="0"/>
              <w:right w:val="single" w:color="000000" w:sz="4" w:space="0"/>
            </w:tcBorders>
            <w:noWrap/>
            <w:vAlign w:val="center"/>
          </w:tcPr>
          <w:p w14:paraId="5DC290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3275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D9F6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0705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A408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EBF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0436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56C8BD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80D0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3F519F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27D9F1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468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1812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22BA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230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ED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75DE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472CD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94E48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19648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143018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543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06AE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E0C9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531B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11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CBF7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1C0B1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3E242A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7D85CD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39E7C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A8B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701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94C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7F6F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60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92EE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722A9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0D5FE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36186E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34CD2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B65C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5432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12B4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9197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14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A6BA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05E1A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E850C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58CBFF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5DA847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6B17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16A1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474D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A3BC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011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4582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0E701F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122054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60C69D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2F4E16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9DDC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C519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CC78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1D2E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C3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05BC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685E2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1BD85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4FC32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719A3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0228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34EB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C0DA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7EA8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AFA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FFF1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59F44B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8FF09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20C9E2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45394D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564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2BBD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531E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72FA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AC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4A1D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65A0A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4C7E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156CF7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32319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10C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051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F177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017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637.38</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451.82</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1AB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1586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B69E5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092009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602" w:type="pct"/>
            <w:gridSpan w:val="2"/>
            <w:tcBorders>
              <w:top w:val="nil"/>
              <w:left w:val="nil"/>
              <w:bottom w:val="single" w:color="000000" w:sz="4" w:space="0"/>
              <w:right w:val="single" w:color="000000" w:sz="4" w:space="0"/>
            </w:tcBorders>
            <w:noWrap/>
            <w:vAlign w:val="center"/>
          </w:tcPr>
          <w:p w14:paraId="4AE4F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38C968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c>
          <w:tcPr>
            <w:tcW w:w="602" w:type="pct"/>
            <w:gridSpan w:val="2"/>
            <w:tcBorders>
              <w:top w:val="nil"/>
              <w:left w:val="nil"/>
              <w:bottom w:val="single" w:color="000000" w:sz="4" w:space="0"/>
              <w:right w:val="single" w:color="000000" w:sz="4" w:space="0"/>
            </w:tcBorders>
            <w:noWrap/>
            <w:vAlign w:val="center"/>
          </w:tcPr>
          <w:p w14:paraId="1CD98E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1A56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B9A87B">
            <w:pPr>
              <w:jc w:val="right"/>
              <w:rPr>
                <w:rFonts w:hint="default" w:ascii="Times New Roman" w:hAnsi="Times New Roman" w:eastAsia="宋体" w:cs="Times New Roman"/>
                <w:i w:val="0"/>
                <w:iCs w:val="0"/>
                <w:color w:val="000000"/>
                <w:sz w:val="20"/>
                <w:szCs w:val="20"/>
                <w:highlight w:val="none"/>
                <w:u w:val="none"/>
              </w:rPr>
            </w:pPr>
          </w:p>
        </w:tc>
      </w:tr>
      <w:tr w14:paraId="1E9A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A70C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628DFE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1E32A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595.31</w:t>
            </w:r>
          </w:p>
        </w:tc>
        <w:tc>
          <w:tcPr>
            <w:tcW w:w="602" w:type="pct"/>
            <w:gridSpan w:val="2"/>
            <w:tcBorders>
              <w:top w:val="nil"/>
              <w:left w:val="nil"/>
              <w:bottom w:val="single" w:color="000000" w:sz="4" w:space="0"/>
              <w:right w:val="single" w:color="000000" w:sz="4" w:space="0"/>
            </w:tcBorders>
            <w:noWrap/>
            <w:vAlign w:val="center"/>
          </w:tcPr>
          <w:p w14:paraId="284AC4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224476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602" w:type="pct"/>
            <w:gridSpan w:val="2"/>
            <w:tcBorders>
              <w:top w:val="nil"/>
              <w:left w:val="nil"/>
              <w:bottom w:val="single" w:color="000000" w:sz="4" w:space="0"/>
              <w:right w:val="single" w:color="000000" w:sz="4" w:space="0"/>
            </w:tcBorders>
            <w:noWrap/>
            <w:vAlign w:val="center"/>
          </w:tcPr>
          <w:p w14:paraId="67AFDB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E9D5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72207B">
            <w:pPr>
              <w:jc w:val="right"/>
              <w:rPr>
                <w:rFonts w:hint="default" w:ascii="Times New Roman" w:hAnsi="Times New Roman" w:eastAsia="宋体" w:cs="Times New Roman"/>
                <w:i w:val="0"/>
                <w:iCs w:val="0"/>
                <w:color w:val="000000"/>
                <w:sz w:val="20"/>
                <w:szCs w:val="20"/>
                <w:highlight w:val="none"/>
                <w:u w:val="none"/>
              </w:rPr>
            </w:pPr>
          </w:p>
        </w:tc>
      </w:tr>
      <w:tr w14:paraId="17598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087D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20DB8F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24FF6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602" w:type="pct"/>
            <w:gridSpan w:val="2"/>
            <w:tcBorders>
              <w:top w:val="nil"/>
              <w:left w:val="nil"/>
              <w:bottom w:val="single" w:color="000000" w:sz="4" w:space="0"/>
              <w:right w:val="single" w:color="000000" w:sz="4" w:space="0"/>
            </w:tcBorders>
            <w:noWrap/>
            <w:vAlign w:val="center"/>
          </w:tcPr>
          <w:p w14:paraId="14014C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96C1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602" w:type="pct"/>
            <w:gridSpan w:val="2"/>
            <w:tcBorders>
              <w:top w:val="nil"/>
              <w:left w:val="nil"/>
              <w:bottom w:val="single" w:color="000000" w:sz="4" w:space="0"/>
              <w:right w:val="single" w:color="000000" w:sz="4" w:space="0"/>
            </w:tcBorders>
            <w:noWrap/>
            <w:vAlign w:val="center"/>
          </w:tcPr>
          <w:p w14:paraId="21BF6B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F2FE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B83A1E">
            <w:pPr>
              <w:jc w:val="right"/>
              <w:rPr>
                <w:rFonts w:hint="default" w:ascii="Times New Roman" w:hAnsi="Times New Roman" w:eastAsia="宋体" w:cs="Times New Roman"/>
                <w:i w:val="0"/>
                <w:iCs w:val="0"/>
                <w:color w:val="000000"/>
                <w:sz w:val="20"/>
                <w:szCs w:val="20"/>
                <w:highlight w:val="none"/>
                <w:u w:val="none"/>
              </w:rPr>
            </w:pPr>
          </w:p>
        </w:tc>
      </w:tr>
      <w:tr w14:paraId="13A43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D1F2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2B92A9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5EC6E8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45.24</w:t>
            </w:r>
          </w:p>
        </w:tc>
        <w:tc>
          <w:tcPr>
            <w:tcW w:w="602" w:type="pct"/>
            <w:gridSpan w:val="2"/>
            <w:tcBorders>
              <w:top w:val="nil"/>
              <w:left w:val="nil"/>
              <w:bottom w:val="single" w:color="000000" w:sz="4" w:space="0"/>
              <w:right w:val="single" w:color="000000" w:sz="4" w:space="0"/>
            </w:tcBorders>
            <w:noWrap/>
            <w:vAlign w:val="center"/>
          </w:tcPr>
          <w:p w14:paraId="077424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44.63</w:t>
            </w:r>
          </w:p>
        </w:tc>
        <w:tc>
          <w:tcPr>
            <w:tcW w:w="602" w:type="pct"/>
            <w:tcBorders>
              <w:top w:val="nil"/>
              <w:left w:val="nil"/>
              <w:bottom w:val="single" w:color="000000" w:sz="4" w:space="0"/>
              <w:right w:val="single" w:color="000000" w:sz="4" w:space="0"/>
            </w:tcBorders>
            <w:noWrap/>
            <w:vAlign w:val="center"/>
          </w:tcPr>
          <w:p w14:paraId="7DE71E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42B9D3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9ACC6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7FAB09">
            <w:pPr>
              <w:jc w:val="right"/>
              <w:rPr>
                <w:rFonts w:hint="default" w:ascii="Times New Roman" w:hAnsi="Times New Roman" w:eastAsia="宋体" w:cs="Times New Roman"/>
                <w:i w:val="0"/>
                <w:iCs w:val="0"/>
                <w:color w:val="000000"/>
                <w:sz w:val="20"/>
                <w:szCs w:val="20"/>
                <w:highlight w:val="none"/>
                <w:u w:val="none"/>
              </w:rPr>
            </w:pPr>
          </w:p>
        </w:tc>
      </w:tr>
      <w:tr w14:paraId="62D62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5480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635" w:type="pct"/>
            <w:tcBorders>
              <w:top w:val="nil"/>
              <w:left w:val="nil"/>
              <w:bottom w:val="single" w:color="000000" w:sz="4" w:space="0"/>
              <w:right w:val="single" w:color="000000" w:sz="4" w:space="0"/>
            </w:tcBorders>
            <w:noWrap/>
            <w:vAlign w:val="center"/>
          </w:tcPr>
          <w:p w14:paraId="195DF2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603" w:type="pct"/>
            <w:tcBorders>
              <w:top w:val="nil"/>
              <w:left w:val="nil"/>
              <w:bottom w:val="single" w:color="000000" w:sz="4" w:space="0"/>
              <w:right w:val="single" w:color="000000" w:sz="4" w:space="0"/>
            </w:tcBorders>
            <w:noWrap/>
            <w:vAlign w:val="center"/>
          </w:tcPr>
          <w:p w14:paraId="2926F7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24CE68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471D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0A9EE75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21B1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5C44AB">
            <w:pPr>
              <w:jc w:val="right"/>
              <w:rPr>
                <w:rFonts w:hint="default" w:ascii="Times New Roman" w:hAnsi="Times New Roman" w:eastAsia="宋体" w:cs="Times New Roman"/>
                <w:i w:val="0"/>
                <w:iCs w:val="0"/>
                <w:color w:val="000000"/>
                <w:sz w:val="20"/>
                <w:szCs w:val="20"/>
                <w:highlight w:val="none"/>
                <w:u w:val="none"/>
              </w:rPr>
            </w:pPr>
          </w:p>
        </w:tc>
      </w:tr>
      <w:tr w14:paraId="33032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7C43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2080101</w:t>
            </w:r>
          </w:p>
        </w:tc>
        <w:tc>
          <w:tcPr>
            <w:tcW w:w="635" w:type="pct"/>
            <w:tcBorders>
              <w:top w:val="nil"/>
              <w:left w:val="nil"/>
              <w:bottom w:val="single" w:color="000000" w:sz="4" w:space="0"/>
              <w:right w:val="single" w:color="000000" w:sz="4" w:space="0"/>
            </w:tcBorders>
            <w:noWrap/>
            <w:vAlign w:val="center"/>
          </w:tcPr>
          <w:p w14:paraId="49790A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D44DE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279E30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434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760B22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61306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568C45">
            <w:pPr>
              <w:jc w:val="right"/>
              <w:rPr>
                <w:rFonts w:hint="default" w:ascii="Times New Roman" w:hAnsi="Times New Roman" w:eastAsia="宋体" w:cs="Times New Roman"/>
                <w:i w:val="0"/>
                <w:iCs w:val="0"/>
                <w:color w:val="000000"/>
                <w:sz w:val="20"/>
                <w:szCs w:val="20"/>
                <w:highlight w:val="none"/>
                <w:u w:val="none"/>
              </w:rPr>
            </w:pPr>
          </w:p>
        </w:tc>
      </w:tr>
      <w:tr w14:paraId="75CA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4333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37ADE8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A550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602" w:type="pct"/>
            <w:gridSpan w:val="2"/>
            <w:tcBorders>
              <w:top w:val="nil"/>
              <w:left w:val="nil"/>
              <w:bottom w:val="single" w:color="000000" w:sz="4" w:space="0"/>
              <w:right w:val="single" w:color="000000" w:sz="4" w:space="0"/>
            </w:tcBorders>
            <w:noWrap/>
            <w:vAlign w:val="center"/>
          </w:tcPr>
          <w:p w14:paraId="613715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602" w:type="pct"/>
            <w:tcBorders>
              <w:top w:val="nil"/>
              <w:left w:val="nil"/>
              <w:bottom w:val="single" w:color="000000" w:sz="4" w:space="0"/>
              <w:right w:val="single" w:color="000000" w:sz="4" w:space="0"/>
            </w:tcBorders>
            <w:noWrap/>
            <w:vAlign w:val="center"/>
          </w:tcPr>
          <w:p w14:paraId="1D4CEC7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46481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8F23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F4508D">
            <w:pPr>
              <w:jc w:val="right"/>
              <w:rPr>
                <w:rFonts w:hint="default" w:ascii="Times New Roman" w:hAnsi="Times New Roman" w:eastAsia="宋体" w:cs="Times New Roman"/>
                <w:i w:val="0"/>
                <w:iCs w:val="0"/>
                <w:color w:val="000000"/>
                <w:sz w:val="20"/>
                <w:szCs w:val="20"/>
                <w:highlight w:val="none"/>
                <w:u w:val="none"/>
              </w:rPr>
            </w:pPr>
          </w:p>
        </w:tc>
      </w:tr>
      <w:tr w14:paraId="5625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568C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575BB4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157B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602" w:type="pct"/>
            <w:gridSpan w:val="2"/>
            <w:tcBorders>
              <w:top w:val="nil"/>
              <w:left w:val="nil"/>
              <w:bottom w:val="single" w:color="000000" w:sz="4" w:space="0"/>
              <w:right w:val="single" w:color="000000" w:sz="4" w:space="0"/>
            </w:tcBorders>
            <w:noWrap/>
            <w:vAlign w:val="center"/>
          </w:tcPr>
          <w:p w14:paraId="0C93EF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602" w:type="pct"/>
            <w:tcBorders>
              <w:top w:val="nil"/>
              <w:left w:val="nil"/>
              <w:bottom w:val="single" w:color="000000" w:sz="4" w:space="0"/>
              <w:right w:val="single" w:color="000000" w:sz="4" w:space="0"/>
            </w:tcBorders>
            <w:noWrap/>
            <w:vAlign w:val="center"/>
          </w:tcPr>
          <w:p w14:paraId="416B12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5675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DF62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F72396">
            <w:pPr>
              <w:jc w:val="right"/>
              <w:rPr>
                <w:rFonts w:hint="default" w:ascii="Times New Roman" w:hAnsi="Times New Roman" w:eastAsia="宋体" w:cs="Times New Roman"/>
                <w:i w:val="0"/>
                <w:iCs w:val="0"/>
                <w:color w:val="000000"/>
                <w:sz w:val="20"/>
                <w:szCs w:val="20"/>
                <w:highlight w:val="none"/>
                <w:u w:val="none"/>
              </w:rPr>
            </w:pPr>
          </w:p>
        </w:tc>
      </w:tr>
      <w:tr w14:paraId="1D7D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7F1F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0677F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48CFF8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602" w:type="pct"/>
            <w:gridSpan w:val="2"/>
            <w:tcBorders>
              <w:top w:val="nil"/>
              <w:left w:val="nil"/>
              <w:bottom w:val="single" w:color="000000" w:sz="4" w:space="0"/>
              <w:right w:val="single" w:color="000000" w:sz="4" w:space="0"/>
            </w:tcBorders>
            <w:noWrap/>
            <w:vAlign w:val="center"/>
          </w:tcPr>
          <w:p w14:paraId="27C90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602" w:type="pct"/>
            <w:tcBorders>
              <w:top w:val="nil"/>
              <w:left w:val="nil"/>
              <w:bottom w:val="single" w:color="000000" w:sz="4" w:space="0"/>
              <w:right w:val="single" w:color="000000" w:sz="4" w:space="0"/>
            </w:tcBorders>
            <w:noWrap/>
            <w:vAlign w:val="center"/>
          </w:tcPr>
          <w:p w14:paraId="481C56A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8CE64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C7E2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1E40A7">
            <w:pPr>
              <w:jc w:val="right"/>
              <w:rPr>
                <w:rFonts w:hint="default" w:ascii="Times New Roman" w:hAnsi="Times New Roman" w:eastAsia="宋体" w:cs="Times New Roman"/>
                <w:i w:val="0"/>
                <w:iCs w:val="0"/>
                <w:color w:val="000000"/>
                <w:sz w:val="20"/>
                <w:szCs w:val="20"/>
                <w:highlight w:val="none"/>
                <w:u w:val="none"/>
              </w:rPr>
            </w:pPr>
          </w:p>
        </w:tc>
      </w:tr>
      <w:tr w14:paraId="657D2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7704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75B728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6CAA43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602" w:type="pct"/>
            <w:gridSpan w:val="2"/>
            <w:tcBorders>
              <w:top w:val="nil"/>
              <w:left w:val="nil"/>
              <w:bottom w:val="single" w:color="000000" w:sz="4" w:space="0"/>
              <w:right w:val="single" w:color="000000" w:sz="4" w:space="0"/>
            </w:tcBorders>
            <w:noWrap/>
            <w:vAlign w:val="center"/>
          </w:tcPr>
          <w:p w14:paraId="0FE719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602" w:type="pct"/>
            <w:tcBorders>
              <w:top w:val="nil"/>
              <w:left w:val="nil"/>
              <w:bottom w:val="single" w:color="000000" w:sz="4" w:space="0"/>
              <w:right w:val="single" w:color="000000" w:sz="4" w:space="0"/>
            </w:tcBorders>
            <w:noWrap/>
            <w:vAlign w:val="center"/>
          </w:tcPr>
          <w:p w14:paraId="6D83114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59A8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D1BC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95843D">
            <w:pPr>
              <w:jc w:val="right"/>
              <w:rPr>
                <w:rFonts w:hint="default" w:ascii="Times New Roman" w:hAnsi="Times New Roman" w:eastAsia="宋体" w:cs="Times New Roman"/>
                <w:i w:val="0"/>
                <w:iCs w:val="0"/>
                <w:color w:val="000000"/>
                <w:sz w:val="20"/>
                <w:szCs w:val="20"/>
                <w:highlight w:val="none"/>
                <w:u w:val="none"/>
              </w:rPr>
            </w:pPr>
          </w:p>
        </w:tc>
      </w:tr>
      <w:tr w14:paraId="41C3E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4F6D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167C10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A8ED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602" w:type="pct"/>
            <w:gridSpan w:val="2"/>
            <w:tcBorders>
              <w:top w:val="nil"/>
              <w:left w:val="nil"/>
              <w:bottom w:val="single" w:color="000000" w:sz="4" w:space="0"/>
              <w:right w:val="single" w:color="000000" w:sz="4" w:space="0"/>
            </w:tcBorders>
            <w:noWrap/>
            <w:vAlign w:val="center"/>
          </w:tcPr>
          <w:p w14:paraId="542F82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602" w:type="pct"/>
            <w:tcBorders>
              <w:top w:val="nil"/>
              <w:left w:val="nil"/>
              <w:bottom w:val="single" w:color="000000" w:sz="4" w:space="0"/>
              <w:right w:val="single" w:color="000000" w:sz="4" w:space="0"/>
            </w:tcBorders>
            <w:noWrap/>
            <w:vAlign w:val="center"/>
          </w:tcPr>
          <w:p w14:paraId="0F8A291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8E5F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3902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56CFAE">
            <w:pPr>
              <w:jc w:val="right"/>
              <w:rPr>
                <w:rFonts w:hint="default" w:ascii="Times New Roman" w:hAnsi="Times New Roman" w:eastAsia="宋体" w:cs="Times New Roman"/>
                <w:i w:val="0"/>
                <w:iCs w:val="0"/>
                <w:color w:val="000000"/>
                <w:sz w:val="20"/>
                <w:szCs w:val="20"/>
                <w:highlight w:val="none"/>
                <w:u w:val="none"/>
              </w:rPr>
            </w:pPr>
          </w:p>
        </w:tc>
      </w:tr>
      <w:tr w14:paraId="2B2F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E559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699E34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0771A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602" w:type="pct"/>
            <w:gridSpan w:val="2"/>
            <w:tcBorders>
              <w:top w:val="nil"/>
              <w:left w:val="nil"/>
              <w:bottom w:val="single" w:color="000000" w:sz="4" w:space="0"/>
              <w:right w:val="single" w:color="000000" w:sz="4" w:space="0"/>
            </w:tcBorders>
            <w:noWrap/>
            <w:vAlign w:val="center"/>
          </w:tcPr>
          <w:p w14:paraId="721368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602" w:type="pct"/>
            <w:tcBorders>
              <w:top w:val="nil"/>
              <w:left w:val="nil"/>
              <w:bottom w:val="single" w:color="000000" w:sz="4" w:space="0"/>
              <w:right w:val="single" w:color="000000" w:sz="4" w:space="0"/>
            </w:tcBorders>
            <w:noWrap/>
            <w:vAlign w:val="center"/>
          </w:tcPr>
          <w:p w14:paraId="25A1894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DEF16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C4E22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F4339E">
            <w:pPr>
              <w:jc w:val="right"/>
              <w:rPr>
                <w:rFonts w:hint="default" w:ascii="Times New Roman" w:hAnsi="Times New Roman" w:eastAsia="宋体" w:cs="Times New Roman"/>
                <w:i w:val="0"/>
                <w:iCs w:val="0"/>
                <w:color w:val="000000"/>
                <w:sz w:val="20"/>
                <w:szCs w:val="20"/>
                <w:highlight w:val="none"/>
                <w:u w:val="none"/>
              </w:rPr>
            </w:pPr>
          </w:p>
        </w:tc>
      </w:tr>
      <w:tr w14:paraId="000E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268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86C16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C0DF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191BC1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52F5AD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49BA3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C51C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EDB082">
            <w:pPr>
              <w:jc w:val="right"/>
              <w:rPr>
                <w:rFonts w:hint="default" w:ascii="Times New Roman" w:hAnsi="Times New Roman" w:eastAsia="宋体" w:cs="Times New Roman"/>
                <w:i w:val="0"/>
                <w:iCs w:val="0"/>
                <w:color w:val="000000"/>
                <w:sz w:val="20"/>
                <w:szCs w:val="20"/>
                <w:highlight w:val="none"/>
                <w:u w:val="none"/>
              </w:rPr>
            </w:pPr>
          </w:p>
        </w:tc>
      </w:tr>
      <w:tr w14:paraId="3BEF6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D2F7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9EDA1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AC3BB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7AEE5F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0BAAD1B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F345B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6049A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A798BD">
            <w:pPr>
              <w:jc w:val="right"/>
              <w:rPr>
                <w:rFonts w:hint="default" w:ascii="Times New Roman" w:hAnsi="Times New Roman" w:eastAsia="宋体" w:cs="Times New Roman"/>
                <w:i w:val="0"/>
                <w:iCs w:val="0"/>
                <w:color w:val="000000"/>
                <w:sz w:val="20"/>
                <w:szCs w:val="20"/>
                <w:highlight w:val="none"/>
                <w:u w:val="none"/>
              </w:rPr>
            </w:pPr>
          </w:p>
        </w:tc>
      </w:tr>
      <w:tr w14:paraId="41490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B516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306EA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83D7B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697B11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1D1A85B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F761E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3067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0A4FCA">
            <w:pPr>
              <w:jc w:val="right"/>
              <w:rPr>
                <w:rFonts w:hint="default" w:ascii="Times New Roman" w:hAnsi="Times New Roman" w:eastAsia="宋体" w:cs="Times New Roman"/>
                <w:i w:val="0"/>
                <w:iCs w:val="0"/>
                <w:color w:val="000000"/>
                <w:sz w:val="20"/>
                <w:szCs w:val="20"/>
                <w:highlight w:val="none"/>
                <w:u w:val="none"/>
              </w:rPr>
            </w:pPr>
          </w:p>
        </w:tc>
      </w:tr>
      <w:tr w14:paraId="225A0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F95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2F06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14BC85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D8B29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DD02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14EC62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F2956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E9AA61">
            <w:pPr>
              <w:jc w:val="right"/>
              <w:rPr>
                <w:rFonts w:hint="default" w:ascii="Times New Roman" w:hAnsi="Times New Roman" w:eastAsia="宋体" w:cs="Times New Roman"/>
                <w:i w:val="0"/>
                <w:iCs w:val="0"/>
                <w:color w:val="000000"/>
                <w:sz w:val="20"/>
                <w:szCs w:val="20"/>
                <w:highlight w:val="none"/>
                <w:u w:val="none"/>
              </w:rPr>
            </w:pPr>
          </w:p>
        </w:tc>
      </w:tr>
      <w:tr w14:paraId="3B6DD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5A13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39B01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4CAF7E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EB30D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4A85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4131D2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57C8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20D9BB">
            <w:pPr>
              <w:jc w:val="right"/>
              <w:rPr>
                <w:rFonts w:hint="default" w:ascii="Times New Roman" w:hAnsi="Times New Roman" w:eastAsia="宋体" w:cs="Times New Roman"/>
                <w:i w:val="0"/>
                <w:iCs w:val="0"/>
                <w:color w:val="000000"/>
                <w:sz w:val="20"/>
                <w:szCs w:val="20"/>
                <w:highlight w:val="none"/>
                <w:u w:val="none"/>
              </w:rPr>
            </w:pPr>
          </w:p>
        </w:tc>
      </w:tr>
      <w:tr w14:paraId="16175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D8F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7A4794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4A5429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131E878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FA4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D1C5A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43A9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B7D241">
            <w:pPr>
              <w:jc w:val="right"/>
              <w:rPr>
                <w:rFonts w:hint="default" w:ascii="Times New Roman" w:hAnsi="Times New Roman" w:eastAsia="宋体" w:cs="Times New Roman"/>
                <w:i w:val="0"/>
                <w:iCs w:val="0"/>
                <w:color w:val="000000"/>
                <w:sz w:val="20"/>
                <w:szCs w:val="20"/>
                <w:highlight w:val="none"/>
                <w:u w:val="none"/>
              </w:rPr>
            </w:pPr>
          </w:p>
        </w:tc>
      </w:tr>
      <w:tr w14:paraId="6347A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30A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4246F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D71A1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24BD71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714B2C8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B2B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EFBD1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69ECC9">
            <w:pPr>
              <w:jc w:val="right"/>
              <w:rPr>
                <w:rFonts w:hint="default" w:ascii="Times New Roman" w:hAnsi="Times New Roman" w:eastAsia="宋体" w:cs="Times New Roman"/>
                <w:i w:val="0"/>
                <w:iCs w:val="0"/>
                <w:color w:val="000000"/>
                <w:sz w:val="20"/>
                <w:szCs w:val="20"/>
                <w:highlight w:val="none"/>
                <w:u w:val="none"/>
              </w:rPr>
            </w:pPr>
          </w:p>
        </w:tc>
      </w:tr>
      <w:tr w14:paraId="44BA1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3AF6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8701D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EB3C8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3DCE11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134E760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7F4A2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0F4F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0840BA">
            <w:pPr>
              <w:jc w:val="right"/>
              <w:rPr>
                <w:rFonts w:hint="default" w:ascii="Times New Roman" w:hAnsi="Times New Roman" w:eastAsia="宋体" w:cs="Times New Roman"/>
                <w:i w:val="0"/>
                <w:iCs w:val="0"/>
                <w:color w:val="000000"/>
                <w:sz w:val="20"/>
                <w:szCs w:val="20"/>
                <w:highlight w:val="none"/>
                <w:u w:val="none"/>
              </w:rPr>
            </w:pPr>
          </w:p>
        </w:tc>
      </w:tr>
      <w:tr w14:paraId="254D9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296D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8B9D7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DC90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7B1509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6697E85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38BC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37C9C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2343DD">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1,089.19</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637.38</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451.82</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r>
      <w:tr w14:paraId="662C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6B42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6E2C3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D871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CEFA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0B50FB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r>
      <w:tr w14:paraId="0F64F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1353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6EEF0D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4671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19E8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6AED9B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r>
      <w:tr w14:paraId="3C93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8A57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08A952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41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56F57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279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r>
      <w:tr w14:paraId="1C26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6819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0263F8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762A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C098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44.63</w:t>
            </w:r>
          </w:p>
        </w:tc>
        <w:tc>
          <w:tcPr>
            <w:tcW w:w="1218" w:type="pct"/>
            <w:tcBorders>
              <w:top w:val="single" w:color="auto" w:sz="4" w:space="0"/>
              <w:left w:val="single" w:color="auto" w:sz="4" w:space="0"/>
              <w:bottom w:val="single" w:color="auto" w:sz="4" w:space="0"/>
              <w:right w:val="single" w:color="auto" w:sz="4" w:space="0"/>
            </w:tcBorders>
            <w:noWrap/>
            <w:vAlign w:val="center"/>
          </w:tcPr>
          <w:p w14:paraId="3C160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72F2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4ACA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5CB48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2E8A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38A27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9AD4F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5185F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31D4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F0FAF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0A31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A2EE4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809ED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3DC7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F8CF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62F61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2F15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4F96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1218" w:type="pct"/>
            <w:tcBorders>
              <w:top w:val="single" w:color="auto" w:sz="4" w:space="0"/>
              <w:left w:val="single" w:color="auto" w:sz="4" w:space="0"/>
              <w:bottom w:val="single" w:color="auto" w:sz="4" w:space="0"/>
              <w:right w:val="single" w:color="auto" w:sz="4" w:space="0"/>
            </w:tcBorders>
            <w:noWrap/>
            <w:vAlign w:val="center"/>
          </w:tcPr>
          <w:p w14:paraId="6B2DA7FD">
            <w:pPr>
              <w:jc w:val="right"/>
              <w:rPr>
                <w:rFonts w:hint="default" w:ascii="Times New Roman" w:hAnsi="Times New Roman" w:eastAsia="宋体" w:cs="Times New Roman"/>
                <w:i w:val="0"/>
                <w:iCs w:val="0"/>
                <w:color w:val="000000"/>
                <w:sz w:val="20"/>
                <w:szCs w:val="20"/>
                <w:highlight w:val="none"/>
                <w:u w:val="none"/>
              </w:rPr>
            </w:pPr>
          </w:p>
        </w:tc>
      </w:tr>
      <w:tr w14:paraId="0627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052CB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79F7D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8904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665D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1218" w:type="pct"/>
            <w:tcBorders>
              <w:top w:val="single" w:color="auto" w:sz="4" w:space="0"/>
              <w:left w:val="single" w:color="auto" w:sz="4" w:space="0"/>
              <w:bottom w:val="single" w:color="auto" w:sz="4" w:space="0"/>
              <w:right w:val="single" w:color="auto" w:sz="4" w:space="0"/>
            </w:tcBorders>
            <w:noWrap/>
            <w:vAlign w:val="center"/>
          </w:tcPr>
          <w:p w14:paraId="5C83E7F0">
            <w:pPr>
              <w:jc w:val="right"/>
              <w:rPr>
                <w:rFonts w:hint="default" w:ascii="Times New Roman" w:hAnsi="Times New Roman" w:eastAsia="宋体" w:cs="Times New Roman"/>
                <w:i w:val="0"/>
                <w:iCs w:val="0"/>
                <w:color w:val="000000"/>
                <w:sz w:val="20"/>
                <w:szCs w:val="20"/>
                <w:highlight w:val="none"/>
                <w:u w:val="none"/>
              </w:rPr>
            </w:pPr>
          </w:p>
        </w:tc>
      </w:tr>
      <w:tr w14:paraId="401B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E531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62CC43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ECB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8139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1218" w:type="pct"/>
            <w:tcBorders>
              <w:top w:val="single" w:color="auto" w:sz="4" w:space="0"/>
              <w:left w:val="single" w:color="auto" w:sz="4" w:space="0"/>
              <w:bottom w:val="single" w:color="auto" w:sz="4" w:space="0"/>
              <w:right w:val="single" w:color="auto" w:sz="4" w:space="0"/>
            </w:tcBorders>
            <w:noWrap/>
            <w:vAlign w:val="center"/>
          </w:tcPr>
          <w:p w14:paraId="07AAEC71">
            <w:pPr>
              <w:jc w:val="right"/>
              <w:rPr>
                <w:rFonts w:hint="default" w:ascii="Times New Roman" w:hAnsi="Times New Roman" w:eastAsia="宋体" w:cs="Times New Roman"/>
                <w:i w:val="0"/>
                <w:iCs w:val="0"/>
                <w:color w:val="000000"/>
                <w:sz w:val="20"/>
                <w:szCs w:val="20"/>
                <w:highlight w:val="none"/>
                <w:u w:val="none"/>
              </w:rPr>
            </w:pPr>
          </w:p>
        </w:tc>
      </w:tr>
      <w:tr w14:paraId="4EB9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F002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1DA997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3D7C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6D4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1218" w:type="pct"/>
            <w:tcBorders>
              <w:top w:val="single" w:color="auto" w:sz="4" w:space="0"/>
              <w:left w:val="single" w:color="auto" w:sz="4" w:space="0"/>
              <w:bottom w:val="single" w:color="auto" w:sz="4" w:space="0"/>
              <w:right w:val="single" w:color="auto" w:sz="4" w:space="0"/>
            </w:tcBorders>
            <w:noWrap/>
            <w:vAlign w:val="center"/>
          </w:tcPr>
          <w:p w14:paraId="34D824CD">
            <w:pPr>
              <w:jc w:val="right"/>
              <w:rPr>
                <w:rFonts w:hint="default" w:ascii="Times New Roman" w:hAnsi="Times New Roman" w:eastAsia="宋体" w:cs="Times New Roman"/>
                <w:i w:val="0"/>
                <w:iCs w:val="0"/>
                <w:color w:val="000000"/>
                <w:sz w:val="20"/>
                <w:szCs w:val="20"/>
                <w:highlight w:val="none"/>
                <w:u w:val="none"/>
              </w:rPr>
            </w:pPr>
          </w:p>
        </w:tc>
      </w:tr>
      <w:tr w14:paraId="1DD8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D991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3DDB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EE8D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5A3A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1218" w:type="pct"/>
            <w:tcBorders>
              <w:top w:val="single" w:color="auto" w:sz="4" w:space="0"/>
              <w:left w:val="single" w:color="auto" w:sz="4" w:space="0"/>
              <w:bottom w:val="single" w:color="auto" w:sz="4" w:space="0"/>
              <w:right w:val="single" w:color="auto" w:sz="4" w:space="0"/>
            </w:tcBorders>
            <w:noWrap/>
            <w:vAlign w:val="center"/>
          </w:tcPr>
          <w:p w14:paraId="0F18FD5D">
            <w:pPr>
              <w:jc w:val="right"/>
              <w:rPr>
                <w:rFonts w:hint="default" w:ascii="Times New Roman" w:hAnsi="Times New Roman" w:eastAsia="宋体" w:cs="Times New Roman"/>
                <w:i w:val="0"/>
                <w:iCs w:val="0"/>
                <w:color w:val="000000"/>
                <w:sz w:val="20"/>
                <w:szCs w:val="20"/>
                <w:highlight w:val="none"/>
                <w:u w:val="none"/>
              </w:rPr>
            </w:pPr>
          </w:p>
        </w:tc>
      </w:tr>
      <w:tr w14:paraId="1113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1D78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56376F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FEA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6120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1218" w:type="pct"/>
            <w:tcBorders>
              <w:top w:val="single" w:color="auto" w:sz="4" w:space="0"/>
              <w:left w:val="single" w:color="auto" w:sz="4" w:space="0"/>
              <w:bottom w:val="single" w:color="auto" w:sz="4" w:space="0"/>
              <w:right w:val="single" w:color="auto" w:sz="4" w:space="0"/>
            </w:tcBorders>
            <w:noWrap/>
            <w:vAlign w:val="center"/>
          </w:tcPr>
          <w:p w14:paraId="0A7C2E8F">
            <w:pPr>
              <w:jc w:val="right"/>
              <w:rPr>
                <w:rFonts w:hint="default" w:ascii="Times New Roman" w:hAnsi="Times New Roman" w:eastAsia="宋体" w:cs="Times New Roman"/>
                <w:i w:val="0"/>
                <w:iCs w:val="0"/>
                <w:color w:val="000000"/>
                <w:sz w:val="20"/>
                <w:szCs w:val="20"/>
                <w:highlight w:val="none"/>
                <w:u w:val="none"/>
              </w:rPr>
            </w:pPr>
          </w:p>
        </w:tc>
      </w:tr>
      <w:tr w14:paraId="41AB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DD07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763A38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6DA8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4A98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464E9525">
            <w:pPr>
              <w:jc w:val="right"/>
              <w:rPr>
                <w:rFonts w:hint="default" w:ascii="Times New Roman" w:hAnsi="Times New Roman" w:eastAsia="宋体" w:cs="Times New Roman"/>
                <w:i w:val="0"/>
                <w:iCs w:val="0"/>
                <w:color w:val="000000"/>
                <w:sz w:val="20"/>
                <w:szCs w:val="20"/>
                <w:highlight w:val="none"/>
                <w:u w:val="none"/>
              </w:rPr>
            </w:pPr>
          </w:p>
        </w:tc>
      </w:tr>
      <w:tr w14:paraId="21789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5A6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F1B0F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C304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1A3A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3E633343">
            <w:pPr>
              <w:jc w:val="right"/>
              <w:rPr>
                <w:rFonts w:hint="default" w:ascii="Times New Roman" w:hAnsi="Times New Roman" w:eastAsia="宋体" w:cs="Times New Roman"/>
                <w:i w:val="0"/>
                <w:iCs w:val="0"/>
                <w:color w:val="000000"/>
                <w:sz w:val="20"/>
                <w:szCs w:val="20"/>
                <w:highlight w:val="none"/>
                <w:u w:val="none"/>
              </w:rPr>
            </w:pPr>
          </w:p>
        </w:tc>
      </w:tr>
      <w:tr w14:paraId="55918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632D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75810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32D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3573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734CD165">
            <w:pPr>
              <w:jc w:val="right"/>
              <w:rPr>
                <w:rFonts w:hint="default" w:ascii="Times New Roman" w:hAnsi="Times New Roman" w:eastAsia="宋体" w:cs="Times New Roman"/>
                <w:i w:val="0"/>
                <w:iCs w:val="0"/>
                <w:color w:val="000000"/>
                <w:sz w:val="20"/>
                <w:szCs w:val="20"/>
                <w:highlight w:val="none"/>
                <w:u w:val="none"/>
              </w:rPr>
            </w:pPr>
          </w:p>
        </w:tc>
      </w:tr>
      <w:tr w14:paraId="5F9D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FD8F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582F44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07E2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6C116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39D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418F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9352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2ED3C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8E1C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C893A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A4A0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2EEC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2190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413F0D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1AA6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A177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3874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4C3C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F505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AA004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FE16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3A9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17B3B390">
            <w:pPr>
              <w:jc w:val="right"/>
              <w:rPr>
                <w:rFonts w:hint="default" w:ascii="Times New Roman" w:hAnsi="Times New Roman" w:eastAsia="宋体" w:cs="Times New Roman"/>
                <w:i w:val="0"/>
                <w:iCs w:val="0"/>
                <w:color w:val="000000"/>
                <w:sz w:val="20"/>
                <w:szCs w:val="20"/>
                <w:highlight w:val="none"/>
                <w:u w:val="none"/>
              </w:rPr>
            </w:pPr>
          </w:p>
        </w:tc>
      </w:tr>
      <w:tr w14:paraId="5845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773C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E6291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3F2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00F5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4B38FB3C">
            <w:pPr>
              <w:jc w:val="right"/>
              <w:rPr>
                <w:rFonts w:hint="default" w:ascii="Times New Roman" w:hAnsi="Times New Roman" w:eastAsia="宋体" w:cs="Times New Roman"/>
                <w:i w:val="0"/>
                <w:iCs w:val="0"/>
                <w:color w:val="000000"/>
                <w:sz w:val="20"/>
                <w:szCs w:val="20"/>
                <w:highlight w:val="none"/>
                <w:u w:val="none"/>
              </w:rPr>
            </w:pPr>
          </w:p>
        </w:tc>
      </w:tr>
      <w:tr w14:paraId="65338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180C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BCF75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6852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FB0F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6AF08960">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556.62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55.38</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195.61</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5.13</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68.04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65.74</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54.71</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39.44</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11.00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3.36</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14.69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1.29</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82.46</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25.37</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24.41</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4.34</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8.33</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20.25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581.99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55.38</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部门：行唐县上碑镇人民政府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2B22E41">
      <w:pPr>
        <w:spacing w:line="240" w:lineRule="auto"/>
        <w:rPr>
          <w:rFonts w:ascii="仿宋" w:hAnsi="仿宋" w:eastAsia="仿宋" w:cs="仿宋"/>
          <w:sz w:val="24"/>
          <w:szCs w:val="24"/>
        </w:rPr>
      </w:pPr>
      <w:r>
        <w:rPr>
          <w:rFonts w:ascii="仿宋" w:hAnsi="仿宋" w:eastAsia="仿宋" w:cs="仿宋"/>
          <w:b/>
          <w:bCs/>
          <w:spacing w:val="5"/>
          <w:sz w:val="24"/>
          <w:szCs w:val="24"/>
        </w:rPr>
        <w:t>备注：本部门不涉及</w:t>
      </w: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部门：行唐县上碑镇人民政府</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5266AB00">
      <w:pPr>
        <w:spacing w:before="146" w:line="222" w:lineRule="auto"/>
        <w:rPr>
          <w:rFonts w:ascii="仿宋" w:hAnsi="仿宋" w:eastAsia="仿宋" w:cs="仿宋"/>
          <w:sz w:val="24"/>
          <w:szCs w:val="24"/>
        </w:rPr>
      </w:pPr>
      <w:r>
        <w:rPr>
          <w:rFonts w:ascii="仿宋" w:hAnsi="仿宋" w:eastAsia="仿宋" w:cs="仿宋"/>
          <w:b/>
          <w:bCs/>
          <w:spacing w:val="5"/>
          <w:sz w:val="24"/>
          <w:szCs w:val="24"/>
        </w:rPr>
        <w:t>备注：本部门不涉及</w:t>
      </w:r>
    </w:p>
    <w:p w14:paraId="45AC818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部门：行唐县上碑镇人民政府</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10.91</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0.51</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A812C4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7" w:type="default"/>
          <w:foot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AF5794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hint="eastAsia" w:ascii="Times New Roman" w:eastAsia="黑体"/>
          <w:b w:val="0"/>
          <w:sz w:val="44"/>
          <w:szCs w:val="44"/>
          <w:lang w:val="en-US" w:eastAsia="zh-CN"/>
        </w:rPr>
        <w:t xml:space="preserve"> </w:t>
      </w:r>
      <w:r>
        <w:rPr>
          <w:rFonts w:ascii="Times New Roman" w:eastAsia="仿宋_GB2312"/>
          <w:b w:val="0"/>
          <w:sz w:val="44"/>
          <w:szCs w:val="44"/>
        </w:rPr>
        <w:t>2024</w:t>
      </w:r>
      <w:r>
        <w:rPr>
          <w:rFonts w:ascii="Times New Roman" w:eastAsia="黑体"/>
          <w:b w:val="0"/>
          <w:sz w:val="44"/>
          <w:szCs w:val="44"/>
        </w:rPr>
        <w:t>年度部门决算情况说明</w:t>
      </w:r>
    </w:p>
    <w:p w14:paraId="70FDFF6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60FA7E5">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2024年度收、支总计（含结转和结余）均为1,089.19万元。与2023年度决算相比，收支各减少264.33万元，下降19.5%，主要原因是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48323B9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D040292">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2024年度本年收入合计1,089.19万元，其中：财政拨款收入1,089.19万元，占100.0%。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3AC3506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96066F9">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2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2024年度本年支出合计1,089.19万元，其中：基本支出637.38万元，占58.5%；项目支出451.82万元，占41.5%。</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3FAD8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BEBAFCC">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firstLine="643" w:firstLineChars="200"/>
        <w:jc w:val="left"/>
        <w:textAlignment w:val="auto"/>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E834C7">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2024年度财政拨款收、支总计（含结转和结余）均为1,089.19万元。与2023年度相比，财政拨款收支各减少264.33万元，降低19.5%，主要原因是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w:t>
      </w:r>
    </w:p>
    <w:p w14:paraId="4B5E05B4">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方正仿宋_GB2312" w:hAnsi="方正仿宋_GB2312" w:eastAsia="方正仿宋_GB2312" w:cs="方正仿宋_GB2312"/>
          <w:sz w:val="32"/>
          <w:szCs w:val="32"/>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2024年度财政拨款本年收入1,089.19万元,比上年减少264.33万元，降低19.5%，主要原因是；本年支出1,089.19万元，比上年减少264.33万元，降低19.5%，主要原因是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。具体情况如下</w:t>
      </w:r>
      <w:r>
        <w:rPr>
          <w:rFonts w:hint="eastAsia" w:ascii="方正仿宋_GB2312" w:hAnsi="方正仿宋_GB2312" w:eastAsia="方正仿宋_GB2312" w:cs="方正仿宋_GB2312"/>
          <w:b w:val="0"/>
          <w:sz w:val="32"/>
          <w:szCs w:val="32"/>
        </w:rPr>
        <w:t>：</w:t>
      </w:r>
    </w:p>
    <w:p w14:paraId="65D79F6C">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Times New Roman" w:hAnsi="Times New Roman" w:eastAsia="Times New Roman" w:cs="Times New Roman"/>
          <w:spacing w:val="5"/>
          <w:sz w:val="31"/>
          <w:szCs w:val="31"/>
        </w:rPr>
        <w:t>1</w:t>
      </w:r>
      <w:r>
        <w:rPr>
          <w:rFonts w:hint="eastAsia" w:ascii="Times New Roman" w:hAnsi="Times New Roman" w:eastAsia="宋体" w:cs="Times New Roman"/>
          <w:spacing w:val="5"/>
          <w:sz w:val="31"/>
          <w:szCs w:val="31"/>
          <w:lang w:eastAsia="zh-CN"/>
        </w:rPr>
        <w:t>、</w:t>
      </w:r>
      <w:r>
        <w:rPr>
          <w:rFonts w:hint="eastAsia" w:ascii="Times New Roman" w:hAnsi="Times New Roman" w:eastAsia="Times New Roman" w:cs="Times New Roman"/>
          <w:spacing w:val="5"/>
          <w:sz w:val="31"/>
          <w:szCs w:val="31"/>
        </w:rPr>
        <w:t xml:space="preserve"> </w:t>
      </w:r>
      <w:r>
        <w:rPr>
          <w:rFonts w:hint="eastAsia" w:ascii="仿宋" w:hAnsi="仿宋" w:eastAsia="仿宋" w:cs="仿宋"/>
          <w:spacing w:val="5"/>
          <w:sz w:val="31"/>
          <w:szCs w:val="31"/>
        </w:rPr>
        <w:t>一般公共预算财政拨款本年收入1,089.19万元,比上年减少264.33万元，降低19.5%，主要原因是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；本年支出1,089.19万元，比上年减少264.33万元，降低19.5%，主要原因是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w:t>
      </w:r>
    </w:p>
    <w:p w14:paraId="054227D2">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ascii="仿宋" w:hAnsi="仿宋" w:eastAsia="仿宋" w:cs="仿宋"/>
          <w:sz w:val="31"/>
          <w:szCs w:val="31"/>
        </w:rPr>
      </w:pPr>
      <w:r>
        <w:rPr>
          <w:rFonts w:ascii="Times New Roman" w:hAnsi="Times New Roman" w:eastAsia="Times New Roman" w:cs="Times New Roman"/>
          <w:spacing w:val="5"/>
          <w:sz w:val="31"/>
          <w:szCs w:val="31"/>
        </w:rPr>
        <w:t>2</w:t>
      </w:r>
      <w:r>
        <w:rPr>
          <w:rFonts w:hint="eastAsia" w:ascii="Times New Roman" w:hAnsi="Times New Roman" w:eastAsia="宋体" w:cs="Times New Roman"/>
          <w:spacing w:val="5"/>
          <w:sz w:val="31"/>
          <w:szCs w:val="31"/>
          <w:lang w:eastAsia="zh-CN"/>
        </w:rPr>
        <w:t>、</w:t>
      </w:r>
      <w:r>
        <w:rPr>
          <w:rFonts w:ascii="仿宋" w:hAnsi="仿宋" w:eastAsia="仿宋" w:cs="仿宋"/>
          <w:spacing w:val="5"/>
          <w:sz w:val="31"/>
          <w:szCs w:val="31"/>
        </w:rPr>
        <w:t>政府性基金预算财政拨款本年收入</w:t>
      </w:r>
      <w:r>
        <w:rPr>
          <w:rFonts w:ascii="Times New Roman" w:hAnsi="Times New Roman" w:eastAsia="Times New Roman" w:cs="Times New Roman"/>
          <w:spacing w:val="5"/>
          <w:sz w:val="31"/>
          <w:szCs w:val="31"/>
        </w:rPr>
        <w:t>0</w:t>
      </w:r>
      <w:r>
        <w:rPr>
          <w:rFonts w:ascii="仿宋" w:hAnsi="仿宋" w:eastAsia="仿宋" w:cs="仿宋"/>
          <w:spacing w:val="5"/>
          <w:sz w:val="31"/>
          <w:szCs w:val="31"/>
        </w:rPr>
        <w:t>万元，</w:t>
      </w:r>
      <w:r>
        <w:rPr>
          <w:rFonts w:ascii="仿宋" w:hAnsi="仿宋" w:eastAsia="仿宋" w:cs="仿宋"/>
          <w:spacing w:val="-71"/>
          <w:sz w:val="31"/>
          <w:szCs w:val="31"/>
        </w:rPr>
        <w:t xml:space="preserve"> </w:t>
      </w:r>
      <w:r>
        <w:rPr>
          <w:rFonts w:ascii="仿宋" w:hAnsi="仿宋" w:eastAsia="仿宋" w:cs="仿宋"/>
          <w:spacing w:val="5"/>
          <w:sz w:val="31"/>
          <w:szCs w:val="31"/>
        </w:rPr>
        <w:t>比上年</w:t>
      </w:r>
      <w:r>
        <w:rPr>
          <w:rFonts w:ascii="仿宋" w:hAnsi="仿宋" w:eastAsia="仿宋" w:cs="仿宋"/>
          <w:spacing w:val="5"/>
          <w:sz w:val="30"/>
          <w:szCs w:val="30"/>
        </w:rPr>
        <w:t>持</w:t>
      </w:r>
      <w:r>
        <w:rPr>
          <w:rFonts w:ascii="仿宋" w:hAnsi="仿宋" w:eastAsia="仿宋" w:cs="仿宋"/>
          <w:spacing w:val="-9"/>
          <w:sz w:val="30"/>
          <w:szCs w:val="30"/>
        </w:rPr>
        <w:t>平</w:t>
      </w:r>
      <w:r>
        <w:rPr>
          <w:rFonts w:ascii="仿宋" w:hAnsi="仿宋" w:eastAsia="仿宋" w:cs="仿宋"/>
          <w:spacing w:val="-9"/>
          <w:sz w:val="31"/>
          <w:szCs w:val="31"/>
        </w:rPr>
        <w:t>。</w:t>
      </w:r>
    </w:p>
    <w:p w14:paraId="57E5F899">
      <w:pPr>
        <w:keepNext w:val="0"/>
        <w:keepLines w:val="0"/>
        <w:pageBreakBefore w:val="0"/>
        <w:widowControl w:val="0"/>
        <w:kinsoku/>
        <w:wordWrap/>
        <w:overflowPunct/>
        <w:topLinePunct w:val="0"/>
        <w:autoSpaceDE/>
        <w:autoSpaceDN/>
        <w:bidi w:val="0"/>
        <w:adjustRightInd w:val="0"/>
        <w:snapToGrid w:val="0"/>
        <w:spacing w:line="520" w:lineRule="exact"/>
        <w:ind w:left="0" w:right="0" w:firstLine="636" w:firstLineChars="200"/>
        <w:textAlignment w:val="auto"/>
        <w:rPr>
          <w:rFonts w:ascii="仿宋" w:hAnsi="仿宋" w:eastAsia="仿宋" w:cs="仿宋"/>
          <w:sz w:val="31"/>
          <w:szCs w:val="31"/>
        </w:rPr>
      </w:pPr>
      <w:r>
        <w:rPr>
          <w:rFonts w:ascii="Times New Roman" w:hAnsi="Times New Roman" w:eastAsia="Times New Roman" w:cs="Times New Roman"/>
          <w:spacing w:val="4"/>
          <w:sz w:val="31"/>
          <w:szCs w:val="31"/>
        </w:rPr>
        <w:t>3</w:t>
      </w:r>
      <w:r>
        <w:rPr>
          <w:rFonts w:hint="eastAsia" w:ascii="Times New Roman" w:hAnsi="Times New Roman" w:eastAsia="宋体" w:cs="Times New Roman"/>
          <w:spacing w:val="4"/>
          <w:sz w:val="31"/>
          <w:szCs w:val="31"/>
          <w:lang w:eastAsia="zh-CN"/>
        </w:rPr>
        <w:t>、</w:t>
      </w:r>
      <w:r>
        <w:rPr>
          <w:rFonts w:ascii="仿宋" w:hAnsi="仿宋" w:eastAsia="仿宋" w:cs="仿宋"/>
          <w:spacing w:val="4"/>
          <w:sz w:val="31"/>
          <w:szCs w:val="31"/>
        </w:rPr>
        <w:t>国有资本经营预算财政拨款本年收入</w:t>
      </w:r>
      <w:r>
        <w:rPr>
          <w:rFonts w:ascii="Times New Roman" w:hAnsi="Times New Roman" w:eastAsia="Times New Roman" w:cs="Times New Roman"/>
          <w:spacing w:val="4"/>
          <w:sz w:val="31"/>
          <w:szCs w:val="31"/>
        </w:rPr>
        <w:t>0</w:t>
      </w:r>
      <w:r>
        <w:rPr>
          <w:rFonts w:ascii="仿宋" w:hAnsi="仿宋" w:eastAsia="仿宋" w:cs="仿宋"/>
          <w:spacing w:val="4"/>
          <w:sz w:val="31"/>
          <w:szCs w:val="31"/>
        </w:rPr>
        <w:t>万元，</w:t>
      </w:r>
      <w:r>
        <w:rPr>
          <w:rFonts w:ascii="仿宋" w:hAnsi="仿宋" w:eastAsia="仿宋" w:cs="仿宋"/>
          <w:spacing w:val="-80"/>
          <w:sz w:val="31"/>
          <w:szCs w:val="31"/>
        </w:rPr>
        <w:t xml:space="preserve"> </w:t>
      </w:r>
      <w:r>
        <w:rPr>
          <w:rFonts w:ascii="仿宋" w:hAnsi="仿宋" w:eastAsia="仿宋" w:cs="仿宋"/>
          <w:spacing w:val="4"/>
          <w:sz w:val="31"/>
          <w:szCs w:val="31"/>
        </w:rPr>
        <w:t>比上年</w:t>
      </w:r>
      <w:r>
        <w:rPr>
          <w:rFonts w:ascii="仿宋" w:hAnsi="仿宋" w:eastAsia="仿宋" w:cs="仿宋"/>
          <w:spacing w:val="-6"/>
          <w:sz w:val="30"/>
          <w:szCs w:val="30"/>
        </w:rPr>
        <w:t>持平</w:t>
      </w:r>
      <w:r>
        <w:rPr>
          <w:rFonts w:ascii="仿宋" w:hAnsi="仿宋" w:eastAsia="仿宋" w:cs="仿宋"/>
          <w:spacing w:val="-6"/>
          <w:sz w:val="31"/>
          <w:szCs w:val="31"/>
        </w:rPr>
        <w:t>。</w:t>
      </w:r>
    </w:p>
    <w:p w14:paraId="5C4BC723">
      <w:pPr>
        <w:widowControl/>
        <w:spacing w:before="0" w:beforeLines="0" w:beforeAutospacing="0" w:after="0" w:afterLines="0" w:afterAutospacing="0" w:line="360" w:lineRule="auto"/>
        <w:ind w:firstLine="640" w:firstLineChars="200"/>
        <w:jc w:val="left"/>
        <w:rPr>
          <w:rFonts w:hint="default" w:ascii="方正仿宋_GB2312" w:hAnsi="方正仿宋_GB2312" w:eastAsia="方正仿宋_GB2312" w:cs="方正仿宋_GB2312"/>
          <w:sz w:val="32"/>
          <w:szCs w:val="32"/>
          <w:lang w:val="en-US" w:eastAsia="zh-CN"/>
        </w:rPr>
      </w:pP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3A4B4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BBE9A09">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财政拨款本年收入1,089.19万元，完成年初预算的87.1%，比年初预算减少161.83万元，决算数小于预算数主要原因是；本年支出1,089.19万元，完成年初预算的87.1%，比年初预算减少161.83万元，决算数小于预算数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。具体情况如下：</w:t>
      </w:r>
    </w:p>
    <w:p w14:paraId="76AB9FA3">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1</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 xml:space="preserve"> 一般公共预算财政拨款本年收入完成年初预算的87.1%，比年初预算减少161.83万元，主要原因是；支出完成年初预算的87.1%，比年初预算减少161.83万元，主要原因是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w:t>
      </w:r>
    </w:p>
    <w:p w14:paraId="1AE26415">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2</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政府性基金预算财政拨款本年收入0万元，完成年初预算的0%</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比年初预算持平，本年支出0万元，完成年初预算的0%</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比年初预算持平。</w:t>
      </w:r>
    </w:p>
    <w:p w14:paraId="252DC787">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3</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国有资本经营预算财政拨款本年收入0万元，完成年初预算的0%，比年初预算持平，本年支出0万元，完成年初预算的0%，比年初预算持平。</w:t>
      </w:r>
    </w:p>
    <w:p w14:paraId="7A3F20C3">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ACF66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ED3F13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仿宋_GB2312"/>
          <w:sz w:val="32"/>
          <w:szCs w:val="32"/>
        </w:rPr>
      </w:pPr>
      <w:r>
        <w:rPr>
          <w:rFonts w:hint="eastAsia" w:ascii="仿宋" w:hAnsi="仿宋" w:eastAsia="仿宋" w:cs="仿宋"/>
          <w:spacing w:val="5"/>
          <w:sz w:val="31"/>
          <w:szCs w:val="31"/>
        </w:rPr>
        <w:t>2024年度财政拨款支出1,089.19万元，主要用于以下方面：</w:t>
      </w:r>
    </w:p>
    <w:p w14:paraId="69A1FEA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一般公共服务（类）支出688.90万元，占63.2%；社会保障和就业 （类）支出45.24万元，占4.2%；卫生健康（类）支出14.69万元，占1.3%，农林水（类）支出309.62万元，占28.4%；住房保障（类）支出30.75万元，占2.</w:t>
      </w:r>
      <w:r>
        <w:rPr>
          <w:rFonts w:hint="eastAsia" w:ascii="仿宋" w:hAnsi="仿宋" w:eastAsia="仿宋" w:cs="仿宋"/>
          <w:spacing w:val="5"/>
          <w:sz w:val="31"/>
          <w:szCs w:val="31"/>
          <w:lang w:val="en-US" w:eastAsia="zh-CN"/>
        </w:rPr>
        <w:t>9</w:t>
      </w:r>
      <w:r>
        <w:rPr>
          <w:rFonts w:hint="eastAsia" w:ascii="仿宋" w:hAnsi="仿宋" w:eastAsia="仿宋" w:cs="仿宋"/>
          <w:spacing w:val="5"/>
          <w:sz w:val="31"/>
          <w:szCs w:val="31"/>
        </w:rPr>
        <w:t>%。</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817D3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（四）一般公共预算基本支出决算情况说明</w:t>
      </w:r>
    </w:p>
    <w:p w14:paraId="72BC045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2024年度财政拨款基本支出637.38万元，其中：</w:t>
      </w:r>
    </w:p>
    <w:p w14:paraId="644FE7C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人员经费581.99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68D0F99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公用经费55.38万元，主要包括办公费、印刷费、咨询费、手续费、水费、电费、邮电费、取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FD8C20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五、财政拨款“三公” 经费支出决算情况说明</w:t>
      </w:r>
    </w:p>
    <w:p w14:paraId="00A7438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（一）“三公”经费财政拨款支出决算总体情况说明</w:t>
      </w:r>
    </w:p>
    <w:p w14:paraId="1903A4B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仿宋_GB2312"/>
          <w:sz w:val="32"/>
          <w:szCs w:val="32"/>
        </w:rPr>
      </w:pPr>
      <w:r>
        <w:rPr>
          <w:rFonts w:hint="eastAsia" w:ascii="仿宋" w:hAnsi="仿宋" w:eastAsia="仿宋" w:cs="仿宋"/>
          <w:spacing w:val="5"/>
          <w:sz w:val="31"/>
          <w:szCs w:val="31"/>
        </w:rPr>
        <w:t>本</w:t>
      </w:r>
      <w:r>
        <w:rPr>
          <w:rFonts w:hint="eastAsia" w:ascii="仿宋" w:hAnsi="仿宋" w:eastAsia="仿宋" w:cs="仿宋"/>
          <w:spacing w:val="5"/>
          <w:sz w:val="31"/>
          <w:szCs w:val="31"/>
          <w:lang w:eastAsia="zh-CN"/>
        </w:rPr>
        <w:t>部门</w:t>
      </w:r>
      <w:r>
        <w:rPr>
          <w:rFonts w:hint="eastAsia" w:ascii="仿宋" w:hAnsi="仿宋" w:eastAsia="仿宋" w:cs="仿宋"/>
          <w:spacing w:val="5"/>
          <w:sz w:val="31"/>
          <w:szCs w:val="31"/>
        </w:rPr>
        <w:t>2024年度“三公”经费财政拨款支出预算为10.91万元，支出决算为8.33万元，完成预算的76.4%，较预算减少2.58万元，降低23.6%，主要原因是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；较2023年度决算减少4.87万元，降低36.9%，主要原因是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w:t>
      </w:r>
    </w:p>
    <w:p w14:paraId="6AA6B5E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（二）“三公”经费财政拨款支出决算具体情况说明</w:t>
      </w:r>
    </w:p>
    <w:p w14:paraId="74FB0F4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hint="eastAsia" w:ascii="Times New Roman" w:eastAsia="楷体_GB2312"/>
          <w:b/>
          <w:sz w:val="32"/>
          <w:szCs w:val="32"/>
          <w:lang w:val="en-US" w:eastAsia="zh-CN"/>
        </w:rPr>
        <w:t>1、</w:t>
      </w:r>
      <w:r>
        <w:rPr>
          <w:rFonts w:ascii="Times New Roman" w:eastAsia="楷体_GB2312"/>
          <w:b/>
          <w:sz w:val="32"/>
          <w:szCs w:val="32"/>
        </w:rPr>
        <w:t>因公出国（境）费支出情况。</w:t>
      </w:r>
      <w:r>
        <w:rPr>
          <w:rFonts w:ascii="仿宋" w:hAnsi="仿宋" w:eastAsia="仿宋" w:cs="仿宋"/>
          <w:spacing w:val="1"/>
          <w:sz w:val="31"/>
          <w:szCs w:val="31"/>
        </w:rPr>
        <w:t>本部门</w:t>
      </w:r>
      <w:r>
        <w:rPr>
          <w:rFonts w:ascii="仿宋" w:hAnsi="仿宋" w:eastAsia="仿宋" w:cs="仿宋"/>
          <w:spacing w:val="-68"/>
          <w:sz w:val="31"/>
          <w:szCs w:val="31"/>
        </w:rPr>
        <w:t xml:space="preserve"> </w:t>
      </w:r>
      <w:r>
        <w:rPr>
          <w:rFonts w:ascii="Times New Roman" w:hAnsi="Times New Roman" w:eastAsia="Times New Roman" w:cs="Times New Roman"/>
          <w:spacing w:val="1"/>
          <w:sz w:val="31"/>
          <w:szCs w:val="31"/>
        </w:rPr>
        <w:t>2</w:t>
      </w:r>
      <w:r>
        <w:rPr>
          <w:rFonts w:ascii="Times New Roman" w:hAnsi="Times New Roman" w:eastAsia="Times New Roman" w:cs="Times New Roman"/>
          <w:sz w:val="31"/>
          <w:szCs w:val="31"/>
        </w:rPr>
        <w:t>02</w:t>
      </w:r>
      <w:r>
        <w:rPr>
          <w:rFonts w:hint="eastAsia" w:ascii="Times New Roman" w:hAnsi="Times New Roman" w:eastAsia="宋体" w:cs="Times New Roman"/>
          <w:sz w:val="31"/>
          <w:szCs w:val="31"/>
          <w:lang w:val="en-US" w:eastAsia="zh-CN"/>
        </w:rPr>
        <w:t>4</w:t>
      </w:r>
      <w:r>
        <w:rPr>
          <w:rFonts w:ascii="仿宋" w:hAnsi="仿宋" w:eastAsia="仿宋" w:cs="仿宋"/>
          <w:sz w:val="31"/>
          <w:szCs w:val="31"/>
        </w:rPr>
        <w:t>年度因公出</w:t>
      </w:r>
      <w:r>
        <w:rPr>
          <w:rFonts w:ascii="仿宋" w:hAnsi="仿宋" w:eastAsia="仿宋" w:cs="仿宋"/>
          <w:spacing w:val="7"/>
          <w:sz w:val="31"/>
          <w:szCs w:val="31"/>
        </w:rPr>
        <w:t>国（境）费支出预算为</w:t>
      </w:r>
      <w:r>
        <w:rPr>
          <w:rFonts w:ascii="Times New Roman" w:hAnsi="Times New Roman" w:eastAsia="Times New Roman" w:cs="Times New Roman"/>
          <w:spacing w:val="7"/>
          <w:sz w:val="31"/>
          <w:szCs w:val="31"/>
        </w:rPr>
        <w:t>0</w:t>
      </w:r>
      <w:r>
        <w:rPr>
          <w:rFonts w:ascii="仿宋" w:hAnsi="仿宋" w:eastAsia="仿宋" w:cs="仿宋"/>
          <w:spacing w:val="7"/>
          <w:sz w:val="31"/>
          <w:szCs w:val="31"/>
        </w:rPr>
        <w:t>万元</w:t>
      </w:r>
      <w:r>
        <w:rPr>
          <w:rFonts w:ascii="Times New Roman" w:hAnsi="Times New Roman" w:eastAsia="Times New Roman" w:cs="Times New Roman"/>
          <w:spacing w:val="7"/>
          <w:sz w:val="31"/>
          <w:szCs w:val="31"/>
        </w:rPr>
        <w:t>,</w:t>
      </w:r>
      <w:r>
        <w:rPr>
          <w:rFonts w:ascii="仿宋" w:hAnsi="仿宋" w:eastAsia="仿宋" w:cs="仿宋"/>
          <w:spacing w:val="7"/>
          <w:sz w:val="31"/>
          <w:szCs w:val="31"/>
        </w:rPr>
        <w:t>支出决算</w:t>
      </w:r>
      <w:r>
        <w:rPr>
          <w:rFonts w:ascii="仿宋" w:hAnsi="仿宋" w:eastAsia="仿宋" w:cs="仿宋"/>
          <w:spacing w:val="-64"/>
          <w:sz w:val="31"/>
          <w:szCs w:val="31"/>
        </w:rPr>
        <w:t xml:space="preserve"> </w:t>
      </w:r>
      <w:r>
        <w:rPr>
          <w:rFonts w:ascii="Times New Roman" w:hAnsi="Times New Roman" w:eastAsia="Times New Roman" w:cs="Times New Roman"/>
          <w:spacing w:val="7"/>
          <w:sz w:val="31"/>
          <w:szCs w:val="31"/>
        </w:rPr>
        <w:t>0</w:t>
      </w:r>
      <w:r>
        <w:rPr>
          <w:rFonts w:ascii="仿宋" w:hAnsi="仿宋" w:eastAsia="仿宋" w:cs="仿宋"/>
          <w:spacing w:val="7"/>
          <w:sz w:val="31"/>
          <w:szCs w:val="31"/>
        </w:rPr>
        <w:t>万元。</w:t>
      </w:r>
      <w:r>
        <w:rPr>
          <w:rFonts w:hint="eastAsia" w:ascii="仿宋" w:hAnsi="仿宋" w:eastAsia="仿宋" w:cs="仿宋"/>
          <w:spacing w:val="5"/>
          <w:sz w:val="31"/>
          <w:szCs w:val="31"/>
          <w:lang w:val="en-US" w:eastAsia="zh-CN"/>
        </w:rPr>
        <w:t>本部门无此项目支出。</w:t>
      </w:r>
    </w:p>
    <w:p w14:paraId="4ED50F6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仿宋" w:hAnsi="仿宋" w:eastAsia="仿宋" w:cs="仿宋"/>
          <w:spacing w:val="1"/>
          <w:sz w:val="31"/>
          <w:szCs w:val="31"/>
        </w:rPr>
      </w:pPr>
      <w:r>
        <w:rPr>
          <w:rFonts w:hint="eastAsia" w:ascii="Times New Roman" w:eastAsia="楷体_GB2312"/>
          <w:b/>
          <w:sz w:val="32"/>
          <w:szCs w:val="32"/>
          <w:lang w:val="en-US" w:eastAsia="zh-CN"/>
        </w:rPr>
        <w:t>2、</w:t>
      </w:r>
      <w:r>
        <w:rPr>
          <w:rFonts w:ascii="Times New Roman" w:eastAsia="楷体_GB2312"/>
          <w:b/>
          <w:sz w:val="32"/>
          <w:szCs w:val="32"/>
        </w:rPr>
        <w:t>公务用车购置及运行维护费支出情况。</w:t>
      </w:r>
      <w:r>
        <w:rPr>
          <w:rFonts w:ascii="仿宋" w:hAnsi="仿宋" w:eastAsia="仿宋" w:cs="仿宋"/>
          <w:spacing w:val="1"/>
          <w:sz w:val="31"/>
          <w:szCs w:val="31"/>
        </w:rPr>
        <w:t>本</w:t>
      </w:r>
      <w:r>
        <w:rPr>
          <w:rFonts w:hint="eastAsia" w:ascii="仿宋" w:hAnsi="仿宋" w:eastAsia="仿宋" w:cs="仿宋"/>
          <w:spacing w:val="1"/>
          <w:sz w:val="31"/>
          <w:szCs w:val="31"/>
          <w:lang w:eastAsia="zh-CN"/>
        </w:rPr>
        <w:t>部门</w:t>
      </w:r>
      <w:r>
        <w:rPr>
          <w:rFonts w:ascii="仿宋" w:hAnsi="仿宋" w:eastAsia="仿宋" w:cs="仿宋"/>
          <w:spacing w:val="1"/>
          <w:sz w:val="31"/>
          <w:szCs w:val="31"/>
        </w:rPr>
        <w:t>2024年度公务用车购置及运行维护费预算为10.40万元，支出决算8.33万元，完成预算的80.1%,较预算减少2.07万元，降低19.9%,主要原因是；较上年减少4.87万元，降低36.9%,主要原因是</w:t>
      </w:r>
      <w:r>
        <w:rPr>
          <w:rFonts w:hint="eastAsia" w:ascii="仿宋" w:hAnsi="仿宋" w:eastAsia="仿宋" w:cs="仿宋"/>
          <w:spacing w:val="5"/>
          <w:sz w:val="31"/>
          <w:szCs w:val="31"/>
          <w:lang w:val="en-US" w:eastAsia="zh-CN"/>
        </w:rPr>
        <w:t>厉行节约、减少开支</w:t>
      </w:r>
      <w:r>
        <w:rPr>
          <w:rFonts w:ascii="仿宋" w:hAnsi="仿宋" w:eastAsia="仿宋" w:cs="仿宋"/>
          <w:spacing w:val="1"/>
          <w:sz w:val="31"/>
          <w:szCs w:val="31"/>
        </w:rPr>
        <w:t>。其中：</w:t>
      </w:r>
    </w:p>
    <w:p w14:paraId="11F19AB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仿宋" w:hAnsi="仿宋" w:eastAsia="仿宋" w:cs="仿宋"/>
          <w:spacing w:val="1"/>
          <w:sz w:val="31"/>
          <w:szCs w:val="31"/>
        </w:rPr>
      </w:pPr>
      <w:r>
        <w:rPr>
          <w:rFonts w:ascii="Times New Roman" w:eastAsia="仿宋_GB2312"/>
          <w:b/>
          <w:sz w:val="32"/>
          <w:szCs w:val="32"/>
        </w:rPr>
        <w:t>公务用车购置费支出0.00万元：</w:t>
      </w:r>
      <w:r>
        <w:rPr>
          <w:rFonts w:ascii="仿宋" w:hAnsi="仿宋" w:eastAsia="仿宋" w:cs="仿宋"/>
          <w:spacing w:val="1"/>
          <w:sz w:val="31"/>
          <w:szCs w:val="31"/>
        </w:rPr>
        <w:t>本部门</w:t>
      </w:r>
      <w:r>
        <w:rPr>
          <w:rFonts w:hint="eastAsia" w:ascii="仿宋" w:hAnsi="仿宋" w:eastAsia="仿宋" w:cs="仿宋"/>
          <w:spacing w:val="1"/>
          <w:sz w:val="31"/>
          <w:szCs w:val="31"/>
          <w:lang w:val="en-US" w:eastAsia="zh-CN"/>
        </w:rPr>
        <w:t>2024</w:t>
      </w:r>
      <w:r>
        <w:rPr>
          <w:rFonts w:ascii="仿宋" w:hAnsi="仿宋" w:eastAsia="仿宋" w:cs="仿宋"/>
          <w:spacing w:val="1"/>
          <w:sz w:val="31"/>
          <w:szCs w:val="31"/>
        </w:rPr>
        <w:t>年度公务用车购置量</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辆，发生“公务用车购置”经费支出0万元。公务用车购置费支出较预算持平；较上年持平。</w:t>
      </w:r>
    </w:p>
    <w:p w14:paraId="345969F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ascii="Times New Roman" w:eastAsia="仿宋_GB2312"/>
          <w:b/>
          <w:sz w:val="32"/>
          <w:szCs w:val="32"/>
        </w:rPr>
        <w:t>公务用车运行维护费支出8.33万元：</w:t>
      </w:r>
      <w:r>
        <w:rPr>
          <w:rFonts w:hint="eastAsia" w:ascii="仿宋" w:hAnsi="仿宋" w:eastAsia="仿宋" w:cs="仿宋"/>
          <w:spacing w:val="5"/>
          <w:sz w:val="31"/>
          <w:szCs w:val="31"/>
          <w:lang w:val="en-US" w:eastAsia="zh-CN"/>
        </w:rPr>
        <w:t>本部门2024年度部门公务用车保有量5辆，发生运行维护费支出8.33万元。公车运行维护费支出较预算减少2.07万元，降低19.9%,主要原因是厉行节约、减少开支；较上年减少4.87万元，降低36.9%，主要原因是厉行节约、减少开支。</w:t>
      </w:r>
    </w:p>
    <w:p w14:paraId="3503649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ascii="Times New Roman" w:eastAsia="楷体_GB2312"/>
          <w:b/>
          <w:sz w:val="32"/>
          <w:szCs w:val="32"/>
        </w:rPr>
        <w:t>3.公务接待费支出情况。</w:t>
      </w:r>
      <w:r>
        <w:rPr>
          <w:rFonts w:hint="eastAsia" w:ascii="仿宋" w:hAnsi="仿宋" w:eastAsia="仿宋" w:cs="仿宋"/>
          <w:spacing w:val="5"/>
          <w:sz w:val="31"/>
          <w:szCs w:val="31"/>
          <w:lang w:val="en-US" w:eastAsia="zh-CN"/>
        </w:rPr>
        <w:t>本部门2024年度公务接待费支出预算为0.51万元，支出决算0.00万元，完成预算的0.0%。公务接待费支出较预算减少0.51万元，降低100.0%,主要原因是本年度未发生公务接待；较上年度增加0.00万元，增长0.00%,主要原因是本年度未发生公务接待。</w:t>
      </w:r>
    </w:p>
    <w:p w14:paraId="46A2D8D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六、机关运行经费支出说明</w:t>
      </w:r>
    </w:p>
    <w:p w14:paraId="1020F55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本部门2024年度机关运行经费支出55.38万元，较2023年度减少33.52万元，降低37.7%。主要原因是厉行节约、减少开支。</w:t>
      </w:r>
    </w:p>
    <w:p w14:paraId="04A5084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七、政府采购支出说明</w:t>
      </w:r>
    </w:p>
    <w:p w14:paraId="7A83866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09B1BC6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八、国有资产占用情况说明</w:t>
      </w:r>
    </w:p>
    <w:p w14:paraId="448196E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截至2024年12月31日，本部门共有车辆5辆，比上年增加0辆。其中，副部（省）级及以上领导用车0辆，主要负责人用车0辆，机要通信用车0辆，应急保障用车4辆，执法执勤用车0辆，特种专业技术用车1辆，离退休干部用车0辆，其他用车0辆，其他用车主要是。单位价值100万元（含）以上设备（不含车辆）0台（套）。</w:t>
      </w:r>
    </w:p>
    <w:p w14:paraId="2638A6E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九、关于2024年度绩效评价情况的说明</w:t>
      </w:r>
    </w:p>
    <w:p w14:paraId="31BB486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（一）绩效评价工作开展情况</w:t>
      </w:r>
    </w:p>
    <w:p w14:paraId="36F0B2FD">
      <w:pPr>
        <w:keepNext w:val="0"/>
        <w:keepLines w:val="0"/>
        <w:pageBreakBefore w:val="0"/>
        <w:widowControl/>
        <w:kinsoku/>
        <w:wordWrap/>
        <w:overflowPunct/>
        <w:topLinePunct w:val="0"/>
        <w:autoSpaceDE/>
        <w:autoSpaceDN/>
        <w:bidi w:val="0"/>
        <w:adjustRightInd/>
        <w:snapToGrid w:val="0"/>
        <w:spacing w:before="0" w:beforeAutospacing="0" w:after="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根据预算绩效管理要求，本部门组织对2024年度本级预算项目支出全面开展绩效自评，共涉及资金451.82万元（决算金额）。其中，一般公共预算项目9个，涉及资金451.82万元，占一般公共预算项目支出总额的100%；政府性基金预算项目0个，涉及资金0万元，占政府性基金预算项目支出总额的0%；国有资本经营预算项目0个，涉及资金0万元，占国有资本经营预算项目支出总额的0%。从评价情况来看各个项目绩效评价结果均在良好以上。</w:t>
      </w:r>
    </w:p>
    <w:p w14:paraId="606EDC4E">
      <w:pPr>
        <w:keepNext w:val="0"/>
        <w:keepLines w:val="0"/>
        <w:pageBreakBefore w:val="0"/>
        <w:widowControl/>
        <w:numPr>
          <w:ilvl w:val="0"/>
          <w:numId w:val="2"/>
        </w:numPr>
        <w:kinsoku/>
        <w:wordWrap/>
        <w:overflowPunct/>
        <w:topLinePunct w:val="0"/>
        <w:autoSpaceDE/>
        <w:autoSpaceDN/>
        <w:bidi w:val="0"/>
        <w:adjustRightInd/>
        <w:snapToGrid w:val="0"/>
        <w:spacing w:before="0" w:beforeAutospacing="0" w:after="0" w:afterAutospacing="0" w:line="520" w:lineRule="exact"/>
        <w:ind w:firstLine="643" w:firstLineChars="200"/>
        <w:jc w:val="left"/>
        <w:textAlignment w:val="auto"/>
        <w:rPr>
          <w:rFonts w:ascii="Times New Roman" w:eastAsia="仿宋_GB2312"/>
          <w:b/>
          <w:sz w:val="32"/>
          <w:szCs w:val="32"/>
        </w:rPr>
      </w:pPr>
      <w:r>
        <w:rPr>
          <w:rFonts w:ascii="Times New Roman" w:eastAsia="仿宋_GB2312"/>
          <w:b/>
          <w:sz w:val="32"/>
          <w:szCs w:val="32"/>
        </w:rPr>
        <w:t>部门决算中项目绩效自评结果</w:t>
      </w:r>
    </w:p>
    <w:p w14:paraId="762E12FB">
      <w:pPr>
        <w:pStyle w:val="11"/>
        <w:keepNext w:val="0"/>
        <w:keepLines w:val="0"/>
        <w:pageBreakBefore w:val="0"/>
        <w:widowControl/>
        <w:kinsoku/>
        <w:wordWrap/>
        <w:overflowPunct/>
        <w:topLinePunct w:val="0"/>
        <w:autoSpaceDE/>
        <w:autoSpaceDN/>
        <w:bidi w:val="0"/>
        <w:adjustRightInd/>
        <w:snapToGrid w:val="0"/>
        <w:spacing w:beforeAutospacing="0" w:afterAutospacing="0" w:line="520" w:lineRule="exact"/>
        <w:ind w:firstLine="640" w:firstLineChars="200"/>
        <w:textAlignment w:val="auto"/>
        <w:rPr>
          <w:rFonts w:hint="eastAsia" w:ascii="仿宋" w:hAnsi="仿宋" w:eastAsia="仿宋" w:cs="仿宋"/>
          <w:color w:val="auto"/>
          <w:spacing w:val="5"/>
          <w:kern w:val="0"/>
          <w:sz w:val="31"/>
          <w:szCs w:val="31"/>
          <w:lang w:val="zh-CN" w:eastAsia="zh-CN" w:bidi="ar-SA"/>
        </w:rPr>
      </w:pPr>
      <w:r>
        <w:rPr>
          <w:rFonts w:hint="eastAsia" w:ascii="仿宋" w:hAnsi="仿宋" w:eastAsia="仿宋" w:cs="仿宋"/>
          <w:color w:val="auto"/>
          <w:spacing w:val="5"/>
          <w:kern w:val="0"/>
          <w:sz w:val="31"/>
          <w:szCs w:val="31"/>
          <w:lang w:val="en-US" w:eastAsia="zh-CN" w:bidi="ar-SA"/>
        </w:rPr>
        <w:t>本部门在今年部门决算公开中反映村级组织办公经费、村党组织活动经费、服务群众专项经费</w:t>
      </w:r>
      <w:r>
        <w:rPr>
          <w:rFonts w:hint="eastAsia" w:ascii="仿宋" w:hAnsi="仿宋" w:eastAsia="仿宋" w:cs="仿宋"/>
          <w:color w:val="auto"/>
          <w:spacing w:val="5"/>
          <w:kern w:val="0"/>
          <w:sz w:val="31"/>
          <w:szCs w:val="31"/>
          <w:lang w:val="zh-CN" w:eastAsia="zh-CN" w:bidi="ar-SA"/>
        </w:rPr>
        <w:t>项目等</w:t>
      </w:r>
      <w:r>
        <w:rPr>
          <w:rFonts w:hint="eastAsia" w:ascii="仿宋" w:hAnsi="仿宋" w:eastAsia="仿宋" w:cs="仿宋"/>
          <w:color w:val="auto"/>
          <w:spacing w:val="5"/>
          <w:kern w:val="0"/>
          <w:sz w:val="31"/>
          <w:szCs w:val="31"/>
          <w:lang w:val="en-US" w:eastAsia="zh-CN" w:bidi="ar-SA"/>
        </w:rPr>
        <w:t>3</w:t>
      </w:r>
      <w:r>
        <w:rPr>
          <w:rFonts w:hint="eastAsia" w:ascii="仿宋" w:hAnsi="仿宋" w:eastAsia="仿宋" w:cs="仿宋"/>
          <w:color w:val="auto"/>
          <w:spacing w:val="5"/>
          <w:kern w:val="0"/>
          <w:sz w:val="31"/>
          <w:szCs w:val="31"/>
          <w:lang w:val="zh-CN" w:eastAsia="zh-CN" w:bidi="ar-SA"/>
        </w:rPr>
        <w:t>个项目绩效自评结果情况：</w:t>
      </w:r>
    </w:p>
    <w:p w14:paraId="2E17437D">
      <w:pPr>
        <w:keepNext w:val="0"/>
        <w:keepLines w:val="0"/>
        <w:pageBreakBefore w:val="0"/>
        <w:widowControl/>
        <w:kinsoku/>
        <w:wordWrap/>
        <w:overflowPunct/>
        <w:topLinePunct w:val="0"/>
        <w:autoSpaceDE/>
        <w:autoSpaceDN/>
        <w:bidi w:val="0"/>
        <w:adjustRightInd/>
        <w:snapToGrid w:val="0"/>
        <w:spacing w:before="0" w:beforeAutospacing="0" w:after="0" w:afterAutospacing="0" w:line="520" w:lineRule="exact"/>
        <w:ind w:firstLine="640" w:firstLineChars="200"/>
        <w:jc w:val="left"/>
        <w:textAlignment w:val="auto"/>
        <w:rPr>
          <w:rFonts w:ascii="Times New Roman" w:eastAsia="仿宋_GB2312"/>
          <w:b/>
          <w:sz w:val="32"/>
          <w:szCs w:val="32"/>
        </w:rPr>
      </w:pPr>
      <w:r>
        <w:rPr>
          <w:rFonts w:hint="eastAsia" w:ascii="仿宋" w:hAnsi="仿宋" w:eastAsia="仿宋" w:cs="仿宋"/>
          <w:color w:val="auto"/>
          <w:spacing w:val="5"/>
          <w:kern w:val="0"/>
          <w:sz w:val="31"/>
          <w:szCs w:val="31"/>
          <w:lang w:val="en-US" w:eastAsia="zh-CN" w:bidi="ar-SA"/>
        </w:rPr>
        <w:t>村级组织办公经费、村党组织活动经费、服务群众专项经费</w:t>
      </w:r>
      <w:r>
        <w:rPr>
          <w:rFonts w:hint="eastAsia" w:ascii="仿宋" w:hAnsi="仿宋" w:eastAsia="仿宋" w:cs="仿宋"/>
          <w:color w:val="auto"/>
          <w:spacing w:val="5"/>
          <w:kern w:val="0"/>
          <w:sz w:val="31"/>
          <w:szCs w:val="31"/>
          <w:lang w:val="zh-CN" w:eastAsia="zh-CN" w:bidi="ar-SA"/>
        </w:rPr>
        <w:t>项目</w:t>
      </w:r>
      <w:r>
        <w:rPr>
          <w:rFonts w:hint="eastAsia" w:ascii="仿宋" w:hAnsi="仿宋" w:eastAsia="仿宋" w:cs="仿宋"/>
          <w:color w:val="auto"/>
          <w:spacing w:val="5"/>
          <w:kern w:val="0"/>
          <w:sz w:val="31"/>
          <w:szCs w:val="31"/>
          <w:lang w:val="en-US" w:eastAsia="zh-CN" w:bidi="ar-SA"/>
        </w:rPr>
        <w:t>项目绩效自评情况：根据年初设定的绩效目标，3个项目绩效自评得分为100分（绩效自评表附后）。全年预算数为151.19万元，执行数为151.19万元，完成预算的100%。项目绩效目标完成情况：2024年我镇项目绩效目标明确，资金到位及时，项目实施过程中严格按照有关项目管理和资金管理的规定执行，全年绩效整体完成率较好，项目效果：调动了村级干部干事创业积极性，提高了工作效率，最大限度为民排忧解难，带领群众脱贫致富。</w:t>
      </w:r>
    </w:p>
    <w:p w14:paraId="288CBC8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65216A6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7A27EB4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19468DA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113D4E8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09DE23D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480" w:firstLineChars="200"/>
        <w:jc w:val="left"/>
        <w:textAlignment w:val="auto"/>
        <w:rPr>
          <w:rFonts w:ascii="Times New Roman" w:eastAsia="仿宋_GB2312"/>
          <w:b/>
          <w:sz w:val="32"/>
          <w:szCs w:val="32"/>
        </w:rPr>
      </w:pPr>
      <w:r>
        <w:drawing>
          <wp:anchor distT="0" distB="0" distL="114300" distR="114300" simplePos="0" relativeHeight="251662336" behindDoc="0" locked="0" layoutInCell="1" allowOverlap="1">
            <wp:simplePos x="0" y="0"/>
            <wp:positionH relativeFrom="column">
              <wp:posOffset>-68580</wp:posOffset>
            </wp:positionH>
            <wp:positionV relativeFrom="paragraph">
              <wp:posOffset>-546735</wp:posOffset>
            </wp:positionV>
            <wp:extent cx="5534025" cy="8331200"/>
            <wp:effectExtent l="0" t="0" r="9525" b="1270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534025" cy="8331200"/>
                    </a:xfrm>
                    <a:prstGeom prst="rect">
                      <a:avLst/>
                    </a:prstGeom>
                    <a:noFill/>
                    <a:ln>
                      <a:noFill/>
                    </a:ln>
                  </pic:spPr>
                </pic:pic>
              </a:graphicData>
            </a:graphic>
          </wp:anchor>
        </w:drawing>
      </w:r>
    </w:p>
    <w:p w14:paraId="7EEE829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480" w:firstLineChars="200"/>
        <w:jc w:val="left"/>
        <w:textAlignment w:val="auto"/>
        <w:rPr>
          <w:rFonts w:ascii="Times New Roman" w:eastAsia="仿宋_GB2312"/>
          <w:b/>
          <w:sz w:val="32"/>
          <w:szCs w:val="32"/>
        </w:rPr>
      </w:pPr>
      <w:r>
        <w:drawing>
          <wp:anchor distT="0" distB="0" distL="114300" distR="114300" simplePos="0" relativeHeight="251663360" behindDoc="0" locked="0" layoutInCell="1" allowOverlap="1">
            <wp:simplePos x="0" y="0"/>
            <wp:positionH relativeFrom="column">
              <wp:posOffset>74930</wp:posOffset>
            </wp:positionH>
            <wp:positionV relativeFrom="paragraph">
              <wp:posOffset>-317500</wp:posOffset>
            </wp:positionV>
            <wp:extent cx="5755640" cy="8515985"/>
            <wp:effectExtent l="0" t="0" r="16510" b="1841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755640" cy="8515985"/>
                    </a:xfrm>
                    <a:prstGeom prst="rect">
                      <a:avLst/>
                    </a:prstGeom>
                    <a:noFill/>
                    <a:ln>
                      <a:noFill/>
                    </a:ln>
                  </pic:spPr>
                </pic:pic>
              </a:graphicData>
            </a:graphic>
          </wp:anchor>
        </w:drawing>
      </w:r>
    </w:p>
    <w:p w14:paraId="40B816D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left"/>
        <w:textAlignment w:val="auto"/>
        <w:rPr>
          <w:rFonts w:ascii="Times New Roman" w:eastAsia="仿宋_GB2312"/>
          <w:b/>
          <w:sz w:val="32"/>
          <w:szCs w:val="32"/>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-451485</wp:posOffset>
            </wp:positionV>
            <wp:extent cx="5755640" cy="7765415"/>
            <wp:effectExtent l="0" t="0" r="16510" b="6985"/>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5755640" cy="7765415"/>
                    </a:xfrm>
                    <a:prstGeom prst="rect">
                      <a:avLst/>
                    </a:prstGeom>
                    <a:noFill/>
                    <a:ln>
                      <a:noFill/>
                    </a:ln>
                  </pic:spPr>
                </pic:pic>
              </a:graphicData>
            </a:graphic>
          </wp:anchor>
        </w:drawing>
      </w:r>
    </w:p>
    <w:p w14:paraId="7CBC2EE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left"/>
        <w:textAlignment w:val="auto"/>
        <w:rPr>
          <w:rFonts w:ascii="Times New Roman" w:eastAsia="仿宋_GB2312"/>
          <w:b/>
          <w:sz w:val="32"/>
          <w:szCs w:val="32"/>
        </w:rPr>
      </w:pPr>
    </w:p>
    <w:p w14:paraId="6345409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（三）部门评价项目绩效评价结果（如有）</w:t>
      </w:r>
    </w:p>
    <w:p w14:paraId="4163827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2024年度本部门无财政评价项目绩效情况。</w:t>
      </w:r>
    </w:p>
    <w:p w14:paraId="65F74DF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黑体"/>
          <w:sz w:val="32"/>
          <w:szCs w:val="32"/>
        </w:rPr>
      </w:pPr>
      <w:r>
        <w:rPr>
          <w:rFonts w:ascii="Times New Roman" w:eastAsia="黑体"/>
          <w:b w:val="0"/>
          <w:sz w:val="32"/>
          <w:szCs w:val="32"/>
        </w:rPr>
        <w:t>十、其他需要说明的情况</w:t>
      </w:r>
    </w:p>
    <w:p w14:paraId="37319F9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1、本部门2024年度政府性基金预算财政拨款收入支出决算表（公开07表）、国有资本经营预算财政拨款支出决算表（公开08表）无相应收支，故空表列示。</w:t>
      </w:r>
    </w:p>
    <w:p w14:paraId="4AAE86A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2、由于决算公开表格中金额数值应当保留两位小数，公开数据为四舍五入计算结果，个别数据合计项与分项之和存在小数点后差额，特此说明。</w:t>
      </w:r>
    </w:p>
    <w:p w14:paraId="0128DD2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7D5359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11C46F4">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一、财政拨款收入：</w:t>
      </w:r>
      <w:r>
        <w:rPr>
          <w:rFonts w:hint="eastAsia" w:ascii="仿宋" w:hAnsi="仿宋" w:eastAsia="仿宋" w:cs="仿宋"/>
          <w:spacing w:val="5"/>
          <w:sz w:val="31"/>
          <w:szCs w:val="31"/>
          <w:lang w:val="en-US" w:eastAsia="zh-CN"/>
        </w:rPr>
        <w:t>指部门从同级财政部门取得的财政预算资金。</w:t>
      </w:r>
    </w:p>
    <w:p w14:paraId="41E7DD2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二、事业收入：</w:t>
      </w:r>
      <w:r>
        <w:rPr>
          <w:rFonts w:hint="eastAsia" w:ascii="仿宋" w:hAnsi="仿宋" w:eastAsia="仿宋" w:cs="仿宋"/>
          <w:spacing w:val="5"/>
          <w:sz w:val="31"/>
          <w:szCs w:val="31"/>
          <w:lang w:val="en-US" w:eastAsia="zh-CN"/>
        </w:rPr>
        <w:t>指事业单位开展专业业务活动及辅助活动取得的收入。</w:t>
      </w:r>
    </w:p>
    <w:p w14:paraId="4B15412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三、经营收入：</w:t>
      </w:r>
      <w:r>
        <w:rPr>
          <w:rFonts w:hint="eastAsia" w:ascii="仿宋" w:hAnsi="仿宋" w:eastAsia="仿宋" w:cs="仿宋"/>
          <w:spacing w:val="5"/>
          <w:sz w:val="31"/>
          <w:szCs w:val="31"/>
          <w:lang w:val="en-US" w:eastAsia="zh-CN"/>
        </w:rPr>
        <w:t>指事业单位在专业业务活动及其辅助活动之外开展非独立核算经营活动取得的收入。</w:t>
      </w:r>
    </w:p>
    <w:p w14:paraId="79A787B8">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四、其他收入：</w:t>
      </w:r>
      <w:r>
        <w:rPr>
          <w:rFonts w:hint="eastAsia" w:ascii="仿宋" w:hAnsi="仿宋" w:eastAsia="仿宋" w:cs="仿宋"/>
          <w:spacing w:val="5"/>
          <w:sz w:val="31"/>
          <w:szCs w:val="31"/>
          <w:lang w:val="en-US" w:eastAsia="zh-CN"/>
        </w:rPr>
        <w:t>指部门取得的除上述收入以外的各项收入。主要是事业单位固定资产出租收入、存款利息收入等。</w:t>
      </w:r>
    </w:p>
    <w:p w14:paraId="05E94064">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五、使用非财政拨款结余（含专用结余）：</w:t>
      </w:r>
      <w:r>
        <w:rPr>
          <w:rFonts w:hint="eastAsia" w:ascii="仿宋" w:hAnsi="仿宋" w:eastAsia="仿宋" w:cs="仿宋"/>
          <w:spacing w:val="5"/>
          <w:sz w:val="31"/>
          <w:szCs w:val="31"/>
          <w:lang w:val="en-US" w:eastAsia="zh-CN"/>
        </w:rPr>
        <w:t>指事业单位按照预算管理要求使用非财政拨款结余弥补收支差额的金额，以及使用专用结余安排支出的金额。</w:t>
      </w:r>
    </w:p>
    <w:p w14:paraId="70017BD6">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六、年初结转和结余：</w:t>
      </w:r>
      <w:r>
        <w:rPr>
          <w:rFonts w:hint="eastAsia" w:ascii="仿宋" w:hAnsi="仿宋" w:eastAsia="仿宋" w:cs="仿宋"/>
          <w:spacing w:val="5"/>
          <w:sz w:val="31"/>
          <w:szCs w:val="31"/>
          <w:lang w:val="en-US" w:eastAsia="zh-CN"/>
        </w:rPr>
        <w:t>指部门以前年度尚未完成、结转到本年仍按原规定用途继续使用的资金，或项目已完成等产生的结余资金。</w:t>
      </w:r>
    </w:p>
    <w:p w14:paraId="03F7AAEF">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七、结余分配：</w:t>
      </w:r>
      <w:r>
        <w:rPr>
          <w:rFonts w:hint="eastAsia" w:ascii="仿宋" w:hAnsi="仿宋" w:eastAsia="仿宋" w:cs="仿宋"/>
          <w:spacing w:val="5"/>
          <w:sz w:val="31"/>
          <w:szCs w:val="31"/>
          <w:lang w:val="en-US" w:eastAsia="zh-CN"/>
        </w:rPr>
        <w:t>指事业单位按照会计</w:t>
      </w:r>
      <w:bookmarkStart w:id="0" w:name="_GoBack"/>
      <w:bookmarkEnd w:id="0"/>
      <w:r>
        <w:rPr>
          <w:rFonts w:hint="eastAsia" w:ascii="仿宋" w:hAnsi="仿宋" w:eastAsia="仿宋" w:cs="仿宋"/>
          <w:spacing w:val="5"/>
          <w:sz w:val="31"/>
          <w:szCs w:val="31"/>
          <w:lang w:val="en-US" w:eastAsia="zh-CN"/>
        </w:rPr>
        <w:t>制度规定缴纳的所得税、提取的专用结余以及转入非财政拨款结余的金额等。</w:t>
      </w:r>
    </w:p>
    <w:p w14:paraId="230FC6F8">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八、年末结转和结余：</w:t>
      </w:r>
      <w:r>
        <w:rPr>
          <w:rFonts w:hint="eastAsia" w:ascii="仿宋" w:hAnsi="仿宋" w:eastAsia="仿宋" w:cs="仿宋"/>
          <w:spacing w:val="5"/>
          <w:sz w:val="31"/>
          <w:szCs w:val="31"/>
          <w:lang w:val="en-US" w:eastAsia="zh-CN"/>
        </w:rPr>
        <w:t>指部门按有关规定结转到下年或以后年度继续使用的资金，或项目已完成等产生的结余资金。</w:t>
      </w:r>
    </w:p>
    <w:p w14:paraId="147CBE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hint="eastAsia" w:ascii="仿宋" w:hAnsi="仿宋" w:eastAsia="仿宋" w:cs="仿宋"/>
          <w:spacing w:val="5"/>
          <w:sz w:val="31"/>
          <w:szCs w:val="31"/>
          <w:lang w:val="en-US" w:eastAsia="zh-CN"/>
        </w:rPr>
        <w:t>指为保障机构正常运转、完成日常工作任务而发生的人员支出和公用支出。</w:t>
      </w:r>
    </w:p>
    <w:p w14:paraId="5BC494A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十、项目支出：</w:t>
      </w:r>
      <w:r>
        <w:rPr>
          <w:rFonts w:hint="eastAsia" w:ascii="仿宋" w:hAnsi="仿宋" w:eastAsia="仿宋" w:cs="仿宋"/>
          <w:spacing w:val="5"/>
          <w:sz w:val="31"/>
          <w:szCs w:val="31"/>
          <w:lang w:val="en-US" w:eastAsia="zh-CN"/>
        </w:rPr>
        <w:t>指在基本支出之外为完成特定行政任务和事业发展目标所发生的支出。</w:t>
      </w:r>
    </w:p>
    <w:p w14:paraId="69BAA3B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十一、经营支出 ：</w:t>
      </w:r>
      <w:r>
        <w:rPr>
          <w:rFonts w:hint="eastAsia" w:ascii="仿宋" w:hAnsi="仿宋" w:eastAsia="仿宋" w:cs="仿宋"/>
          <w:spacing w:val="5"/>
          <w:sz w:val="31"/>
          <w:szCs w:val="31"/>
          <w:lang w:val="en-US" w:eastAsia="zh-CN"/>
        </w:rPr>
        <w:t>指事业单位在专业业务活动及其辅助活动之外开展非独立核算经营活动发生的支出。</w:t>
      </w:r>
    </w:p>
    <w:p w14:paraId="534B4308">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val="en-US" w:eastAsia="zh-CN"/>
        </w:rPr>
      </w:pPr>
      <w:r>
        <w:rPr>
          <w:rFonts w:ascii="Times New Roman" w:eastAsia="仿宋_GB2312"/>
          <w:b/>
          <w:sz w:val="32"/>
          <w:szCs w:val="32"/>
        </w:rPr>
        <w:t>十二、基本建设支出：</w:t>
      </w:r>
      <w:r>
        <w:rPr>
          <w:rFonts w:hint="eastAsia" w:ascii="仿宋" w:hAnsi="仿宋" w:eastAsia="仿宋" w:cs="仿宋"/>
          <w:spacing w:val="5"/>
          <w:sz w:val="31"/>
          <w:szCs w:val="31"/>
          <w:lang w:val="en-US" w:eastAsia="zh-CN"/>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E2929B5">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十三、其他资本性支出：</w:t>
      </w:r>
      <w:r>
        <w:rPr>
          <w:rFonts w:hint="eastAsia" w:ascii="仿宋" w:hAnsi="仿宋" w:eastAsia="仿宋" w:cs="仿宋"/>
          <w:spacing w:val="5"/>
          <w:sz w:val="31"/>
          <w:szCs w:val="31"/>
          <w:lang w:val="en-US" w:eastAsia="zh-CN"/>
        </w:rPr>
        <w:t>填列由各级非发展与改革部门集中安排的用于购置固定资产、战备性和应急性储备、土地和无形资产，以及购建基础设施、大型修缮和财政支持企业更新改造所发生的支出。</w:t>
      </w:r>
    </w:p>
    <w:p w14:paraId="45DDDED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十四、“三公”经费：</w:t>
      </w:r>
      <w:r>
        <w:rPr>
          <w:rFonts w:hint="eastAsia" w:ascii="仿宋" w:hAnsi="仿宋" w:eastAsia="仿宋" w:cs="仿宋"/>
          <w:spacing w:val="5"/>
          <w:sz w:val="31"/>
          <w:szCs w:val="31"/>
          <w:lang w:val="en-US" w:eastAsia="zh-CN"/>
        </w:rPr>
        <w:t>指部门用财政拨款安排的因公出国（境）费、公务用车购置及运行费和公务接待费。其中，因公出国（境）费反映部门公务出国（境）的国际旅费、国外城市间交通费、住宿费、伙食费、培训费、公杂费等支出；公务用车购置及运行费反映部门公务用车购置支出（含车辆购置税、牌照费）及按规定保留的公务用车燃料费、维修费、过桥过路费、保险费、安全奖励费用等支出；公务接待费反映部门按规定开支的各类公务接待（含外宾接待）支出。</w:t>
      </w:r>
    </w:p>
    <w:p w14:paraId="45746CA6">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十五、其他交通费用：</w:t>
      </w:r>
      <w:r>
        <w:rPr>
          <w:rFonts w:hint="eastAsia" w:ascii="仿宋" w:hAnsi="仿宋" w:eastAsia="仿宋" w:cs="仿宋"/>
          <w:spacing w:val="5"/>
          <w:sz w:val="31"/>
          <w:szCs w:val="31"/>
          <w:lang w:val="en-US" w:eastAsia="zh-CN"/>
        </w:rPr>
        <w:t>填列部门除公务用车运行维护费以外的其他交通费用。如公务交通补贴、租车费用、出租车费用，飞机、船舶等燃料费、维修费、保险费等。</w:t>
      </w:r>
    </w:p>
    <w:p w14:paraId="5F9F22B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十六、公务用车购置：</w:t>
      </w:r>
      <w:r>
        <w:rPr>
          <w:rFonts w:hint="eastAsia" w:ascii="仿宋" w:hAnsi="仿宋" w:eastAsia="仿宋" w:cs="仿宋"/>
          <w:spacing w:val="5"/>
          <w:sz w:val="31"/>
          <w:szCs w:val="31"/>
          <w:lang w:val="en-US" w:eastAsia="zh-CN"/>
        </w:rPr>
        <w:t>填列部门公务用车车辆购置支出（含车辆购置税、牌照费）。</w:t>
      </w:r>
    </w:p>
    <w:p w14:paraId="799100C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十七、其他交通工具购置：</w:t>
      </w:r>
      <w:r>
        <w:rPr>
          <w:rFonts w:hint="eastAsia" w:ascii="仿宋" w:hAnsi="仿宋" w:eastAsia="仿宋" w:cs="仿宋"/>
          <w:spacing w:val="5"/>
          <w:sz w:val="31"/>
          <w:szCs w:val="31"/>
          <w:lang w:val="en-US" w:eastAsia="zh-CN"/>
        </w:rPr>
        <w:t>填列部门除公务用车外的其他各类交通工具（如船舶、飞机等）购置支出（含车辆购置税、牌照费）。</w:t>
      </w:r>
    </w:p>
    <w:p w14:paraId="58621D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hint="eastAsia" w:ascii="仿宋" w:hAnsi="仿宋" w:eastAsia="仿宋" w:cs="仿宋"/>
          <w:spacing w:val="5"/>
          <w:sz w:val="31"/>
          <w:szCs w:val="31"/>
          <w:lang w:val="en-US" w:eastAsia="zh-CN"/>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r>
        <w:rPr>
          <w:rFonts w:ascii="Times New Roman" w:eastAsia="仿宋_GB2312"/>
          <w:b w:val="0"/>
          <w:sz w:val="32"/>
          <w:szCs w:val="32"/>
        </w:rPr>
        <w:t>。</w:t>
      </w:r>
    </w:p>
    <w:sectPr>
      <w:footerReference r:id="rId9"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B9EDDF-5732-40FB-A8D6-97B8BE1C92D5}"/>
  </w:font>
  <w:font w:name="黑体">
    <w:panose1 w:val="02010609060101010101"/>
    <w:charset w:val="86"/>
    <w:family w:val="auto"/>
    <w:pitch w:val="default"/>
    <w:sig w:usb0="800002BF" w:usb1="38CF7CFA" w:usb2="00000016" w:usb3="00000000" w:csb0="00040001" w:csb1="00000000"/>
    <w:embedRegular r:id="rId2" w:fontKey="{8CA244DB-E348-4132-802F-622C6D1592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651B78E-97FA-455B-97B0-BD33139041E7}"/>
  </w:font>
  <w:font w:name="仿宋">
    <w:panose1 w:val="02010609060101010101"/>
    <w:charset w:val="86"/>
    <w:family w:val="modern"/>
    <w:pitch w:val="default"/>
    <w:sig w:usb0="800002BF" w:usb1="38CF7CFA" w:usb2="00000016" w:usb3="00000000" w:csb0="00040001" w:csb1="00000000"/>
    <w:embedRegular r:id="rId4" w:fontKey="{58BDFBB8-CE98-4B28-AFD3-2A6E10872B7F}"/>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03D6515-8951-4438-8F0C-25A114AF4621}"/>
  </w:font>
  <w:font w:name="方正小标宋_GBK">
    <w:panose1 w:val="02000000000000000000"/>
    <w:charset w:val="86"/>
    <w:family w:val="script"/>
    <w:pitch w:val="default"/>
    <w:sig w:usb0="A00002BF" w:usb1="38CF7CFA" w:usb2="00082016" w:usb3="00000000" w:csb0="00040001" w:csb1="00000000"/>
    <w:embedRegular r:id="rId6" w:fontKey="{12C17594-0377-4332-BD9A-98C872FF610E}"/>
  </w:font>
  <w:font w:name="楷体">
    <w:panose1 w:val="02010609060101010101"/>
    <w:charset w:val="86"/>
    <w:family w:val="auto"/>
    <w:pitch w:val="default"/>
    <w:sig w:usb0="800002BF" w:usb1="38CF7CFA" w:usb2="00000016" w:usb3="00000000" w:csb0="00040001" w:csb1="00000000"/>
    <w:embedRegular r:id="rId7" w:fontKey="{10C4AE6D-D1C1-4319-BB9F-B0A8B152A620}"/>
  </w:font>
  <w:font w:name="仿宋_GB2312">
    <w:panose1 w:val="02010609030101010101"/>
    <w:charset w:val="86"/>
    <w:family w:val="auto"/>
    <w:pitch w:val="default"/>
    <w:sig w:usb0="00000001" w:usb1="080E0000" w:usb2="00000000" w:usb3="00000000" w:csb0="00040000" w:csb1="00000000"/>
    <w:embedRegular r:id="rId8" w:fontKey="{8BECE130-154B-4929-9C81-8F709953B087}"/>
  </w:font>
  <w:font w:name="方正仿宋_GB2312">
    <w:panose1 w:val="02000000000000000000"/>
    <w:charset w:val="86"/>
    <w:family w:val="auto"/>
    <w:pitch w:val="default"/>
    <w:sig w:usb0="A00002BF" w:usb1="184F6CFA" w:usb2="00000012" w:usb3="00000000" w:csb0="00040001" w:csb1="00000000"/>
    <w:embedRegular r:id="rId9" w:fontKey="{338B3D96-117F-403C-8786-02FE2F1E291E}"/>
  </w:font>
  <w:font w:name="ArialUnicodeMS">
    <w:altName w:val="Malgun Gothic"/>
    <w:panose1 w:val="00000000000000000000"/>
    <w:charset w:val="81"/>
    <w:family w:val="auto"/>
    <w:pitch w:val="default"/>
    <w:sig w:usb0="00000000" w:usb1="00000000" w:usb2="00000010" w:usb3="00000000" w:csb0="00080001" w:csb1="00000000"/>
    <w:embedRegular r:id="rId10" w:fontKey="{B6A5CA5D-C148-4FD7-9322-A1E901761088}"/>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1B5C1">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1763F">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F093C">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26AB0"/>
    <w:multiLevelType w:val="singleLevel"/>
    <w:tmpl w:val="04126AB0"/>
    <w:lvl w:ilvl="0" w:tentative="0">
      <w:start w:val="2"/>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MsImhkaWQiOiIyZDEwZmRlNGZhMGNkOGE2ZTEyOTNlOGU5YmJkNWM3ZCIsInVzZXJDb3VudCI6NH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450DD3"/>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1C09F6"/>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6F168B"/>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48600C"/>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1353.52</c:v>
                </c:pt>
                <c:pt idx="1">
                  <c:v>1089.19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10891936.51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6373763.22</c:v>
                </c:pt>
                <c:pt idx="1">
                  <c:v>4518173.29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1353.52</c:v>
                </c:pt>
                <c:pt idx="1">
                  <c:v>1353.52</c:v>
                </c:pt>
                <c:pt idx="2">
                  <c:v>1353.52</c:v>
                </c:pt>
                <c:pt idx="3">
                  <c:v>1353.52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1089.19</c:v>
                </c:pt>
                <c:pt idx="1">
                  <c:v>1089.19</c:v>
                </c:pt>
                <c:pt idx="2">
                  <c:v>1089.19</c:v>
                </c:pt>
                <c:pt idx="3">
                  <c:v>1089.19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1251.02</c:v>
                </c:pt>
                <c:pt idx="1">
                  <c:v>1251.02</c:v>
                </c:pt>
                <c:pt idx="2">
                  <c:v>1251.02</c:v>
                </c:pt>
                <c:pt idx="3">
                  <c:v>1251.02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1089.19</c:v>
                </c:pt>
                <c:pt idx="1">
                  <c:v>1089.19</c:v>
                </c:pt>
                <c:pt idx="2">
                  <c:v>1089.19</c:v>
                </c:pt>
                <c:pt idx="3">
                  <c:v>1089.19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688.9</c:v>
                </c:pt>
                <c:pt idx="1">
                  <c:v>0</c:v>
                </c:pt>
                <c:pt idx="2">
                  <c:v>0</c:v>
                </c:pt>
                <c:pt idx="3">
                  <c:v>0</c:v>
                </c:pt>
                <c:pt idx="4">
                  <c:v>0</c:v>
                </c:pt>
                <c:pt idx="5">
                  <c:v>0</c:v>
                </c:pt>
                <c:pt idx="6">
                  <c:v>0</c:v>
                </c:pt>
                <c:pt idx="7">
                  <c:v>45.24</c:v>
                </c:pt>
                <c:pt idx="8">
                  <c:v>14.69</c:v>
                </c:pt>
                <c:pt idx="9">
                  <c:v>0</c:v>
                </c:pt>
                <c:pt idx="10">
                  <c:v>0</c:v>
                </c:pt>
                <c:pt idx="11">
                  <c:v>309.62</c:v>
                </c:pt>
                <c:pt idx="12">
                  <c:v>0</c:v>
                </c:pt>
                <c:pt idx="13">
                  <c:v>0</c:v>
                </c:pt>
                <c:pt idx="14">
                  <c:v>0</c:v>
                </c:pt>
                <c:pt idx="15">
                  <c:v>0</c:v>
                </c:pt>
                <c:pt idx="16">
                  <c:v>0</c:v>
                </c:pt>
                <c:pt idx="17">
                  <c:v>0</c:v>
                </c:pt>
                <c:pt idx="18">
                  <c:v>30.75</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3766</Words>
  <Characters>4511</Characters>
  <Lines>86</Lines>
  <Paragraphs>24</Paragraphs>
  <TotalTime>5</TotalTime>
  <ScaleCrop>false</ScaleCrop>
  <LinksUpToDate>false</LinksUpToDate>
  <CharactersWithSpaces>4729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等风 .</cp:lastModifiedBy>
  <cp:lastPrinted>2023-08-04T01:00:00Z</cp:lastPrinted>
  <dcterms:modified xsi:type="dcterms:W3CDTF">2025-09-26T03:51:26Z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