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picid" s:val="{2674381b-0b48-440e-a003-6b6430cf0063}"/>
                  </s:tag>
                </a:ext>
              </a:extLst>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 w:hAnsi="楷体" w:eastAsia="楷体" w:cs="楷体"/>
          <w:color w:val="000000"/>
          <w:sz w:val="40"/>
          <w:szCs w:val="40"/>
          <w:lang w:val="en-US" w:eastAsia="zh-CN"/>
        </w:rPr>
        <w:t>837001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：行唐县上碑镇人民政府(本级)</w:t>
      </w:r>
    </w:p>
    <w:p w14:paraId="25B77C71">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585EDF0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1CD92DA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val="en-US" w:eastAsia="zh-CN"/>
        </w:rPr>
        <w:t xml:space="preserve"> </w:t>
      </w:r>
      <w:r>
        <w:rPr>
          <w:rFonts w:ascii="Times New Roman" w:eastAsia="黑体"/>
          <w:b w:val="0"/>
          <w:sz w:val="32"/>
          <w:szCs w:val="32"/>
        </w:rPr>
        <w:t>单位概况</w:t>
      </w:r>
    </w:p>
    <w:p w14:paraId="6DDC51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仿宋" w:hAnsi="仿宋" w:eastAsia="仿宋" w:cs="仿宋"/>
          <w:spacing w:val="5"/>
          <w:sz w:val="31"/>
          <w:szCs w:val="31"/>
        </w:rPr>
        <w:t>单位职责</w:t>
      </w:r>
    </w:p>
    <w:p w14:paraId="46E576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w:t>
      </w:r>
      <w:r>
        <w:rPr>
          <w:rFonts w:hint="eastAsia" w:ascii="仿宋" w:hAnsi="仿宋" w:eastAsia="仿宋" w:cs="仿宋"/>
          <w:spacing w:val="5"/>
          <w:sz w:val="31"/>
          <w:szCs w:val="31"/>
        </w:rPr>
        <w:t>机构设置</w:t>
      </w:r>
    </w:p>
    <w:p w14:paraId="26068B0B">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14:paraId="431F26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仿宋" w:hAnsi="仿宋" w:eastAsia="仿宋" w:cs="仿宋"/>
          <w:spacing w:val="5"/>
          <w:sz w:val="31"/>
          <w:szCs w:val="31"/>
        </w:rPr>
        <w:t>收入支出决算总表</w:t>
      </w:r>
    </w:p>
    <w:p w14:paraId="37CA1D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w:t>
      </w:r>
      <w:r>
        <w:rPr>
          <w:rFonts w:hint="eastAsia" w:ascii="仿宋" w:hAnsi="仿宋" w:eastAsia="仿宋" w:cs="仿宋"/>
          <w:spacing w:val="5"/>
          <w:sz w:val="31"/>
          <w:szCs w:val="31"/>
        </w:rPr>
        <w:t>收入决算表</w:t>
      </w:r>
    </w:p>
    <w:p w14:paraId="5FD18D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w:t>
      </w:r>
      <w:r>
        <w:rPr>
          <w:rFonts w:hint="eastAsia" w:ascii="仿宋" w:hAnsi="仿宋" w:eastAsia="仿宋" w:cs="仿宋"/>
          <w:spacing w:val="5"/>
          <w:sz w:val="31"/>
          <w:szCs w:val="31"/>
        </w:rPr>
        <w:t>支出决算表</w:t>
      </w:r>
    </w:p>
    <w:p w14:paraId="4111B4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w:t>
      </w:r>
      <w:r>
        <w:rPr>
          <w:rFonts w:hint="eastAsia" w:ascii="仿宋" w:hAnsi="仿宋" w:eastAsia="仿宋" w:cs="仿宋"/>
          <w:spacing w:val="5"/>
          <w:sz w:val="31"/>
          <w:szCs w:val="31"/>
        </w:rPr>
        <w:t>财政拨款收入支出决算总表</w:t>
      </w:r>
    </w:p>
    <w:p w14:paraId="5BC74B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w:t>
      </w:r>
      <w:r>
        <w:rPr>
          <w:rFonts w:hint="eastAsia" w:ascii="仿宋" w:hAnsi="仿宋" w:eastAsia="仿宋" w:cs="仿宋"/>
          <w:spacing w:val="5"/>
          <w:sz w:val="31"/>
          <w:szCs w:val="31"/>
        </w:rPr>
        <w:t>一般公共预算财政拨款支出决算表</w:t>
      </w:r>
    </w:p>
    <w:p w14:paraId="2E3193B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w:t>
      </w:r>
      <w:r>
        <w:rPr>
          <w:rFonts w:hint="eastAsia" w:ascii="仿宋" w:hAnsi="仿宋" w:eastAsia="仿宋" w:cs="仿宋"/>
          <w:spacing w:val="5"/>
          <w:sz w:val="31"/>
          <w:szCs w:val="31"/>
        </w:rPr>
        <w:t>一般公共预算财政拨款基本支出决算明细表</w:t>
      </w:r>
    </w:p>
    <w:p w14:paraId="6FB211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w:t>
      </w:r>
      <w:r>
        <w:rPr>
          <w:rFonts w:hint="eastAsia" w:ascii="仿宋" w:hAnsi="仿宋" w:eastAsia="仿宋" w:cs="仿宋"/>
          <w:spacing w:val="5"/>
          <w:sz w:val="31"/>
          <w:szCs w:val="31"/>
        </w:rPr>
        <w:t>政府性基金预算财政拨款收入支出决算表</w:t>
      </w:r>
    </w:p>
    <w:p w14:paraId="289988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w:t>
      </w:r>
      <w:r>
        <w:rPr>
          <w:rFonts w:hint="eastAsia" w:ascii="仿宋" w:hAnsi="仿宋" w:eastAsia="仿宋" w:cs="仿宋"/>
          <w:spacing w:val="5"/>
          <w:sz w:val="31"/>
          <w:szCs w:val="31"/>
        </w:rPr>
        <w:t>国</w:t>
      </w:r>
      <w:r>
        <w:rPr>
          <w:rFonts w:hint="eastAsia" w:ascii="仿宋" w:hAnsi="仿宋" w:eastAsia="仿宋" w:cs="仿宋"/>
          <w:spacing w:val="5"/>
          <w:sz w:val="31"/>
          <w:szCs w:val="31"/>
        </w:rPr>
        <w:t>有资本经营预算财政拨款支出决算表</w:t>
      </w:r>
    </w:p>
    <w:p w14:paraId="0A6E49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w:t>
      </w:r>
      <w:r>
        <w:rPr>
          <w:rFonts w:hint="eastAsia" w:ascii="仿宋" w:hAnsi="仿宋" w:eastAsia="仿宋" w:cs="仿宋"/>
          <w:spacing w:val="5"/>
          <w:sz w:val="31"/>
          <w:szCs w:val="31"/>
        </w:rPr>
        <w:t>财政拨款“三公”经费支出决算表</w:t>
      </w:r>
    </w:p>
    <w:p w14:paraId="6DDA313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14:paraId="65DB4A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仿宋" w:hAnsi="仿宋" w:eastAsia="仿宋" w:cs="仿宋"/>
          <w:spacing w:val="5"/>
          <w:sz w:val="31"/>
          <w:szCs w:val="31"/>
        </w:rPr>
        <w:t>收入支出决算总体情况说明</w:t>
      </w:r>
    </w:p>
    <w:p w14:paraId="66971AE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w:t>
      </w:r>
      <w:r>
        <w:rPr>
          <w:rFonts w:hint="eastAsia" w:ascii="仿宋" w:hAnsi="仿宋" w:eastAsia="仿宋" w:cs="仿宋"/>
          <w:spacing w:val="5"/>
          <w:sz w:val="31"/>
          <w:szCs w:val="31"/>
        </w:rPr>
        <w:t>收入决算情况说明</w:t>
      </w:r>
    </w:p>
    <w:p w14:paraId="3A1105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w:t>
      </w:r>
      <w:r>
        <w:rPr>
          <w:rFonts w:hint="eastAsia" w:ascii="仿宋" w:hAnsi="仿宋" w:eastAsia="仿宋" w:cs="仿宋"/>
          <w:spacing w:val="5"/>
          <w:sz w:val="31"/>
          <w:szCs w:val="31"/>
        </w:rPr>
        <w:t>支</w:t>
      </w:r>
      <w:r>
        <w:rPr>
          <w:rFonts w:hint="eastAsia" w:ascii="仿宋" w:hAnsi="仿宋" w:eastAsia="仿宋" w:cs="仿宋"/>
          <w:spacing w:val="5"/>
          <w:sz w:val="31"/>
          <w:szCs w:val="31"/>
        </w:rPr>
        <w:t>出决算情况说明</w:t>
      </w:r>
    </w:p>
    <w:p w14:paraId="320D73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w:t>
      </w:r>
      <w:r>
        <w:rPr>
          <w:rFonts w:hint="eastAsia" w:ascii="仿宋" w:hAnsi="仿宋" w:eastAsia="仿宋" w:cs="仿宋"/>
          <w:spacing w:val="5"/>
          <w:sz w:val="31"/>
          <w:szCs w:val="31"/>
        </w:rPr>
        <w:t>财政拨款收入支出决算总体情况说明</w:t>
      </w:r>
    </w:p>
    <w:p w14:paraId="2FC78A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w:t>
      </w:r>
      <w:r>
        <w:rPr>
          <w:rFonts w:hint="eastAsia" w:ascii="仿宋" w:hAnsi="仿宋" w:eastAsia="仿宋" w:cs="仿宋"/>
          <w:spacing w:val="5"/>
          <w:sz w:val="31"/>
          <w:szCs w:val="31"/>
        </w:rPr>
        <w:t>财政拨款“三公”经费支出决算情况说明</w:t>
      </w:r>
    </w:p>
    <w:p w14:paraId="678AFD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w:t>
      </w:r>
      <w:r>
        <w:rPr>
          <w:rFonts w:hint="eastAsia" w:ascii="仿宋" w:hAnsi="仿宋" w:eastAsia="仿宋" w:cs="仿宋"/>
          <w:spacing w:val="5"/>
          <w:sz w:val="31"/>
          <w:szCs w:val="31"/>
        </w:rPr>
        <w:t>机关运行经费支出说明</w:t>
      </w:r>
    </w:p>
    <w:p w14:paraId="4378C8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w:t>
      </w:r>
      <w:r>
        <w:rPr>
          <w:rFonts w:hint="eastAsia" w:ascii="仿宋" w:hAnsi="仿宋" w:eastAsia="仿宋" w:cs="仿宋"/>
          <w:spacing w:val="5"/>
          <w:sz w:val="31"/>
          <w:szCs w:val="31"/>
        </w:rPr>
        <w:t>政府采购支出说明</w:t>
      </w:r>
    </w:p>
    <w:p w14:paraId="3C15F2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w:t>
      </w:r>
      <w:r>
        <w:rPr>
          <w:rFonts w:hint="eastAsia" w:ascii="仿宋" w:hAnsi="仿宋" w:eastAsia="仿宋" w:cs="仿宋"/>
          <w:spacing w:val="5"/>
          <w:sz w:val="31"/>
          <w:szCs w:val="31"/>
        </w:rPr>
        <w:t>国有资产占用情况说明</w:t>
      </w:r>
    </w:p>
    <w:p w14:paraId="41BCF1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w:t>
      </w:r>
      <w:r>
        <w:rPr>
          <w:rFonts w:hint="eastAsia" w:ascii="仿宋" w:hAnsi="仿宋" w:eastAsia="仿宋" w:cs="仿宋"/>
          <w:spacing w:val="5"/>
          <w:sz w:val="31"/>
          <w:szCs w:val="31"/>
        </w:rPr>
        <w:t>关于2024年度绩效评价情况的说明</w:t>
      </w:r>
    </w:p>
    <w:p w14:paraId="1F2922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w:t>
      </w:r>
      <w:r>
        <w:rPr>
          <w:rFonts w:hint="eastAsia" w:ascii="仿宋" w:hAnsi="仿宋" w:eastAsia="仿宋" w:cs="仿宋"/>
          <w:spacing w:val="5"/>
          <w:sz w:val="31"/>
          <w:szCs w:val="31"/>
        </w:rPr>
        <w:t>他需要说明的情况</w:t>
      </w:r>
    </w:p>
    <w:p w14:paraId="5D23260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5D382E37">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46A1AD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718ED25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3D84A705">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val="en-US" w:eastAsia="zh-CN"/>
        </w:rPr>
        <w:t>1、</w:t>
      </w:r>
      <w:r>
        <w:rPr>
          <w:rFonts w:hint="eastAsia" w:ascii="方正仿宋_GB2312" w:hAnsi="方正仿宋_GB2312" w:eastAsia="方正仿宋_GB2312" w:cs="方正仿宋_GB2312"/>
          <w:sz w:val="32"/>
          <w:szCs w:val="32"/>
        </w:rPr>
        <w:t>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0E8224A6">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2</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rPr>
        <w:t>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2C11763B">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3</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rPr>
        <w:t>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6301A00B">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4</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rPr>
        <w:t>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32790577">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5</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rPr>
        <w:t>综合行政执法队。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w:t>
      </w:r>
    </w:p>
    <w:p w14:paraId="00A5823F">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6</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rPr>
        <w:t>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0048A82F">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7</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rPr>
        <w:t>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新农村建设，推进和美乡村、美丽庭院创建工作;负责农村环境卫生工作，推进农村改厕、生活垃圾处理、生活污水治理等工作;负责推进农村移风易俗、文明创建等工作。</w:t>
      </w:r>
    </w:p>
    <w:p w14:paraId="09D49721">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ascii="Times New Roman" w:eastAsia="仿宋_GB2312"/>
          <w:sz w:val="32"/>
          <w:szCs w:val="32"/>
        </w:rPr>
      </w:pPr>
      <w:r>
        <w:rPr>
          <w:rFonts w:hint="eastAsia" w:ascii="方正仿宋_GB2312" w:hAnsi="方正仿宋_GB2312" w:eastAsia="方正仿宋_GB2312" w:cs="方正仿宋_GB2312"/>
          <w:sz w:val="32"/>
          <w:szCs w:val="32"/>
        </w:rPr>
        <w:t>8</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rPr>
        <w:t>退役军人服务站。负责退役军人就业创业扶持、拥军优属、优抚帮扶、走访慰问、信访接待、权益保障等工作;配合做好征兵、民兵、预备役、国防教育、国民经济动员、人民防空、国防交通、国防设施保护等国防动员相关工作。</w:t>
      </w:r>
    </w:p>
    <w:p w14:paraId="761ACF5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7EE01FE">
      <w:pPr>
        <w:widowControl/>
        <w:spacing w:before="0" w:beforeLines="0" w:beforeAutospacing="0" w:after="0" w:afterLines="0" w:afterAutospacing="0" w:line="360" w:lineRule="auto"/>
        <w:ind w:firstLine="640" w:firstLineChars="200"/>
        <w:jc w:val="left"/>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b w:val="0"/>
          <w:sz w:val="32"/>
          <w:szCs w:val="32"/>
        </w:rPr>
        <w:t>从决算编报单位构成看，纳入2024年度本</w:t>
      </w:r>
      <w:r>
        <w:rPr>
          <w:rFonts w:hint="eastAsia" w:ascii="方正仿宋_GB2312" w:hAnsi="方正仿宋_GB2312" w:eastAsia="方正仿宋_GB2312" w:cs="方正仿宋_GB2312"/>
          <w:b w:val="0"/>
          <w:sz w:val="32"/>
          <w:szCs w:val="32"/>
          <w:lang w:val="en-US" w:eastAsia="zh-CN"/>
        </w:rPr>
        <w:t>单位</w:t>
      </w:r>
      <w:r>
        <w:rPr>
          <w:rFonts w:hint="eastAsia" w:ascii="方正仿宋_GB2312" w:hAnsi="方正仿宋_GB2312" w:eastAsia="方正仿宋_GB2312" w:cs="方正仿宋_GB2312"/>
          <w:b w:val="0"/>
          <w:sz w:val="32"/>
          <w:szCs w:val="32"/>
        </w:rPr>
        <w:t>决算汇编范围的独立核算单位（以下简称“单位”）共</w:t>
      </w:r>
      <w:r>
        <w:rPr>
          <w:rFonts w:hint="eastAsia" w:ascii="方正仿宋_GB2312" w:hAnsi="方正仿宋_GB2312" w:eastAsia="方正仿宋_GB2312" w:cs="方正仿宋_GB2312"/>
          <w:b w:val="0"/>
          <w:sz w:val="32"/>
          <w:szCs w:val="32"/>
          <w:lang w:val="en-US" w:eastAsia="zh-CN"/>
        </w:rPr>
        <w:t>1</w:t>
      </w:r>
      <w:r>
        <w:rPr>
          <w:rFonts w:hint="eastAsia" w:ascii="方正仿宋_GB2312" w:hAnsi="方正仿宋_GB2312" w:eastAsia="方正仿宋_GB2312" w:cs="方正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3775"/>
        <w:gridCol w:w="2313"/>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27"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77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313"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27"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775" w:type="dxa"/>
          </w:tcPr>
          <w:p w14:paraId="3E1DE48C">
            <w:pPr>
              <w:spacing w:line="560" w:lineRule="exact"/>
              <w:jc w:val="center"/>
              <w:rPr>
                <w:rFonts w:ascii="仿宋_GB2312" w:hAnsi="Calibri" w:eastAsia="仿宋_GB2312" w:cs="ArialUnicodeMS"/>
                <w:kern w:val="0"/>
                <w:sz w:val="28"/>
                <w:szCs w:val="28"/>
              </w:rPr>
            </w:pPr>
            <w:r>
              <w:rPr>
                <w:rFonts w:hint="eastAsia" w:ascii="方正仿宋_GB2312" w:hAnsi="方正仿宋_GB2312" w:eastAsia="方正仿宋_GB2312" w:cs="方正仿宋_GB2312"/>
                <w:kern w:val="0"/>
                <w:sz w:val="28"/>
                <w:szCs w:val="28"/>
                <w:lang w:val="en-US" w:eastAsia="zh-CN"/>
              </w:rPr>
              <w:t>行唐县上碑镇人民政府(本级)</w:t>
            </w:r>
          </w:p>
        </w:tc>
        <w:tc>
          <w:tcPr>
            <w:tcW w:w="2313" w:type="dxa"/>
          </w:tcPr>
          <w:p w14:paraId="2E443189">
            <w:pPr>
              <w:spacing w:line="560" w:lineRule="exact"/>
              <w:jc w:val="center"/>
              <w:rPr>
                <w:rFonts w:ascii="仿宋_GB2312" w:hAnsi="Calibri" w:eastAsia="仿宋_GB2312" w:cs="ArialUnicodeMS"/>
                <w:kern w:val="0"/>
                <w:sz w:val="28"/>
                <w:szCs w:val="28"/>
              </w:rPr>
            </w:pPr>
            <w:r>
              <w:rPr>
                <w:rFonts w:ascii="仿宋" w:hAnsi="仿宋" w:eastAsia="仿宋" w:cs="仿宋"/>
                <w:spacing w:val="-3"/>
                <w:sz w:val="28"/>
                <w:szCs w:val="28"/>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方正仿宋_GB2312" w:hAnsi="方正仿宋_GB2312" w:eastAsia="方正仿宋_GB2312" w:cs="方正仿宋_GB2312"/>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5DCC7C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hint="eastAsia" w:ascii="Times New Roman" w:eastAsia="黑体"/>
          <w:b w:val="0"/>
          <w:sz w:val="44"/>
          <w:szCs w:val="44"/>
          <w:lang w:val="en-US" w:eastAsia="zh-CN"/>
        </w:rPr>
        <w:t xml:space="preserve">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单位：行唐县上碑镇人民政府(本级)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688.90</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45.24</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14.69</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309.62</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30.75</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单位：行唐县上碑镇人民政府(本级)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1,089.19</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1,089.19</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688.90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688.90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2FA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45CD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6D70BE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46B2F1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688.90</w:t>
            </w:r>
          </w:p>
        </w:tc>
        <w:tc>
          <w:tcPr>
            <w:tcW w:w="1037" w:type="dxa"/>
            <w:tcBorders>
              <w:top w:val="nil"/>
              <w:left w:val="nil"/>
              <w:bottom w:val="single" w:color="000000" w:sz="4" w:space="0"/>
              <w:right w:val="single" w:color="000000" w:sz="4" w:space="0"/>
            </w:tcBorders>
            <w:noWrap/>
            <w:vAlign w:val="center"/>
          </w:tcPr>
          <w:p w14:paraId="7647D3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688.90</w:t>
            </w:r>
          </w:p>
        </w:tc>
        <w:tc>
          <w:tcPr>
            <w:tcW w:w="1037" w:type="dxa"/>
            <w:tcBorders>
              <w:top w:val="nil"/>
              <w:left w:val="nil"/>
              <w:bottom w:val="single" w:color="000000" w:sz="4" w:space="0"/>
              <w:right w:val="single" w:color="000000" w:sz="4" w:space="0"/>
            </w:tcBorders>
            <w:noWrap/>
            <w:vAlign w:val="center"/>
          </w:tcPr>
          <w:p w14:paraId="13ECD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B2E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BA75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72F9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2DAB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EFC7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E04AA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342812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70FEA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595.31</w:t>
            </w:r>
          </w:p>
        </w:tc>
        <w:tc>
          <w:tcPr>
            <w:tcW w:w="1037" w:type="dxa"/>
            <w:tcBorders>
              <w:top w:val="nil"/>
              <w:left w:val="nil"/>
              <w:bottom w:val="single" w:color="000000" w:sz="4" w:space="0"/>
              <w:right w:val="single" w:color="000000" w:sz="4" w:space="0"/>
            </w:tcBorders>
            <w:noWrap/>
            <w:vAlign w:val="center"/>
          </w:tcPr>
          <w:p w14:paraId="78A251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595.31</w:t>
            </w:r>
          </w:p>
        </w:tc>
        <w:tc>
          <w:tcPr>
            <w:tcW w:w="1037" w:type="dxa"/>
            <w:tcBorders>
              <w:top w:val="nil"/>
              <w:left w:val="nil"/>
              <w:bottom w:val="single" w:color="000000" w:sz="4" w:space="0"/>
              <w:right w:val="single" w:color="000000" w:sz="4" w:space="0"/>
            </w:tcBorders>
            <w:noWrap/>
            <w:vAlign w:val="center"/>
          </w:tcPr>
          <w:p w14:paraId="58B28D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F4D2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FFE4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BD58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793B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B15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4123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2061C7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9DA88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93.59</w:t>
            </w:r>
          </w:p>
        </w:tc>
        <w:tc>
          <w:tcPr>
            <w:tcW w:w="1037" w:type="dxa"/>
            <w:tcBorders>
              <w:top w:val="nil"/>
              <w:left w:val="nil"/>
              <w:bottom w:val="single" w:color="000000" w:sz="4" w:space="0"/>
              <w:right w:val="single" w:color="000000" w:sz="4" w:space="0"/>
            </w:tcBorders>
            <w:noWrap/>
            <w:vAlign w:val="center"/>
          </w:tcPr>
          <w:p w14:paraId="3C3C25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93.59</w:t>
            </w:r>
          </w:p>
        </w:tc>
        <w:tc>
          <w:tcPr>
            <w:tcW w:w="1037" w:type="dxa"/>
            <w:tcBorders>
              <w:top w:val="nil"/>
              <w:left w:val="nil"/>
              <w:bottom w:val="single" w:color="000000" w:sz="4" w:space="0"/>
              <w:right w:val="single" w:color="000000" w:sz="4" w:space="0"/>
            </w:tcBorders>
            <w:noWrap/>
            <w:vAlign w:val="center"/>
          </w:tcPr>
          <w:p w14:paraId="76FDC5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B92D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FFCF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B95E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7E99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E76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F679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13EBB8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1F74E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45.24</w:t>
            </w:r>
          </w:p>
        </w:tc>
        <w:tc>
          <w:tcPr>
            <w:tcW w:w="1037" w:type="dxa"/>
            <w:tcBorders>
              <w:top w:val="nil"/>
              <w:left w:val="nil"/>
              <w:bottom w:val="single" w:color="000000" w:sz="4" w:space="0"/>
              <w:right w:val="single" w:color="000000" w:sz="4" w:space="0"/>
            </w:tcBorders>
            <w:noWrap/>
            <w:vAlign w:val="center"/>
          </w:tcPr>
          <w:p w14:paraId="349ACD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45.24</w:t>
            </w:r>
          </w:p>
        </w:tc>
        <w:tc>
          <w:tcPr>
            <w:tcW w:w="1037" w:type="dxa"/>
            <w:tcBorders>
              <w:top w:val="nil"/>
              <w:left w:val="nil"/>
              <w:bottom w:val="single" w:color="000000" w:sz="4" w:space="0"/>
              <w:right w:val="single" w:color="000000" w:sz="4" w:space="0"/>
            </w:tcBorders>
            <w:noWrap/>
            <w:vAlign w:val="center"/>
          </w:tcPr>
          <w:p w14:paraId="4969B3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F2D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F0F2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A5EB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96AF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EDC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3C1C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2226ED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1F3FCC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26CDF2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05A205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DBD1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7257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42A3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A7D3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40B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0E3B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2080101</w:t>
            </w:r>
          </w:p>
        </w:tc>
        <w:tc>
          <w:tcPr>
            <w:tcW w:w="1160" w:type="dxa"/>
            <w:tcBorders>
              <w:top w:val="nil"/>
              <w:left w:val="nil"/>
              <w:bottom w:val="single" w:color="000000" w:sz="4" w:space="0"/>
              <w:right w:val="single" w:color="000000" w:sz="4" w:space="0"/>
            </w:tcBorders>
            <w:noWrap/>
            <w:vAlign w:val="center"/>
          </w:tcPr>
          <w:p w14:paraId="6C9F7D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073BD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60673D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6A928E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6E15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050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C63F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E347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B42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315C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0A3D1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0606C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42.80</w:t>
            </w:r>
          </w:p>
        </w:tc>
        <w:tc>
          <w:tcPr>
            <w:tcW w:w="1037" w:type="dxa"/>
            <w:tcBorders>
              <w:top w:val="nil"/>
              <w:left w:val="nil"/>
              <w:bottom w:val="single" w:color="000000" w:sz="4" w:space="0"/>
              <w:right w:val="single" w:color="000000" w:sz="4" w:space="0"/>
            </w:tcBorders>
            <w:noWrap/>
            <w:vAlign w:val="center"/>
          </w:tcPr>
          <w:p w14:paraId="74BC67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42.80</w:t>
            </w:r>
          </w:p>
        </w:tc>
        <w:tc>
          <w:tcPr>
            <w:tcW w:w="1037" w:type="dxa"/>
            <w:tcBorders>
              <w:top w:val="nil"/>
              <w:left w:val="nil"/>
              <w:bottom w:val="single" w:color="000000" w:sz="4" w:space="0"/>
              <w:right w:val="single" w:color="000000" w:sz="4" w:space="0"/>
            </w:tcBorders>
            <w:noWrap/>
            <w:vAlign w:val="center"/>
          </w:tcPr>
          <w:p w14:paraId="643202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31CE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92BB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8BB3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ABC9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37B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0F5D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D265C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0B545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39.44</w:t>
            </w:r>
          </w:p>
        </w:tc>
        <w:tc>
          <w:tcPr>
            <w:tcW w:w="1037" w:type="dxa"/>
            <w:tcBorders>
              <w:top w:val="nil"/>
              <w:left w:val="nil"/>
              <w:bottom w:val="single" w:color="000000" w:sz="4" w:space="0"/>
              <w:right w:val="single" w:color="000000" w:sz="4" w:space="0"/>
            </w:tcBorders>
            <w:noWrap/>
            <w:vAlign w:val="center"/>
          </w:tcPr>
          <w:p w14:paraId="63770E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39.44</w:t>
            </w:r>
          </w:p>
        </w:tc>
        <w:tc>
          <w:tcPr>
            <w:tcW w:w="1037" w:type="dxa"/>
            <w:tcBorders>
              <w:top w:val="nil"/>
              <w:left w:val="nil"/>
              <w:bottom w:val="single" w:color="000000" w:sz="4" w:space="0"/>
              <w:right w:val="single" w:color="000000" w:sz="4" w:space="0"/>
            </w:tcBorders>
            <w:noWrap/>
            <w:vAlign w:val="center"/>
          </w:tcPr>
          <w:p w14:paraId="062FCA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56DB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9285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9183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E253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4CE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9D8B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5E6DFE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64A377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w:t>
            </w:r>
          </w:p>
        </w:tc>
        <w:tc>
          <w:tcPr>
            <w:tcW w:w="1037" w:type="dxa"/>
            <w:tcBorders>
              <w:top w:val="nil"/>
              <w:left w:val="nil"/>
              <w:bottom w:val="single" w:color="000000" w:sz="4" w:space="0"/>
              <w:right w:val="single" w:color="000000" w:sz="4" w:space="0"/>
            </w:tcBorders>
            <w:noWrap/>
            <w:vAlign w:val="center"/>
          </w:tcPr>
          <w:p w14:paraId="26CA48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w:t>
            </w:r>
          </w:p>
        </w:tc>
        <w:tc>
          <w:tcPr>
            <w:tcW w:w="1037" w:type="dxa"/>
            <w:tcBorders>
              <w:top w:val="nil"/>
              <w:left w:val="nil"/>
              <w:bottom w:val="single" w:color="000000" w:sz="4" w:space="0"/>
              <w:right w:val="single" w:color="000000" w:sz="4" w:space="0"/>
            </w:tcBorders>
            <w:noWrap/>
            <w:vAlign w:val="center"/>
          </w:tcPr>
          <w:p w14:paraId="3827F3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520D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AA61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E7F0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50FB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820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60B2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1A4803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4A336D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1.83</w:t>
            </w:r>
          </w:p>
        </w:tc>
        <w:tc>
          <w:tcPr>
            <w:tcW w:w="1037" w:type="dxa"/>
            <w:tcBorders>
              <w:top w:val="nil"/>
              <w:left w:val="nil"/>
              <w:bottom w:val="single" w:color="000000" w:sz="4" w:space="0"/>
              <w:right w:val="single" w:color="000000" w:sz="4" w:space="0"/>
            </w:tcBorders>
            <w:noWrap/>
            <w:vAlign w:val="center"/>
          </w:tcPr>
          <w:p w14:paraId="5990C9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1.83</w:t>
            </w:r>
          </w:p>
        </w:tc>
        <w:tc>
          <w:tcPr>
            <w:tcW w:w="1037" w:type="dxa"/>
            <w:tcBorders>
              <w:top w:val="nil"/>
              <w:left w:val="nil"/>
              <w:bottom w:val="single" w:color="000000" w:sz="4" w:space="0"/>
              <w:right w:val="single" w:color="000000" w:sz="4" w:space="0"/>
            </w:tcBorders>
            <w:noWrap/>
            <w:vAlign w:val="center"/>
          </w:tcPr>
          <w:p w14:paraId="529600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E36D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E1CF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1CD6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9EFB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B4E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CBF1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5BDB97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50BC35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0.52</w:t>
            </w:r>
          </w:p>
        </w:tc>
        <w:tc>
          <w:tcPr>
            <w:tcW w:w="1037" w:type="dxa"/>
            <w:tcBorders>
              <w:top w:val="nil"/>
              <w:left w:val="nil"/>
              <w:bottom w:val="single" w:color="000000" w:sz="4" w:space="0"/>
              <w:right w:val="single" w:color="000000" w:sz="4" w:space="0"/>
            </w:tcBorders>
            <w:noWrap/>
            <w:vAlign w:val="center"/>
          </w:tcPr>
          <w:p w14:paraId="6C30AD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0.52</w:t>
            </w:r>
          </w:p>
        </w:tc>
        <w:tc>
          <w:tcPr>
            <w:tcW w:w="1037" w:type="dxa"/>
            <w:tcBorders>
              <w:top w:val="nil"/>
              <w:left w:val="nil"/>
              <w:bottom w:val="single" w:color="000000" w:sz="4" w:space="0"/>
              <w:right w:val="single" w:color="000000" w:sz="4" w:space="0"/>
            </w:tcBorders>
            <w:noWrap/>
            <w:vAlign w:val="center"/>
          </w:tcPr>
          <w:p w14:paraId="7FEDD3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DC2A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67C3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02FF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A808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F2C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35DE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067E3E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34B172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w:t>
            </w:r>
          </w:p>
        </w:tc>
        <w:tc>
          <w:tcPr>
            <w:tcW w:w="1037" w:type="dxa"/>
            <w:tcBorders>
              <w:top w:val="nil"/>
              <w:left w:val="nil"/>
              <w:bottom w:val="single" w:color="000000" w:sz="4" w:space="0"/>
              <w:right w:val="single" w:color="000000" w:sz="4" w:space="0"/>
            </w:tcBorders>
            <w:noWrap/>
            <w:vAlign w:val="center"/>
          </w:tcPr>
          <w:p w14:paraId="1E3918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w:t>
            </w:r>
          </w:p>
        </w:tc>
        <w:tc>
          <w:tcPr>
            <w:tcW w:w="1037" w:type="dxa"/>
            <w:tcBorders>
              <w:top w:val="nil"/>
              <w:left w:val="nil"/>
              <w:bottom w:val="single" w:color="000000" w:sz="4" w:space="0"/>
              <w:right w:val="single" w:color="000000" w:sz="4" w:space="0"/>
            </w:tcBorders>
            <w:noWrap/>
            <w:vAlign w:val="center"/>
          </w:tcPr>
          <w:p w14:paraId="5DC290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3275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D9F6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0705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A408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EBF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0436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56C8BD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780D0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3F519F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27D9F1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4685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1812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22BA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230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EDE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75DE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472CD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94E48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19648D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143018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5430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06AE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E0C9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531B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11D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CBF7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21C0B1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3E242A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7D85CD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14.69</w:t>
            </w:r>
          </w:p>
        </w:tc>
        <w:tc>
          <w:tcPr>
            <w:tcW w:w="1037" w:type="dxa"/>
            <w:tcBorders>
              <w:top w:val="nil"/>
              <w:left w:val="nil"/>
              <w:bottom w:val="single" w:color="000000" w:sz="4" w:space="0"/>
              <w:right w:val="single" w:color="000000" w:sz="4" w:space="0"/>
            </w:tcBorders>
            <w:noWrap/>
            <w:vAlign w:val="center"/>
          </w:tcPr>
          <w:p w14:paraId="39E7CA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A8B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7014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94C6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7F6F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604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92EE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6722A9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70D5FE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36186E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34CD2D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B65C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543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12B4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9197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144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A6BA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205E1A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0E850C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58CBFF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5DA847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6B17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16A1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474D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A3BC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011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4582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0E701F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122054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60C69D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309.62</w:t>
            </w:r>
          </w:p>
        </w:tc>
        <w:tc>
          <w:tcPr>
            <w:tcW w:w="1037" w:type="dxa"/>
            <w:tcBorders>
              <w:top w:val="nil"/>
              <w:left w:val="nil"/>
              <w:bottom w:val="single" w:color="000000" w:sz="4" w:space="0"/>
              <w:right w:val="single" w:color="000000" w:sz="4" w:space="0"/>
            </w:tcBorders>
            <w:noWrap/>
            <w:vAlign w:val="center"/>
          </w:tcPr>
          <w:p w14:paraId="2F4E16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9DDC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C519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CC78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1D2E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C34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05BC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685E2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01BD85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4FC32A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719A3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0228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34EB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C0DA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7EA8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AFA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FFF1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9F44B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8FF09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20C9E2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45394D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5646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2BBD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531E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72FA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AC3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4A1D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365A0A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24C7E9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156CF7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30.75</w:t>
            </w:r>
          </w:p>
        </w:tc>
        <w:tc>
          <w:tcPr>
            <w:tcW w:w="1037" w:type="dxa"/>
            <w:tcBorders>
              <w:top w:val="nil"/>
              <w:left w:val="nil"/>
              <w:bottom w:val="single" w:color="000000" w:sz="4" w:space="0"/>
              <w:right w:val="single" w:color="000000" w:sz="4" w:space="0"/>
            </w:tcBorders>
            <w:noWrap/>
            <w:vAlign w:val="center"/>
          </w:tcPr>
          <w:p w14:paraId="32319E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10CE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0517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F177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017D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单位：行唐县上碑镇人民政府(本级)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637.38</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451.82</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688.90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141.59</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1ABF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1586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6B69E5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092009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688.90</w:t>
            </w:r>
          </w:p>
        </w:tc>
        <w:tc>
          <w:tcPr>
            <w:tcW w:w="602" w:type="pct"/>
            <w:gridSpan w:val="2"/>
            <w:tcBorders>
              <w:top w:val="nil"/>
              <w:left w:val="nil"/>
              <w:bottom w:val="single" w:color="000000" w:sz="4" w:space="0"/>
              <w:right w:val="single" w:color="000000" w:sz="4" w:space="0"/>
            </w:tcBorders>
            <w:noWrap/>
            <w:vAlign w:val="center"/>
          </w:tcPr>
          <w:p w14:paraId="4AE4FD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602" w:type="pct"/>
            <w:tcBorders>
              <w:top w:val="nil"/>
              <w:left w:val="nil"/>
              <w:bottom w:val="single" w:color="000000" w:sz="4" w:space="0"/>
              <w:right w:val="single" w:color="000000" w:sz="4" w:space="0"/>
            </w:tcBorders>
            <w:noWrap/>
            <w:vAlign w:val="center"/>
          </w:tcPr>
          <w:p w14:paraId="38C968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141.59</w:t>
            </w:r>
          </w:p>
        </w:tc>
        <w:tc>
          <w:tcPr>
            <w:tcW w:w="602" w:type="pct"/>
            <w:gridSpan w:val="2"/>
            <w:tcBorders>
              <w:top w:val="nil"/>
              <w:left w:val="nil"/>
              <w:bottom w:val="single" w:color="000000" w:sz="4" w:space="0"/>
              <w:right w:val="single" w:color="000000" w:sz="4" w:space="0"/>
            </w:tcBorders>
            <w:noWrap/>
            <w:vAlign w:val="center"/>
          </w:tcPr>
          <w:p w14:paraId="1CD98E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1A56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B9A87B">
            <w:pPr>
              <w:jc w:val="right"/>
              <w:rPr>
                <w:rFonts w:hint="default" w:ascii="Times New Roman" w:hAnsi="Times New Roman" w:eastAsia="宋体" w:cs="Times New Roman"/>
                <w:i w:val="0"/>
                <w:iCs w:val="0"/>
                <w:color w:val="000000"/>
                <w:sz w:val="20"/>
                <w:szCs w:val="20"/>
                <w:highlight w:val="none"/>
                <w:u w:val="none"/>
              </w:rPr>
            </w:pPr>
          </w:p>
        </w:tc>
      </w:tr>
      <w:tr w14:paraId="1E9A0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A70C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628DFE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1E32A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595.31</w:t>
            </w:r>
          </w:p>
        </w:tc>
        <w:tc>
          <w:tcPr>
            <w:tcW w:w="602" w:type="pct"/>
            <w:gridSpan w:val="2"/>
            <w:tcBorders>
              <w:top w:val="nil"/>
              <w:left w:val="nil"/>
              <w:bottom w:val="single" w:color="000000" w:sz="4" w:space="0"/>
              <w:right w:val="single" w:color="000000" w:sz="4" w:space="0"/>
            </w:tcBorders>
            <w:noWrap/>
            <w:vAlign w:val="center"/>
          </w:tcPr>
          <w:p w14:paraId="284AC4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602" w:type="pct"/>
            <w:tcBorders>
              <w:top w:val="nil"/>
              <w:left w:val="nil"/>
              <w:bottom w:val="single" w:color="000000" w:sz="4" w:space="0"/>
              <w:right w:val="single" w:color="000000" w:sz="4" w:space="0"/>
            </w:tcBorders>
            <w:noWrap/>
            <w:vAlign w:val="center"/>
          </w:tcPr>
          <w:p w14:paraId="224476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c>
          <w:tcPr>
            <w:tcW w:w="602" w:type="pct"/>
            <w:gridSpan w:val="2"/>
            <w:tcBorders>
              <w:top w:val="nil"/>
              <w:left w:val="nil"/>
              <w:bottom w:val="single" w:color="000000" w:sz="4" w:space="0"/>
              <w:right w:val="single" w:color="000000" w:sz="4" w:space="0"/>
            </w:tcBorders>
            <w:noWrap/>
            <w:vAlign w:val="center"/>
          </w:tcPr>
          <w:p w14:paraId="67AFDB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E9D5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72207B">
            <w:pPr>
              <w:jc w:val="right"/>
              <w:rPr>
                <w:rFonts w:hint="default" w:ascii="Times New Roman" w:hAnsi="Times New Roman" w:eastAsia="宋体" w:cs="Times New Roman"/>
                <w:i w:val="0"/>
                <w:iCs w:val="0"/>
                <w:color w:val="000000"/>
                <w:sz w:val="20"/>
                <w:szCs w:val="20"/>
                <w:highlight w:val="none"/>
                <w:u w:val="none"/>
              </w:rPr>
            </w:pPr>
          </w:p>
        </w:tc>
      </w:tr>
      <w:tr w14:paraId="17598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087D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20DB8F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24FF6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93.59</w:t>
            </w:r>
          </w:p>
        </w:tc>
        <w:tc>
          <w:tcPr>
            <w:tcW w:w="602" w:type="pct"/>
            <w:gridSpan w:val="2"/>
            <w:tcBorders>
              <w:top w:val="nil"/>
              <w:left w:val="nil"/>
              <w:bottom w:val="single" w:color="000000" w:sz="4" w:space="0"/>
              <w:right w:val="single" w:color="000000" w:sz="4" w:space="0"/>
            </w:tcBorders>
            <w:noWrap/>
            <w:vAlign w:val="center"/>
          </w:tcPr>
          <w:p w14:paraId="14014C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96C1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93.59</w:t>
            </w:r>
          </w:p>
        </w:tc>
        <w:tc>
          <w:tcPr>
            <w:tcW w:w="602" w:type="pct"/>
            <w:gridSpan w:val="2"/>
            <w:tcBorders>
              <w:top w:val="nil"/>
              <w:left w:val="nil"/>
              <w:bottom w:val="single" w:color="000000" w:sz="4" w:space="0"/>
              <w:right w:val="single" w:color="000000" w:sz="4" w:space="0"/>
            </w:tcBorders>
            <w:noWrap/>
            <w:vAlign w:val="center"/>
          </w:tcPr>
          <w:p w14:paraId="21BF6B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F2FE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B83A1E">
            <w:pPr>
              <w:jc w:val="right"/>
              <w:rPr>
                <w:rFonts w:hint="default" w:ascii="Times New Roman" w:hAnsi="Times New Roman" w:eastAsia="宋体" w:cs="Times New Roman"/>
                <w:i w:val="0"/>
                <w:iCs w:val="0"/>
                <w:color w:val="000000"/>
                <w:sz w:val="20"/>
                <w:szCs w:val="20"/>
                <w:highlight w:val="none"/>
                <w:u w:val="none"/>
              </w:rPr>
            </w:pPr>
          </w:p>
        </w:tc>
      </w:tr>
      <w:tr w14:paraId="13A43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D1F2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B92A9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5EC6E8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45.24</w:t>
            </w:r>
          </w:p>
        </w:tc>
        <w:tc>
          <w:tcPr>
            <w:tcW w:w="602" w:type="pct"/>
            <w:gridSpan w:val="2"/>
            <w:tcBorders>
              <w:top w:val="nil"/>
              <w:left w:val="nil"/>
              <w:bottom w:val="single" w:color="000000" w:sz="4" w:space="0"/>
              <w:right w:val="single" w:color="000000" w:sz="4" w:space="0"/>
            </w:tcBorders>
            <w:noWrap/>
            <w:vAlign w:val="center"/>
          </w:tcPr>
          <w:p w14:paraId="077424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44.63</w:t>
            </w:r>
          </w:p>
        </w:tc>
        <w:tc>
          <w:tcPr>
            <w:tcW w:w="602" w:type="pct"/>
            <w:tcBorders>
              <w:top w:val="nil"/>
              <w:left w:val="nil"/>
              <w:bottom w:val="single" w:color="000000" w:sz="4" w:space="0"/>
              <w:right w:val="single" w:color="000000" w:sz="4" w:space="0"/>
            </w:tcBorders>
            <w:noWrap/>
            <w:vAlign w:val="center"/>
          </w:tcPr>
          <w:p w14:paraId="7DE71E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42B9D3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9ACC6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7FAB09">
            <w:pPr>
              <w:jc w:val="right"/>
              <w:rPr>
                <w:rFonts w:hint="default" w:ascii="Times New Roman" w:hAnsi="Times New Roman" w:eastAsia="宋体" w:cs="Times New Roman"/>
                <w:i w:val="0"/>
                <w:iCs w:val="0"/>
                <w:color w:val="000000"/>
                <w:sz w:val="20"/>
                <w:szCs w:val="20"/>
                <w:highlight w:val="none"/>
                <w:u w:val="none"/>
              </w:rPr>
            </w:pPr>
          </w:p>
        </w:tc>
      </w:tr>
      <w:tr w14:paraId="62D62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5480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635" w:type="pct"/>
            <w:tcBorders>
              <w:top w:val="nil"/>
              <w:left w:val="nil"/>
              <w:bottom w:val="single" w:color="000000" w:sz="4" w:space="0"/>
              <w:right w:val="single" w:color="000000" w:sz="4" w:space="0"/>
            </w:tcBorders>
            <w:noWrap/>
            <w:vAlign w:val="center"/>
          </w:tcPr>
          <w:p w14:paraId="195DF2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603" w:type="pct"/>
            <w:tcBorders>
              <w:top w:val="nil"/>
              <w:left w:val="nil"/>
              <w:bottom w:val="single" w:color="000000" w:sz="4" w:space="0"/>
              <w:right w:val="single" w:color="000000" w:sz="4" w:space="0"/>
            </w:tcBorders>
            <w:noWrap/>
            <w:vAlign w:val="center"/>
          </w:tcPr>
          <w:p w14:paraId="2926F7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24CE68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471D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0A9EE7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21B10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5C44AB">
            <w:pPr>
              <w:jc w:val="right"/>
              <w:rPr>
                <w:rFonts w:hint="default" w:ascii="Times New Roman" w:hAnsi="Times New Roman" w:eastAsia="宋体" w:cs="Times New Roman"/>
                <w:i w:val="0"/>
                <w:iCs w:val="0"/>
                <w:color w:val="000000"/>
                <w:sz w:val="20"/>
                <w:szCs w:val="20"/>
                <w:highlight w:val="none"/>
                <w:u w:val="none"/>
              </w:rPr>
            </w:pPr>
          </w:p>
        </w:tc>
      </w:tr>
      <w:tr w14:paraId="33032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7C43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2080101</w:t>
            </w:r>
          </w:p>
        </w:tc>
        <w:tc>
          <w:tcPr>
            <w:tcW w:w="635" w:type="pct"/>
            <w:tcBorders>
              <w:top w:val="nil"/>
              <w:left w:val="nil"/>
              <w:bottom w:val="single" w:color="000000" w:sz="4" w:space="0"/>
              <w:right w:val="single" w:color="000000" w:sz="4" w:space="0"/>
            </w:tcBorders>
            <w:noWrap/>
            <w:vAlign w:val="center"/>
          </w:tcPr>
          <w:p w14:paraId="49790A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7D44DE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279E30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434C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760B22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6130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568C45">
            <w:pPr>
              <w:jc w:val="right"/>
              <w:rPr>
                <w:rFonts w:hint="default" w:ascii="Times New Roman" w:hAnsi="Times New Roman" w:eastAsia="宋体" w:cs="Times New Roman"/>
                <w:i w:val="0"/>
                <w:iCs w:val="0"/>
                <w:color w:val="000000"/>
                <w:sz w:val="20"/>
                <w:szCs w:val="20"/>
                <w:highlight w:val="none"/>
                <w:u w:val="none"/>
              </w:rPr>
            </w:pPr>
          </w:p>
        </w:tc>
      </w:tr>
      <w:tr w14:paraId="75CAC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4333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37ADE8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A550C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42.80</w:t>
            </w:r>
          </w:p>
        </w:tc>
        <w:tc>
          <w:tcPr>
            <w:tcW w:w="602" w:type="pct"/>
            <w:gridSpan w:val="2"/>
            <w:tcBorders>
              <w:top w:val="nil"/>
              <w:left w:val="nil"/>
              <w:bottom w:val="single" w:color="000000" w:sz="4" w:space="0"/>
              <w:right w:val="single" w:color="000000" w:sz="4" w:space="0"/>
            </w:tcBorders>
            <w:noWrap/>
            <w:vAlign w:val="center"/>
          </w:tcPr>
          <w:p w14:paraId="613715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42.80</w:t>
            </w:r>
          </w:p>
        </w:tc>
        <w:tc>
          <w:tcPr>
            <w:tcW w:w="602" w:type="pct"/>
            <w:tcBorders>
              <w:top w:val="nil"/>
              <w:left w:val="nil"/>
              <w:bottom w:val="single" w:color="000000" w:sz="4" w:space="0"/>
              <w:right w:val="single" w:color="000000" w:sz="4" w:space="0"/>
            </w:tcBorders>
            <w:noWrap/>
            <w:vAlign w:val="center"/>
          </w:tcPr>
          <w:p w14:paraId="1D4CEC7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46481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8F23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F4508D">
            <w:pPr>
              <w:jc w:val="right"/>
              <w:rPr>
                <w:rFonts w:hint="default" w:ascii="Times New Roman" w:hAnsi="Times New Roman" w:eastAsia="宋体" w:cs="Times New Roman"/>
                <w:i w:val="0"/>
                <w:iCs w:val="0"/>
                <w:color w:val="000000"/>
                <w:sz w:val="20"/>
                <w:szCs w:val="20"/>
                <w:highlight w:val="none"/>
                <w:u w:val="none"/>
              </w:rPr>
            </w:pPr>
          </w:p>
        </w:tc>
      </w:tr>
      <w:tr w14:paraId="56253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568C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75BB4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157B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39.44</w:t>
            </w:r>
          </w:p>
        </w:tc>
        <w:tc>
          <w:tcPr>
            <w:tcW w:w="602" w:type="pct"/>
            <w:gridSpan w:val="2"/>
            <w:tcBorders>
              <w:top w:val="nil"/>
              <w:left w:val="nil"/>
              <w:bottom w:val="single" w:color="000000" w:sz="4" w:space="0"/>
              <w:right w:val="single" w:color="000000" w:sz="4" w:space="0"/>
            </w:tcBorders>
            <w:noWrap/>
            <w:vAlign w:val="center"/>
          </w:tcPr>
          <w:p w14:paraId="0C93EF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39.44</w:t>
            </w:r>
          </w:p>
        </w:tc>
        <w:tc>
          <w:tcPr>
            <w:tcW w:w="602" w:type="pct"/>
            <w:tcBorders>
              <w:top w:val="nil"/>
              <w:left w:val="nil"/>
              <w:bottom w:val="single" w:color="000000" w:sz="4" w:space="0"/>
              <w:right w:val="single" w:color="000000" w:sz="4" w:space="0"/>
            </w:tcBorders>
            <w:noWrap/>
            <w:vAlign w:val="center"/>
          </w:tcPr>
          <w:p w14:paraId="416B12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25675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DF623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F72396">
            <w:pPr>
              <w:jc w:val="right"/>
              <w:rPr>
                <w:rFonts w:hint="default" w:ascii="Times New Roman" w:hAnsi="Times New Roman" w:eastAsia="宋体" w:cs="Times New Roman"/>
                <w:i w:val="0"/>
                <w:iCs w:val="0"/>
                <w:color w:val="000000"/>
                <w:sz w:val="20"/>
                <w:szCs w:val="20"/>
                <w:highlight w:val="none"/>
                <w:u w:val="none"/>
              </w:rPr>
            </w:pPr>
          </w:p>
        </w:tc>
      </w:tr>
      <w:tr w14:paraId="1D7D2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7F1F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0677F6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48CFF8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w:t>
            </w:r>
          </w:p>
        </w:tc>
        <w:tc>
          <w:tcPr>
            <w:tcW w:w="602" w:type="pct"/>
            <w:gridSpan w:val="2"/>
            <w:tcBorders>
              <w:top w:val="nil"/>
              <w:left w:val="nil"/>
              <w:bottom w:val="single" w:color="000000" w:sz="4" w:space="0"/>
              <w:right w:val="single" w:color="000000" w:sz="4" w:space="0"/>
            </w:tcBorders>
            <w:noWrap/>
            <w:vAlign w:val="center"/>
          </w:tcPr>
          <w:p w14:paraId="27C907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w:t>
            </w:r>
          </w:p>
        </w:tc>
        <w:tc>
          <w:tcPr>
            <w:tcW w:w="602" w:type="pct"/>
            <w:tcBorders>
              <w:top w:val="nil"/>
              <w:left w:val="nil"/>
              <w:bottom w:val="single" w:color="000000" w:sz="4" w:space="0"/>
              <w:right w:val="single" w:color="000000" w:sz="4" w:space="0"/>
            </w:tcBorders>
            <w:noWrap/>
            <w:vAlign w:val="center"/>
          </w:tcPr>
          <w:p w14:paraId="481C56A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8CE64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C7E2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81E40A7">
            <w:pPr>
              <w:jc w:val="right"/>
              <w:rPr>
                <w:rFonts w:hint="default" w:ascii="Times New Roman" w:hAnsi="Times New Roman" w:eastAsia="宋体" w:cs="Times New Roman"/>
                <w:i w:val="0"/>
                <w:iCs w:val="0"/>
                <w:color w:val="000000"/>
                <w:sz w:val="20"/>
                <w:szCs w:val="20"/>
                <w:highlight w:val="none"/>
                <w:u w:val="none"/>
              </w:rPr>
            </w:pPr>
          </w:p>
        </w:tc>
      </w:tr>
      <w:tr w14:paraId="657D2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7704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75B728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6CAA43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1.83</w:t>
            </w:r>
          </w:p>
        </w:tc>
        <w:tc>
          <w:tcPr>
            <w:tcW w:w="602" w:type="pct"/>
            <w:gridSpan w:val="2"/>
            <w:tcBorders>
              <w:top w:val="nil"/>
              <w:left w:val="nil"/>
              <w:bottom w:val="single" w:color="000000" w:sz="4" w:space="0"/>
              <w:right w:val="single" w:color="000000" w:sz="4" w:space="0"/>
            </w:tcBorders>
            <w:noWrap/>
            <w:vAlign w:val="center"/>
          </w:tcPr>
          <w:p w14:paraId="0FE719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1.83</w:t>
            </w:r>
          </w:p>
        </w:tc>
        <w:tc>
          <w:tcPr>
            <w:tcW w:w="602" w:type="pct"/>
            <w:tcBorders>
              <w:top w:val="nil"/>
              <w:left w:val="nil"/>
              <w:bottom w:val="single" w:color="000000" w:sz="4" w:space="0"/>
              <w:right w:val="single" w:color="000000" w:sz="4" w:space="0"/>
            </w:tcBorders>
            <w:noWrap/>
            <w:vAlign w:val="center"/>
          </w:tcPr>
          <w:p w14:paraId="6D83114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59A80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D1BC3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95843D">
            <w:pPr>
              <w:jc w:val="right"/>
              <w:rPr>
                <w:rFonts w:hint="default" w:ascii="Times New Roman" w:hAnsi="Times New Roman" w:eastAsia="宋体" w:cs="Times New Roman"/>
                <w:i w:val="0"/>
                <w:iCs w:val="0"/>
                <w:color w:val="000000"/>
                <w:sz w:val="20"/>
                <w:szCs w:val="20"/>
                <w:highlight w:val="none"/>
                <w:u w:val="none"/>
              </w:rPr>
            </w:pPr>
          </w:p>
        </w:tc>
      </w:tr>
      <w:tr w14:paraId="41C3E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4F6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167C10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5A8EDE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0.52</w:t>
            </w:r>
          </w:p>
        </w:tc>
        <w:tc>
          <w:tcPr>
            <w:tcW w:w="602" w:type="pct"/>
            <w:gridSpan w:val="2"/>
            <w:tcBorders>
              <w:top w:val="nil"/>
              <w:left w:val="nil"/>
              <w:bottom w:val="single" w:color="000000" w:sz="4" w:space="0"/>
              <w:right w:val="single" w:color="000000" w:sz="4" w:space="0"/>
            </w:tcBorders>
            <w:noWrap/>
            <w:vAlign w:val="center"/>
          </w:tcPr>
          <w:p w14:paraId="542F82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0.52</w:t>
            </w:r>
          </w:p>
        </w:tc>
        <w:tc>
          <w:tcPr>
            <w:tcW w:w="602" w:type="pct"/>
            <w:tcBorders>
              <w:top w:val="nil"/>
              <w:left w:val="nil"/>
              <w:bottom w:val="single" w:color="000000" w:sz="4" w:space="0"/>
              <w:right w:val="single" w:color="000000" w:sz="4" w:space="0"/>
            </w:tcBorders>
            <w:noWrap/>
            <w:vAlign w:val="center"/>
          </w:tcPr>
          <w:p w14:paraId="0F8A291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8E5F4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3902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56CFAE">
            <w:pPr>
              <w:jc w:val="right"/>
              <w:rPr>
                <w:rFonts w:hint="default" w:ascii="Times New Roman" w:hAnsi="Times New Roman" w:eastAsia="宋体" w:cs="Times New Roman"/>
                <w:i w:val="0"/>
                <w:iCs w:val="0"/>
                <w:color w:val="000000"/>
                <w:sz w:val="20"/>
                <w:szCs w:val="20"/>
                <w:highlight w:val="none"/>
                <w:u w:val="none"/>
              </w:rPr>
            </w:pPr>
          </w:p>
        </w:tc>
      </w:tr>
      <w:tr w14:paraId="2B2F8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E559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699E34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0771AC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w:t>
            </w:r>
          </w:p>
        </w:tc>
        <w:tc>
          <w:tcPr>
            <w:tcW w:w="602" w:type="pct"/>
            <w:gridSpan w:val="2"/>
            <w:tcBorders>
              <w:top w:val="nil"/>
              <w:left w:val="nil"/>
              <w:bottom w:val="single" w:color="000000" w:sz="4" w:space="0"/>
              <w:right w:val="single" w:color="000000" w:sz="4" w:space="0"/>
            </w:tcBorders>
            <w:noWrap/>
            <w:vAlign w:val="center"/>
          </w:tcPr>
          <w:p w14:paraId="721368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w:t>
            </w:r>
          </w:p>
        </w:tc>
        <w:tc>
          <w:tcPr>
            <w:tcW w:w="602" w:type="pct"/>
            <w:tcBorders>
              <w:top w:val="nil"/>
              <w:left w:val="nil"/>
              <w:bottom w:val="single" w:color="000000" w:sz="4" w:space="0"/>
              <w:right w:val="single" w:color="000000" w:sz="4" w:space="0"/>
            </w:tcBorders>
            <w:noWrap/>
            <w:vAlign w:val="center"/>
          </w:tcPr>
          <w:p w14:paraId="25A1894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DEF16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C4E22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F4339E">
            <w:pPr>
              <w:jc w:val="right"/>
              <w:rPr>
                <w:rFonts w:hint="default" w:ascii="Times New Roman" w:hAnsi="Times New Roman" w:eastAsia="宋体" w:cs="Times New Roman"/>
                <w:i w:val="0"/>
                <w:iCs w:val="0"/>
                <w:color w:val="000000"/>
                <w:sz w:val="20"/>
                <w:szCs w:val="20"/>
                <w:highlight w:val="none"/>
                <w:u w:val="none"/>
              </w:rPr>
            </w:pPr>
          </w:p>
        </w:tc>
      </w:tr>
      <w:tr w14:paraId="000EB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268B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86C16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C0DF7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gridSpan w:val="2"/>
            <w:tcBorders>
              <w:top w:val="nil"/>
              <w:left w:val="nil"/>
              <w:bottom w:val="single" w:color="000000" w:sz="4" w:space="0"/>
              <w:right w:val="single" w:color="000000" w:sz="4" w:space="0"/>
            </w:tcBorders>
            <w:noWrap/>
            <w:vAlign w:val="center"/>
          </w:tcPr>
          <w:p w14:paraId="191BC1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tcBorders>
              <w:top w:val="nil"/>
              <w:left w:val="nil"/>
              <w:bottom w:val="single" w:color="000000" w:sz="4" w:space="0"/>
              <w:right w:val="single" w:color="000000" w:sz="4" w:space="0"/>
            </w:tcBorders>
            <w:noWrap/>
            <w:vAlign w:val="center"/>
          </w:tcPr>
          <w:p w14:paraId="52F5ADC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49BA3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C51CD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EDB082">
            <w:pPr>
              <w:jc w:val="right"/>
              <w:rPr>
                <w:rFonts w:hint="default" w:ascii="Times New Roman" w:hAnsi="Times New Roman" w:eastAsia="宋体" w:cs="Times New Roman"/>
                <w:i w:val="0"/>
                <w:iCs w:val="0"/>
                <w:color w:val="000000"/>
                <w:sz w:val="20"/>
                <w:szCs w:val="20"/>
                <w:highlight w:val="none"/>
                <w:u w:val="none"/>
              </w:rPr>
            </w:pPr>
          </w:p>
        </w:tc>
      </w:tr>
      <w:tr w14:paraId="3BEF6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D2F7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79EDA1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AC3BB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gridSpan w:val="2"/>
            <w:tcBorders>
              <w:top w:val="nil"/>
              <w:left w:val="nil"/>
              <w:bottom w:val="single" w:color="000000" w:sz="4" w:space="0"/>
              <w:right w:val="single" w:color="000000" w:sz="4" w:space="0"/>
            </w:tcBorders>
            <w:noWrap/>
            <w:vAlign w:val="center"/>
          </w:tcPr>
          <w:p w14:paraId="7AEE5F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tcBorders>
              <w:top w:val="nil"/>
              <w:left w:val="nil"/>
              <w:bottom w:val="single" w:color="000000" w:sz="4" w:space="0"/>
              <w:right w:val="single" w:color="000000" w:sz="4" w:space="0"/>
            </w:tcBorders>
            <w:noWrap/>
            <w:vAlign w:val="center"/>
          </w:tcPr>
          <w:p w14:paraId="0BAAD1B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5F345B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6049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A798BD">
            <w:pPr>
              <w:jc w:val="right"/>
              <w:rPr>
                <w:rFonts w:hint="default" w:ascii="Times New Roman" w:hAnsi="Times New Roman" w:eastAsia="宋体" w:cs="Times New Roman"/>
                <w:i w:val="0"/>
                <w:iCs w:val="0"/>
                <w:color w:val="000000"/>
                <w:sz w:val="20"/>
                <w:szCs w:val="20"/>
                <w:highlight w:val="none"/>
                <w:u w:val="none"/>
              </w:rPr>
            </w:pPr>
          </w:p>
        </w:tc>
      </w:tr>
      <w:tr w14:paraId="41490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B516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2306EA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583D7B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gridSpan w:val="2"/>
            <w:tcBorders>
              <w:top w:val="nil"/>
              <w:left w:val="nil"/>
              <w:bottom w:val="single" w:color="000000" w:sz="4" w:space="0"/>
              <w:right w:val="single" w:color="000000" w:sz="4" w:space="0"/>
            </w:tcBorders>
            <w:noWrap/>
            <w:vAlign w:val="center"/>
          </w:tcPr>
          <w:p w14:paraId="697B11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602" w:type="pct"/>
            <w:tcBorders>
              <w:top w:val="nil"/>
              <w:left w:val="nil"/>
              <w:bottom w:val="single" w:color="000000" w:sz="4" w:space="0"/>
              <w:right w:val="single" w:color="000000" w:sz="4" w:space="0"/>
            </w:tcBorders>
            <w:noWrap/>
            <w:vAlign w:val="center"/>
          </w:tcPr>
          <w:p w14:paraId="1D1A85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F761E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3067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0A4FCA">
            <w:pPr>
              <w:jc w:val="right"/>
              <w:rPr>
                <w:rFonts w:hint="default" w:ascii="Times New Roman" w:hAnsi="Times New Roman" w:eastAsia="宋体" w:cs="Times New Roman"/>
                <w:i w:val="0"/>
                <w:iCs w:val="0"/>
                <w:color w:val="000000"/>
                <w:sz w:val="20"/>
                <w:szCs w:val="20"/>
                <w:highlight w:val="none"/>
                <w:u w:val="none"/>
              </w:rPr>
            </w:pPr>
          </w:p>
        </w:tc>
      </w:tr>
      <w:tr w14:paraId="225A0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4F95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2F06D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14BC85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5D8B29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DD02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14EC62C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F2956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E9AA61">
            <w:pPr>
              <w:jc w:val="right"/>
              <w:rPr>
                <w:rFonts w:hint="default" w:ascii="Times New Roman" w:hAnsi="Times New Roman" w:eastAsia="宋体" w:cs="Times New Roman"/>
                <w:i w:val="0"/>
                <w:iCs w:val="0"/>
                <w:color w:val="000000"/>
                <w:sz w:val="20"/>
                <w:szCs w:val="20"/>
                <w:highlight w:val="none"/>
                <w:u w:val="none"/>
              </w:rPr>
            </w:pPr>
          </w:p>
        </w:tc>
      </w:tr>
      <w:tr w14:paraId="3B6DD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5A13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39B013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4CAF7E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5EB30D0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4A85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4131D2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57C80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20D9BB">
            <w:pPr>
              <w:jc w:val="right"/>
              <w:rPr>
                <w:rFonts w:hint="default" w:ascii="Times New Roman" w:hAnsi="Times New Roman" w:eastAsia="宋体" w:cs="Times New Roman"/>
                <w:i w:val="0"/>
                <w:iCs w:val="0"/>
                <w:color w:val="000000"/>
                <w:sz w:val="20"/>
                <w:szCs w:val="20"/>
                <w:highlight w:val="none"/>
                <w:u w:val="none"/>
              </w:rPr>
            </w:pPr>
          </w:p>
        </w:tc>
      </w:tr>
      <w:tr w14:paraId="16175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D8F0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7A4794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4A5429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131E878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FA41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602" w:type="pct"/>
            <w:gridSpan w:val="2"/>
            <w:tcBorders>
              <w:top w:val="nil"/>
              <w:left w:val="nil"/>
              <w:bottom w:val="single" w:color="000000" w:sz="4" w:space="0"/>
              <w:right w:val="single" w:color="000000" w:sz="4" w:space="0"/>
            </w:tcBorders>
            <w:noWrap/>
            <w:vAlign w:val="center"/>
          </w:tcPr>
          <w:p w14:paraId="5D1C5A3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43A9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B7D241">
            <w:pPr>
              <w:jc w:val="right"/>
              <w:rPr>
                <w:rFonts w:hint="default" w:ascii="Times New Roman" w:hAnsi="Times New Roman" w:eastAsia="宋体" w:cs="Times New Roman"/>
                <w:i w:val="0"/>
                <w:iCs w:val="0"/>
                <w:color w:val="000000"/>
                <w:sz w:val="20"/>
                <w:szCs w:val="20"/>
                <w:highlight w:val="none"/>
                <w:u w:val="none"/>
              </w:rPr>
            </w:pPr>
          </w:p>
        </w:tc>
      </w:tr>
      <w:tr w14:paraId="6347A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30AE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4246F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D71A1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gridSpan w:val="2"/>
            <w:tcBorders>
              <w:top w:val="nil"/>
              <w:left w:val="nil"/>
              <w:bottom w:val="single" w:color="000000" w:sz="4" w:space="0"/>
              <w:right w:val="single" w:color="000000" w:sz="4" w:space="0"/>
            </w:tcBorders>
            <w:noWrap/>
            <w:vAlign w:val="center"/>
          </w:tcPr>
          <w:p w14:paraId="24BD71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tcBorders>
              <w:top w:val="nil"/>
              <w:left w:val="nil"/>
              <w:bottom w:val="single" w:color="000000" w:sz="4" w:space="0"/>
              <w:right w:val="single" w:color="000000" w:sz="4" w:space="0"/>
            </w:tcBorders>
            <w:noWrap/>
            <w:vAlign w:val="center"/>
          </w:tcPr>
          <w:p w14:paraId="714B2C8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B2B3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EFBD1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69ECC9">
            <w:pPr>
              <w:jc w:val="right"/>
              <w:rPr>
                <w:rFonts w:hint="default" w:ascii="Times New Roman" w:hAnsi="Times New Roman" w:eastAsia="宋体" w:cs="Times New Roman"/>
                <w:i w:val="0"/>
                <w:iCs w:val="0"/>
                <w:color w:val="000000"/>
                <w:sz w:val="20"/>
                <w:szCs w:val="20"/>
                <w:highlight w:val="none"/>
                <w:u w:val="none"/>
              </w:rPr>
            </w:pPr>
          </w:p>
        </w:tc>
      </w:tr>
      <w:tr w14:paraId="44BA1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3AF6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8701D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EB3C8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gridSpan w:val="2"/>
            <w:tcBorders>
              <w:top w:val="nil"/>
              <w:left w:val="nil"/>
              <w:bottom w:val="single" w:color="000000" w:sz="4" w:space="0"/>
              <w:right w:val="single" w:color="000000" w:sz="4" w:space="0"/>
            </w:tcBorders>
            <w:noWrap/>
            <w:vAlign w:val="center"/>
          </w:tcPr>
          <w:p w14:paraId="3DCE11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tcBorders>
              <w:top w:val="nil"/>
              <w:left w:val="nil"/>
              <w:bottom w:val="single" w:color="000000" w:sz="4" w:space="0"/>
              <w:right w:val="single" w:color="000000" w:sz="4" w:space="0"/>
            </w:tcBorders>
            <w:noWrap/>
            <w:vAlign w:val="center"/>
          </w:tcPr>
          <w:p w14:paraId="134E760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7F4A2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0F4F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0840BA">
            <w:pPr>
              <w:jc w:val="right"/>
              <w:rPr>
                <w:rFonts w:hint="default" w:ascii="Times New Roman" w:hAnsi="Times New Roman" w:eastAsia="宋体" w:cs="Times New Roman"/>
                <w:i w:val="0"/>
                <w:iCs w:val="0"/>
                <w:color w:val="000000"/>
                <w:sz w:val="20"/>
                <w:szCs w:val="20"/>
                <w:highlight w:val="none"/>
                <w:u w:val="none"/>
              </w:rPr>
            </w:pPr>
          </w:p>
        </w:tc>
      </w:tr>
      <w:tr w14:paraId="254D9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296D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8B9D7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DC90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gridSpan w:val="2"/>
            <w:tcBorders>
              <w:top w:val="nil"/>
              <w:left w:val="nil"/>
              <w:bottom w:val="single" w:color="000000" w:sz="4" w:space="0"/>
              <w:right w:val="single" w:color="000000" w:sz="4" w:space="0"/>
            </w:tcBorders>
            <w:noWrap/>
            <w:vAlign w:val="center"/>
          </w:tcPr>
          <w:p w14:paraId="7B1509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602" w:type="pct"/>
            <w:tcBorders>
              <w:top w:val="nil"/>
              <w:left w:val="nil"/>
              <w:bottom w:val="single" w:color="000000" w:sz="4" w:space="0"/>
              <w:right w:val="single" w:color="000000" w:sz="4" w:space="0"/>
            </w:tcBorders>
            <w:noWrap/>
            <w:vAlign w:val="center"/>
          </w:tcPr>
          <w:p w14:paraId="6697E85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538BC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37C9C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2343DD">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单位：行唐县上碑镇人民政府(本级)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688.90</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688.90</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45.24</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45.24</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14.69</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14.69</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309.62</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309.62</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30.75</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30.75</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1,089.19</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单位：行唐县上碑镇人民政府(本级)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1,089.19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637.38</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451.82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141.59</w:t>
            </w:r>
          </w:p>
        </w:tc>
      </w:tr>
      <w:tr w14:paraId="662CF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6B42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6E2C3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D871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CEFA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1218" w:type="pct"/>
            <w:tcBorders>
              <w:top w:val="single" w:color="auto" w:sz="4" w:space="0"/>
              <w:left w:val="single" w:color="auto" w:sz="4" w:space="0"/>
              <w:bottom w:val="single" w:color="auto" w:sz="4" w:space="0"/>
              <w:right w:val="single" w:color="auto" w:sz="4" w:space="0"/>
            </w:tcBorders>
            <w:noWrap/>
            <w:vAlign w:val="center"/>
          </w:tcPr>
          <w:p w14:paraId="0B50FB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141.59</w:t>
            </w:r>
          </w:p>
        </w:tc>
      </w:tr>
      <w:tr w14:paraId="0F64F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1353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EEF0D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4671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595.31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19E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547.31</w:t>
            </w:r>
          </w:p>
        </w:tc>
        <w:tc>
          <w:tcPr>
            <w:tcW w:w="1218" w:type="pct"/>
            <w:tcBorders>
              <w:top w:val="single" w:color="auto" w:sz="4" w:space="0"/>
              <w:left w:val="single" w:color="auto" w:sz="4" w:space="0"/>
              <w:bottom w:val="single" w:color="auto" w:sz="4" w:space="0"/>
              <w:right w:val="single" w:color="auto" w:sz="4" w:space="0"/>
            </w:tcBorders>
            <w:noWrap/>
            <w:vAlign w:val="center"/>
          </w:tcPr>
          <w:p w14:paraId="6AED9B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48.00</w:t>
            </w:r>
          </w:p>
        </w:tc>
      </w:tr>
      <w:tr w14:paraId="3C93B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8A57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08A952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241F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56F57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72798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93.59</w:t>
            </w:r>
          </w:p>
        </w:tc>
      </w:tr>
      <w:tr w14:paraId="1C26A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6819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0263F8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762A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C098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44.63</w:t>
            </w:r>
          </w:p>
        </w:tc>
        <w:tc>
          <w:tcPr>
            <w:tcW w:w="1218" w:type="pct"/>
            <w:tcBorders>
              <w:top w:val="single" w:color="auto" w:sz="4" w:space="0"/>
              <w:left w:val="single" w:color="auto" w:sz="4" w:space="0"/>
              <w:bottom w:val="single" w:color="auto" w:sz="4" w:space="0"/>
              <w:right w:val="single" w:color="auto" w:sz="4" w:space="0"/>
            </w:tcBorders>
            <w:noWrap/>
            <w:vAlign w:val="center"/>
          </w:tcPr>
          <w:p w14:paraId="3C160B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r>
      <w:tr w14:paraId="72F24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4ACA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5CB489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2E8A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38A27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9AD4F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r>
      <w:tr w14:paraId="5185F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31D4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F0FAF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0A31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A2EE4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809ED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r>
      <w:tr w14:paraId="3DC71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F8CF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62F61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2F15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4F96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42.80</w:t>
            </w:r>
          </w:p>
        </w:tc>
        <w:tc>
          <w:tcPr>
            <w:tcW w:w="1218" w:type="pct"/>
            <w:tcBorders>
              <w:top w:val="single" w:color="auto" w:sz="4" w:space="0"/>
              <w:left w:val="single" w:color="auto" w:sz="4" w:space="0"/>
              <w:bottom w:val="single" w:color="auto" w:sz="4" w:space="0"/>
              <w:right w:val="single" w:color="auto" w:sz="4" w:space="0"/>
            </w:tcBorders>
            <w:noWrap/>
            <w:vAlign w:val="center"/>
          </w:tcPr>
          <w:p w14:paraId="6B2DA7FD">
            <w:pPr>
              <w:jc w:val="right"/>
              <w:rPr>
                <w:rFonts w:hint="default" w:ascii="Times New Roman" w:hAnsi="Times New Roman" w:eastAsia="宋体" w:cs="Times New Roman"/>
                <w:i w:val="0"/>
                <w:iCs w:val="0"/>
                <w:color w:val="000000"/>
                <w:sz w:val="20"/>
                <w:szCs w:val="20"/>
                <w:highlight w:val="none"/>
                <w:u w:val="none"/>
              </w:rPr>
            </w:pPr>
          </w:p>
        </w:tc>
      </w:tr>
      <w:tr w14:paraId="0627D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52CB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79F7D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8904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665D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39.44</w:t>
            </w:r>
          </w:p>
        </w:tc>
        <w:tc>
          <w:tcPr>
            <w:tcW w:w="1218" w:type="pct"/>
            <w:tcBorders>
              <w:top w:val="single" w:color="auto" w:sz="4" w:space="0"/>
              <w:left w:val="single" w:color="auto" w:sz="4" w:space="0"/>
              <w:bottom w:val="single" w:color="auto" w:sz="4" w:space="0"/>
              <w:right w:val="single" w:color="auto" w:sz="4" w:space="0"/>
            </w:tcBorders>
            <w:noWrap/>
            <w:vAlign w:val="center"/>
          </w:tcPr>
          <w:p w14:paraId="5C83E7F0">
            <w:pPr>
              <w:jc w:val="right"/>
              <w:rPr>
                <w:rFonts w:hint="default" w:ascii="Times New Roman" w:hAnsi="Times New Roman" w:eastAsia="宋体" w:cs="Times New Roman"/>
                <w:i w:val="0"/>
                <w:iCs w:val="0"/>
                <w:color w:val="000000"/>
                <w:sz w:val="20"/>
                <w:szCs w:val="20"/>
                <w:highlight w:val="none"/>
                <w:u w:val="none"/>
              </w:rPr>
            </w:pPr>
          </w:p>
        </w:tc>
      </w:tr>
      <w:tr w14:paraId="401BA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E531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62CC43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ECBD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8139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w:t>
            </w:r>
          </w:p>
        </w:tc>
        <w:tc>
          <w:tcPr>
            <w:tcW w:w="1218" w:type="pct"/>
            <w:tcBorders>
              <w:top w:val="single" w:color="auto" w:sz="4" w:space="0"/>
              <w:left w:val="single" w:color="auto" w:sz="4" w:space="0"/>
              <w:bottom w:val="single" w:color="auto" w:sz="4" w:space="0"/>
              <w:right w:val="single" w:color="auto" w:sz="4" w:space="0"/>
            </w:tcBorders>
            <w:noWrap/>
            <w:vAlign w:val="center"/>
          </w:tcPr>
          <w:p w14:paraId="07AAEC71">
            <w:pPr>
              <w:jc w:val="right"/>
              <w:rPr>
                <w:rFonts w:hint="default" w:ascii="Times New Roman" w:hAnsi="Times New Roman" w:eastAsia="宋体" w:cs="Times New Roman"/>
                <w:i w:val="0"/>
                <w:iCs w:val="0"/>
                <w:color w:val="000000"/>
                <w:sz w:val="20"/>
                <w:szCs w:val="20"/>
                <w:highlight w:val="none"/>
                <w:u w:val="none"/>
              </w:rPr>
            </w:pPr>
          </w:p>
        </w:tc>
      </w:tr>
      <w:tr w14:paraId="4EB94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F002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1DA997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3D7C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6D46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1.83</w:t>
            </w:r>
          </w:p>
        </w:tc>
        <w:tc>
          <w:tcPr>
            <w:tcW w:w="1218" w:type="pct"/>
            <w:tcBorders>
              <w:top w:val="single" w:color="auto" w:sz="4" w:space="0"/>
              <w:left w:val="single" w:color="auto" w:sz="4" w:space="0"/>
              <w:bottom w:val="single" w:color="auto" w:sz="4" w:space="0"/>
              <w:right w:val="single" w:color="auto" w:sz="4" w:space="0"/>
            </w:tcBorders>
            <w:noWrap/>
            <w:vAlign w:val="center"/>
          </w:tcPr>
          <w:p w14:paraId="34D824CD">
            <w:pPr>
              <w:jc w:val="right"/>
              <w:rPr>
                <w:rFonts w:hint="default" w:ascii="Times New Roman" w:hAnsi="Times New Roman" w:eastAsia="宋体" w:cs="Times New Roman"/>
                <w:i w:val="0"/>
                <w:iCs w:val="0"/>
                <w:color w:val="000000"/>
                <w:sz w:val="20"/>
                <w:szCs w:val="20"/>
                <w:highlight w:val="none"/>
                <w:u w:val="none"/>
              </w:rPr>
            </w:pPr>
          </w:p>
        </w:tc>
      </w:tr>
      <w:tr w14:paraId="1DD80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D991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5B3DDB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EE8D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5A3A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0.52</w:t>
            </w:r>
          </w:p>
        </w:tc>
        <w:tc>
          <w:tcPr>
            <w:tcW w:w="1218" w:type="pct"/>
            <w:tcBorders>
              <w:top w:val="single" w:color="auto" w:sz="4" w:space="0"/>
              <w:left w:val="single" w:color="auto" w:sz="4" w:space="0"/>
              <w:bottom w:val="single" w:color="auto" w:sz="4" w:space="0"/>
              <w:right w:val="single" w:color="auto" w:sz="4" w:space="0"/>
            </w:tcBorders>
            <w:noWrap/>
            <w:vAlign w:val="center"/>
          </w:tcPr>
          <w:p w14:paraId="0F18FD5D">
            <w:pPr>
              <w:jc w:val="right"/>
              <w:rPr>
                <w:rFonts w:hint="default" w:ascii="Times New Roman" w:hAnsi="Times New Roman" w:eastAsia="宋体" w:cs="Times New Roman"/>
                <w:i w:val="0"/>
                <w:iCs w:val="0"/>
                <w:color w:val="000000"/>
                <w:sz w:val="20"/>
                <w:szCs w:val="20"/>
                <w:highlight w:val="none"/>
                <w:u w:val="none"/>
              </w:rPr>
            </w:pPr>
          </w:p>
        </w:tc>
      </w:tr>
      <w:tr w14:paraId="11138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1D78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56376F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FEA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6120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w:t>
            </w:r>
          </w:p>
        </w:tc>
        <w:tc>
          <w:tcPr>
            <w:tcW w:w="1218" w:type="pct"/>
            <w:tcBorders>
              <w:top w:val="single" w:color="auto" w:sz="4" w:space="0"/>
              <w:left w:val="single" w:color="auto" w:sz="4" w:space="0"/>
              <w:bottom w:val="single" w:color="auto" w:sz="4" w:space="0"/>
              <w:right w:val="single" w:color="auto" w:sz="4" w:space="0"/>
            </w:tcBorders>
            <w:noWrap/>
            <w:vAlign w:val="center"/>
          </w:tcPr>
          <w:p w14:paraId="0A7C2E8F">
            <w:pPr>
              <w:jc w:val="right"/>
              <w:rPr>
                <w:rFonts w:hint="default" w:ascii="Times New Roman" w:hAnsi="Times New Roman" w:eastAsia="宋体" w:cs="Times New Roman"/>
                <w:i w:val="0"/>
                <w:iCs w:val="0"/>
                <w:color w:val="000000"/>
                <w:sz w:val="20"/>
                <w:szCs w:val="20"/>
                <w:highlight w:val="none"/>
                <w:u w:val="none"/>
              </w:rPr>
            </w:pPr>
          </w:p>
        </w:tc>
      </w:tr>
      <w:tr w14:paraId="41AB9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DD07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63A3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6DA8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4A98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218" w:type="pct"/>
            <w:tcBorders>
              <w:top w:val="single" w:color="auto" w:sz="4" w:space="0"/>
              <w:left w:val="single" w:color="auto" w:sz="4" w:space="0"/>
              <w:bottom w:val="single" w:color="auto" w:sz="4" w:space="0"/>
              <w:right w:val="single" w:color="auto" w:sz="4" w:space="0"/>
            </w:tcBorders>
            <w:noWrap/>
            <w:vAlign w:val="center"/>
          </w:tcPr>
          <w:p w14:paraId="464E9525">
            <w:pPr>
              <w:jc w:val="right"/>
              <w:rPr>
                <w:rFonts w:hint="default" w:ascii="Times New Roman" w:hAnsi="Times New Roman" w:eastAsia="宋体" w:cs="Times New Roman"/>
                <w:i w:val="0"/>
                <w:iCs w:val="0"/>
                <w:color w:val="000000"/>
                <w:sz w:val="20"/>
                <w:szCs w:val="20"/>
                <w:highlight w:val="none"/>
                <w:u w:val="none"/>
              </w:rPr>
            </w:pPr>
          </w:p>
        </w:tc>
      </w:tr>
      <w:tr w14:paraId="21789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5A6F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2F1B0F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C304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1A3A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218" w:type="pct"/>
            <w:tcBorders>
              <w:top w:val="single" w:color="auto" w:sz="4" w:space="0"/>
              <w:left w:val="single" w:color="auto" w:sz="4" w:space="0"/>
              <w:bottom w:val="single" w:color="auto" w:sz="4" w:space="0"/>
              <w:right w:val="single" w:color="auto" w:sz="4" w:space="0"/>
            </w:tcBorders>
            <w:noWrap/>
            <w:vAlign w:val="center"/>
          </w:tcPr>
          <w:p w14:paraId="3E633343">
            <w:pPr>
              <w:jc w:val="right"/>
              <w:rPr>
                <w:rFonts w:hint="default" w:ascii="Times New Roman" w:hAnsi="Times New Roman" w:eastAsia="宋体" w:cs="Times New Roman"/>
                <w:i w:val="0"/>
                <w:iCs w:val="0"/>
                <w:color w:val="000000"/>
                <w:sz w:val="20"/>
                <w:szCs w:val="20"/>
                <w:highlight w:val="none"/>
                <w:u w:val="none"/>
              </w:rPr>
            </w:pPr>
          </w:p>
        </w:tc>
      </w:tr>
      <w:tr w14:paraId="55918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632D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75810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32D2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3573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14.69</w:t>
            </w:r>
          </w:p>
        </w:tc>
        <w:tc>
          <w:tcPr>
            <w:tcW w:w="1218" w:type="pct"/>
            <w:tcBorders>
              <w:top w:val="single" w:color="auto" w:sz="4" w:space="0"/>
              <w:left w:val="single" w:color="auto" w:sz="4" w:space="0"/>
              <w:bottom w:val="single" w:color="auto" w:sz="4" w:space="0"/>
              <w:right w:val="single" w:color="auto" w:sz="4" w:space="0"/>
            </w:tcBorders>
            <w:noWrap/>
            <w:vAlign w:val="center"/>
          </w:tcPr>
          <w:p w14:paraId="734CD165">
            <w:pPr>
              <w:jc w:val="right"/>
              <w:rPr>
                <w:rFonts w:hint="default" w:ascii="Times New Roman" w:hAnsi="Times New Roman" w:eastAsia="宋体" w:cs="Times New Roman"/>
                <w:i w:val="0"/>
                <w:iCs w:val="0"/>
                <w:color w:val="000000"/>
                <w:sz w:val="20"/>
                <w:szCs w:val="20"/>
                <w:highlight w:val="none"/>
                <w:u w:val="none"/>
              </w:rPr>
            </w:pPr>
          </w:p>
        </w:tc>
      </w:tr>
      <w:tr w14:paraId="5F9D2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FD8F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582F44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07E2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6C116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F39D6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r>
      <w:tr w14:paraId="418F6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9352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2ED3C3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8E1C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C893A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A4A0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r>
      <w:tr w14:paraId="2EECA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2190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413F0D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1AA6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A1775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3874B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309.62</w:t>
            </w:r>
          </w:p>
        </w:tc>
      </w:tr>
      <w:tr w14:paraId="4C3C6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F505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AA004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FE16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F3A9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218" w:type="pct"/>
            <w:tcBorders>
              <w:top w:val="single" w:color="auto" w:sz="4" w:space="0"/>
              <w:left w:val="single" w:color="auto" w:sz="4" w:space="0"/>
              <w:bottom w:val="single" w:color="auto" w:sz="4" w:space="0"/>
              <w:right w:val="single" w:color="auto" w:sz="4" w:space="0"/>
            </w:tcBorders>
            <w:noWrap/>
            <w:vAlign w:val="center"/>
          </w:tcPr>
          <w:p w14:paraId="17B3B390">
            <w:pPr>
              <w:jc w:val="right"/>
              <w:rPr>
                <w:rFonts w:hint="default" w:ascii="Times New Roman" w:hAnsi="Times New Roman" w:eastAsia="宋体" w:cs="Times New Roman"/>
                <w:i w:val="0"/>
                <w:iCs w:val="0"/>
                <w:color w:val="000000"/>
                <w:sz w:val="20"/>
                <w:szCs w:val="20"/>
                <w:highlight w:val="none"/>
                <w:u w:val="none"/>
              </w:rPr>
            </w:pPr>
          </w:p>
        </w:tc>
      </w:tr>
      <w:tr w14:paraId="5845D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773C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2E6291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F3F2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00F5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218" w:type="pct"/>
            <w:tcBorders>
              <w:top w:val="single" w:color="auto" w:sz="4" w:space="0"/>
              <w:left w:val="single" w:color="auto" w:sz="4" w:space="0"/>
              <w:bottom w:val="single" w:color="auto" w:sz="4" w:space="0"/>
              <w:right w:val="single" w:color="auto" w:sz="4" w:space="0"/>
            </w:tcBorders>
            <w:noWrap/>
            <w:vAlign w:val="center"/>
          </w:tcPr>
          <w:p w14:paraId="4B38FB3C">
            <w:pPr>
              <w:jc w:val="right"/>
              <w:rPr>
                <w:rFonts w:hint="default" w:ascii="Times New Roman" w:hAnsi="Times New Roman" w:eastAsia="宋体" w:cs="Times New Roman"/>
                <w:i w:val="0"/>
                <w:iCs w:val="0"/>
                <w:color w:val="000000"/>
                <w:sz w:val="20"/>
                <w:szCs w:val="20"/>
                <w:highlight w:val="none"/>
                <w:u w:val="none"/>
              </w:rPr>
            </w:pPr>
          </w:p>
        </w:tc>
      </w:tr>
      <w:tr w14:paraId="65338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180C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BCF75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6852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FB0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30.75</w:t>
            </w:r>
          </w:p>
        </w:tc>
        <w:tc>
          <w:tcPr>
            <w:tcW w:w="1218" w:type="pct"/>
            <w:tcBorders>
              <w:top w:val="single" w:color="auto" w:sz="4" w:space="0"/>
              <w:left w:val="single" w:color="auto" w:sz="4" w:space="0"/>
              <w:bottom w:val="single" w:color="auto" w:sz="4" w:space="0"/>
              <w:right w:val="single" w:color="auto" w:sz="4" w:space="0"/>
            </w:tcBorders>
            <w:noWrap/>
            <w:vAlign w:val="center"/>
          </w:tcPr>
          <w:p w14:paraId="6AF08960">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行唐县上碑镇人民政府(本级)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556.62</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55.38</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195.61</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5.13</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68.04</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65.74</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54.71</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39.44</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11.00</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3.36</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14.69</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1.29</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30.75</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1.80</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82.46</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25.37</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24.41</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4.34</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8.33</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20.25</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1.19</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581.99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55.38</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单位：行唐县上碑镇人民政府(本级)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62B22E41">
      <w:pPr>
        <w:spacing w:before="146" w:line="222" w:lineRule="auto"/>
        <w:rPr>
          <w:rFonts w:ascii="仿宋" w:hAnsi="仿宋" w:eastAsia="仿宋" w:cs="仿宋"/>
          <w:sz w:val="24"/>
          <w:szCs w:val="24"/>
        </w:rPr>
      </w:pPr>
      <w:r>
        <w:rPr>
          <w:rFonts w:ascii="仿宋" w:hAnsi="仿宋" w:eastAsia="仿宋" w:cs="仿宋"/>
          <w:b/>
          <w:bCs/>
          <w:spacing w:val="5"/>
          <w:sz w:val="24"/>
          <w:szCs w:val="24"/>
        </w:rPr>
        <w:t>备注：本</w:t>
      </w:r>
      <w:r>
        <w:rPr>
          <w:rFonts w:hint="eastAsia" w:ascii="仿宋" w:hAnsi="仿宋" w:eastAsia="仿宋" w:cs="仿宋"/>
          <w:b/>
          <w:bCs/>
          <w:spacing w:val="5"/>
          <w:sz w:val="24"/>
          <w:szCs w:val="24"/>
          <w:lang w:val="en-US" w:eastAsia="zh-CN"/>
        </w:rPr>
        <w:t>单位</w:t>
      </w:r>
      <w:r>
        <w:rPr>
          <w:rFonts w:ascii="仿宋" w:hAnsi="仿宋" w:eastAsia="仿宋" w:cs="仿宋"/>
          <w:b/>
          <w:bCs/>
          <w:spacing w:val="5"/>
          <w:sz w:val="24"/>
          <w:szCs w:val="24"/>
        </w:rPr>
        <w:t>不涉及</w:t>
      </w: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bookmarkStart w:id="0" w:name="_GoBack"/>
      <w:bookmarkEnd w:id="0"/>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单位：行唐县上碑镇人民政府(本级)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6A2D95B5">
      <w:pPr>
        <w:spacing w:before="146" w:line="222" w:lineRule="auto"/>
        <w:rPr>
          <w:rFonts w:ascii="仿宋" w:hAnsi="仿宋" w:eastAsia="仿宋" w:cs="仿宋"/>
          <w:sz w:val="24"/>
          <w:szCs w:val="24"/>
        </w:rPr>
      </w:pPr>
      <w:r>
        <w:rPr>
          <w:rFonts w:ascii="仿宋" w:hAnsi="仿宋" w:eastAsia="仿宋" w:cs="仿宋"/>
          <w:b/>
          <w:bCs/>
          <w:spacing w:val="5"/>
          <w:sz w:val="24"/>
          <w:szCs w:val="24"/>
        </w:rPr>
        <w:t>备注：本</w:t>
      </w:r>
      <w:r>
        <w:rPr>
          <w:rFonts w:hint="eastAsia" w:ascii="仿宋" w:hAnsi="仿宋" w:eastAsia="仿宋" w:cs="仿宋"/>
          <w:b/>
          <w:bCs/>
          <w:spacing w:val="5"/>
          <w:sz w:val="24"/>
          <w:szCs w:val="24"/>
          <w:lang w:val="en-US" w:eastAsia="zh-CN"/>
        </w:rPr>
        <w:t>单位</w:t>
      </w:r>
      <w:r>
        <w:rPr>
          <w:rFonts w:ascii="仿宋" w:hAnsi="仿宋" w:eastAsia="仿宋" w:cs="仿宋"/>
          <w:b/>
          <w:bCs/>
          <w:spacing w:val="5"/>
          <w:sz w:val="24"/>
          <w:szCs w:val="24"/>
        </w:rPr>
        <w:t>不涉及</w:t>
      </w:r>
    </w:p>
    <w:p w14:paraId="6C553FA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行唐县上碑镇人民政府(本级)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10.91</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0.51</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174342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footerReference r:id="rId9"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AF5794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70FDFF6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60FA7E5">
      <w:pPr>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520" w:lineRule="exact"/>
        <w:ind w:firstLine="640" w:firstLineChars="200"/>
        <w:jc w:val="left"/>
        <w:textAlignment w:val="auto"/>
        <w:rPr>
          <w:rFonts w:ascii="Times New Roman" w:eastAsia="仿宋_GB2312"/>
          <w:sz w:val="32"/>
          <w:szCs w:val="32"/>
        </w:rPr>
      </w:pPr>
      <w:r>
        <w:rPr>
          <w:rFonts w:hint="eastAsia" w:ascii="方正仿宋_GB2312" w:hAnsi="方正仿宋_GB2312" w:eastAsia="方正仿宋_GB2312" w:cs="方正仿宋_GB2312"/>
          <w:b w:val="0"/>
          <w:sz w:val="32"/>
          <w:szCs w:val="32"/>
        </w:rPr>
        <w:t>本单位2024年度收、支总计（含结转和结余）均为1,089.19万元。与2023年度决算相比，收支各减少264.33万元，下降19.5%，主要原因是</w:t>
      </w:r>
      <w:r>
        <w:rPr>
          <w:rFonts w:hint="eastAsia" w:ascii="方正仿宋_GB2312" w:hAnsi="方正仿宋_GB2312" w:eastAsia="方正仿宋_GB2312" w:cs="方正仿宋_GB2312"/>
          <w:b w:val="0"/>
          <w:sz w:val="32"/>
          <w:szCs w:val="32"/>
          <w:lang w:val="en-US" w:eastAsia="zh-CN"/>
        </w:rPr>
        <w:t>减少耕地地力保护补贴等项目经费</w:t>
      </w:r>
      <w:r>
        <w:rPr>
          <w:rFonts w:hint="eastAsia" w:ascii="方正仿宋_GB2312" w:hAnsi="方正仿宋_GB2312" w:eastAsia="方正仿宋_GB2312" w:cs="方正仿宋_GB2312"/>
          <w:b w:val="0"/>
          <w:sz w:val="32"/>
          <w:szCs w:val="32"/>
        </w:rPr>
        <w:t>。</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8323B9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5D040292">
      <w:pPr>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520" w:lineRule="atLeast"/>
        <w:ind w:firstLine="640" w:firstLineChars="200"/>
        <w:jc w:val="left"/>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b w:val="0"/>
          <w:sz w:val="32"/>
          <w:szCs w:val="32"/>
        </w:rPr>
        <w:t>本单位2024年度本年收入合计1,089.19万元，其中：财政拨款收入1,089.19万元，占100.0%。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AC3506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96066F9">
      <w:pPr>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520" w:lineRule="exact"/>
        <w:ind w:firstLine="640" w:firstLineChars="200"/>
        <w:jc w:val="left"/>
        <w:textAlignment w:val="auto"/>
        <w:rPr>
          <w:rFonts w:hint="eastAsia" w:ascii="方正仿宋_GB2312" w:hAnsi="方正仿宋_GB2312" w:eastAsia="方正仿宋_GB2312" w:cs="方正仿宋_GB2312"/>
          <w:sz w:val="32"/>
          <w:szCs w:val="32"/>
        </w:rPr>
      </w:pPr>
      <w:r>
        <w:rPr>
          <w:rFonts w:hint="eastAsia" w:ascii="仿宋" w:hAnsi="仿宋" w:eastAsia="仿宋" w:cs="仿宋"/>
          <w:spacing w:val="5"/>
          <w:sz w:val="31"/>
          <w:szCs w:val="31"/>
        </w:rPr>
        <w:t>本单位2024年度本年支出合计1,089.19万元，其中：基本支出637.38万元，占58.5%；项目支出451.82万元，占41.5%。</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63FAD8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BEBAFCC">
      <w:pPr>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240" w:lineRule="auto"/>
        <w:ind w:firstLine="643" w:firstLineChars="200"/>
        <w:jc w:val="left"/>
        <w:textAlignment w:val="auto"/>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BE834C7">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本单位2024年度财政拨款收、支总计（含结转和结余）均为1,089.19万元。与2023年度相比，财政拨款收支各减少264.33万元，降低19.5%，主要原因是</w:t>
      </w:r>
      <w:r>
        <w:rPr>
          <w:rFonts w:hint="eastAsia" w:ascii="仿宋" w:hAnsi="仿宋" w:eastAsia="仿宋" w:cs="仿宋"/>
          <w:spacing w:val="5"/>
          <w:sz w:val="31"/>
          <w:szCs w:val="31"/>
          <w:lang w:val="en-US" w:eastAsia="zh-CN"/>
        </w:rPr>
        <w:t>减少耕地地力保护补贴等项目经费</w:t>
      </w:r>
      <w:r>
        <w:rPr>
          <w:rFonts w:hint="eastAsia" w:ascii="仿宋" w:hAnsi="仿宋" w:eastAsia="仿宋" w:cs="仿宋"/>
          <w:spacing w:val="5"/>
          <w:sz w:val="31"/>
          <w:szCs w:val="31"/>
        </w:rPr>
        <w:t>。</w:t>
      </w:r>
    </w:p>
    <w:p w14:paraId="4B5E05B4">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方正仿宋_GB2312" w:hAnsi="方正仿宋_GB2312" w:eastAsia="方正仿宋_GB2312" w:cs="方正仿宋_GB2312"/>
          <w:sz w:val="32"/>
          <w:szCs w:val="32"/>
        </w:rPr>
      </w:pPr>
      <w:r>
        <w:rPr>
          <w:rFonts w:hint="eastAsia" w:ascii="仿宋" w:hAnsi="仿宋" w:eastAsia="仿宋" w:cs="仿宋"/>
          <w:spacing w:val="5"/>
          <w:sz w:val="31"/>
          <w:szCs w:val="31"/>
        </w:rPr>
        <w:t>本单位2024年度财政拨款本年收入1,089.19万元,比上年减少264.33万元，降低19.5%，主要原因是；本年支出1,089.19万元，比上年减少264.33万元，降低19.5%，主要原因是</w:t>
      </w:r>
      <w:r>
        <w:rPr>
          <w:rFonts w:hint="eastAsia" w:ascii="仿宋" w:hAnsi="仿宋" w:eastAsia="仿宋" w:cs="仿宋"/>
          <w:spacing w:val="5"/>
          <w:sz w:val="31"/>
          <w:szCs w:val="31"/>
          <w:lang w:val="en-US" w:eastAsia="zh-CN"/>
        </w:rPr>
        <w:t>减少耕地地力保护补贴等项目经费</w:t>
      </w:r>
      <w:r>
        <w:rPr>
          <w:rFonts w:hint="eastAsia" w:ascii="仿宋" w:hAnsi="仿宋" w:eastAsia="仿宋" w:cs="仿宋"/>
          <w:spacing w:val="5"/>
          <w:sz w:val="31"/>
          <w:szCs w:val="31"/>
        </w:rPr>
        <w:t>。具体情况如下</w:t>
      </w:r>
      <w:r>
        <w:rPr>
          <w:rFonts w:hint="eastAsia" w:ascii="方正仿宋_GB2312" w:hAnsi="方正仿宋_GB2312" w:eastAsia="方正仿宋_GB2312" w:cs="方正仿宋_GB2312"/>
          <w:b w:val="0"/>
          <w:sz w:val="32"/>
          <w:szCs w:val="32"/>
        </w:rPr>
        <w:t>：</w:t>
      </w:r>
    </w:p>
    <w:p w14:paraId="65D79F6C">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Times New Roman" w:hAnsi="Times New Roman" w:eastAsia="Times New Roman" w:cs="Times New Roman"/>
          <w:spacing w:val="5"/>
          <w:sz w:val="31"/>
          <w:szCs w:val="31"/>
        </w:rPr>
        <w:t>1</w:t>
      </w:r>
      <w:r>
        <w:rPr>
          <w:rFonts w:hint="eastAsia" w:ascii="Times New Roman" w:hAnsi="Times New Roman" w:eastAsia="宋体" w:cs="Times New Roman"/>
          <w:spacing w:val="5"/>
          <w:sz w:val="31"/>
          <w:szCs w:val="31"/>
          <w:lang w:eastAsia="zh-CN"/>
        </w:rPr>
        <w:t>、</w:t>
      </w:r>
      <w:r>
        <w:rPr>
          <w:rFonts w:hint="eastAsia" w:ascii="Times New Roman" w:hAnsi="Times New Roman" w:eastAsia="Times New Roman" w:cs="Times New Roman"/>
          <w:spacing w:val="5"/>
          <w:sz w:val="31"/>
          <w:szCs w:val="31"/>
        </w:rPr>
        <w:t xml:space="preserve"> </w:t>
      </w:r>
      <w:r>
        <w:rPr>
          <w:rFonts w:hint="eastAsia" w:ascii="仿宋" w:hAnsi="仿宋" w:eastAsia="仿宋" w:cs="仿宋"/>
          <w:spacing w:val="5"/>
          <w:sz w:val="31"/>
          <w:szCs w:val="31"/>
        </w:rPr>
        <w:t>一般公共预算财政拨款本年收入1,089.19万元,比上年减少264.33万元，降低19.5%，主要原因是</w:t>
      </w:r>
      <w:r>
        <w:rPr>
          <w:rFonts w:hint="eastAsia" w:ascii="仿宋" w:hAnsi="仿宋" w:eastAsia="仿宋" w:cs="仿宋"/>
          <w:spacing w:val="5"/>
          <w:sz w:val="31"/>
          <w:szCs w:val="31"/>
          <w:lang w:val="en-US" w:eastAsia="zh-CN"/>
        </w:rPr>
        <w:t>减少耕地地力保护补贴等项目经费</w:t>
      </w:r>
      <w:r>
        <w:rPr>
          <w:rFonts w:hint="eastAsia" w:ascii="仿宋" w:hAnsi="仿宋" w:eastAsia="仿宋" w:cs="仿宋"/>
          <w:spacing w:val="5"/>
          <w:sz w:val="31"/>
          <w:szCs w:val="31"/>
        </w:rPr>
        <w:t>；本年支出1,089.19万元，比上年减少264.33万元，降低19.5%，主要原因是</w:t>
      </w:r>
      <w:r>
        <w:rPr>
          <w:rFonts w:hint="eastAsia" w:ascii="仿宋" w:hAnsi="仿宋" w:eastAsia="仿宋" w:cs="仿宋"/>
          <w:spacing w:val="5"/>
          <w:sz w:val="31"/>
          <w:szCs w:val="31"/>
          <w:lang w:val="en-US" w:eastAsia="zh-CN"/>
        </w:rPr>
        <w:t>减少耕地地力保护补贴等项目经费</w:t>
      </w:r>
      <w:r>
        <w:rPr>
          <w:rFonts w:hint="eastAsia" w:ascii="仿宋" w:hAnsi="仿宋" w:eastAsia="仿宋" w:cs="仿宋"/>
          <w:spacing w:val="5"/>
          <w:sz w:val="31"/>
          <w:szCs w:val="31"/>
        </w:rPr>
        <w:t>。</w:t>
      </w:r>
    </w:p>
    <w:p w14:paraId="054227D2">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ascii="仿宋" w:hAnsi="仿宋" w:eastAsia="仿宋" w:cs="仿宋"/>
          <w:sz w:val="31"/>
          <w:szCs w:val="31"/>
        </w:rPr>
      </w:pPr>
      <w:r>
        <w:rPr>
          <w:rFonts w:ascii="Times New Roman" w:hAnsi="Times New Roman" w:eastAsia="Times New Roman" w:cs="Times New Roman"/>
          <w:spacing w:val="5"/>
          <w:sz w:val="31"/>
          <w:szCs w:val="31"/>
        </w:rPr>
        <w:t>2</w:t>
      </w:r>
      <w:r>
        <w:rPr>
          <w:rFonts w:hint="eastAsia" w:ascii="Times New Roman" w:hAnsi="Times New Roman" w:eastAsia="宋体" w:cs="Times New Roman"/>
          <w:spacing w:val="5"/>
          <w:sz w:val="31"/>
          <w:szCs w:val="31"/>
          <w:lang w:eastAsia="zh-CN"/>
        </w:rPr>
        <w:t>、</w:t>
      </w:r>
      <w:r>
        <w:rPr>
          <w:rFonts w:ascii="仿宋" w:hAnsi="仿宋" w:eastAsia="仿宋" w:cs="仿宋"/>
          <w:spacing w:val="5"/>
          <w:sz w:val="31"/>
          <w:szCs w:val="31"/>
        </w:rPr>
        <w:t>政府性基金预算财政拨款本年收入</w:t>
      </w:r>
      <w:r>
        <w:rPr>
          <w:rFonts w:ascii="Times New Roman" w:hAnsi="Times New Roman" w:eastAsia="Times New Roman" w:cs="Times New Roman"/>
          <w:spacing w:val="5"/>
          <w:sz w:val="31"/>
          <w:szCs w:val="31"/>
        </w:rPr>
        <w:t>0</w:t>
      </w:r>
      <w:r>
        <w:rPr>
          <w:rFonts w:ascii="仿宋" w:hAnsi="仿宋" w:eastAsia="仿宋" w:cs="仿宋"/>
          <w:spacing w:val="5"/>
          <w:sz w:val="31"/>
          <w:szCs w:val="31"/>
        </w:rPr>
        <w:t>万元，</w:t>
      </w:r>
      <w:r>
        <w:rPr>
          <w:rFonts w:ascii="仿宋" w:hAnsi="仿宋" w:eastAsia="仿宋" w:cs="仿宋"/>
          <w:spacing w:val="-71"/>
          <w:sz w:val="31"/>
          <w:szCs w:val="31"/>
        </w:rPr>
        <w:t xml:space="preserve"> </w:t>
      </w:r>
      <w:r>
        <w:rPr>
          <w:rFonts w:ascii="仿宋" w:hAnsi="仿宋" w:eastAsia="仿宋" w:cs="仿宋"/>
          <w:spacing w:val="5"/>
          <w:sz w:val="31"/>
          <w:szCs w:val="31"/>
        </w:rPr>
        <w:t>比上年</w:t>
      </w:r>
      <w:r>
        <w:rPr>
          <w:rFonts w:ascii="仿宋" w:hAnsi="仿宋" w:eastAsia="仿宋" w:cs="仿宋"/>
          <w:spacing w:val="5"/>
          <w:sz w:val="30"/>
          <w:szCs w:val="30"/>
        </w:rPr>
        <w:t>持</w:t>
      </w:r>
      <w:r>
        <w:rPr>
          <w:rFonts w:ascii="仿宋" w:hAnsi="仿宋" w:eastAsia="仿宋" w:cs="仿宋"/>
          <w:spacing w:val="-9"/>
          <w:sz w:val="30"/>
          <w:szCs w:val="30"/>
        </w:rPr>
        <w:t>平</w:t>
      </w:r>
      <w:r>
        <w:rPr>
          <w:rFonts w:ascii="仿宋" w:hAnsi="仿宋" w:eastAsia="仿宋" w:cs="仿宋"/>
          <w:spacing w:val="-9"/>
          <w:sz w:val="31"/>
          <w:szCs w:val="31"/>
        </w:rPr>
        <w:t>。</w:t>
      </w:r>
    </w:p>
    <w:p w14:paraId="57E5F899">
      <w:pPr>
        <w:keepNext w:val="0"/>
        <w:keepLines w:val="0"/>
        <w:pageBreakBefore w:val="0"/>
        <w:widowControl w:val="0"/>
        <w:kinsoku/>
        <w:wordWrap/>
        <w:overflowPunct/>
        <w:topLinePunct w:val="0"/>
        <w:autoSpaceDE/>
        <w:autoSpaceDN/>
        <w:bidi w:val="0"/>
        <w:adjustRightInd w:val="0"/>
        <w:snapToGrid w:val="0"/>
        <w:spacing w:line="520" w:lineRule="exact"/>
        <w:ind w:left="0" w:right="0" w:firstLine="636" w:firstLineChars="200"/>
        <w:textAlignment w:val="auto"/>
        <w:rPr>
          <w:rFonts w:ascii="仿宋" w:hAnsi="仿宋" w:eastAsia="仿宋" w:cs="仿宋"/>
          <w:sz w:val="31"/>
          <w:szCs w:val="31"/>
        </w:rPr>
      </w:pPr>
      <w:r>
        <w:rPr>
          <w:rFonts w:ascii="Times New Roman" w:hAnsi="Times New Roman" w:eastAsia="Times New Roman" w:cs="Times New Roman"/>
          <w:spacing w:val="4"/>
          <w:sz w:val="31"/>
          <w:szCs w:val="31"/>
        </w:rPr>
        <w:t>3</w:t>
      </w:r>
      <w:r>
        <w:rPr>
          <w:rFonts w:hint="eastAsia" w:ascii="Times New Roman" w:hAnsi="Times New Roman" w:eastAsia="宋体" w:cs="Times New Roman"/>
          <w:spacing w:val="4"/>
          <w:sz w:val="31"/>
          <w:szCs w:val="31"/>
          <w:lang w:eastAsia="zh-CN"/>
        </w:rPr>
        <w:t>、</w:t>
      </w:r>
      <w:r>
        <w:rPr>
          <w:rFonts w:ascii="仿宋" w:hAnsi="仿宋" w:eastAsia="仿宋" w:cs="仿宋"/>
          <w:spacing w:val="4"/>
          <w:sz w:val="31"/>
          <w:szCs w:val="31"/>
        </w:rPr>
        <w:t>国有资本经营预算财政拨款本年收入</w:t>
      </w:r>
      <w:r>
        <w:rPr>
          <w:rFonts w:ascii="Times New Roman" w:hAnsi="Times New Roman" w:eastAsia="Times New Roman" w:cs="Times New Roman"/>
          <w:spacing w:val="4"/>
          <w:sz w:val="31"/>
          <w:szCs w:val="31"/>
        </w:rPr>
        <w:t>0</w:t>
      </w:r>
      <w:r>
        <w:rPr>
          <w:rFonts w:ascii="仿宋" w:hAnsi="仿宋" w:eastAsia="仿宋" w:cs="仿宋"/>
          <w:spacing w:val="4"/>
          <w:sz w:val="31"/>
          <w:szCs w:val="31"/>
        </w:rPr>
        <w:t>万元，</w:t>
      </w:r>
      <w:r>
        <w:rPr>
          <w:rFonts w:ascii="仿宋" w:hAnsi="仿宋" w:eastAsia="仿宋" w:cs="仿宋"/>
          <w:spacing w:val="-80"/>
          <w:sz w:val="31"/>
          <w:szCs w:val="31"/>
        </w:rPr>
        <w:t xml:space="preserve"> </w:t>
      </w:r>
      <w:r>
        <w:rPr>
          <w:rFonts w:ascii="仿宋" w:hAnsi="仿宋" w:eastAsia="仿宋" w:cs="仿宋"/>
          <w:spacing w:val="4"/>
          <w:sz w:val="31"/>
          <w:szCs w:val="31"/>
        </w:rPr>
        <w:t>比上年</w:t>
      </w:r>
      <w:r>
        <w:rPr>
          <w:rFonts w:ascii="仿宋" w:hAnsi="仿宋" w:eastAsia="仿宋" w:cs="仿宋"/>
          <w:spacing w:val="-6"/>
          <w:sz w:val="30"/>
          <w:szCs w:val="30"/>
        </w:rPr>
        <w:t>持平</w:t>
      </w:r>
      <w:r>
        <w:rPr>
          <w:rFonts w:ascii="仿宋" w:hAnsi="仿宋" w:eastAsia="仿宋" w:cs="仿宋"/>
          <w:spacing w:val="-6"/>
          <w:sz w:val="31"/>
          <w:szCs w:val="31"/>
        </w:rPr>
        <w:t>。</w:t>
      </w:r>
    </w:p>
    <w:p w14:paraId="5C4BC723">
      <w:pPr>
        <w:widowControl/>
        <w:spacing w:before="0" w:beforeLines="0" w:beforeAutospacing="0" w:after="0" w:afterLines="0" w:afterAutospacing="0" w:line="360" w:lineRule="auto"/>
        <w:ind w:firstLine="640" w:firstLineChars="200"/>
        <w:jc w:val="left"/>
        <w:rPr>
          <w:rFonts w:hint="default" w:ascii="方正仿宋_GB2312" w:hAnsi="方正仿宋_GB2312" w:eastAsia="方正仿宋_GB2312" w:cs="方正仿宋_GB2312"/>
          <w:sz w:val="32"/>
          <w:szCs w:val="32"/>
          <w:lang w:val="en-US" w:eastAsia="zh-CN"/>
        </w:rPr>
      </w:pP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83A4B4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BBE9A09">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本单位2024年度财政拨款本年收入1,089.19万元，完成年初预算的87.1%，比年初预算减少161.83万元，决算数小于预算数主要原因是；本年支出1,089.19万元，完成年初预算的87.1%，比年初预算减少161.83万元，决算数小于预算数主要原因是</w:t>
      </w:r>
      <w:r>
        <w:rPr>
          <w:rFonts w:hint="eastAsia" w:ascii="仿宋" w:hAnsi="仿宋" w:eastAsia="仿宋" w:cs="仿宋"/>
          <w:spacing w:val="5"/>
          <w:sz w:val="31"/>
          <w:szCs w:val="31"/>
          <w:lang w:val="en-US" w:eastAsia="zh-CN"/>
        </w:rPr>
        <w:t>厉行节约、减少开支</w:t>
      </w:r>
      <w:r>
        <w:rPr>
          <w:rFonts w:hint="eastAsia" w:ascii="仿宋" w:hAnsi="仿宋" w:eastAsia="仿宋" w:cs="仿宋"/>
          <w:spacing w:val="5"/>
          <w:sz w:val="31"/>
          <w:szCs w:val="31"/>
        </w:rPr>
        <w:t>。具体情况如下：</w:t>
      </w:r>
    </w:p>
    <w:p w14:paraId="76AB9FA3">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1</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 xml:space="preserve"> 一般公共预算财政拨款本年收入完成年初预算的87.1%，比年初预算减少161.83万元，主要原因是；支出完成年初预算的87.1%，比年初预算减少161.83万元，主要原因是</w:t>
      </w:r>
      <w:r>
        <w:rPr>
          <w:rFonts w:hint="eastAsia" w:ascii="仿宋" w:hAnsi="仿宋" w:eastAsia="仿宋" w:cs="仿宋"/>
          <w:spacing w:val="5"/>
          <w:sz w:val="31"/>
          <w:szCs w:val="31"/>
          <w:lang w:val="en-US" w:eastAsia="zh-CN"/>
        </w:rPr>
        <w:t>厉行节约、减少开支</w:t>
      </w:r>
      <w:r>
        <w:rPr>
          <w:rFonts w:hint="eastAsia" w:ascii="仿宋" w:hAnsi="仿宋" w:eastAsia="仿宋" w:cs="仿宋"/>
          <w:spacing w:val="5"/>
          <w:sz w:val="31"/>
          <w:szCs w:val="31"/>
        </w:rPr>
        <w:t>。</w:t>
      </w:r>
    </w:p>
    <w:p w14:paraId="1AE26415">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2</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政府性基金预算财政拨款本年收入0万元，完成年初 预算的0%</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比年初预算持平，本年支出0万元，完成年初预 算的0%</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比年初预算持平。</w:t>
      </w:r>
    </w:p>
    <w:p w14:paraId="252DC787">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3</w:t>
      </w:r>
      <w:r>
        <w:rPr>
          <w:rFonts w:hint="eastAsia" w:ascii="仿宋" w:hAnsi="仿宋" w:eastAsia="仿宋" w:cs="仿宋"/>
          <w:spacing w:val="5"/>
          <w:sz w:val="31"/>
          <w:szCs w:val="31"/>
          <w:lang w:eastAsia="zh-CN"/>
        </w:rPr>
        <w:t>、</w:t>
      </w:r>
      <w:r>
        <w:rPr>
          <w:rFonts w:hint="eastAsia" w:ascii="仿宋" w:hAnsi="仿宋" w:eastAsia="仿宋" w:cs="仿宋"/>
          <w:spacing w:val="5"/>
          <w:sz w:val="31"/>
          <w:szCs w:val="31"/>
        </w:rPr>
        <w:t>国有资本经营预算财政拨款本年收入0万元，完成年 初预算的0%，比年初预算持平，本年支出0万元，完成年初预 算的0%，比年初预算持平。</w:t>
      </w:r>
    </w:p>
    <w:p w14:paraId="7A3F20C3">
      <w:pPr>
        <w:keepNext w:val="0"/>
        <w:keepLines w:val="0"/>
        <w:pageBreakBefore w:val="0"/>
        <w:widowControl w:val="0"/>
        <w:kinsoku/>
        <w:wordWrap/>
        <w:overflowPunct/>
        <w:topLinePunct w:val="0"/>
        <w:autoSpaceDE/>
        <w:autoSpaceDN/>
        <w:bidi w:val="0"/>
        <w:adjustRightInd w:val="0"/>
        <w:snapToGrid w:val="0"/>
        <w:spacing w:line="520" w:lineRule="exact"/>
        <w:ind w:left="0" w:right="0" w:firstLine="640" w:firstLineChars="200"/>
        <w:textAlignment w:val="auto"/>
        <w:rPr>
          <w:rFonts w:hint="eastAsia" w:ascii="仿宋" w:hAnsi="仿宋" w:eastAsia="仿宋" w:cs="仿宋"/>
          <w:spacing w:val="5"/>
          <w:sz w:val="31"/>
          <w:szCs w:val="31"/>
        </w:rPr>
      </w:pP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2ACF66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ED3F13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ascii="Times New Roman" w:eastAsia="仿宋_GB2312"/>
          <w:sz w:val="32"/>
          <w:szCs w:val="32"/>
        </w:rPr>
      </w:pPr>
      <w:r>
        <w:rPr>
          <w:rFonts w:hint="eastAsia" w:ascii="仿宋" w:hAnsi="仿宋" w:eastAsia="仿宋" w:cs="仿宋"/>
          <w:spacing w:val="5"/>
          <w:sz w:val="31"/>
          <w:szCs w:val="31"/>
        </w:rPr>
        <w:t>2024年度财政拨款支出1,089.19万元，主要用于以下方面：</w:t>
      </w:r>
    </w:p>
    <w:p w14:paraId="69A1FEA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一般公共服务（类）支出688.90万元，占63.2%；社会保障和就业 （类）支出45.24万元，占4.2%；卫生健康（类）支出14.69万元，占1.3%，农林水（类）支出309.62万元，占28.4%；住房保障（类）支出30.75万元，占2.</w:t>
      </w:r>
      <w:r>
        <w:rPr>
          <w:rFonts w:hint="eastAsia" w:ascii="仿宋" w:hAnsi="仿宋" w:eastAsia="仿宋" w:cs="仿宋"/>
          <w:spacing w:val="5"/>
          <w:sz w:val="31"/>
          <w:szCs w:val="31"/>
          <w:lang w:val="en-US" w:eastAsia="zh-CN"/>
        </w:rPr>
        <w:t>9</w:t>
      </w:r>
      <w:r>
        <w:rPr>
          <w:rFonts w:hint="eastAsia" w:ascii="仿宋" w:hAnsi="仿宋" w:eastAsia="仿宋" w:cs="仿宋"/>
          <w:spacing w:val="5"/>
          <w:sz w:val="31"/>
          <w:szCs w:val="31"/>
        </w:rPr>
        <w:t>%。</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F817D3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楷体_GB2312"/>
          <w:sz w:val="32"/>
          <w:szCs w:val="32"/>
        </w:rPr>
      </w:pPr>
      <w:r>
        <w:rPr>
          <w:rFonts w:ascii="Times New Roman" w:eastAsia="楷体_GB2312"/>
          <w:b/>
          <w:sz w:val="32"/>
          <w:szCs w:val="32"/>
        </w:rPr>
        <w:t>（四）一般公共预算基本支出决算情况说明</w:t>
      </w:r>
    </w:p>
    <w:p w14:paraId="72BC045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2024年度财政拨款基本支出637.38万元，其中：</w:t>
      </w:r>
    </w:p>
    <w:p w14:paraId="644FE7C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人员经费581.99万元，主要包括基本工资、津贴补贴、奖金、伙食补助费、绩效工资、机关事业</w:t>
      </w:r>
      <w:r>
        <w:rPr>
          <w:rFonts w:hint="eastAsia" w:ascii="仿宋" w:hAnsi="仿宋" w:eastAsia="仿宋" w:cs="仿宋"/>
          <w:spacing w:val="5"/>
          <w:sz w:val="31"/>
          <w:szCs w:val="31"/>
          <w:lang w:eastAsia="zh-CN"/>
        </w:rPr>
        <w:t>单位</w:t>
      </w:r>
      <w:r>
        <w:rPr>
          <w:rFonts w:hint="eastAsia" w:ascii="仿宋" w:hAnsi="仿宋" w:eastAsia="仿宋" w:cs="仿宋"/>
          <w:spacing w:val="5"/>
          <w:sz w:val="31"/>
          <w:szCs w:val="31"/>
        </w:rPr>
        <w:t>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8D0F99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rPr>
      </w:pPr>
      <w:r>
        <w:rPr>
          <w:rFonts w:hint="eastAsia" w:ascii="仿宋" w:hAnsi="仿宋" w:eastAsia="仿宋" w:cs="仿宋"/>
          <w:spacing w:val="5"/>
          <w:sz w:val="31"/>
          <w:szCs w:val="31"/>
        </w:rPr>
        <w:t>公用经费55.38万元，主要包括办公费、印刷费、咨询费、手续费、水费、电费、邮电费、取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FD8C20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五、财政拨款“三公” 经费支出决算情况说明</w:t>
      </w:r>
    </w:p>
    <w:p w14:paraId="00A7438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楷体_GB2312"/>
          <w:sz w:val="32"/>
          <w:szCs w:val="32"/>
        </w:rPr>
      </w:pPr>
      <w:r>
        <w:rPr>
          <w:rFonts w:ascii="Times New Roman" w:eastAsia="楷体_GB2312"/>
          <w:b/>
          <w:sz w:val="32"/>
          <w:szCs w:val="32"/>
        </w:rPr>
        <w:t>（一）“三公”经费财政拨款支出决算总体情况说明</w:t>
      </w:r>
    </w:p>
    <w:p w14:paraId="1903A4B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ascii="Times New Roman" w:eastAsia="仿宋_GB2312"/>
          <w:sz w:val="32"/>
          <w:szCs w:val="32"/>
        </w:rPr>
      </w:pPr>
      <w:r>
        <w:rPr>
          <w:rFonts w:hint="eastAsia" w:ascii="仿宋" w:hAnsi="仿宋" w:eastAsia="仿宋" w:cs="仿宋"/>
          <w:spacing w:val="5"/>
          <w:sz w:val="31"/>
          <w:szCs w:val="31"/>
        </w:rPr>
        <w:t>本单位2024年度“三公”经费财政拨款支出预算为10.91万元，支出决算为8.33万元，完成预算的76.4%，较预算减少2.58万元，降低23.6%，主要原因是</w:t>
      </w:r>
      <w:r>
        <w:rPr>
          <w:rFonts w:hint="eastAsia" w:ascii="仿宋" w:hAnsi="仿宋" w:eastAsia="仿宋" w:cs="仿宋"/>
          <w:spacing w:val="5"/>
          <w:sz w:val="31"/>
          <w:szCs w:val="31"/>
          <w:lang w:val="en-US" w:eastAsia="zh-CN"/>
        </w:rPr>
        <w:t>厉行节约、减少开支</w:t>
      </w:r>
      <w:r>
        <w:rPr>
          <w:rFonts w:hint="eastAsia" w:ascii="仿宋" w:hAnsi="仿宋" w:eastAsia="仿宋" w:cs="仿宋"/>
          <w:spacing w:val="5"/>
          <w:sz w:val="31"/>
          <w:szCs w:val="31"/>
        </w:rPr>
        <w:t>；较2023年度决算减少4.87万元，降低36.9%，主要原因是</w:t>
      </w:r>
      <w:r>
        <w:rPr>
          <w:rFonts w:hint="eastAsia" w:ascii="仿宋" w:hAnsi="仿宋" w:eastAsia="仿宋" w:cs="仿宋"/>
          <w:spacing w:val="5"/>
          <w:sz w:val="31"/>
          <w:szCs w:val="31"/>
          <w:lang w:val="en-US" w:eastAsia="zh-CN"/>
        </w:rPr>
        <w:t>厉行节约、减少开支</w:t>
      </w:r>
      <w:r>
        <w:rPr>
          <w:rFonts w:hint="eastAsia" w:ascii="仿宋" w:hAnsi="仿宋" w:eastAsia="仿宋" w:cs="仿宋"/>
          <w:spacing w:val="5"/>
          <w:sz w:val="31"/>
          <w:szCs w:val="31"/>
        </w:rPr>
        <w:t>。</w:t>
      </w:r>
    </w:p>
    <w:p w14:paraId="6AA6B5E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楷体_GB2312"/>
          <w:sz w:val="32"/>
          <w:szCs w:val="32"/>
        </w:rPr>
      </w:pPr>
      <w:r>
        <w:rPr>
          <w:rFonts w:ascii="Times New Roman" w:eastAsia="楷体_GB2312"/>
          <w:b/>
          <w:sz w:val="32"/>
          <w:szCs w:val="32"/>
        </w:rPr>
        <w:t>（二）“三公”经费财政拨款支出决算具体情况说明</w:t>
      </w:r>
    </w:p>
    <w:p w14:paraId="74FB0F4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hint="eastAsia" w:ascii="仿宋" w:hAnsi="仿宋" w:eastAsia="仿宋" w:cs="仿宋"/>
          <w:spacing w:val="5"/>
          <w:sz w:val="31"/>
          <w:szCs w:val="31"/>
          <w:lang w:val="en-US" w:eastAsia="zh-CN"/>
        </w:rPr>
      </w:pPr>
      <w:r>
        <w:rPr>
          <w:rFonts w:hint="eastAsia" w:ascii="Times New Roman" w:eastAsia="楷体_GB2312"/>
          <w:b/>
          <w:sz w:val="32"/>
          <w:szCs w:val="32"/>
          <w:lang w:val="en-US" w:eastAsia="zh-CN"/>
        </w:rPr>
        <w:t>1、</w:t>
      </w:r>
      <w:r>
        <w:rPr>
          <w:rFonts w:ascii="Times New Roman" w:eastAsia="楷体_GB2312"/>
          <w:b/>
          <w:sz w:val="32"/>
          <w:szCs w:val="32"/>
        </w:rPr>
        <w:t>因公出国（境）费支出情况。</w:t>
      </w:r>
      <w:r>
        <w:rPr>
          <w:rFonts w:ascii="仿宋" w:hAnsi="仿宋" w:eastAsia="仿宋" w:cs="仿宋"/>
          <w:spacing w:val="1"/>
          <w:sz w:val="31"/>
          <w:szCs w:val="31"/>
        </w:rPr>
        <w:t>本</w:t>
      </w:r>
      <w:r>
        <w:rPr>
          <w:rFonts w:hint="eastAsia" w:ascii="仿宋" w:hAnsi="仿宋" w:eastAsia="仿宋" w:cs="仿宋"/>
          <w:spacing w:val="1"/>
          <w:sz w:val="31"/>
          <w:szCs w:val="31"/>
          <w:lang w:eastAsia="zh-CN"/>
        </w:rPr>
        <w:t>单位</w:t>
      </w:r>
      <w:r>
        <w:rPr>
          <w:rFonts w:ascii="仿宋" w:hAnsi="仿宋" w:eastAsia="仿宋" w:cs="仿宋"/>
          <w:spacing w:val="-68"/>
          <w:sz w:val="31"/>
          <w:szCs w:val="31"/>
        </w:rPr>
        <w:t xml:space="preserve"> </w:t>
      </w:r>
      <w:r>
        <w:rPr>
          <w:rFonts w:ascii="Times New Roman" w:hAnsi="Times New Roman" w:eastAsia="Times New Roman" w:cs="Times New Roman"/>
          <w:spacing w:val="1"/>
          <w:sz w:val="31"/>
          <w:szCs w:val="31"/>
        </w:rPr>
        <w:t>2</w:t>
      </w:r>
      <w:r>
        <w:rPr>
          <w:rFonts w:ascii="Times New Roman" w:hAnsi="Times New Roman" w:eastAsia="Times New Roman" w:cs="Times New Roman"/>
          <w:sz w:val="31"/>
          <w:szCs w:val="31"/>
        </w:rPr>
        <w:t>02</w:t>
      </w:r>
      <w:r>
        <w:rPr>
          <w:rFonts w:hint="eastAsia" w:ascii="Times New Roman" w:hAnsi="Times New Roman" w:eastAsia="宋体" w:cs="Times New Roman"/>
          <w:sz w:val="31"/>
          <w:szCs w:val="31"/>
          <w:lang w:val="en-US" w:eastAsia="zh-CN"/>
        </w:rPr>
        <w:t>4</w:t>
      </w:r>
      <w:r>
        <w:rPr>
          <w:rFonts w:ascii="仿宋" w:hAnsi="仿宋" w:eastAsia="仿宋" w:cs="仿宋"/>
          <w:sz w:val="31"/>
          <w:szCs w:val="31"/>
        </w:rPr>
        <w:t>年度因公出</w:t>
      </w:r>
      <w:r>
        <w:rPr>
          <w:rFonts w:ascii="仿宋" w:hAnsi="仿宋" w:eastAsia="仿宋" w:cs="仿宋"/>
          <w:spacing w:val="7"/>
          <w:sz w:val="31"/>
          <w:szCs w:val="31"/>
        </w:rPr>
        <w:t>国（境）费支出预算为</w:t>
      </w:r>
      <w:r>
        <w:rPr>
          <w:rFonts w:ascii="Times New Roman" w:hAnsi="Times New Roman" w:eastAsia="Times New Roman" w:cs="Times New Roman"/>
          <w:spacing w:val="7"/>
          <w:sz w:val="31"/>
          <w:szCs w:val="31"/>
        </w:rPr>
        <w:t>0</w:t>
      </w:r>
      <w:r>
        <w:rPr>
          <w:rFonts w:ascii="仿宋" w:hAnsi="仿宋" w:eastAsia="仿宋" w:cs="仿宋"/>
          <w:spacing w:val="7"/>
          <w:sz w:val="31"/>
          <w:szCs w:val="31"/>
        </w:rPr>
        <w:t>万元</w:t>
      </w:r>
      <w:r>
        <w:rPr>
          <w:rFonts w:ascii="Times New Roman" w:hAnsi="Times New Roman" w:eastAsia="Times New Roman" w:cs="Times New Roman"/>
          <w:spacing w:val="7"/>
          <w:sz w:val="31"/>
          <w:szCs w:val="31"/>
        </w:rPr>
        <w:t>,</w:t>
      </w:r>
      <w:r>
        <w:rPr>
          <w:rFonts w:ascii="仿宋" w:hAnsi="仿宋" w:eastAsia="仿宋" w:cs="仿宋"/>
          <w:spacing w:val="7"/>
          <w:sz w:val="31"/>
          <w:szCs w:val="31"/>
        </w:rPr>
        <w:t>支出决算</w:t>
      </w:r>
      <w:r>
        <w:rPr>
          <w:rFonts w:ascii="仿宋" w:hAnsi="仿宋" w:eastAsia="仿宋" w:cs="仿宋"/>
          <w:spacing w:val="-64"/>
          <w:sz w:val="31"/>
          <w:szCs w:val="31"/>
        </w:rPr>
        <w:t xml:space="preserve"> </w:t>
      </w:r>
      <w:r>
        <w:rPr>
          <w:rFonts w:ascii="Times New Roman" w:hAnsi="Times New Roman" w:eastAsia="Times New Roman" w:cs="Times New Roman"/>
          <w:spacing w:val="7"/>
          <w:sz w:val="31"/>
          <w:szCs w:val="31"/>
        </w:rPr>
        <w:t>0</w:t>
      </w:r>
      <w:r>
        <w:rPr>
          <w:rFonts w:ascii="仿宋" w:hAnsi="仿宋" w:eastAsia="仿宋" w:cs="仿宋"/>
          <w:spacing w:val="7"/>
          <w:sz w:val="31"/>
          <w:szCs w:val="31"/>
        </w:rPr>
        <w:t>万元。</w:t>
      </w:r>
      <w:r>
        <w:rPr>
          <w:rFonts w:hint="eastAsia" w:ascii="仿宋" w:hAnsi="仿宋" w:eastAsia="仿宋" w:cs="仿宋"/>
          <w:spacing w:val="5"/>
          <w:sz w:val="31"/>
          <w:szCs w:val="31"/>
          <w:lang w:val="en-US" w:eastAsia="zh-CN"/>
        </w:rPr>
        <w:t>本单位无此项目支出。</w:t>
      </w:r>
    </w:p>
    <w:p w14:paraId="4ED50F6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仿宋" w:hAnsi="仿宋" w:eastAsia="仿宋" w:cs="仿宋"/>
          <w:spacing w:val="1"/>
          <w:sz w:val="31"/>
          <w:szCs w:val="31"/>
        </w:rPr>
      </w:pPr>
      <w:r>
        <w:rPr>
          <w:rFonts w:hint="eastAsia" w:ascii="Times New Roman" w:eastAsia="楷体_GB2312"/>
          <w:b/>
          <w:sz w:val="32"/>
          <w:szCs w:val="32"/>
          <w:lang w:val="en-US" w:eastAsia="zh-CN"/>
        </w:rPr>
        <w:t>2、</w:t>
      </w:r>
      <w:r>
        <w:rPr>
          <w:rFonts w:ascii="Times New Roman" w:eastAsia="楷体_GB2312"/>
          <w:b/>
          <w:sz w:val="32"/>
          <w:szCs w:val="32"/>
        </w:rPr>
        <w:t>公务用车购置及运行维护费支出情况。</w:t>
      </w:r>
      <w:r>
        <w:rPr>
          <w:rFonts w:ascii="仿宋" w:hAnsi="仿宋" w:eastAsia="仿宋" w:cs="仿宋"/>
          <w:spacing w:val="1"/>
          <w:sz w:val="31"/>
          <w:szCs w:val="31"/>
        </w:rPr>
        <w:t>本单位2024年度公务用车购置及运行维护费预算为10.40万元，支出决算8.33万元，完成预算的80.1%,较预算减少2.07万元，降低19.9%,主要原因是；较上年减少4.87万元，降低36.9%,主要原因是</w:t>
      </w:r>
      <w:r>
        <w:rPr>
          <w:rFonts w:hint="eastAsia" w:ascii="仿宋" w:hAnsi="仿宋" w:eastAsia="仿宋" w:cs="仿宋"/>
          <w:spacing w:val="5"/>
          <w:sz w:val="31"/>
          <w:szCs w:val="31"/>
          <w:lang w:val="en-US" w:eastAsia="zh-CN"/>
        </w:rPr>
        <w:t>厉行节约、减少开支</w:t>
      </w:r>
      <w:r>
        <w:rPr>
          <w:rFonts w:ascii="仿宋" w:hAnsi="仿宋" w:eastAsia="仿宋" w:cs="仿宋"/>
          <w:spacing w:val="1"/>
          <w:sz w:val="31"/>
          <w:szCs w:val="31"/>
        </w:rPr>
        <w:t>。其中：</w:t>
      </w:r>
    </w:p>
    <w:p w14:paraId="11F19AB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仿宋" w:hAnsi="仿宋" w:eastAsia="仿宋" w:cs="仿宋"/>
          <w:spacing w:val="1"/>
          <w:sz w:val="31"/>
          <w:szCs w:val="31"/>
        </w:rPr>
      </w:pPr>
      <w:r>
        <w:rPr>
          <w:rFonts w:ascii="Times New Roman" w:eastAsia="仿宋_GB2312"/>
          <w:b/>
          <w:sz w:val="32"/>
          <w:szCs w:val="32"/>
        </w:rPr>
        <w:t>公务用车购置费支出0.00万元：</w:t>
      </w:r>
      <w:r>
        <w:rPr>
          <w:rFonts w:ascii="仿宋" w:hAnsi="仿宋" w:eastAsia="仿宋" w:cs="仿宋"/>
          <w:spacing w:val="1"/>
          <w:sz w:val="31"/>
          <w:szCs w:val="31"/>
        </w:rPr>
        <w:t>本</w:t>
      </w:r>
      <w:r>
        <w:rPr>
          <w:rFonts w:hint="eastAsia" w:ascii="仿宋" w:hAnsi="仿宋" w:eastAsia="仿宋" w:cs="仿宋"/>
          <w:spacing w:val="1"/>
          <w:sz w:val="31"/>
          <w:szCs w:val="31"/>
          <w:lang w:eastAsia="zh-CN"/>
        </w:rPr>
        <w:t>单位</w:t>
      </w:r>
      <w:r>
        <w:rPr>
          <w:rFonts w:hint="eastAsia" w:ascii="仿宋" w:hAnsi="仿宋" w:eastAsia="仿宋" w:cs="仿宋"/>
          <w:spacing w:val="1"/>
          <w:sz w:val="31"/>
          <w:szCs w:val="31"/>
          <w:lang w:val="en-US" w:eastAsia="zh-CN"/>
        </w:rPr>
        <w:t>2024</w:t>
      </w:r>
      <w:r>
        <w:rPr>
          <w:rFonts w:ascii="仿宋" w:hAnsi="仿宋" w:eastAsia="仿宋" w:cs="仿宋"/>
          <w:spacing w:val="1"/>
          <w:sz w:val="31"/>
          <w:szCs w:val="31"/>
        </w:rPr>
        <w:t>年度公务用车购置量</w:t>
      </w:r>
      <w:r>
        <w:rPr>
          <w:rFonts w:hint="eastAsia" w:ascii="仿宋" w:hAnsi="仿宋" w:eastAsia="仿宋" w:cs="仿宋"/>
          <w:spacing w:val="1"/>
          <w:sz w:val="31"/>
          <w:szCs w:val="31"/>
          <w:lang w:val="en-US" w:eastAsia="zh-CN"/>
        </w:rPr>
        <w:t>0</w:t>
      </w:r>
      <w:r>
        <w:rPr>
          <w:rFonts w:ascii="仿宋" w:hAnsi="仿宋" w:eastAsia="仿宋" w:cs="仿宋"/>
          <w:spacing w:val="1"/>
          <w:sz w:val="31"/>
          <w:szCs w:val="31"/>
        </w:rPr>
        <w:t>辆，发生“公务用车购置”经费支出0万元。公务用车购置费支出较预算持平；较上年持平。</w:t>
      </w:r>
    </w:p>
    <w:p w14:paraId="345969F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hint="eastAsia" w:ascii="仿宋" w:hAnsi="仿宋" w:eastAsia="仿宋" w:cs="仿宋"/>
          <w:spacing w:val="5"/>
          <w:sz w:val="31"/>
          <w:szCs w:val="31"/>
          <w:lang w:val="en-US" w:eastAsia="zh-CN"/>
        </w:rPr>
      </w:pPr>
      <w:r>
        <w:rPr>
          <w:rFonts w:ascii="Times New Roman" w:eastAsia="仿宋_GB2312"/>
          <w:b/>
          <w:sz w:val="32"/>
          <w:szCs w:val="32"/>
        </w:rPr>
        <w:t>公务用车运行维护费支出8.33万元：</w:t>
      </w:r>
      <w:r>
        <w:rPr>
          <w:rFonts w:hint="eastAsia" w:ascii="仿宋" w:hAnsi="仿宋" w:eastAsia="仿宋" w:cs="仿宋"/>
          <w:spacing w:val="5"/>
          <w:sz w:val="31"/>
          <w:szCs w:val="31"/>
          <w:lang w:val="en-US" w:eastAsia="zh-CN"/>
        </w:rPr>
        <w:t>本单位2024年度单位公务用车保有量5辆，发生运行维护费支出8.33万元。公车运行维护费支出较预算减少2.07万元，降低19.9%,主要原因是厉行节约、减少开支；较上年减少4.87万元，降低36.9%，主要原因是厉行节约、减少开支。</w:t>
      </w:r>
    </w:p>
    <w:p w14:paraId="3503649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hint="eastAsia" w:ascii="仿宋" w:hAnsi="仿宋" w:eastAsia="仿宋" w:cs="仿宋"/>
          <w:spacing w:val="5"/>
          <w:sz w:val="31"/>
          <w:szCs w:val="31"/>
          <w:lang w:val="en-US" w:eastAsia="zh-CN"/>
        </w:rPr>
      </w:pPr>
      <w:r>
        <w:rPr>
          <w:rFonts w:ascii="Times New Roman" w:eastAsia="楷体_GB2312"/>
          <w:b/>
          <w:sz w:val="32"/>
          <w:szCs w:val="32"/>
        </w:rPr>
        <w:t>3.公务接待费支出情况。</w:t>
      </w:r>
      <w:r>
        <w:rPr>
          <w:rFonts w:hint="eastAsia" w:ascii="仿宋" w:hAnsi="仿宋" w:eastAsia="仿宋" w:cs="仿宋"/>
          <w:spacing w:val="5"/>
          <w:sz w:val="31"/>
          <w:szCs w:val="31"/>
          <w:lang w:val="en-US" w:eastAsia="zh-CN"/>
        </w:rPr>
        <w:t>本单位2024年度公务接待费支出预算为0.51万元，支出决算0.00万元，完成预算的0.0%。公务接待费支出较预算减少0.51万元，降低100.0%,主要原因是本年度未发生公务接待；较上年度增加0.00万元，增长0.00%,主要原因是本年度未发生公务接待。</w:t>
      </w:r>
    </w:p>
    <w:p w14:paraId="46A2D8D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六、机关运行经费支出说明</w:t>
      </w:r>
    </w:p>
    <w:p w14:paraId="1020F55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本单位2024年度机关运行经费支出55.38万元，较2023年度减少33.52万元，降低37.7%。主要原因是厉行节约、减少开支。</w:t>
      </w:r>
    </w:p>
    <w:p w14:paraId="04A5084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七、政府采购支出说明</w:t>
      </w:r>
    </w:p>
    <w:p w14:paraId="7A83866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09B1BC6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八、国有资产占用情况说明</w:t>
      </w:r>
    </w:p>
    <w:p w14:paraId="448196E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截至2024年12月31日，本单位共有车辆5辆，比上年增加0辆。其中，副部（省）级及以上领导用车0辆，主要负责人用车0辆，机要通信用车0辆，应急保障用车4辆，执法执勤用车0辆，特种专业技术用车1辆，离退休干部用车0辆，其他用车0辆，其他用车主要是。单位价值100万元（含）以上设备（不含车辆）0台（套）。</w:t>
      </w:r>
    </w:p>
    <w:p w14:paraId="2638A6E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outlineLvl w:val="1"/>
        <w:rPr>
          <w:rFonts w:ascii="Times New Roman" w:eastAsia="黑体"/>
          <w:sz w:val="32"/>
          <w:szCs w:val="32"/>
        </w:rPr>
      </w:pPr>
      <w:r>
        <w:rPr>
          <w:rFonts w:ascii="Times New Roman" w:eastAsia="黑体"/>
          <w:b w:val="0"/>
          <w:sz w:val="32"/>
          <w:szCs w:val="32"/>
        </w:rPr>
        <w:t>九、关于2024年度绩效评价情况的说明</w:t>
      </w:r>
    </w:p>
    <w:p w14:paraId="31BB486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sz w:val="32"/>
          <w:szCs w:val="32"/>
        </w:rPr>
      </w:pPr>
      <w:r>
        <w:rPr>
          <w:rFonts w:ascii="Times New Roman" w:eastAsia="仿宋_GB2312"/>
          <w:b/>
          <w:sz w:val="32"/>
          <w:szCs w:val="32"/>
        </w:rPr>
        <w:t>（一）绩效评价工作开展情况</w:t>
      </w:r>
    </w:p>
    <w:p w14:paraId="36F0B2FD">
      <w:pPr>
        <w:keepNext w:val="0"/>
        <w:keepLines w:val="0"/>
        <w:pageBreakBefore w:val="0"/>
        <w:widowControl/>
        <w:kinsoku/>
        <w:wordWrap/>
        <w:overflowPunct/>
        <w:topLinePunct w:val="0"/>
        <w:autoSpaceDE/>
        <w:autoSpaceDN/>
        <w:bidi w:val="0"/>
        <w:adjustRightInd/>
        <w:snapToGrid w:val="0"/>
        <w:spacing w:before="0" w:beforeAutospacing="0" w:after="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根据预算绩效管理要求，本单位组织对2024年度本级预算项目支出全面开展绩效自评，共涉及资金451.82万元（决算金额）。其中，一般公共预算项目9个，涉及资金451.82万元，占一般公共预算项目支出总额的100%；政府性基金预算项目0个，涉及资金0万元，占政府性基金预算项目支出总额的0%；国有资本经营预算项目0个，涉及资金0万元，占国有资本经营预算项目支出总额的0%。从评价情况来看各个项目绩效评价结果均在良好以上。</w:t>
      </w:r>
    </w:p>
    <w:p w14:paraId="606EDC4E">
      <w:pPr>
        <w:keepNext w:val="0"/>
        <w:keepLines w:val="0"/>
        <w:pageBreakBefore w:val="0"/>
        <w:widowControl/>
        <w:numPr>
          <w:ilvl w:val="0"/>
          <w:numId w:val="2"/>
        </w:numPr>
        <w:kinsoku/>
        <w:wordWrap/>
        <w:overflowPunct/>
        <w:topLinePunct w:val="0"/>
        <w:autoSpaceDE/>
        <w:autoSpaceDN/>
        <w:bidi w:val="0"/>
        <w:adjustRightInd/>
        <w:snapToGrid w:val="0"/>
        <w:spacing w:before="0" w:beforeAutospacing="0" w:after="0" w:afterAutospacing="0" w:line="520" w:lineRule="exact"/>
        <w:ind w:firstLine="643" w:firstLineChars="200"/>
        <w:jc w:val="left"/>
        <w:textAlignment w:val="auto"/>
        <w:rPr>
          <w:rFonts w:ascii="Times New Roman" w:eastAsia="仿宋_GB2312"/>
          <w:b/>
          <w:sz w:val="32"/>
          <w:szCs w:val="32"/>
        </w:rPr>
      </w:pP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762E12FB">
      <w:pPr>
        <w:pStyle w:val="11"/>
        <w:keepNext w:val="0"/>
        <w:keepLines w:val="0"/>
        <w:pageBreakBefore w:val="0"/>
        <w:widowControl/>
        <w:kinsoku/>
        <w:wordWrap/>
        <w:overflowPunct/>
        <w:topLinePunct w:val="0"/>
        <w:autoSpaceDE/>
        <w:autoSpaceDN/>
        <w:bidi w:val="0"/>
        <w:adjustRightInd/>
        <w:snapToGrid w:val="0"/>
        <w:spacing w:beforeAutospacing="0" w:afterAutospacing="0" w:line="520" w:lineRule="exact"/>
        <w:ind w:firstLine="640" w:firstLineChars="200"/>
        <w:textAlignment w:val="auto"/>
        <w:rPr>
          <w:rFonts w:hint="eastAsia" w:ascii="仿宋" w:hAnsi="仿宋" w:eastAsia="仿宋" w:cs="仿宋"/>
          <w:color w:val="auto"/>
          <w:spacing w:val="5"/>
          <w:kern w:val="0"/>
          <w:sz w:val="31"/>
          <w:szCs w:val="31"/>
          <w:lang w:val="zh-CN" w:eastAsia="zh-CN" w:bidi="ar-SA"/>
        </w:rPr>
      </w:pPr>
      <w:r>
        <w:rPr>
          <w:rFonts w:hint="eastAsia" w:ascii="仿宋" w:hAnsi="仿宋" w:eastAsia="仿宋" w:cs="仿宋"/>
          <w:color w:val="auto"/>
          <w:spacing w:val="5"/>
          <w:kern w:val="0"/>
          <w:sz w:val="31"/>
          <w:szCs w:val="31"/>
          <w:lang w:val="en-US" w:eastAsia="zh-CN" w:bidi="ar-SA"/>
        </w:rPr>
        <w:t>本单位在今年单位决算公开中反映村级组织办公经费、村党组织活动经费、服务群众专项经费</w:t>
      </w:r>
      <w:r>
        <w:rPr>
          <w:rFonts w:hint="eastAsia" w:ascii="仿宋" w:hAnsi="仿宋" w:eastAsia="仿宋" w:cs="仿宋"/>
          <w:color w:val="auto"/>
          <w:spacing w:val="5"/>
          <w:kern w:val="0"/>
          <w:sz w:val="31"/>
          <w:szCs w:val="31"/>
          <w:lang w:val="zh-CN" w:eastAsia="zh-CN" w:bidi="ar-SA"/>
        </w:rPr>
        <w:t>项目等</w:t>
      </w:r>
      <w:r>
        <w:rPr>
          <w:rFonts w:hint="eastAsia" w:ascii="仿宋" w:hAnsi="仿宋" w:eastAsia="仿宋" w:cs="仿宋"/>
          <w:color w:val="auto"/>
          <w:spacing w:val="5"/>
          <w:kern w:val="0"/>
          <w:sz w:val="31"/>
          <w:szCs w:val="31"/>
          <w:lang w:val="en-US" w:eastAsia="zh-CN" w:bidi="ar-SA"/>
        </w:rPr>
        <w:t>3</w:t>
      </w:r>
      <w:r>
        <w:rPr>
          <w:rFonts w:hint="eastAsia" w:ascii="仿宋" w:hAnsi="仿宋" w:eastAsia="仿宋" w:cs="仿宋"/>
          <w:color w:val="auto"/>
          <w:spacing w:val="5"/>
          <w:kern w:val="0"/>
          <w:sz w:val="31"/>
          <w:szCs w:val="31"/>
          <w:lang w:val="zh-CN" w:eastAsia="zh-CN" w:bidi="ar-SA"/>
        </w:rPr>
        <w:t>个项目绩效自评结果情况：</w:t>
      </w:r>
    </w:p>
    <w:p w14:paraId="2E17437D">
      <w:pPr>
        <w:keepNext w:val="0"/>
        <w:keepLines w:val="0"/>
        <w:pageBreakBefore w:val="0"/>
        <w:widowControl/>
        <w:kinsoku/>
        <w:wordWrap/>
        <w:overflowPunct/>
        <w:topLinePunct w:val="0"/>
        <w:autoSpaceDE/>
        <w:autoSpaceDN/>
        <w:bidi w:val="0"/>
        <w:adjustRightInd/>
        <w:snapToGrid w:val="0"/>
        <w:spacing w:before="0" w:beforeAutospacing="0" w:after="0" w:afterAutospacing="0" w:line="520" w:lineRule="exact"/>
        <w:ind w:firstLine="640" w:firstLineChars="200"/>
        <w:jc w:val="left"/>
        <w:textAlignment w:val="auto"/>
        <w:rPr>
          <w:rFonts w:ascii="Times New Roman" w:eastAsia="仿宋_GB2312"/>
          <w:b/>
          <w:sz w:val="32"/>
          <w:szCs w:val="32"/>
        </w:rPr>
      </w:pPr>
      <w:r>
        <w:rPr>
          <w:rFonts w:hint="eastAsia" w:ascii="仿宋" w:hAnsi="仿宋" w:eastAsia="仿宋" w:cs="仿宋"/>
          <w:color w:val="auto"/>
          <w:spacing w:val="5"/>
          <w:kern w:val="0"/>
          <w:sz w:val="31"/>
          <w:szCs w:val="31"/>
          <w:lang w:val="en-US" w:eastAsia="zh-CN" w:bidi="ar-SA"/>
        </w:rPr>
        <w:t>村级组织办公经费、村党组织活动经费、服务群众专项经费</w:t>
      </w:r>
      <w:r>
        <w:rPr>
          <w:rFonts w:hint="eastAsia" w:ascii="仿宋" w:hAnsi="仿宋" w:eastAsia="仿宋" w:cs="仿宋"/>
          <w:color w:val="auto"/>
          <w:spacing w:val="5"/>
          <w:kern w:val="0"/>
          <w:sz w:val="31"/>
          <w:szCs w:val="31"/>
          <w:lang w:val="zh-CN" w:eastAsia="zh-CN" w:bidi="ar-SA"/>
        </w:rPr>
        <w:t>项目</w:t>
      </w:r>
      <w:r>
        <w:rPr>
          <w:rFonts w:hint="eastAsia" w:ascii="仿宋" w:hAnsi="仿宋" w:eastAsia="仿宋" w:cs="仿宋"/>
          <w:color w:val="auto"/>
          <w:spacing w:val="5"/>
          <w:kern w:val="0"/>
          <w:sz w:val="31"/>
          <w:szCs w:val="31"/>
          <w:lang w:val="en-US" w:eastAsia="zh-CN" w:bidi="ar-SA"/>
        </w:rPr>
        <w:t>项目绩效自评情况：根据年初设定的绩效目标，3个项目绩效自评得分为100分（绩效自评表附后）。全年预算数为151.19万元，执行数为151.19万元，完成预算的100%。项目绩效目标完成情况：2024年我镇项目绩效目标明确，资金到位及时，项目实施过程中严格按照有关项目管理和资金管理的规定执行，全年绩效整体完成率较好，项目效果：调动了村级干部干事创业积极性，提高了工作效率，最大限度为民排忧解难，带领群众脱贫致富。</w:t>
      </w:r>
    </w:p>
    <w:p w14:paraId="288CBC8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65216A6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7A27EB4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19468DA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113D4E8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b/>
          <w:sz w:val="32"/>
          <w:szCs w:val="32"/>
        </w:rPr>
      </w:pPr>
    </w:p>
    <w:p w14:paraId="09DE23D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480" w:firstLineChars="200"/>
        <w:jc w:val="left"/>
        <w:textAlignment w:val="auto"/>
        <w:rPr>
          <w:rFonts w:ascii="Times New Roman" w:eastAsia="仿宋_GB2312"/>
          <w:b/>
          <w:sz w:val="32"/>
          <w:szCs w:val="32"/>
        </w:rPr>
      </w:pPr>
      <w:r>
        <w:drawing>
          <wp:anchor distT="0" distB="0" distL="114300" distR="114300" simplePos="0" relativeHeight="251662336" behindDoc="0" locked="0" layoutInCell="1" allowOverlap="1">
            <wp:simplePos x="0" y="0"/>
            <wp:positionH relativeFrom="column">
              <wp:posOffset>-68580</wp:posOffset>
            </wp:positionH>
            <wp:positionV relativeFrom="paragraph">
              <wp:posOffset>-546735</wp:posOffset>
            </wp:positionV>
            <wp:extent cx="5534025" cy="8331200"/>
            <wp:effectExtent l="0" t="0" r="9525" b="12700"/>
            <wp:wrapTopAndBottom/>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19"/>
                    <a:stretch>
                      <a:fillRect/>
                    </a:stretch>
                  </pic:blipFill>
                  <pic:spPr>
                    <a:xfrm>
                      <a:off x="0" y="0"/>
                      <a:ext cx="5534025" cy="8331200"/>
                    </a:xfrm>
                    <a:prstGeom prst="rect">
                      <a:avLst/>
                    </a:prstGeom>
                    <a:noFill/>
                    <a:ln>
                      <a:noFill/>
                    </a:ln>
                  </pic:spPr>
                </pic:pic>
              </a:graphicData>
            </a:graphic>
          </wp:anchor>
        </w:drawing>
      </w:r>
    </w:p>
    <w:p w14:paraId="7EEE829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480" w:firstLineChars="200"/>
        <w:jc w:val="left"/>
        <w:textAlignment w:val="auto"/>
        <w:rPr>
          <w:rFonts w:ascii="Times New Roman" w:eastAsia="仿宋_GB2312"/>
          <w:b/>
          <w:sz w:val="32"/>
          <w:szCs w:val="32"/>
        </w:rPr>
      </w:pPr>
      <w:r>
        <w:drawing>
          <wp:anchor distT="0" distB="0" distL="114300" distR="114300" simplePos="0" relativeHeight="251663360" behindDoc="0" locked="0" layoutInCell="1" allowOverlap="1">
            <wp:simplePos x="0" y="0"/>
            <wp:positionH relativeFrom="column">
              <wp:posOffset>74930</wp:posOffset>
            </wp:positionH>
            <wp:positionV relativeFrom="paragraph">
              <wp:posOffset>-317500</wp:posOffset>
            </wp:positionV>
            <wp:extent cx="5755640" cy="8515985"/>
            <wp:effectExtent l="0" t="0" r="16510" b="18415"/>
            <wp:wrapSquare wrapText="bothSides"/>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20"/>
                    <a:stretch>
                      <a:fillRect/>
                    </a:stretch>
                  </pic:blipFill>
                  <pic:spPr>
                    <a:xfrm>
                      <a:off x="0" y="0"/>
                      <a:ext cx="5755640" cy="8515985"/>
                    </a:xfrm>
                    <a:prstGeom prst="rect">
                      <a:avLst/>
                    </a:prstGeom>
                    <a:noFill/>
                    <a:ln>
                      <a:noFill/>
                    </a:ln>
                  </pic:spPr>
                </pic:pic>
              </a:graphicData>
            </a:graphic>
          </wp:anchor>
        </w:drawing>
      </w:r>
    </w:p>
    <w:p w14:paraId="40B816D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jc w:val="left"/>
        <w:textAlignment w:val="auto"/>
        <w:rPr>
          <w:rFonts w:ascii="Times New Roman" w:eastAsia="仿宋_GB2312"/>
          <w:b/>
          <w:sz w:val="32"/>
          <w:szCs w:val="32"/>
        </w:rPr>
      </w:pPr>
      <w:r>
        <w:drawing>
          <wp:anchor distT="0" distB="0" distL="114300" distR="114300" simplePos="0" relativeHeight="251664384" behindDoc="0" locked="0" layoutInCell="1" allowOverlap="1">
            <wp:simplePos x="0" y="0"/>
            <wp:positionH relativeFrom="column">
              <wp:posOffset>0</wp:posOffset>
            </wp:positionH>
            <wp:positionV relativeFrom="paragraph">
              <wp:posOffset>-451485</wp:posOffset>
            </wp:positionV>
            <wp:extent cx="5755640" cy="7765415"/>
            <wp:effectExtent l="0" t="0" r="16510" b="6985"/>
            <wp:wrapSquare wrapText="bothSides"/>
            <wp:docPr id="1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pic:cNvPicPr>
                      <a:picLocks noChangeAspect="1"/>
                    </pic:cNvPicPr>
                  </pic:nvPicPr>
                  <pic:blipFill>
                    <a:blip r:embed="rId21"/>
                    <a:stretch>
                      <a:fillRect/>
                    </a:stretch>
                  </pic:blipFill>
                  <pic:spPr>
                    <a:xfrm>
                      <a:off x="0" y="0"/>
                      <a:ext cx="5755640" cy="7765415"/>
                    </a:xfrm>
                    <a:prstGeom prst="rect">
                      <a:avLst/>
                    </a:prstGeom>
                    <a:noFill/>
                    <a:ln>
                      <a:noFill/>
                    </a:ln>
                  </pic:spPr>
                </pic:pic>
              </a:graphicData>
            </a:graphic>
          </wp:anchor>
        </w:drawing>
      </w:r>
    </w:p>
    <w:p w14:paraId="7CBC2EE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jc w:val="left"/>
        <w:textAlignment w:val="auto"/>
        <w:rPr>
          <w:rFonts w:ascii="Times New Roman" w:eastAsia="仿宋_GB2312"/>
          <w:b/>
          <w:sz w:val="32"/>
          <w:szCs w:val="32"/>
        </w:rPr>
      </w:pPr>
    </w:p>
    <w:p w14:paraId="6345409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3" w:firstLineChars="200"/>
        <w:jc w:val="left"/>
        <w:textAlignment w:val="auto"/>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4163827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2024年度本单位无财政评价项目绩效情况。</w:t>
      </w:r>
    </w:p>
    <w:p w14:paraId="65F74DF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ascii="Times New Roman" w:eastAsia="黑体"/>
          <w:sz w:val="32"/>
          <w:szCs w:val="32"/>
        </w:rPr>
      </w:pPr>
      <w:r>
        <w:rPr>
          <w:rFonts w:ascii="Times New Roman" w:eastAsia="黑体"/>
          <w:b w:val="0"/>
          <w:sz w:val="32"/>
          <w:szCs w:val="32"/>
        </w:rPr>
        <w:t>十、其他需要说明的情况</w:t>
      </w:r>
    </w:p>
    <w:p w14:paraId="37319F9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1、本单位2024年度政府性基金预算财政拨款收入支出决算表（公开07表）、国有资本经营预算财政拨款支出决算表（公开08表）无相应收支，故空表列示。</w:t>
      </w:r>
    </w:p>
    <w:p w14:paraId="4AAE86A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20" w:lineRule="exact"/>
        <w:ind w:firstLine="640" w:firstLineChars="200"/>
        <w:jc w:val="left"/>
        <w:textAlignment w:val="auto"/>
        <w:rPr>
          <w:rFonts w:hint="eastAsia" w:ascii="仿宋" w:hAnsi="仿宋" w:eastAsia="仿宋" w:cs="仿宋"/>
          <w:spacing w:val="5"/>
          <w:sz w:val="31"/>
          <w:szCs w:val="31"/>
          <w:lang w:val="en-US" w:eastAsia="zh-CN"/>
        </w:rPr>
      </w:pPr>
      <w:r>
        <w:rPr>
          <w:rFonts w:hint="eastAsia" w:ascii="仿宋" w:hAnsi="仿宋" w:eastAsia="仿宋" w:cs="仿宋"/>
          <w:spacing w:val="5"/>
          <w:sz w:val="31"/>
          <w:szCs w:val="31"/>
          <w:lang w:val="en-US" w:eastAsia="zh-CN"/>
        </w:rPr>
        <w:t>2、由于决算公开表格中金额数值应当保留两位小数，公开数据为四舍五入计算结果，个别数据合计项与分项之和存在小数点后差额，特此说明。</w:t>
      </w:r>
    </w:p>
    <w:p w14:paraId="0128DD28">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7D5359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11C46F4">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一、财政拨款收入：</w:t>
      </w:r>
      <w:r>
        <w:rPr>
          <w:rFonts w:hint="eastAsia" w:ascii="仿宋" w:hAnsi="仿宋" w:eastAsia="仿宋" w:cs="仿宋"/>
          <w:spacing w:val="5"/>
          <w:sz w:val="31"/>
          <w:szCs w:val="31"/>
          <w:lang w:val="en-US" w:eastAsia="zh-CN"/>
        </w:rPr>
        <w:t>指单位从同级财政单位取得的财政预算资金。</w:t>
      </w:r>
    </w:p>
    <w:p w14:paraId="41E7DD2E">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二、事业收入：</w:t>
      </w:r>
      <w:r>
        <w:rPr>
          <w:rFonts w:hint="eastAsia" w:ascii="仿宋" w:hAnsi="仿宋" w:eastAsia="仿宋" w:cs="仿宋"/>
          <w:spacing w:val="5"/>
          <w:sz w:val="31"/>
          <w:szCs w:val="31"/>
          <w:lang w:val="en-US" w:eastAsia="zh-CN"/>
        </w:rPr>
        <w:t>指事业单位开展专业业务活动及辅助活动取得的收入。</w:t>
      </w:r>
    </w:p>
    <w:p w14:paraId="4B15412E">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三、经营收入：</w:t>
      </w:r>
      <w:r>
        <w:rPr>
          <w:rFonts w:hint="eastAsia" w:ascii="仿宋" w:hAnsi="仿宋" w:eastAsia="仿宋" w:cs="仿宋"/>
          <w:spacing w:val="5"/>
          <w:sz w:val="31"/>
          <w:szCs w:val="31"/>
          <w:lang w:val="en-US" w:eastAsia="zh-CN"/>
        </w:rPr>
        <w:t>指事业单位在专业业务活动及其辅助活动之外开展非独立核算经营活动取得的收入。</w:t>
      </w:r>
    </w:p>
    <w:p w14:paraId="79A787B8">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四、其他收入：</w:t>
      </w:r>
      <w:r>
        <w:rPr>
          <w:rFonts w:hint="eastAsia" w:ascii="仿宋" w:hAnsi="仿宋" w:eastAsia="仿宋" w:cs="仿宋"/>
          <w:spacing w:val="5"/>
          <w:sz w:val="31"/>
          <w:szCs w:val="31"/>
          <w:lang w:val="en-US" w:eastAsia="zh-CN"/>
        </w:rPr>
        <w:t>指单位取得的除上述收入以外的各项收入。主要是事业单位固定资产出租收入、存款利息收入等。</w:t>
      </w:r>
    </w:p>
    <w:p w14:paraId="05E94064">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五、使用非财政拨款结余（含专用结余）：</w:t>
      </w:r>
      <w:r>
        <w:rPr>
          <w:rFonts w:hint="eastAsia" w:ascii="仿宋" w:hAnsi="仿宋" w:eastAsia="仿宋" w:cs="仿宋"/>
          <w:spacing w:val="5"/>
          <w:sz w:val="31"/>
          <w:szCs w:val="31"/>
          <w:lang w:val="en-US" w:eastAsia="zh-CN"/>
        </w:rPr>
        <w:t>指事业单位按照预算管理要求使用非财政拨款结余弥补收支差额的金额，以及使用专用结余安排支出的金额。</w:t>
      </w:r>
    </w:p>
    <w:p w14:paraId="70017BD6">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六、年初结转和结余：</w:t>
      </w:r>
      <w:r>
        <w:rPr>
          <w:rFonts w:hint="eastAsia" w:ascii="仿宋" w:hAnsi="仿宋" w:eastAsia="仿宋" w:cs="仿宋"/>
          <w:spacing w:val="5"/>
          <w:sz w:val="31"/>
          <w:szCs w:val="31"/>
          <w:lang w:val="en-US" w:eastAsia="zh-CN"/>
        </w:rPr>
        <w:t>指单位以前年度尚未完成、结转到本年仍按原规定用途继续使用的资金，或项目已完成等产生的结余资金。</w:t>
      </w:r>
    </w:p>
    <w:p w14:paraId="03F7AAEF">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七、结余分配：</w:t>
      </w:r>
      <w:r>
        <w:rPr>
          <w:rFonts w:hint="eastAsia" w:ascii="仿宋" w:hAnsi="仿宋" w:eastAsia="仿宋" w:cs="仿宋"/>
          <w:spacing w:val="5"/>
          <w:sz w:val="31"/>
          <w:szCs w:val="31"/>
          <w:lang w:val="en-US" w:eastAsia="zh-CN"/>
        </w:rPr>
        <w:t>指事业单位按照会计制度规定缴纳的所得税、提取的专用结余以及转入非财政拨款结余的金额等。</w:t>
      </w:r>
    </w:p>
    <w:p w14:paraId="230FC6F8">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八、年末结转和结余：</w:t>
      </w:r>
      <w:r>
        <w:rPr>
          <w:rFonts w:hint="eastAsia" w:ascii="仿宋" w:hAnsi="仿宋" w:eastAsia="仿宋" w:cs="仿宋"/>
          <w:spacing w:val="5"/>
          <w:sz w:val="31"/>
          <w:szCs w:val="31"/>
          <w:lang w:val="en-US" w:eastAsia="zh-CN"/>
        </w:rPr>
        <w:t>指单位按有关规定结转到下年或以后年度继续使用的资金，或项目已完成等产生的结余资金。</w:t>
      </w:r>
    </w:p>
    <w:p w14:paraId="147CBE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hint="eastAsia" w:ascii="仿宋" w:hAnsi="仿宋" w:eastAsia="仿宋" w:cs="仿宋"/>
          <w:spacing w:val="5"/>
          <w:sz w:val="31"/>
          <w:szCs w:val="31"/>
          <w:lang w:val="en-US" w:eastAsia="zh-CN"/>
        </w:rPr>
        <w:t>指为保障机构正常运转、完成日常工作任务而发生的人员支出和公用支出。</w:t>
      </w:r>
    </w:p>
    <w:p w14:paraId="5BC494AD">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十、项目支出：</w:t>
      </w:r>
      <w:r>
        <w:rPr>
          <w:rFonts w:hint="eastAsia" w:ascii="仿宋" w:hAnsi="仿宋" w:eastAsia="仿宋" w:cs="仿宋"/>
          <w:spacing w:val="5"/>
          <w:sz w:val="31"/>
          <w:szCs w:val="31"/>
          <w:lang w:val="en-US" w:eastAsia="zh-CN"/>
        </w:rPr>
        <w:t>指在基本支出之外为完成特定行政任务和事业发展目标所发生的支出。</w:t>
      </w:r>
    </w:p>
    <w:p w14:paraId="69BAA3BE">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十一、经营支出 ：</w:t>
      </w:r>
      <w:r>
        <w:rPr>
          <w:rFonts w:hint="eastAsia" w:ascii="仿宋" w:hAnsi="仿宋" w:eastAsia="仿宋" w:cs="仿宋"/>
          <w:spacing w:val="5"/>
          <w:sz w:val="31"/>
          <w:szCs w:val="31"/>
          <w:lang w:val="en-US" w:eastAsia="zh-CN"/>
        </w:rPr>
        <w:t>指事业单位在专业业务活动及其辅助活动之外开展非独立核算经营活动发生的支出。</w:t>
      </w:r>
    </w:p>
    <w:p w14:paraId="534B4308">
      <w:pPr>
        <w:widowControl/>
        <w:spacing w:before="0" w:beforeLines="0" w:beforeAutospacing="0" w:after="0" w:afterLines="0" w:afterAutospacing="0" w:line="360" w:lineRule="auto"/>
        <w:ind w:firstLine="643" w:firstLineChars="200"/>
        <w:jc w:val="left"/>
        <w:rPr>
          <w:rFonts w:hint="eastAsia" w:ascii="Times New Roman" w:eastAsia="仿宋_GB2312"/>
          <w:b/>
          <w:sz w:val="32"/>
          <w:szCs w:val="32"/>
          <w:lang w:val="en-US" w:eastAsia="zh-CN"/>
        </w:rPr>
      </w:pPr>
      <w:r>
        <w:rPr>
          <w:rFonts w:ascii="Times New Roman" w:eastAsia="仿宋_GB2312"/>
          <w:b/>
          <w:sz w:val="32"/>
          <w:szCs w:val="32"/>
        </w:rPr>
        <w:t>十二、基本建设支出：</w:t>
      </w:r>
      <w:r>
        <w:rPr>
          <w:rFonts w:hint="eastAsia" w:ascii="仿宋" w:hAnsi="仿宋" w:eastAsia="仿宋" w:cs="仿宋"/>
          <w:spacing w:val="5"/>
          <w:sz w:val="31"/>
          <w:szCs w:val="31"/>
          <w:lang w:val="en-US" w:eastAsia="zh-CN"/>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E2929B5">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十三、其他资本性支出：</w:t>
      </w:r>
      <w:r>
        <w:rPr>
          <w:rFonts w:hint="eastAsia" w:ascii="仿宋" w:hAnsi="仿宋" w:eastAsia="仿宋" w:cs="仿宋"/>
          <w:spacing w:val="5"/>
          <w:sz w:val="31"/>
          <w:szCs w:val="31"/>
          <w:lang w:val="en-US" w:eastAsia="zh-CN"/>
        </w:rPr>
        <w:t>填列由各级非发展与改革部门集中安排的用于购置固定资产、战备性和应急性储备、土地和无形资产，以及购建基础设施、大型修缮和财政支持企业更新改造所发生的支出。</w:t>
      </w:r>
    </w:p>
    <w:p w14:paraId="45DDDEDD">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十四、“三公”经费：</w:t>
      </w:r>
      <w:r>
        <w:rPr>
          <w:rFonts w:hint="eastAsia" w:ascii="仿宋" w:hAnsi="仿宋" w:eastAsia="仿宋" w:cs="仿宋"/>
          <w:spacing w:val="5"/>
          <w:sz w:val="31"/>
          <w:szCs w:val="31"/>
          <w:lang w:val="en-US" w:eastAsia="zh-CN"/>
        </w:rPr>
        <w:t>指单位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5746CA6">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十五、其他交通费用：</w:t>
      </w:r>
      <w:r>
        <w:rPr>
          <w:rFonts w:hint="eastAsia" w:ascii="仿宋" w:hAnsi="仿宋" w:eastAsia="仿宋" w:cs="仿宋"/>
          <w:spacing w:val="5"/>
          <w:sz w:val="31"/>
          <w:szCs w:val="31"/>
          <w:lang w:val="en-US" w:eastAsia="zh-CN"/>
        </w:rPr>
        <w:t>填列单位除公务用车运行维护费以外的其他交通费用。如公务交通补贴、租车费用、出租车费用，飞机、船舶等燃料费、维修费、保险费等。</w:t>
      </w:r>
    </w:p>
    <w:p w14:paraId="5F9F22BE">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十六、公务用车购置：</w:t>
      </w:r>
      <w:r>
        <w:rPr>
          <w:rFonts w:hint="eastAsia" w:ascii="仿宋" w:hAnsi="仿宋" w:eastAsia="仿宋" w:cs="仿宋"/>
          <w:spacing w:val="5"/>
          <w:sz w:val="31"/>
          <w:szCs w:val="31"/>
          <w:lang w:val="en-US" w:eastAsia="zh-CN"/>
        </w:rPr>
        <w:t>填列单位公务用车车辆购置支出（含车辆购置税、牌照费）。</w:t>
      </w:r>
    </w:p>
    <w:p w14:paraId="799100CD">
      <w:pPr>
        <w:widowControl/>
        <w:spacing w:before="0" w:beforeLines="0" w:beforeAutospacing="0" w:after="0" w:afterLines="0" w:afterAutospacing="0" w:line="360" w:lineRule="auto"/>
        <w:ind w:firstLine="643" w:firstLineChars="200"/>
        <w:jc w:val="left"/>
        <w:rPr>
          <w:rFonts w:hint="eastAsia" w:ascii="仿宋" w:hAnsi="仿宋" w:eastAsia="仿宋" w:cs="仿宋"/>
          <w:spacing w:val="5"/>
          <w:sz w:val="31"/>
          <w:szCs w:val="31"/>
          <w:lang w:val="en-US" w:eastAsia="zh-CN"/>
        </w:rPr>
      </w:pPr>
      <w:r>
        <w:rPr>
          <w:rFonts w:ascii="Times New Roman" w:eastAsia="仿宋_GB2312"/>
          <w:b/>
          <w:sz w:val="32"/>
          <w:szCs w:val="32"/>
        </w:rPr>
        <w:t>十七、其他交通工具购置：</w:t>
      </w:r>
      <w:r>
        <w:rPr>
          <w:rFonts w:hint="eastAsia" w:ascii="仿宋" w:hAnsi="仿宋" w:eastAsia="仿宋" w:cs="仿宋"/>
          <w:spacing w:val="5"/>
          <w:sz w:val="31"/>
          <w:szCs w:val="31"/>
          <w:lang w:val="en-US" w:eastAsia="zh-CN"/>
        </w:rPr>
        <w:t>填列单位除公务用车外的其他各类交通工具（如船舶、飞机等）购置支出（含车辆购置税、牌照费）。</w:t>
      </w:r>
    </w:p>
    <w:p w14:paraId="58621D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hint="eastAsia" w:ascii="仿宋" w:hAnsi="仿宋" w:eastAsia="仿宋" w:cs="仿宋"/>
          <w:spacing w:val="5"/>
          <w:sz w:val="31"/>
          <w:szCs w:val="31"/>
          <w:lang w:val="en-US" w:eastAsia="zh-CN"/>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r>
        <w:rPr>
          <w:rFonts w:ascii="Times New Roman" w:eastAsia="仿宋_GB2312"/>
          <w:b w:val="0"/>
          <w:sz w:val="32"/>
          <w:szCs w:val="32"/>
        </w:rPr>
        <w:t>。</w:t>
      </w:r>
    </w:p>
    <w:sectPr>
      <w:footerReference r:id="rId10"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920AD5F-7B25-4FF9-B12E-49D8F66CE2E9}"/>
  </w:font>
  <w:font w:name="黑体">
    <w:panose1 w:val="02010609060101010101"/>
    <w:charset w:val="86"/>
    <w:family w:val="auto"/>
    <w:pitch w:val="default"/>
    <w:sig w:usb0="800002BF" w:usb1="38CF7CFA" w:usb2="00000016" w:usb3="00000000" w:csb0="00040001" w:csb1="00000000"/>
    <w:embedRegular r:id="rId2" w:fontKey="{2B1AE3F2-AC1C-49B9-BA00-D7AD2618E71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A8E09562-290F-4A85-984D-7C8EFD1EEE3A}"/>
  </w:font>
  <w:font w:name="仿宋">
    <w:panose1 w:val="02010609060101010101"/>
    <w:charset w:val="86"/>
    <w:family w:val="modern"/>
    <w:pitch w:val="default"/>
    <w:sig w:usb0="800002BF" w:usb1="38CF7CFA" w:usb2="00000016" w:usb3="00000000" w:csb0="00040001" w:csb1="00000000"/>
    <w:embedRegular r:id="rId4" w:fontKey="{F27669AF-72B6-42E1-B8DB-9A7D1B99C07E}"/>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0BE8B3B-0BC5-4356-B019-F60C1640A6B9}"/>
  </w:font>
  <w:font w:name="方正小标宋_GBK">
    <w:panose1 w:val="02000000000000000000"/>
    <w:charset w:val="86"/>
    <w:family w:val="script"/>
    <w:pitch w:val="default"/>
    <w:sig w:usb0="A00002BF" w:usb1="38CF7CFA" w:usb2="00082016" w:usb3="00000000" w:csb0="00040001" w:csb1="00000000"/>
    <w:embedRegular r:id="rId6" w:fontKey="{F6F997ED-5381-47AF-A46E-CC4E0790498C}"/>
  </w:font>
  <w:font w:name="楷体">
    <w:panose1 w:val="02010609060101010101"/>
    <w:charset w:val="86"/>
    <w:family w:val="auto"/>
    <w:pitch w:val="default"/>
    <w:sig w:usb0="800002BF" w:usb1="38CF7CFA" w:usb2="00000016" w:usb3="00000000" w:csb0="00040001" w:csb1="00000000"/>
    <w:embedRegular r:id="rId7" w:fontKey="{78384974-7787-4998-9BB5-247586C4FF0A}"/>
  </w:font>
  <w:font w:name="仿宋_GB2312">
    <w:panose1 w:val="02010609030101010101"/>
    <w:charset w:val="86"/>
    <w:family w:val="auto"/>
    <w:pitch w:val="default"/>
    <w:sig w:usb0="00000001" w:usb1="080E0000" w:usb2="00000000" w:usb3="00000000" w:csb0="00040000" w:csb1="00000000"/>
    <w:embedRegular r:id="rId8" w:fontKey="{C6980381-DB30-4E0D-BFBB-0660CB752B6D}"/>
  </w:font>
  <w:font w:name="方正仿宋_GB2312">
    <w:panose1 w:val="02000000000000000000"/>
    <w:charset w:val="86"/>
    <w:family w:val="auto"/>
    <w:pitch w:val="default"/>
    <w:sig w:usb0="A00002BF" w:usb1="184F6CFA" w:usb2="00000012" w:usb3="00000000" w:csb0="00040001" w:csb1="00000000"/>
    <w:embedRegular r:id="rId9" w:fontKey="{F1E93FEE-33BF-481E-B229-2D5910A8B802}"/>
  </w:font>
  <w:font w:name="ArialUnicodeMS">
    <w:altName w:val="Malgun Gothic"/>
    <w:panose1 w:val="00000000000000000000"/>
    <w:charset w:val="81"/>
    <w:family w:val="auto"/>
    <w:pitch w:val="default"/>
    <w:sig w:usb0="00000000" w:usb1="00000000" w:usb2="00000010" w:usb3="00000000" w:csb0="00080001" w:csb1="00000000"/>
    <w:embedRegular r:id="rId10" w:fontKey="{D54975DC-35BF-4CD0-A75E-6457797D4944}"/>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D3075">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1B5C1">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1763F">
    <w:pPr>
      <w:jc w:val="center"/>
    </w:pPr>
    <w:r>
      <w:fldChar w:fldCharType="begin"/>
    </w:r>
    <w:r>
      <w:instrText xml:space="preserve">PAGE</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F093C">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126AB0"/>
    <w:multiLevelType w:val="singleLevel"/>
    <w:tmpl w:val="04126AB0"/>
    <w:lvl w:ilvl="0" w:tentative="0">
      <w:start w:val="2"/>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QsImhkaWQiOiIyZDEwZmRlNGZhMGNkOGE2ZTEyOTNlOGU5YmJkNWM3ZCIsInVzZXJDb3VudCI6N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450DD3"/>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0EC72BE"/>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48600C"/>
    <w:rsid w:val="73617E1B"/>
    <w:rsid w:val="736D7653"/>
    <w:rsid w:val="738035CB"/>
    <w:rsid w:val="73852C46"/>
    <w:rsid w:val="7396335C"/>
    <w:rsid w:val="73F46595"/>
    <w:rsid w:val="73F47FAE"/>
    <w:rsid w:val="74283FA2"/>
    <w:rsid w:val="742C135B"/>
    <w:rsid w:val="74463733"/>
    <w:rsid w:val="748A2F40"/>
    <w:rsid w:val="74D84FF7"/>
    <w:rsid w:val="74F85778"/>
    <w:rsid w:val="75272439"/>
    <w:rsid w:val="7538248B"/>
    <w:rsid w:val="758F1E9B"/>
    <w:rsid w:val="75CE266B"/>
    <w:rsid w:val="76120141"/>
    <w:rsid w:val="768216BE"/>
    <w:rsid w:val="76C23B43"/>
    <w:rsid w:val="76FD6F97"/>
    <w:rsid w:val="770218E8"/>
    <w:rsid w:val="77826737"/>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99"/>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1353.52</c:v>
                </c:pt>
                <c:pt idx="1">
                  <c:v>1089.19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10891936.51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6373763.22</c:v>
                </c:pt>
                <c:pt idx="1">
                  <c:v>4518173.29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1353.52</c:v>
                </c:pt>
                <c:pt idx="1">
                  <c:v>1353.52</c:v>
                </c:pt>
                <c:pt idx="2">
                  <c:v>1353.52</c:v>
                </c:pt>
                <c:pt idx="3">
                  <c:v>1353.52</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1089.19</c:v>
                </c:pt>
                <c:pt idx="1">
                  <c:v>1089.19</c:v>
                </c:pt>
                <c:pt idx="2">
                  <c:v>1089.19</c:v>
                </c:pt>
                <c:pt idx="3">
                  <c:v>1089.19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1251.02</c:v>
                </c:pt>
                <c:pt idx="1">
                  <c:v>1251.02</c:v>
                </c:pt>
                <c:pt idx="2">
                  <c:v>1251.02</c:v>
                </c:pt>
                <c:pt idx="3">
                  <c:v>1251.02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1089.19</c:v>
                </c:pt>
                <c:pt idx="1">
                  <c:v>1089.19</c:v>
                </c:pt>
                <c:pt idx="2">
                  <c:v>1089.19</c:v>
                </c:pt>
                <c:pt idx="3">
                  <c:v>1089.19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688.9</c:v>
                </c:pt>
                <c:pt idx="1">
                  <c:v>0</c:v>
                </c:pt>
                <c:pt idx="2">
                  <c:v>0</c:v>
                </c:pt>
                <c:pt idx="3">
                  <c:v>0</c:v>
                </c:pt>
                <c:pt idx="4">
                  <c:v>0</c:v>
                </c:pt>
                <c:pt idx="5">
                  <c:v>0</c:v>
                </c:pt>
                <c:pt idx="6">
                  <c:v>0</c:v>
                </c:pt>
                <c:pt idx="7">
                  <c:v>45.24</c:v>
                </c:pt>
                <c:pt idx="8">
                  <c:v>14.69</c:v>
                </c:pt>
                <c:pt idx="9">
                  <c:v>0</c:v>
                </c:pt>
                <c:pt idx="10">
                  <c:v>0</c:v>
                </c:pt>
                <c:pt idx="11">
                  <c:v>309.62</c:v>
                </c:pt>
                <c:pt idx="12">
                  <c:v>0</c:v>
                </c:pt>
                <c:pt idx="13">
                  <c:v>0</c:v>
                </c:pt>
                <c:pt idx="14">
                  <c:v>0</c:v>
                </c:pt>
                <c:pt idx="15">
                  <c:v>0</c:v>
                </c:pt>
                <c:pt idx="16">
                  <c:v>0</c:v>
                </c:pt>
                <c:pt idx="17">
                  <c:v>0</c:v>
                </c:pt>
                <c:pt idx="18">
                  <c:v>30.75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3944</Words>
  <Characters>4734</Characters>
  <Lines>86</Lines>
  <Paragraphs>24</Paragraphs>
  <TotalTime>0</TotalTime>
  <ScaleCrop>false</ScaleCrop>
  <LinksUpToDate>false</LinksUpToDate>
  <CharactersWithSpaces>5066</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等风 .</cp:lastModifiedBy>
  <cp:lastPrinted>2023-08-04T01:00:00Z</cp:lastPrinted>
  <dcterms:modified xsi:type="dcterms:W3CDTF">2025-09-26T04:00:42Z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