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bookmarkStart w:id="0" w:name="_GoBack"/>
      <w:bookmarkEnd w:id="0"/>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840</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：行唐县上方镇人民政府</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035EE3FE">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行唐县上方镇人民政府</w:t>
      </w:r>
    </w:p>
    <w:p w14:paraId="4BF15832">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4DF076D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行唐县上方镇人民政府(单位名称，加盖公章）</w:t>
      </w:r>
    </w:p>
    <w:p w14:paraId="441C53F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65A1965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4517E52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eastAsia="zh-CN"/>
        </w:rPr>
        <w:t>单位</w:t>
      </w:r>
      <w:r>
        <w:rPr>
          <w:rFonts w:ascii="Times New Roman" w:eastAsia="黑体"/>
          <w:b w:val="0"/>
          <w:sz w:val="32"/>
          <w:szCs w:val="32"/>
        </w:rPr>
        <w:t>概况</w:t>
      </w:r>
    </w:p>
    <w:p w14:paraId="129321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单位</w:t>
      </w:r>
      <w:r>
        <w:rPr>
          <w:rFonts w:ascii="Times New Roman" w:eastAsia="仿宋_GB2312"/>
          <w:b w:val="0"/>
          <w:sz w:val="32"/>
          <w:szCs w:val="32"/>
        </w:rPr>
        <w:t>职责</w:t>
      </w:r>
    </w:p>
    <w:p w14:paraId="2B8FC9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15E1C96">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7C089F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207FA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6FF12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75DAE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4A303E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17D45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3340F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B8CDA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402B6C8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1C829B4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24C61F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AF03D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C0BB1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74A163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FE129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5158F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2011B9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2893A3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685F86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9BFB9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688605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A6368A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eastAsia="zh-CN"/>
        </w:rPr>
        <w:t>单位</w:t>
      </w:r>
      <w:r>
        <w:rPr>
          <w:rFonts w:ascii="Times New Roman" w:eastAsia="黑体"/>
          <w:b w:val="0"/>
          <w:sz w:val="44"/>
          <w:szCs w:val="44"/>
        </w:rPr>
        <w:t>概况</w:t>
      </w:r>
    </w:p>
    <w:p w14:paraId="7F522D9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单位</w:t>
      </w:r>
      <w:r>
        <w:rPr>
          <w:rFonts w:ascii="Times New Roman" w:eastAsia="黑体"/>
          <w:b w:val="0"/>
          <w:sz w:val="32"/>
          <w:szCs w:val="32"/>
        </w:rPr>
        <w:t>职责</w:t>
      </w:r>
    </w:p>
    <w:p w14:paraId="14C6C27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 1.党政综合办公室</w:t>
      </w:r>
    </w:p>
    <w:p w14:paraId="427C7AA4">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负责机关日常工作的综合协调和督促检查；负责机关文电、值班、会务、机要、保密、档案、党务政务公开、对外联络、后勤保障等日常运转工作；负责机关和所属</w:t>
      </w:r>
      <w:r>
        <w:rPr>
          <w:rFonts w:hint="eastAsia" w:ascii="Times New Roman" w:eastAsia="仿宋_GB2312"/>
          <w:sz w:val="32"/>
          <w:szCs w:val="32"/>
          <w:lang w:eastAsia="zh-CN"/>
        </w:rPr>
        <w:t>单位</w:t>
      </w:r>
      <w:r>
        <w:rPr>
          <w:rFonts w:hint="eastAsia" w:ascii="Times New Roman" w:eastAsia="仿宋_GB2312"/>
          <w:sz w:val="32"/>
          <w:szCs w:val="32"/>
        </w:rPr>
        <w:t>财务及国有资产管理等工作。</w:t>
      </w:r>
    </w:p>
    <w:p w14:paraId="7BE6246B">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2.党建工作办公室（挂人大主席团办公室牌子）</w:t>
      </w:r>
    </w:p>
    <w:p w14:paraId="0DA1B5F7">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6970264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3.社会治理和应急管理管理办公室（挂综合指挥和信息化网络中心牌子）</w:t>
      </w:r>
    </w:p>
    <w:p w14:paraId="1E406CB6">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w:t>
      </w:r>
      <w:r>
        <w:rPr>
          <w:rFonts w:hint="eastAsia" w:ascii="Times New Roman" w:eastAsia="仿宋_GB2312"/>
          <w:sz w:val="32"/>
          <w:szCs w:val="32"/>
          <w:lang w:eastAsia="zh-CN"/>
        </w:rPr>
        <w:t>单位</w:t>
      </w:r>
      <w:r>
        <w:rPr>
          <w:rFonts w:hint="eastAsia" w:ascii="Times New Roman" w:eastAsia="仿宋_GB2312"/>
          <w:sz w:val="32"/>
          <w:szCs w:val="32"/>
        </w:rPr>
        <w:t>安全生产状况的监督检查等工作。</w:t>
      </w:r>
    </w:p>
    <w:p w14:paraId="262E01CE">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4.自然资源和生态环境办公室</w:t>
      </w:r>
    </w:p>
    <w:p w14:paraId="3626F0F3">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72DDF34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5.综合行政执法队</w:t>
      </w:r>
    </w:p>
    <w:p w14:paraId="68D46831">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根据有关法律法规和上级</w:t>
      </w:r>
      <w:r>
        <w:rPr>
          <w:rFonts w:hint="eastAsia" w:ascii="Times New Roman" w:eastAsia="仿宋_GB2312"/>
          <w:sz w:val="32"/>
          <w:szCs w:val="32"/>
          <w:lang w:eastAsia="zh-CN"/>
        </w:rPr>
        <w:t>单位</w:t>
      </w:r>
      <w:r>
        <w:rPr>
          <w:rFonts w:hint="eastAsia" w:ascii="Times New Roman" w:eastAsia="仿宋_GB2312"/>
          <w:sz w:val="32"/>
          <w:szCs w:val="32"/>
        </w:rPr>
        <w:t>授权、委托、承担城镇建设、生态环境、文化市场、农业农村，安全生产、民族宗教等领域行政执法工作。</w:t>
      </w:r>
    </w:p>
    <w:p w14:paraId="6135DCD1">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6.行政综合服务中心（挂综合文化服务站、财政所牌子）</w:t>
      </w:r>
    </w:p>
    <w:p w14:paraId="3CECE6AA">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负责行政审批服务事项的受理、办理工作，提供政策和业务咨询；指导村（社区）便民服务点建设等。</w:t>
      </w:r>
    </w:p>
    <w:p w14:paraId="0BE74E54">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7.农业综合服务中心（挂经济发展办公室牌子）</w:t>
      </w:r>
    </w:p>
    <w:p w14:paraId="2AD26A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负责农业、畜牧、林业水利、农机等技术推广和服务工作，负责农产品质量安全监管工作，负责指导农业生产、技术培训和信息咨询服务；负责动植物病害及灾情的预报、防治、处置；负责指导新农村建设、镇村振兴、农村经济发展、农村体制改革、农村土地承包、扶贫开发、水土保持和综合治理等工作，负责农村环境卫生工作、负责村级资金核拨和监督管理。</w:t>
      </w:r>
    </w:p>
    <w:p w14:paraId="4E1B045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997DB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行唐县上方镇人民政府（本级）</w:t>
            </w:r>
          </w:p>
        </w:tc>
        <w:tc>
          <w:tcPr>
            <w:tcW w:w="2445" w:type="dxa"/>
          </w:tcPr>
          <w:p w14:paraId="2E443189">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rPr>
              <w:t>行政</w:t>
            </w:r>
            <w:r>
              <w:rPr>
                <w:rFonts w:hint="eastAsia" w:ascii="仿宋_GB2312" w:hAnsi="Calibri" w:eastAsia="仿宋_GB2312" w:cs="ArialUnicodeMS"/>
                <w:kern w:val="0"/>
                <w:sz w:val="28"/>
                <w:szCs w:val="28"/>
                <w:lang w:eastAsia="zh-CN"/>
              </w:rPr>
              <w:t>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EDA7DA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单位（单位）：行唐县上方镇人民政府</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770.17</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55.08</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25.05</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480.25</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382.16</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34.91</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单位（单位）：行唐县上方镇人民政府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1,747.62</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1,747.62</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770.17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770.17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C0C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1D59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6DD496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7B7B79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770.17</w:t>
            </w:r>
          </w:p>
        </w:tc>
        <w:tc>
          <w:tcPr>
            <w:tcW w:w="1037" w:type="dxa"/>
            <w:tcBorders>
              <w:top w:val="nil"/>
              <w:left w:val="nil"/>
              <w:bottom w:val="single" w:color="000000" w:sz="4" w:space="0"/>
              <w:right w:val="single" w:color="000000" w:sz="4" w:space="0"/>
            </w:tcBorders>
            <w:noWrap/>
            <w:vAlign w:val="center"/>
          </w:tcPr>
          <w:p w14:paraId="72FFDE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770.17</w:t>
            </w:r>
          </w:p>
        </w:tc>
        <w:tc>
          <w:tcPr>
            <w:tcW w:w="1037" w:type="dxa"/>
            <w:tcBorders>
              <w:top w:val="nil"/>
              <w:left w:val="nil"/>
              <w:bottom w:val="single" w:color="000000" w:sz="4" w:space="0"/>
              <w:right w:val="single" w:color="000000" w:sz="4" w:space="0"/>
            </w:tcBorders>
            <w:noWrap/>
            <w:vAlign w:val="center"/>
          </w:tcPr>
          <w:p w14:paraId="025866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7141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547E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D3CD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1D1C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2A7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412D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559F43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52FFED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666.17</w:t>
            </w:r>
          </w:p>
        </w:tc>
        <w:tc>
          <w:tcPr>
            <w:tcW w:w="1037" w:type="dxa"/>
            <w:tcBorders>
              <w:top w:val="nil"/>
              <w:left w:val="nil"/>
              <w:bottom w:val="single" w:color="000000" w:sz="4" w:space="0"/>
              <w:right w:val="single" w:color="000000" w:sz="4" w:space="0"/>
            </w:tcBorders>
            <w:noWrap/>
            <w:vAlign w:val="center"/>
          </w:tcPr>
          <w:p w14:paraId="4EA0BE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666.17</w:t>
            </w:r>
          </w:p>
        </w:tc>
        <w:tc>
          <w:tcPr>
            <w:tcW w:w="1037" w:type="dxa"/>
            <w:tcBorders>
              <w:top w:val="nil"/>
              <w:left w:val="nil"/>
              <w:bottom w:val="single" w:color="000000" w:sz="4" w:space="0"/>
              <w:right w:val="single" w:color="000000" w:sz="4" w:space="0"/>
            </w:tcBorders>
            <w:noWrap/>
            <w:vAlign w:val="center"/>
          </w:tcPr>
          <w:p w14:paraId="570A98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A17F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8124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431B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B975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F60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AB22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50C7EB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F8997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104.00</w:t>
            </w:r>
          </w:p>
        </w:tc>
        <w:tc>
          <w:tcPr>
            <w:tcW w:w="1037" w:type="dxa"/>
            <w:tcBorders>
              <w:top w:val="nil"/>
              <w:left w:val="nil"/>
              <w:bottom w:val="single" w:color="000000" w:sz="4" w:space="0"/>
              <w:right w:val="single" w:color="000000" w:sz="4" w:space="0"/>
            </w:tcBorders>
            <w:noWrap/>
            <w:vAlign w:val="center"/>
          </w:tcPr>
          <w:p w14:paraId="12022B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104.00</w:t>
            </w:r>
          </w:p>
        </w:tc>
        <w:tc>
          <w:tcPr>
            <w:tcW w:w="1037" w:type="dxa"/>
            <w:tcBorders>
              <w:top w:val="nil"/>
              <w:left w:val="nil"/>
              <w:bottom w:val="single" w:color="000000" w:sz="4" w:space="0"/>
              <w:right w:val="single" w:color="000000" w:sz="4" w:space="0"/>
            </w:tcBorders>
            <w:noWrap/>
            <w:vAlign w:val="center"/>
          </w:tcPr>
          <w:p w14:paraId="38C74C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00F9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783A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1D12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97F0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7AB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DC45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00230B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512997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55.08</w:t>
            </w:r>
          </w:p>
        </w:tc>
        <w:tc>
          <w:tcPr>
            <w:tcW w:w="1037" w:type="dxa"/>
            <w:tcBorders>
              <w:top w:val="nil"/>
              <w:left w:val="nil"/>
              <w:bottom w:val="single" w:color="000000" w:sz="4" w:space="0"/>
              <w:right w:val="single" w:color="000000" w:sz="4" w:space="0"/>
            </w:tcBorders>
            <w:noWrap/>
            <w:vAlign w:val="center"/>
          </w:tcPr>
          <w:p w14:paraId="541143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55.08</w:t>
            </w:r>
          </w:p>
        </w:tc>
        <w:tc>
          <w:tcPr>
            <w:tcW w:w="1037" w:type="dxa"/>
            <w:tcBorders>
              <w:top w:val="nil"/>
              <w:left w:val="nil"/>
              <w:bottom w:val="single" w:color="000000" w:sz="4" w:space="0"/>
              <w:right w:val="single" w:color="000000" w:sz="4" w:space="0"/>
            </w:tcBorders>
            <w:noWrap/>
            <w:vAlign w:val="center"/>
          </w:tcPr>
          <w:p w14:paraId="42CB60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9488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0547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13FE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1CDC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844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DE39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A1BC6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68804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53.22</w:t>
            </w:r>
          </w:p>
        </w:tc>
        <w:tc>
          <w:tcPr>
            <w:tcW w:w="1037" w:type="dxa"/>
            <w:tcBorders>
              <w:top w:val="nil"/>
              <w:left w:val="nil"/>
              <w:bottom w:val="single" w:color="000000" w:sz="4" w:space="0"/>
              <w:right w:val="single" w:color="000000" w:sz="4" w:space="0"/>
            </w:tcBorders>
            <w:noWrap/>
            <w:vAlign w:val="center"/>
          </w:tcPr>
          <w:p w14:paraId="37F92C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53.22</w:t>
            </w:r>
          </w:p>
        </w:tc>
        <w:tc>
          <w:tcPr>
            <w:tcW w:w="1037" w:type="dxa"/>
            <w:tcBorders>
              <w:top w:val="nil"/>
              <w:left w:val="nil"/>
              <w:bottom w:val="single" w:color="000000" w:sz="4" w:space="0"/>
              <w:right w:val="single" w:color="000000" w:sz="4" w:space="0"/>
            </w:tcBorders>
            <w:noWrap/>
            <w:vAlign w:val="center"/>
          </w:tcPr>
          <w:p w14:paraId="336D49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219B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4869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E5AB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01DA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A3F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8725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53F597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62A55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51.60</w:t>
            </w:r>
          </w:p>
        </w:tc>
        <w:tc>
          <w:tcPr>
            <w:tcW w:w="1037" w:type="dxa"/>
            <w:tcBorders>
              <w:top w:val="nil"/>
              <w:left w:val="nil"/>
              <w:bottom w:val="single" w:color="000000" w:sz="4" w:space="0"/>
              <w:right w:val="single" w:color="000000" w:sz="4" w:space="0"/>
            </w:tcBorders>
            <w:noWrap/>
            <w:vAlign w:val="center"/>
          </w:tcPr>
          <w:p w14:paraId="6CC777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51.60</w:t>
            </w:r>
          </w:p>
        </w:tc>
        <w:tc>
          <w:tcPr>
            <w:tcW w:w="1037" w:type="dxa"/>
            <w:tcBorders>
              <w:top w:val="nil"/>
              <w:left w:val="nil"/>
              <w:bottom w:val="single" w:color="000000" w:sz="4" w:space="0"/>
              <w:right w:val="single" w:color="000000" w:sz="4" w:space="0"/>
            </w:tcBorders>
            <w:noWrap/>
            <w:vAlign w:val="center"/>
          </w:tcPr>
          <w:p w14:paraId="4F2114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24DB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BC53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BBCF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DC14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7A1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F4C4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4506BF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066B45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w:t>
            </w:r>
          </w:p>
        </w:tc>
        <w:tc>
          <w:tcPr>
            <w:tcW w:w="1037" w:type="dxa"/>
            <w:tcBorders>
              <w:top w:val="nil"/>
              <w:left w:val="nil"/>
              <w:bottom w:val="single" w:color="000000" w:sz="4" w:space="0"/>
              <w:right w:val="single" w:color="000000" w:sz="4" w:space="0"/>
            </w:tcBorders>
            <w:noWrap/>
            <w:vAlign w:val="center"/>
          </w:tcPr>
          <w:p w14:paraId="749528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w:t>
            </w:r>
          </w:p>
        </w:tc>
        <w:tc>
          <w:tcPr>
            <w:tcW w:w="1037" w:type="dxa"/>
            <w:tcBorders>
              <w:top w:val="nil"/>
              <w:left w:val="nil"/>
              <w:bottom w:val="single" w:color="000000" w:sz="4" w:space="0"/>
              <w:right w:val="single" w:color="000000" w:sz="4" w:space="0"/>
            </w:tcBorders>
            <w:noWrap/>
            <w:vAlign w:val="center"/>
          </w:tcPr>
          <w:p w14:paraId="281A9F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25A7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A172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EAB3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A668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666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3AB9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6D41B2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4CF480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w:t>
            </w:r>
          </w:p>
        </w:tc>
        <w:tc>
          <w:tcPr>
            <w:tcW w:w="1037" w:type="dxa"/>
            <w:tcBorders>
              <w:top w:val="nil"/>
              <w:left w:val="nil"/>
              <w:bottom w:val="single" w:color="000000" w:sz="4" w:space="0"/>
              <w:right w:val="single" w:color="000000" w:sz="4" w:space="0"/>
            </w:tcBorders>
            <w:noWrap/>
            <w:vAlign w:val="center"/>
          </w:tcPr>
          <w:p w14:paraId="43F5D1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w:t>
            </w:r>
          </w:p>
        </w:tc>
        <w:tc>
          <w:tcPr>
            <w:tcW w:w="1037" w:type="dxa"/>
            <w:tcBorders>
              <w:top w:val="nil"/>
              <w:left w:val="nil"/>
              <w:bottom w:val="single" w:color="000000" w:sz="4" w:space="0"/>
              <w:right w:val="single" w:color="000000" w:sz="4" w:space="0"/>
            </w:tcBorders>
            <w:noWrap/>
            <w:vAlign w:val="center"/>
          </w:tcPr>
          <w:p w14:paraId="350271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52DC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76C3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ADBE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C8DB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A1B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F992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6E64E0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69E3D0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0.69</w:t>
            </w:r>
          </w:p>
        </w:tc>
        <w:tc>
          <w:tcPr>
            <w:tcW w:w="1037" w:type="dxa"/>
            <w:tcBorders>
              <w:top w:val="nil"/>
              <w:left w:val="nil"/>
              <w:bottom w:val="single" w:color="000000" w:sz="4" w:space="0"/>
              <w:right w:val="single" w:color="000000" w:sz="4" w:space="0"/>
            </w:tcBorders>
            <w:noWrap/>
            <w:vAlign w:val="center"/>
          </w:tcPr>
          <w:p w14:paraId="38609F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0.69</w:t>
            </w:r>
          </w:p>
        </w:tc>
        <w:tc>
          <w:tcPr>
            <w:tcW w:w="1037" w:type="dxa"/>
            <w:tcBorders>
              <w:top w:val="nil"/>
              <w:left w:val="nil"/>
              <w:bottom w:val="single" w:color="000000" w:sz="4" w:space="0"/>
              <w:right w:val="single" w:color="000000" w:sz="4" w:space="0"/>
            </w:tcBorders>
            <w:noWrap/>
            <w:vAlign w:val="center"/>
          </w:tcPr>
          <w:p w14:paraId="32CD23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59C2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264C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2F2F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D061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5FC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8986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28804F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6F2F55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w:t>
            </w:r>
          </w:p>
        </w:tc>
        <w:tc>
          <w:tcPr>
            <w:tcW w:w="1037" w:type="dxa"/>
            <w:tcBorders>
              <w:top w:val="nil"/>
              <w:left w:val="nil"/>
              <w:bottom w:val="single" w:color="000000" w:sz="4" w:space="0"/>
              <w:right w:val="single" w:color="000000" w:sz="4" w:space="0"/>
            </w:tcBorders>
            <w:noWrap/>
            <w:vAlign w:val="center"/>
          </w:tcPr>
          <w:p w14:paraId="1B6A05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w:t>
            </w:r>
          </w:p>
        </w:tc>
        <w:tc>
          <w:tcPr>
            <w:tcW w:w="1037" w:type="dxa"/>
            <w:tcBorders>
              <w:top w:val="nil"/>
              <w:left w:val="nil"/>
              <w:bottom w:val="single" w:color="000000" w:sz="4" w:space="0"/>
              <w:right w:val="single" w:color="000000" w:sz="4" w:space="0"/>
            </w:tcBorders>
            <w:noWrap/>
            <w:vAlign w:val="center"/>
          </w:tcPr>
          <w:p w14:paraId="28A20D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A951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3B41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EA23A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3690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CB2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6F06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FA365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2DF338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031C9D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44D741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6ED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A7CB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A068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A6C9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5BF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2894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44C3DC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6E3BD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422D1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489C06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C006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4EEC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209D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0E7A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373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F656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70F4F3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36D790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470ED3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25.05</w:t>
            </w:r>
          </w:p>
        </w:tc>
        <w:tc>
          <w:tcPr>
            <w:tcW w:w="1037" w:type="dxa"/>
            <w:tcBorders>
              <w:top w:val="nil"/>
              <w:left w:val="nil"/>
              <w:bottom w:val="single" w:color="000000" w:sz="4" w:space="0"/>
              <w:right w:val="single" w:color="000000" w:sz="4" w:space="0"/>
            </w:tcBorders>
            <w:noWrap/>
            <w:vAlign w:val="center"/>
          </w:tcPr>
          <w:p w14:paraId="193285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9DD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719E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3A52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1154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4A5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797D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3BCDC6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0064FC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749051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42838E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EF7B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4CE4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5DC7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3360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F09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6A2E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44C30C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4A4EAA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2F574A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3B18D4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6080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9454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C650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CD70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E54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C90B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1558A8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5F06C8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4118EB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480.25</w:t>
            </w:r>
          </w:p>
        </w:tc>
        <w:tc>
          <w:tcPr>
            <w:tcW w:w="1037" w:type="dxa"/>
            <w:tcBorders>
              <w:top w:val="nil"/>
              <w:left w:val="nil"/>
              <w:bottom w:val="single" w:color="000000" w:sz="4" w:space="0"/>
              <w:right w:val="single" w:color="000000" w:sz="4" w:space="0"/>
            </w:tcBorders>
            <w:noWrap/>
            <w:vAlign w:val="center"/>
          </w:tcPr>
          <w:p w14:paraId="0BDF29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D8F6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A9F6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D0A5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F42E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6F9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F84C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53D48D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6BA8C2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717367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579F2C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8D11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3D65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5D5D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0EFD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6C2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8427A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44203D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2A6F07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4C71D8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7FFE9E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7D28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A8EC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B5DC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D123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A44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4C3A4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405068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3AFD1F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3003A9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382.16</w:t>
            </w:r>
          </w:p>
        </w:tc>
        <w:tc>
          <w:tcPr>
            <w:tcW w:w="1037" w:type="dxa"/>
            <w:tcBorders>
              <w:top w:val="nil"/>
              <w:left w:val="nil"/>
              <w:bottom w:val="single" w:color="000000" w:sz="4" w:space="0"/>
              <w:right w:val="single" w:color="000000" w:sz="4" w:space="0"/>
            </w:tcBorders>
            <w:noWrap/>
            <w:vAlign w:val="center"/>
          </w:tcPr>
          <w:p w14:paraId="6A05B1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05CF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8FF7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09324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CA4A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1A5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5601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5C883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C112B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66A404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485837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0D57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6960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FF2E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016C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89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4478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0217E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5E9A6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31282E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031154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6375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DE68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A5E3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A1C9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010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227D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66E615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31A7C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2649BC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34.91</w:t>
            </w:r>
          </w:p>
        </w:tc>
        <w:tc>
          <w:tcPr>
            <w:tcW w:w="1037" w:type="dxa"/>
            <w:tcBorders>
              <w:top w:val="nil"/>
              <w:left w:val="nil"/>
              <w:bottom w:val="single" w:color="000000" w:sz="4" w:space="0"/>
              <w:right w:val="single" w:color="000000" w:sz="4" w:space="0"/>
            </w:tcBorders>
            <w:noWrap/>
            <w:vAlign w:val="center"/>
          </w:tcPr>
          <w:p w14:paraId="229233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B1E9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D569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5BF3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5FD9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单位（单位）：行唐县上方镇人民政府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781.21</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966.41</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770.17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58CF0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27C0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010607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53C04D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770.17</w:t>
            </w:r>
          </w:p>
        </w:tc>
        <w:tc>
          <w:tcPr>
            <w:tcW w:w="602" w:type="pct"/>
            <w:gridSpan w:val="2"/>
            <w:tcBorders>
              <w:top w:val="nil"/>
              <w:left w:val="nil"/>
              <w:bottom w:val="single" w:color="000000" w:sz="4" w:space="0"/>
              <w:right w:val="single" w:color="000000" w:sz="4" w:space="0"/>
            </w:tcBorders>
            <w:noWrap/>
            <w:vAlign w:val="center"/>
          </w:tcPr>
          <w:p w14:paraId="4741A6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602" w:type="pct"/>
            <w:tcBorders>
              <w:top w:val="nil"/>
              <w:left w:val="nil"/>
              <w:bottom w:val="single" w:color="000000" w:sz="4" w:space="0"/>
              <w:right w:val="single" w:color="000000" w:sz="4" w:space="0"/>
            </w:tcBorders>
            <w:noWrap/>
            <w:vAlign w:val="center"/>
          </w:tcPr>
          <w:p w14:paraId="38CCBF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c>
          <w:tcPr>
            <w:tcW w:w="602" w:type="pct"/>
            <w:gridSpan w:val="2"/>
            <w:tcBorders>
              <w:top w:val="nil"/>
              <w:left w:val="nil"/>
              <w:bottom w:val="single" w:color="000000" w:sz="4" w:space="0"/>
              <w:right w:val="single" w:color="000000" w:sz="4" w:space="0"/>
            </w:tcBorders>
            <w:noWrap/>
            <w:vAlign w:val="center"/>
          </w:tcPr>
          <w:p w14:paraId="75B3A0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4AB23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24EBF6">
            <w:pPr>
              <w:jc w:val="right"/>
              <w:rPr>
                <w:rFonts w:hint="default" w:ascii="Times New Roman" w:hAnsi="Times New Roman" w:eastAsia="宋体" w:cs="Times New Roman"/>
                <w:i w:val="0"/>
                <w:iCs w:val="0"/>
                <w:color w:val="000000"/>
                <w:sz w:val="20"/>
                <w:szCs w:val="20"/>
                <w:highlight w:val="none"/>
                <w:u w:val="none"/>
              </w:rPr>
            </w:pPr>
          </w:p>
        </w:tc>
      </w:tr>
      <w:tr w14:paraId="020B9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9BB9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19857E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5A133C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602" w:type="pct"/>
            <w:gridSpan w:val="2"/>
            <w:tcBorders>
              <w:top w:val="nil"/>
              <w:left w:val="nil"/>
              <w:bottom w:val="single" w:color="000000" w:sz="4" w:space="0"/>
              <w:right w:val="single" w:color="000000" w:sz="4" w:space="0"/>
            </w:tcBorders>
            <w:noWrap/>
            <w:vAlign w:val="center"/>
          </w:tcPr>
          <w:p w14:paraId="59E9B1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602" w:type="pct"/>
            <w:tcBorders>
              <w:top w:val="nil"/>
              <w:left w:val="nil"/>
              <w:bottom w:val="single" w:color="000000" w:sz="4" w:space="0"/>
              <w:right w:val="single" w:color="000000" w:sz="4" w:space="0"/>
            </w:tcBorders>
            <w:noWrap/>
            <w:vAlign w:val="center"/>
          </w:tcPr>
          <w:p w14:paraId="3F65B3D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2CA44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195CD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78BDEA">
            <w:pPr>
              <w:jc w:val="right"/>
              <w:rPr>
                <w:rFonts w:hint="default" w:ascii="Times New Roman" w:hAnsi="Times New Roman" w:eastAsia="宋体" w:cs="Times New Roman"/>
                <w:i w:val="0"/>
                <w:iCs w:val="0"/>
                <w:color w:val="000000"/>
                <w:sz w:val="20"/>
                <w:szCs w:val="20"/>
                <w:highlight w:val="none"/>
                <w:u w:val="none"/>
              </w:rPr>
            </w:pPr>
          </w:p>
        </w:tc>
      </w:tr>
      <w:tr w14:paraId="1FD94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4865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380D08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4538C3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c>
          <w:tcPr>
            <w:tcW w:w="602" w:type="pct"/>
            <w:gridSpan w:val="2"/>
            <w:tcBorders>
              <w:top w:val="nil"/>
              <w:left w:val="nil"/>
              <w:bottom w:val="single" w:color="000000" w:sz="4" w:space="0"/>
              <w:right w:val="single" w:color="000000" w:sz="4" w:space="0"/>
            </w:tcBorders>
            <w:noWrap/>
            <w:vAlign w:val="center"/>
          </w:tcPr>
          <w:p w14:paraId="35C5CEB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2984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c>
          <w:tcPr>
            <w:tcW w:w="602" w:type="pct"/>
            <w:gridSpan w:val="2"/>
            <w:tcBorders>
              <w:top w:val="nil"/>
              <w:left w:val="nil"/>
              <w:bottom w:val="single" w:color="000000" w:sz="4" w:space="0"/>
              <w:right w:val="single" w:color="000000" w:sz="4" w:space="0"/>
            </w:tcBorders>
            <w:noWrap/>
            <w:vAlign w:val="center"/>
          </w:tcPr>
          <w:p w14:paraId="47443C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DD9F2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4CD7AF">
            <w:pPr>
              <w:jc w:val="right"/>
              <w:rPr>
                <w:rFonts w:hint="default" w:ascii="Times New Roman" w:hAnsi="Times New Roman" w:eastAsia="宋体" w:cs="Times New Roman"/>
                <w:i w:val="0"/>
                <w:iCs w:val="0"/>
                <w:color w:val="000000"/>
                <w:sz w:val="20"/>
                <w:szCs w:val="20"/>
                <w:highlight w:val="none"/>
                <w:u w:val="none"/>
              </w:rPr>
            </w:pPr>
          </w:p>
        </w:tc>
      </w:tr>
      <w:tr w14:paraId="47ACC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4CD1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000330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82F20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55.08</w:t>
            </w:r>
          </w:p>
        </w:tc>
        <w:tc>
          <w:tcPr>
            <w:tcW w:w="602" w:type="pct"/>
            <w:gridSpan w:val="2"/>
            <w:tcBorders>
              <w:top w:val="nil"/>
              <w:left w:val="nil"/>
              <w:bottom w:val="single" w:color="000000" w:sz="4" w:space="0"/>
              <w:right w:val="single" w:color="000000" w:sz="4" w:space="0"/>
            </w:tcBorders>
            <w:noWrap/>
            <w:vAlign w:val="center"/>
          </w:tcPr>
          <w:p w14:paraId="5BD376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55.08</w:t>
            </w:r>
          </w:p>
        </w:tc>
        <w:tc>
          <w:tcPr>
            <w:tcW w:w="602" w:type="pct"/>
            <w:tcBorders>
              <w:top w:val="nil"/>
              <w:left w:val="nil"/>
              <w:bottom w:val="single" w:color="000000" w:sz="4" w:space="0"/>
              <w:right w:val="single" w:color="000000" w:sz="4" w:space="0"/>
            </w:tcBorders>
            <w:noWrap/>
            <w:vAlign w:val="center"/>
          </w:tcPr>
          <w:p w14:paraId="1340A21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33A260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D1D85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1AC7CB">
            <w:pPr>
              <w:jc w:val="right"/>
              <w:rPr>
                <w:rFonts w:hint="default" w:ascii="Times New Roman" w:hAnsi="Times New Roman" w:eastAsia="宋体" w:cs="Times New Roman"/>
                <w:i w:val="0"/>
                <w:iCs w:val="0"/>
                <w:color w:val="000000"/>
                <w:sz w:val="20"/>
                <w:szCs w:val="20"/>
                <w:highlight w:val="none"/>
                <w:u w:val="none"/>
              </w:rPr>
            </w:pPr>
          </w:p>
        </w:tc>
      </w:tr>
      <w:tr w14:paraId="2D7D5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4ECE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172A85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75C3CD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53.22</w:t>
            </w:r>
          </w:p>
        </w:tc>
        <w:tc>
          <w:tcPr>
            <w:tcW w:w="602" w:type="pct"/>
            <w:gridSpan w:val="2"/>
            <w:tcBorders>
              <w:top w:val="nil"/>
              <w:left w:val="nil"/>
              <w:bottom w:val="single" w:color="000000" w:sz="4" w:space="0"/>
              <w:right w:val="single" w:color="000000" w:sz="4" w:space="0"/>
            </w:tcBorders>
            <w:noWrap/>
            <w:vAlign w:val="center"/>
          </w:tcPr>
          <w:p w14:paraId="7EAAED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53.22</w:t>
            </w:r>
          </w:p>
        </w:tc>
        <w:tc>
          <w:tcPr>
            <w:tcW w:w="602" w:type="pct"/>
            <w:tcBorders>
              <w:top w:val="nil"/>
              <w:left w:val="nil"/>
              <w:bottom w:val="single" w:color="000000" w:sz="4" w:space="0"/>
              <w:right w:val="single" w:color="000000" w:sz="4" w:space="0"/>
            </w:tcBorders>
            <w:noWrap/>
            <w:vAlign w:val="center"/>
          </w:tcPr>
          <w:p w14:paraId="7A5B041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7ED7B1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7035A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B70AFD">
            <w:pPr>
              <w:jc w:val="right"/>
              <w:rPr>
                <w:rFonts w:hint="default" w:ascii="Times New Roman" w:hAnsi="Times New Roman" w:eastAsia="宋体" w:cs="Times New Roman"/>
                <w:i w:val="0"/>
                <w:iCs w:val="0"/>
                <w:color w:val="000000"/>
                <w:sz w:val="20"/>
                <w:szCs w:val="20"/>
                <w:highlight w:val="none"/>
                <w:u w:val="none"/>
              </w:rPr>
            </w:pPr>
          </w:p>
        </w:tc>
      </w:tr>
      <w:tr w14:paraId="5C027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C68C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3F792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29C322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51.60</w:t>
            </w:r>
          </w:p>
        </w:tc>
        <w:tc>
          <w:tcPr>
            <w:tcW w:w="602" w:type="pct"/>
            <w:gridSpan w:val="2"/>
            <w:tcBorders>
              <w:top w:val="nil"/>
              <w:left w:val="nil"/>
              <w:bottom w:val="single" w:color="000000" w:sz="4" w:space="0"/>
              <w:right w:val="single" w:color="000000" w:sz="4" w:space="0"/>
            </w:tcBorders>
            <w:noWrap/>
            <w:vAlign w:val="center"/>
          </w:tcPr>
          <w:p w14:paraId="2BED51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51.60</w:t>
            </w:r>
          </w:p>
        </w:tc>
        <w:tc>
          <w:tcPr>
            <w:tcW w:w="602" w:type="pct"/>
            <w:tcBorders>
              <w:top w:val="nil"/>
              <w:left w:val="nil"/>
              <w:bottom w:val="single" w:color="000000" w:sz="4" w:space="0"/>
              <w:right w:val="single" w:color="000000" w:sz="4" w:space="0"/>
            </w:tcBorders>
            <w:noWrap/>
            <w:vAlign w:val="center"/>
          </w:tcPr>
          <w:p w14:paraId="11D947D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D1ED82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BAB05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99054A">
            <w:pPr>
              <w:jc w:val="right"/>
              <w:rPr>
                <w:rFonts w:hint="default" w:ascii="Times New Roman" w:hAnsi="Times New Roman" w:eastAsia="宋体" w:cs="Times New Roman"/>
                <w:i w:val="0"/>
                <w:iCs w:val="0"/>
                <w:color w:val="000000"/>
                <w:sz w:val="20"/>
                <w:szCs w:val="20"/>
                <w:highlight w:val="none"/>
                <w:u w:val="none"/>
              </w:rPr>
            </w:pPr>
          </w:p>
        </w:tc>
      </w:tr>
      <w:tr w14:paraId="311E9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27C6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4C1430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666993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602" w:type="pct"/>
            <w:gridSpan w:val="2"/>
            <w:tcBorders>
              <w:top w:val="nil"/>
              <w:left w:val="nil"/>
              <w:bottom w:val="single" w:color="000000" w:sz="4" w:space="0"/>
              <w:right w:val="single" w:color="000000" w:sz="4" w:space="0"/>
            </w:tcBorders>
            <w:noWrap/>
            <w:vAlign w:val="center"/>
          </w:tcPr>
          <w:p w14:paraId="572154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602" w:type="pct"/>
            <w:tcBorders>
              <w:top w:val="nil"/>
              <w:left w:val="nil"/>
              <w:bottom w:val="single" w:color="000000" w:sz="4" w:space="0"/>
              <w:right w:val="single" w:color="000000" w:sz="4" w:space="0"/>
            </w:tcBorders>
            <w:noWrap/>
            <w:vAlign w:val="center"/>
          </w:tcPr>
          <w:p w14:paraId="7016F5C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2F62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2C463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2913AD6">
            <w:pPr>
              <w:jc w:val="right"/>
              <w:rPr>
                <w:rFonts w:hint="default" w:ascii="Times New Roman" w:hAnsi="Times New Roman" w:eastAsia="宋体" w:cs="Times New Roman"/>
                <w:i w:val="0"/>
                <w:iCs w:val="0"/>
                <w:color w:val="000000"/>
                <w:sz w:val="20"/>
                <w:szCs w:val="20"/>
                <w:highlight w:val="none"/>
                <w:u w:val="none"/>
              </w:rPr>
            </w:pPr>
          </w:p>
        </w:tc>
      </w:tr>
      <w:tr w14:paraId="121B6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DB0D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57398D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6472F7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w:t>
            </w:r>
          </w:p>
        </w:tc>
        <w:tc>
          <w:tcPr>
            <w:tcW w:w="602" w:type="pct"/>
            <w:gridSpan w:val="2"/>
            <w:tcBorders>
              <w:top w:val="nil"/>
              <w:left w:val="nil"/>
              <w:bottom w:val="single" w:color="000000" w:sz="4" w:space="0"/>
              <w:right w:val="single" w:color="000000" w:sz="4" w:space="0"/>
            </w:tcBorders>
            <w:noWrap/>
            <w:vAlign w:val="center"/>
          </w:tcPr>
          <w:p w14:paraId="1C9097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w:t>
            </w:r>
          </w:p>
        </w:tc>
        <w:tc>
          <w:tcPr>
            <w:tcW w:w="602" w:type="pct"/>
            <w:tcBorders>
              <w:top w:val="nil"/>
              <w:left w:val="nil"/>
              <w:bottom w:val="single" w:color="000000" w:sz="4" w:space="0"/>
              <w:right w:val="single" w:color="000000" w:sz="4" w:space="0"/>
            </w:tcBorders>
            <w:noWrap/>
            <w:vAlign w:val="center"/>
          </w:tcPr>
          <w:p w14:paraId="60D58C2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32856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B6CD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8A4B10">
            <w:pPr>
              <w:jc w:val="right"/>
              <w:rPr>
                <w:rFonts w:hint="default" w:ascii="Times New Roman" w:hAnsi="Times New Roman" w:eastAsia="宋体" w:cs="Times New Roman"/>
                <w:i w:val="0"/>
                <w:iCs w:val="0"/>
                <w:color w:val="000000"/>
                <w:sz w:val="20"/>
                <w:szCs w:val="20"/>
                <w:highlight w:val="none"/>
                <w:u w:val="none"/>
              </w:rPr>
            </w:pPr>
          </w:p>
        </w:tc>
      </w:tr>
      <w:tr w14:paraId="04A50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7652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4FD96D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70E404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0.69</w:t>
            </w:r>
          </w:p>
        </w:tc>
        <w:tc>
          <w:tcPr>
            <w:tcW w:w="602" w:type="pct"/>
            <w:gridSpan w:val="2"/>
            <w:tcBorders>
              <w:top w:val="nil"/>
              <w:left w:val="nil"/>
              <w:bottom w:val="single" w:color="000000" w:sz="4" w:space="0"/>
              <w:right w:val="single" w:color="000000" w:sz="4" w:space="0"/>
            </w:tcBorders>
            <w:noWrap/>
            <w:vAlign w:val="center"/>
          </w:tcPr>
          <w:p w14:paraId="59FC7E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0.69</w:t>
            </w:r>
          </w:p>
        </w:tc>
        <w:tc>
          <w:tcPr>
            <w:tcW w:w="602" w:type="pct"/>
            <w:tcBorders>
              <w:top w:val="nil"/>
              <w:left w:val="nil"/>
              <w:bottom w:val="single" w:color="000000" w:sz="4" w:space="0"/>
              <w:right w:val="single" w:color="000000" w:sz="4" w:space="0"/>
            </w:tcBorders>
            <w:noWrap/>
            <w:vAlign w:val="center"/>
          </w:tcPr>
          <w:p w14:paraId="389F0AE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804693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43D95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5B6320">
            <w:pPr>
              <w:jc w:val="right"/>
              <w:rPr>
                <w:rFonts w:hint="default" w:ascii="Times New Roman" w:hAnsi="Times New Roman" w:eastAsia="宋体" w:cs="Times New Roman"/>
                <w:i w:val="0"/>
                <w:iCs w:val="0"/>
                <w:color w:val="000000"/>
                <w:sz w:val="20"/>
                <w:szCs w:val="20"/>
                <w:highlight w:val="none"/>
                <w:u w:val="none"/>
              </w:rPr>
            </w:pPr>
          </w:p>
        </w:tc>
      </w:tr>
      <w:tr w14:paraId="77ECC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F75D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2DAB65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0AB29E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w:t>
            </w:r>
          </w:p>
        </w:tc>
        <w:tc>
          <w:tcPr>
            <w:tcW w:w="602" w:type="pct"/>
            <w:gridSpan w:val="2"/>
            <w:tcBorders>
              <w:top w:val="nil"/>
              <w:left w:val="nil"/>
              <w:bottom w:val="single" w:color="000000" w:sz="4" w:space="0"/>
              <w:right w:val="single" w:color="000000" w:sz="4" w:space="0"/>
            </w:tcBorders>
            <w:noWrap/>
            <w:vAlign w:val="center"/>
          </w:tcPr>
          <w:p w14:paraId="5E0734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w:t>
            </w:r>
          </w:p>
        </w:tc>
        <w:tc>
          <w:tcPr>
            <w:tcW w:w="602" w:type="pct"/>
            <w:tcBorders>
              <w:top w:val="nil"/>
              <w:left w:val="nil"/>
              <w:bottom w:val="single" w:color="000000" w:sz="4" w:space="0"/>
              <w:right w:val="single" w:color="000000" w:sz="4" w:space="0"/>
            </w:tcBorders>
            <w:noWrap/>
            <w:vAlign w:val="center"/>
          </w:tcPr>
          <w:p w14:paraId="2EEAAC4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410350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B57FF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DFA38F">
            <w:pPr>
              <w:jc w:val="right"/>
              <w:rPr>
                <w:rFonts w:hint="default" w:ascii="Times New Roman" w:hAnsi="Times New Roman" w:eastAsia="宋体" w:cs="Times New Roman"/>
                <w:i w:val="0"/>
                <w:iCs w:val="0"/>
                <w:color w:val="000000"/>
                <w:sz w:val="20"/>
                <w:szCs w:val="20"/>
                <w:highlight w:val="none"/>
                <w:u w:val="none"/>
              </w:rPr>
            </w:pPr>
          </w:p>
        </w:tc>
      </w:tr>
      <w:tr w14:paraId="5A6FA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AC8D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2A6DEC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9D27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gridSpan w:val="2"/>
            <w:tcBorders>
              <w:top w:val="nil"/>
              <w:left w:val="nil"/>
              <w:bottom w:val="single" w:color="000000" w:sz="4" w:space="0"/>
              <w:right w:val="single" w:color="000000" w:sz="4" w:space="0"/>
            </w:tcBorders>
            <w:noWrap/>
            <w:vAlign w:val="center"/>
          </w:tcPr>
          <w:p w14:paraId="2A45B1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tcBorders>
              <w:top w:val="nil"/>
              <w:left w:val="nil"/>
              <w:bottom w:val="single" w:color="000000" w:sz="4" w:space="0"/>
              <w:right w:val="single" w:color="000000" w:sz="4" w:space="0"/>
            </w:tcBorders>
            <w:noWrap/>
            <w:vAlign w:val="center"/>
          </w:tcPr>
          <w:p w14:paraId="178E8DB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7963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29999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B3AB8E1">
            <w:pPr>
              <w:jc w:val="right"/>
              <w:rPr>
                <w:rFonts w:hint="default" w:ascii="Times New Roman" w:hAnsi="Times New Roman" w:eastAsia="宋体" w:cs="Times New Roman"/>
                <w:i w:val="0"/>
                <w:iCs w:val="0"/>
                <w:color w:val="000000"/>
                <w:sz w:val="20"/>
                <w:szCs w:val="20"/>
                <w:highlight w:val="none"/>
                <w:u w:val="none"/>
              </w:rPr>
            </w:pPr>
          </w:p>
        </w:tc>
      </w:tr>
      <w:tr w14:paraId="7F8BE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A8C0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18DB33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2C5EFD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gridSpan w:val="2"/>
            <w:tcBorders>
              <w:top w:val="nil"/>
              <w:left w:val="nil"/>
              <w:bottom w:val="single" w:color="000000" w:sz="4" w:space="0"/>
              <w:right w:val="single" w:color="000000" w:sz="4" w:space="0"/>
            </w:tcBorders>
            <w:noWrap/>
            <w:vAlign w:val="center"/>
          </w:tcPr>
          <w:p w14:paraId="464411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tcBorders>
              <w:top w:val="nil"/>
              <w:left w:val="nil"/>
              <w:bottom w:val="single" w:color="000000" w:sz="4" w:space="0"/>
              <w:right w:val="single" w:color="000000" w:sz="4" w:space="0"/>
            </w:tcBorders>
            <w:noWrap/>
            <w:vAlign w:val="center"/>
          </w:tcPr>
          <w:p w14:paraId="13602F8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055F7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63EEF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30C852">
            <w:pPr>
              <w:jc w:val="right"/>
              <w:rPr>
                <w:rFonts w:hint="default" w:ascii="Times New Roman" w:hAnsi="Times New Roman" w:eastAsia="宋体" w:cs="Times New Roman"/>
                <w:i w:val="0"/>
                <w:iCs w:val="0"/>
                <w:color w:val="000000"/>
                <w:sz w:val="20"/>
                <w:szCs w:val="20"/>
                <w:highlight w:val="none"/>
                <w:u w:val="none"/>
              </w:rPr>
            </w:pPr>
          </w:p>
        </w:tc>
      </w:tr>
      <w:tr w14:paraId="0EFDC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C3CD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66368D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020783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gridSpan w:val="2"/>
            <w:tcBorders>
              <w:top w:val="nil"/>
              <w:left w:val="nil"/>
              <w:bottom w:val="single" w:color="000000" w:sz="4" w:space="0"/>
              <w:right w:val="single" w:color="000000" w:sz="4" w:space="0"/>
            </w:tcBorders>
            <w:noWrap/>
            <w:vAlign w:val="center"/>
          </w:tcPr>
          <w:p w14:paraId="60B23F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602" w:type="pct"/>
            <w:tcBorders>
              <w:top w:val="nil"/>
              <w:left w:val="nil"/>
              <w:bottom w:val="single" w:color="000000" w:sz="4" w:space="0"/>
              <w:right w:val="single" w:color="000000" w:sz="4" w:space="0"/>
            </w:tcBorders>
            <w:noWrap/>
            <w:vAlign w:val="center"/>
          </w:tcPr>
          <w:p w14:paraId="3F06F13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8847A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C7AE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609316">
            <w:pPr>
              <w:jc w:val="right"/>
              <w:rPr>
                <w:rFonts w:hint="default" w:ascii="Times New Roman" w:hAnsi="Times New Roman" w:eastAsia="宋体" w:cs="Times New Roman"/>
                <w:i w:val="0"/>
                <w:iCs w:val="0"/>
                <w:color w:val="000000"/>
                <w:sz w:val="20"/>
                <w:szCs w:val="20"/>
                <w:highlight w:val="none"/>
                <w:u w:val="none"/>
              </w:rPr>
            </w:pPr>
          </w:p>
        </w:tc>
      </w:tr>
      <w:tr w14:paraId="71768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78B97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6F8CB3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542FAA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0ADCC3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A36F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676FF7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6260F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0B38B3">
            <w:pPr>
              <w:jc w:val="right"/>
              <w:rPr>
                <w:rFonts w:hint="default" w:ascii="Times New Roman" w:hAnsi="Times New Roman" w:eastAsia="宋体" w:cs="Times New Roman"/>
                <w:i w:val="0"/>
                <w:iCs w:val="0"/>
                <w:color w:val="000000"/>
                <w:sz w:val="20"/>
                <w:szCs w:val="20"/>
                <w:highlight w:val="none"/>
                <w:u w:val="none"/>
              </w:rPr>
            </w:pPr>
          </w:p>
        </w:tc>
      </w:tr>
      <w:tr w14:paraId="098E7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97CB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112DAC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1410A4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1A4D058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949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785DC08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0F8E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D22413F">
            <w:pPr>
              <w:jc w:val="right"/>
              <w:rPr>
                <w:rFonts w:hint="default" w:ascii="Times New Roman" w:hAnsi="Times New Roman" w:eastAsia="宋体" w:cs="Times New Roman"/>
                <w:i w:val="0"/>
                <w:iCs w:val="0"/>
                <w:color w:val="000000"/>
                <w:sz w:val="20"/>
                <w:szCs w:val="20"/>
                <w:highlight w:val="none"/>
                <w:u w:val="none"/>
              </w:rPr>
            </w:pPr>
          </w:p>
        </w:tc>
      </w:tr>
      <w:tr w14:paraId="02F50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9A2F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3F0156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7CCBCC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58F320F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490A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602" w:type="pct"/>
            <w:gridSpan w:val="2"/>
            <w:tcBorders>
              <w:top w:val="nil"/>
              <w:left w:val="nil"/>
              <w:bottom w:val="single" w:color="000000" w:sz="4" w:space="0"/>
              <w:right w:val="single" w:color="000000" w:sz="4" w:space="0"/>
            </w:tcBorders>
            <w:noWrap/>
            <w:vAlign w:val="center"/>
          </w:tcPr>
          <w:p w14:paraId="31F687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1BBCE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41D188">
            <w:pPr>
              <w:jc w:val="right"/>
              <w:rPr>
                <w:rFonts w:hint="default" w:ascii="Times New Roman" w:hAnsi="Times New Roman" w:eastAsia="宋体" w:cs="Times New Roman"/>
                <w:i w:val="0"/>
                <w:iCs w:val="0"/>
                <w:color w:val="000000"/>
                <w:sz w:val="20"/>
                <w:szCs w:val="20"/>
                <w:highlight w:val="none"/>
                <w:u w:val="none"/>
              </w:rPr>
            </w:pPr>
          </w:p>
        </w:tc>
      </w:tr>
      <w:tr w14:paraId="5C140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88CE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78E8CA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2BEE2D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7577B61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01EA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46C107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6E2B2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4A6AF5A">
            <w:pPr>
              <w:jc w:val="right"/>
              <w:rPr>
                <w:rFonts w:hint="default" w:ascii="Times New Roman" w:hAnsi="Times New Roman" w:eastAsia="宋体" w:cs="Times New Roman"/>
                <w:i w:val="0"/>
                <w:iCs w:val="0"/>
                <w:color w:val="000000"/>
                <w:sz w:val="20"/>
                <w:szCs w:val="20"/>
                <w:highlight w:val="none"/>
                <w:u w:val="none"/>
              </w:rPr>
            </w:pPr>
          </w:p>
        </w:tc>
      </w:tr>
      <w:tr w14:paraId="53BFB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26DB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6F9D59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3256A0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488022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24EA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1DDFAD2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0795E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C8C5860">
            <w:pPr>
              <w:jc w:val="right"/>
              <w:rPr>
                <w:rFonts w:hint="default" w:ascii="Times New Roman" w:hAnsi="Times New Roman" w:eastAsia="宋体" w:cs="Times New Roman"/>
                <w:i w:val="0"/>
                <w:iCs w:val="0"/>
                <w:color w:val="000000"/>
                <w:sz w:val="20"/>
                <w:szCs w:val="20"/>
                <w:highlight w:val="none"/>
                <w:u w:val="none"/>
              </w:rPr>
            </w:pPr>
          </w:p>
        </w:tc>
      </w:tr>
      <w:tr w14:paraId="08546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7D48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01654E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3A92D7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3633531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80A26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602" w:type="pct"/>
            <w:gridSpan w:val="2"/>
            <w:tcBorders>
              <w:top w:val="nil"/>
              <w:left w:val="nil"/>
              <w:bottom w:val="single" w:color="000000" w:sz="4" w:space="0"/>
              <w:right w:val="single" w:color="000000" w:sz="4" w:space="0"/>
            </w:tcBorders>
            <w:noWrap/>
            <w:vAlign w:val="center"/>
          </w:tcPr>
          <w:p w14:paraId="2B080C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04A2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F87E1A">
            <w:pPr>
              <w:jc w:val="right"/>
              <w:rPr>
                <w:rFonts w:hint="default" w:ascii="Times New Roman" w:hAnsi="Times New Roman" w:eastAsia="宋体" w:cs="Times New Roman"/>
                <w:i w:val="0"/>
                <w:iCs w:val="0"/>
                <w:color w:val="000000"/>
                <w:sz w:val="20"/>
                <w:szCs w:val="20"/>
                <w:highlight w:val="none"/>
                <w:u w:val="none"/>
              </w:rPr>
            </w:pPr>
          </w:p>
        </w:tc>
      </w:tr>
      <w:tr w14:paraId="37687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616E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3225CE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8CE5A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gridSpan w:val="2"/>
            <w:tcBorders>
              <w:top w:val="nil"/>
              <w:left w:val="nil"/>
              <w:bottom w:val="single" w:color="000000" w:sz="4" w:space="0"/>
              <w:right w:val="single" w:color="000000" w:sz="4" w:space="0"/>
            </w:tcBorders>
            <w:noWrap/>
            <w:vAlign w:val="center"/>
          </w:tcPr>
          <w:p w14:paraId="4DC35C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tcBorders>
              <w:top w:val="nil"/>
              <w:left w:val="nil"/>
              <w:bottom w:val="single" w:color="000000" w:sz="4" w:space="0"/>
              <w:right w:val="single" w:color="000000" w:sz="4" w:space="0"/>
            </w:tcBorders>
            <w:noWrap/>
            <w:vAlign w:val="center"/>
          </w:tcPr>
          <w:p w14:paraId="696538B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C0C1E9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FDB49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465B4D3">
            <w:pPr>
              <w:jc w:val="right"/>
              <w:rPr>
                <w:rFonts w:hint="default" w:ascii="Times New Roman" w:hAnsi="Times New Roman" w:eastAsia="宋体" w:cs="Times New Roman"/>
                <w:i w:val="0"/>
                <w:iCs w:val="0"/>
                <w:color w:val="000000"/>
                <w:sz w:val="20"/>
                <w:szCs w:val="20"/>
                <w:highlight w:val="none"/>
                <w:u w:val="none"/>
              </w:rPr>
            </w:pPr>
          </w:p>
        </w:tc>
      </w:tr>
      <w:tr w14:paraId="454C2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5D3F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3F5DF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761E0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gridSpan w:val="2"/>
            <w:tcBorders>
              <w:top w:val="nil"/>
              <w:left w:val="nil"/>
              <w:bottom w:val="single" w:color="000000" w:sz="4" w:space="0"/>
              <w:right w:val="single" w:color="000000" w:sz="4" w:space="0"/>
            </w:tcBorders>
            <w:noWrap/>
            <w:vAlign w:val="center"/>
          </w:tcPr>
          <w:p w14:paraId="094B92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tcBorders>
              <w:top w:val="nil"/>
              <w:left w:val="nil"/>
              <w:bottom w:val="single" w:color="000000" w:sz="4" w:space="0"/>
              <w:right w:val="single" w:color="000000" w:sz="4" w:space="0"/>
            </w:tcBorders>
            <w:noWrap/>
            <w:vAlign w:val="center"/>
          </w:tcPr>
          <w:p w14:paraId="4068606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92602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58CE6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A013C8">
            <w:pPr>
              <w:jc w:val="right"/>
              <w:rPr>
                <w:rFonts w:hint="default" w:ascii="Times New Roman" w:hAnsi="Times New Roman" w:eastAsia="宋体" w:cs="Times New Roman"/>
                <w:i w:val="0"/>
                <w:iCs w:val="0"/>
                <w:color w:val="000000"/>
                <w:sz w:val="20"/>
                <w:szCs w:val="20"/>
                <w:highlight w:val="none"/>
                <w:u w:val="none"/>
              </w:rPr>
            </w:pPr>
          </w:p>
        </w:tc>
      </w:tr>
      <w:tr w14:paraId="49105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2C98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015B46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284B70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gridSpan w:val="2"/>
            <w:tcBorders>
              <w:top w:val="nil"/>
              <w:left w:val="nil"/>
              <w:bottom w:val="single" w:color="000000" w:sz="4" w:space="0"/>
              <w:right w:val="single" w:color="000000" w:sz="4" w:space="0"/>
            </w:tcBorders>
            <w:noWrap/>
            <w:vAlign w:val="center"/>
          </w:tcPr>
          <w:p w14:paraId="130199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602" w:type="pct"/>
            <w:tcBorders>
              <w:top w:val="nil"/>
              <w:left w:val="nil"/>
              <w:bottom w:val="single" w:color="000000" w:sz="4" w:space="0"/>
              <w:right w:val="single" w:color="000000" w:sz="4" w:space="0"/>
            </w:tcBorders>
            <w:noWrap/>
            <w:vAlign w:val="center"/>
          </w:tcPr>
          <w:p w14:paraId="615C4B6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BA2751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9C1D4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6B3EC5">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单位（单位）：行唐县上方镇人民政府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770.17</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770.17</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55.08</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55.08</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25.05</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25.05</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480.25</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480.25</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382.16</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382.16</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34.91</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34.91</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1,747.62</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编制单位（单位）：行唐县上方镇人民政府</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781.21</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966.41</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r>
      <w:tr w14:paraId="4B094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CC283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28AF4B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6CB5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7A57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1218" w:type="pct"/>
            <w:tcBorders>
              <w:top w:val="single" w:color="auto" w:sz="4" w:space="0"/>
              <w:left w:val="single" w:color="auto" w:sz="4" w:space="0"/>
              <w:bottom w:val="single" w:color="auto" w:sz="4" w:space="0"/>
              <w:right w:val="single" w:color="auto" w:sz="4" w:space="0"/>
            </w:tcBorders>
            <w:noWrap/>
            <w:vAlign w:val="center"/>
          </w:tcPr>
          <w:p w14:paraId="30E2C5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r>
      <w:tr w14:paraId="5F3AD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ACE1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5DC69B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1A0F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757A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666.17</w:t>
            </w:r>
          </w:p>
        </w:tc>
        <w:tc>
          <w:tcPr>
            <w:tcW w:w="1218" w:type="pct"/>
            <w:tcBorders>
              <w:top w:val="single" w:color="auto" w:sz="4" w:space="0"/>
              <w:left w:val="single" w:color="auto" w:sz="4" w:space="0"/>
              <w:bottom w:val="single" w:color="auto" w:sz="4" w:space="0"/>
              <w:right w:val="single" w:color="auto" w:sz="4" w:space="0"/>
            </w:tcBorders>
            <w:noWrap/>
            <w:vAlign w:val="center"/>
          </w:tcPr>
          <w:p w14:paraId="3414CDCF">
            <w:pPr>
              <w:jc w:val="right"/>
              <w:rPr>
                <w:rFonts w:hint="default" w:ascii="Times New Roman" w:hAnsi="Times New Roman" w:eastAsia="宋体" w:cs="Times New Roman"/>
                <w:i w:val="0"/>
                <w:iCs w:val="0"/>
                <w:color w:val="000000"/>
                <w:sz w:val="20"/>
                <w:szCs w:val="20"/>
                <w:highlight w:val="none"/>
                <w:u w:val="none"/>
              </w:rPr>
            </w:pPr>
          </w:p>
        </w:tc>
      </w:tr>
      <w:tr w14:paraId="69225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5D05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1BF427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954A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2255F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BF9AD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104.00</w:t>
            </w:r>
          </w:p>
        </w:tc>
      </w:tr>
      <w:tr w14:paraId="7C645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788F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06237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B8BA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7C87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55.08</w:t>
            </w:r>
          </w:p>
        </w:tc>
        <w:tc>
          <w:tcPr>
            <w:tcW w:w="1218" w:type="pct"/>
            <w:tcBorders>
              <w:top w:val="single" w:color="auto" w:sz="4" w:space="0"/>
              <w:left w:val="single" w:color="auto" w:sz="4" w:space="0"/>
              <w:bottom w:val="single" w:color="auto" w:sz="4" w:space="0"/>
              <w:right w:val="single" w:color="auto" w:sz="4" w:space="0"/>
            </w:tcBorders>
            <w:noWrap/>
            <w:vAlign w:val="center"/>
          </w:tcPr>
          <w:p w14:paraId="534521CF">
            <w:pPr>
              <w:jc w:val="right"/>
              <w:rPr>
                <w:rFonts w:hint="default" w:ascii="Times New Roman" w:hAnsi="Times New Roman" w:eastAsia="宋体" w:cs="Times New Roman"/>
                <w:i w:val="0"/>
                <w:iCs w:val="0"/>
                <w:color w:val="000000"/>
                <w:sz w:val="20"/>
                <w:szCs w:val="20"/>
                <w:highlight w:val="none"/>
                <w:u w:val="none"/>
              </w:rPr>
            </w:pPr>
          </w:p>
        </w:tc>
      </w:tr>
      <w:tr w14:paraId="3D47F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1DEE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20232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DF43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CC1E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53.22</w:t>
            </w:r>
          </w:p>
        </w:tc>
        <w:tc>
          <w:tcPr>
            <w:tcW w:w="1218" w:type="pct"/>
            <w:tcBorders>
              <w:top w:val="single" w:color="auto" w:sz="4" w:space="0"/>
              <w:left w:val="single" w:color="auto" w:sz="4" w:space="0"/>
              <w:bottom w:val="single" w:color="auto" w:sz="4" w:space="0"/>
              <w:right w:val="single" w:color="auto" w:sz="4" w:space="0"/>
            </w:tcBorders>
            <w:noWrap/>
            <w:vAlign w:val="center"/>
          </w:tcPr>
          <w:p w14:paraId="7E017866">
            <w:pPr>
              <w:jc w:val="right"/>
              <w:rPr>
                <w:rFonts w:hint="default" w:ascii="Times New Roman" w:hAnsi="Times New Roman" w:eastAsia="宋体" w:cs="Times New Roman"/>
                <w:i w:val="0"/>
                <w:iCs w:val="0"/>
                <w:color w:val="000000"/>
                <w:sz w:val="20"/>
                <w:szCs w:val="20"/>
                <w:highlight w:val="none"/>
                <w:u w:val="none"/>
              </w:rPr>
            </w:pPr>
          </w:p>
        </w:tc>
      </w:tr>
      <w:tr w14:paraId="79FC7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0D37D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5F788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C974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B02B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51.60</w:t>
            </w:r>
          </w:p>
        </w:tc>
        <w:tc>
          <w:tcPr>
            <w:tcW w:w="1218" w:type="pct"/>
            <w:tcBorders>
              <w:top w:val="single" w:color="auto" w:sz="4" w:space="0"/>
              <w:left w:val="single" w:color="auto" w:sz="4" w:space="0"/>
              <w:bottom w:val="single" w:color="auto" w:sz="4" w:space="0"/>
              <w:right w:val="single" w:color="auto" w:sz="4" w:space="0"/>
            </w:tcBorders>
            <w:noWrap/>
            <w:vAlign w:val="center"/>
          </w:tcPr>
          <w:p w14:paraId="54B44B02">
            <w:pPr>
              <w:jc w:val="right"/>
              <w:rPr>
                <w:rFonts w:hint="default" w:ascii="Times New Roman" w:hAnsi="Times New Roman" w:eastAsia="宋体" w:cs="Times New Roman"/>
                <w:i w:val="0"/>
                <w:iCs w:val="0"/>
                <w:color w:val="000000"/>
                <w:sz w:val="20"/>
                <w:szCs w:val="20"/>
                <w:highlight w:val="none"/>
                <w:u w:val="none"/>
              </w:rPr>
            </w:pPr>
          </w:p>
        </w:tc>
      </w:tr>
      <w:tr w14:paraId="09354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92E6C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0F7D92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4111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3DA1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w:t>
            </w:r>
          </w:p>
        </w:tc>
        <w:tc>
          <w:tcPr>
            <w:tcW w:w="1218" w:type="pct"/>
            <w:tcBorders>
              <w:top w:val="single" w:color="auto" w:sz="4" w:space="0"/>
              <w:left w:val="single" w:color="auto" w:sz="4" w:space="0"/>
              <w:bottom w:val="single" w:color="auto" w:sz="4" w:space="0"/>
              <w:right w:val="single" w:color="auto" w:sz="4" w:space="0"/>
            </w:tcBorders>
            <w:noWrap/>
            <w:vAlign w:val="center"/>
          </w:tcPr>
          <w:p w14:paraId="6F467528">
            <w:pPr>
              <w:jc w:val="right"/>
              <w:rPr>
                <w:rFonts w:hint="default" w:ascii="Times New Roman" w:hAnsi="Times New Roman" w:eastAsia="宋体" w:cs="Times New Roman"/>
                <w:i w:val="0"/>
                <w:iCs w:val="0"/>
                <w:color w:val="000000"/>
                <w:sz w:val="20"/>
                <w:szCs w:val="20"/>
                <w:highlight w:val="none"/>
                <w:u w:val="none"/>
              </w:rPr>
            </w:pPr>
          </w:p>
        </w:tc>
      </w:tr>
      <w:tr w14:paraId="210BE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2383A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66A479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CCBB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86F2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w:t>
            </w:r>
          </w:p>
        </w:tc>
        <w:tc>
          <w:tcPr>
            <w:tcW w:w="1218" w:type="pct"/>
            <w:tcBorders>
              <w:top w:val="single" w:color="auto" w:sz="4" w:space="0"/>
              <w:left w:val="single" w:color="auto" w:sz="4" w:space="0"/>
              <w:bottom w:val="single" w:color="auto" w:sz="4" w:space="0"/>
              <w:right w:val="single" w:color="auto" w:sz="4" w:space="0"/>
            </w:tcBorders>
            <w:noWrap/>
            <w:vAlign w:val="center"/>
          </w:tcPr>
          <w:p w14:paraId="54D9611C">
            <w:pPr>
              <w:jc w:val="right"/>
              <w:rPr>
                <w:rFonts w:hint="default" w:ascii="Times New Roman" w:hAnsi="Times New Roman" w:eastAsia="宋体" w:cs="Times New Roman"/>
                <w:i w:val="0"/>
                <w:iCs w:val="0"/>
                <w:color w:val="000000"/>
                <w:sz w:val="20"/>
                <w:szCs w:val="20"/>
                <w:highlight w:val="none"/>
                <w:u w:val="none"/>
              </w:rPr>
            </w:pPr>
          </w:p>
        </w:tc>
      </w:tr>
      <w:tr w14:paraId="72119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3D58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420708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6340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70E5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0.69</w:t>
            </w:r>
          </w:p>
        </w:tc>
        <w:tc>
          <w:tcPr>
            <w:tcW w:w="1218" w:type="pct"/>
            <w:tcBorders>
              <w:top w:val="single" w:color="auto" w:sz="4" w:space="0"/>
              <w:left w:val="single" w:color="auto" w:sz="4" w:space="0"/>
              <w:bottom w:val="single" w:color="auto" w:sz="4" w:space="0"/>
              <w:right w:val="single" w:color="auto" w:sz="4" w:space="0"/>
            </w:tcBorders>
            <w:noWrap/>
            <w:vAlign w:val="center"/>
          </w:tcPr>
          <w:p w14:paraId="0C65B746">
            <w:pPr>
              <w:jc w:val="right"/>
              <w:rPr>
                <w:rFonts w:hint="default" w:ascii="Times New Roman" w:hAnsi="Times New Roman" w:eastAsia="宋体" w:cs="Times New Roman"/>
                <w:i w:val="0"/>
                <w:iCs w:val="0"/>
                <w:color w:val="000000"/>
                <w:sz w:val="20"/>
                <w:szCs w:val="20"/>
                <w:highlight w:val="none"/>
                <w:u w:val="none"/>
              </w:rPr>
            </w:pPr>
          </w:p>
        </w:tc>
      </w:tr>
      <w:tr w14:paraId="0B0A8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E9BF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495447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E03A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81BA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w:t>
            </w:r>
          </w:p>
        </w:tc>
        <w:tc>
          <w:tcPr>
            <w:tcW w:w="1218" w:type="pct"/>
            <w:tcBorders>
              <w:top w:val="single" w:color="auto" w:sz="4" w:space="0"/>
              <w:left w:val="single" w:color="auto" w:sz="4" w:space="0"/>
              <w:bottom w:val="single" w:color="auto" w:sz="4" w:space="0"/>
              <w:right w:val="single" w:color="auto" w:sz="4" w:space="0"/>
            </w:tcBorders>
            <w:noWrap/>
            <w:vAlign w:val="center"/>
          </w:tcPr>
          <w:p w14:paraId="2CE2F32D">
            <w:pPr>
              <w:jc w:val="right"/>
              <w:rPr>
                <w:rFonts w:hint="default" w:ascii="Times New Roman" w:hAnsi="Times New Roman" w:eastAsia="宋体" w:cs="Times New Roman"/>
                <w:i w:val="0"/>
                <w:iCs w:val="0"/>
                <w:color w:val="000000"/>
                <w:sz w:val="20"/>
                <w:szCs w:val="20"/>
                <w:highlight w:val="none"/>
                <w:u w:val="none"/>
              </w:rPr>
            </w:pPr>
          </w:p>
        </w:tc>
      </w:tr>
      <w:tr w14:paraId="3A5E5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D38DE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1B4768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E209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7194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218" w:type="pct"/>
            <w:tcBorders>
              <w:top w:val="single" w:color="auto" w:sz="4" w:space="0"/>
              <w:left w:val="single" w:color="auto" w:sz="4" w:space="0"/>
              <w:bottom w:val="single" w:color="auto" w:sz="4" w:space="0"/>
              <w:right w:val="single" w:color="auto" w:sz="4" w:space="0"/>
            </w:tcBorders>
            <w:noWrap/>
            <w:vAlign w:val="center"/>
          </w:tcPr>
          <w:p w14:paraId="1F010903">
            <w:pPr>
              <w:jc w:val="right"/>
              <w:rPr>
                <w:rFonts w:hint="default" w:ascii="Times New Roman" w:hAnsi="Times New Roman" w:eastAsia="宋体" w:cs="Times New Roman"/>
                <w:i w:val="0"/>
                <w:iCs w:val="0"/>
                <w:color w:val="000000"/>
                <w:sz w:val="20"/>
                <w:szCs w:val="20"/>
                <w:highlight w:val="none"/>
                <w:u w:val="none"/>
              </w:rPr>
            </w:pPr>
          </w:p>
        </w:tc>
      </w:tr>
      <w:tr w14:paraId="09D0E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74B31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A01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B064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8738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218" w:type="pct"/>
            <w:tcBorders>
              <w:top w:val="single" w:color="auto" w:sz="4" w:space="0"/>
              <w:left w:val="single" w:color="auto" w:sz="4" w:space="0"/>
              <w:bottom w:val="single" w:color="auto" w:sz="4" w:space="0"/>
              <w:right w:val="single" w:color="auto" w:sz="4" w:space="0"/>
            </w:tcBorders>
            <w:noWrap/>
            <w:vAlign w:val="center"/>
          </w:tcPr>
          <w:p w14:paraId="0B76AD04">
            <w:pPr>
              <w:jc w:val="right"/>
              <w:rPr>
                <w:rFonts w:hint="default" w:ascii="Times New Roman" w:hAnsi="Times New Roman" w:eastAsia="宋体" w:cs="Times New Roman"/>
                <w:i w:val="0"/>
                <w:iCs w:val="0"/>
                <w:color w:val="000000"/>
                <w:sz w:val="20"/>
                <w:szCs w:val="20"/>
                <w:highlight w:val="none"/>
                <w:u w:val="none"/>
              </w:rPr>
            </w:pPr>
          </w:p>
        </w:tc>
      </w:tr>
      <w:tr w14:paraId="7D9F1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E7C2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362BD3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6D40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9FA7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25.05</w:t>
            </w:r>
          </w:p>
        </w:tc>
        <w:tc>
          <w:tcPr>
            <w:tcW w:w="1218" w:type="pct"/>
            <w:tcBorders>
              <w:top w:val="single" w:color="auto" w:sz="4" w:space="0"/>
              <w:left w:val="single" w:color="auto" w:sz="4" w:space="0"/>
              <w:bottom w:val="single" w:color="auto" w:sz="4" w:space="0"/>
              <w:right w:val="single" w:color="auto" w:sz="4" w:space="0"/>
            </w:tcBorders>
            <w:noWrap/>
            <w:vAlign w:val="center"/>
          </w:tcPr>
          <w:p w14:paraId="39980EFB">
            <w:pPr>
              <w:jc w:val="right"/>
              <w:rPr>
                <w:rFonts w:hint="default" w:ascii="Times New Roman" w:hAnsi="Times New Roman" w:eastAsia="宋体" w:cs="Times New Roman"/>
                <w:i w:val="0"/>
                <w:iCs w:val="0"/>
                <w:color w:val="000000"/>
                <w:sz w:val="20"/>
                <w:szCs w:val="20"/>
                <w:highlight w:val="none"/>
                <w:u w:val="none"/>
              </w:rPr>
            </w:pPr>
          </w:p>
        </w:tc>
      </w:tr>
      <w:tr w14:paraId="3CA15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B5E9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2E5EC4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92ED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BCBE8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71D87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r>
      <w:tr w14:paraId="1CF78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700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7193ED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D17B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C414F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715F7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r>
      <w:tr w14:paraId="1177B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60E0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7E11BD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EDCF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06CD3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F5439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480.25</w:t>
            </w:r>
          </w:p>
        </w:tc>
      </w:tr>
      <w:tr w14:paraId="11C8B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8E98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248AB9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0400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C56FA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DF855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r>
      <w:tr w14:paraId="0DE44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4A01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72D061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4189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B320B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0DAC6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r>
      <w:tr w14:paraId="17E23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2444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1391E0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ECD8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8ABCD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E25B8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382.16</w:t>
            </w:r>
          </w:p>
        </w:tc>
      </w:tr>
      <w:tr w14:paraId="6C333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A48C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CF43A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98E3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A652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218" w:type="pct"/>
            <w:tcBorders>
              <w:top w:val="single" w:color="auto" w:sz="4" w:space="0"/>
              <w:left w:val="single" w:color="auto" w:sz="4" w:space="0"/>
              <w:bottom w:val="single" w:color="auto" w:sz="4" w:space="0"/>
              <w:right w:val="single" w:color="auto" w:sz="4" w:space="0"/>
            </w:tcBorders>
            <w:noWrap/>
            <w:vAlign w:val="center"/>
          </w:tcPr>
          <w:p w14:paraId="0DF4A56B">
            <w:pPr>
              <w:jc w:val="right"/>
              <w:rPr>
                <w:rFonts w:hint="default" w:ascii="Times New Roman" w:hAnsi="Times New Roman" w:eastAsia="宋体" w:cs="Times New Roman"/>
                <w:i w:val="0"/>
                <w:iCs w:val="0"/>
                <w:color w:val="000000"/>
                <w:sz w:val="20"/>
                <w:szCs w:val="20"/>
                <w:highlight w:val="none"/>
                <w:u w:val="none"/>
              </w:rPr>
            </w:pPr>
          </w:p>
        </w:tc>
      </w:tr>
      <w:tr w14:paraId="553A2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6893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03201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E1D0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D200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218" w:type="pct"/>
            <w:tcBorders>
              <w:top w:val="single" w:color="auto" w:sz="4" w:space="0"/>
              <w:left w:val="single" w:color="auto" w:sz="4" w:space="0"/>
              <w:bottom w:val="single" w:color="auto" w:sz="4" w:space="0"/>
              <w:right w:val="single" w:color="auto" w:sz="4" w:space="0"/>
            </w:tcBorders>
            <w:noWrap/>
            <w:vAlign w:val="center"/>
          </w:tcPr>
          <w:p w14:paraId="1D83D774">
            <w:pPr>
              <w:jc w:val="right"/>
              <w:rPr>
                <w:rFonts w:hint="default" w:ascii="Times New Roman" w:hAnsi="Times New Roman" w:eastAsia="宋体" w:cs="Times New Roman"/>
                <w:i w:val="0"/>
                <w:iCs w:val="0"/>
                <w:color w:val="000000"/>
                <w:sz w:val="20"/>
                <w:szCs w:val="20"/>
                <w:highlight w:val="none"/>
                <w:u w:val="none"/>
              </w:rPr>
            </w:pPr>
          </w:p>
        </w:tc>
      </w:tr>
      <w:tr w14:paraId="76FC5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B226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4057B3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851A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947C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34.91</w:t>
            </w:r>
          </w:p>
        </w:tc>
        <w:tc>
          <w:tcPr>
            <w:tcW w:w="1218" w:type="pct"/>
            <w:tcBorders>
              <w:top w:val="single" w:color="auto" w:sz="4" w:space="0"/>
              <w:left w:val="single" w:color="auto" w:sz="4" w:space="0"/>
              <w:bottom w:val="single" w:color="auto" w:sz="4" w:space="0"/>
              <w:right w:val="single" w:color="auto" w:sz="4" w:space="0"/>
            </w:tcBorders>
            <w:noWrap/>
            <w:vAlign w:val="center"/>
          </w:tcPr>
          <w:p w14:paraId="3C499228">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单位（单位）：行唐县上方镇人民政府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644.80</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65.16</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180.43</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14.58</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127.12</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45.32</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65.87</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51.60</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14.96</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1.62</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2.21</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25.05</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1.86</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0.12</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34.91</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111.01</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71.26</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37.49</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26.61</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7.16</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1.83</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0.16</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8.33</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22.77</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0.20</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716.06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65.16</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单位（单位）：行唐县上方镇人民政府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单位（单位）：行唐县上方镇人民政府</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单位（单位）：行唐县上方镇人民政府</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10.95</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0.55</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8.33</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378E74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2D98002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3D2C41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2024年度收、支总计（含结转和结余）均为1,747.62万元。与2023年度决算相比，收支各增加36.58万元，增长2.1%，主要原因是</w:t>
      </w:r>
      <w:r>
        <w:rPr>
          <w:rFonts w:hint="eastAsia" w:ascii="Times New Roman" w:eastAsia="仿宋_GB2312"/>
          <w:b w:val="0"/>
          <w:sz w:val="32"/>
          <w:szCs w:val="32"/>
        </w:rPr>
        <w:t>主要增加了耕地占用税、及新录用人员增加</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91F200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83793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收入合计1,747.62万元，其中：财政拨款收入1,747.62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0574E11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A3FD3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2024年度本年支出合计1,747.62万元，其中：基本支出781.21万元，占44.7%；项目支出966.41万元，占55.3%；上缴上级支出0.00万元，占0.0%；经营支出0.00万元，占0.0%；对附属单位补助支出0.00万元，占0.0%。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CBB3C4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7AABDED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75D01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2024年度财政拨款收、支总计（含结转和结余）均为1,747.62万元。与2023年度相比，财政拨款收支各增加36.58万元，增长2.1%，主要原因是</w:t>
      </w:r>
      <w:r>
        <w:rPr>
          <w:rFonts w:hint="eastAsia" w:ascii="Times New Roman" w:eastAsia="仿宋_GB2312"/>
          <w:b w:val="0"/>
          <w:sz w:val="32"/>
          <w:szCs w:val="32"/>
        </w:rPr>
        <w:t>主要增加了耕地占用税、及新录用人员增加</w:t>
      </w:r>
      <w:r>
        <w:rPr>
          <w:rFonts w:ascii="Times New Roman" w:eastAsia="仿宋_GB2312"/>
          <w:b w:val="0"/>
          <w:sz w:val="32"/>
          <w:szCs w:val="32"/>
        </w:rPr>
        <w:t>。</w:t>
      </w:r>
    </w:p>
    <w:p w14:paraId="68C597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2024年度财政拨款本年收入1,747.62万元,比上年增加36.58万元，增长2.1%，主要原因是；本年支出1,747.62万元，比上年增加36.58万元，增长2.1%，主要原因是。具体情况如下：</w:t>
      </w:r>
    </w:p>
    <w:p w14:paraId="49F5F479">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一般公共预算财政拨款本年收入1,747.62万元,比上年增加113.81万元，增长7.0%，主要原因是；本年支出1,747.62万元，比上年增加113.81万元，增长7.0%，主要原因是</w:t>
      </w:r>
      <w:r>
        <w:rPr>
          <w:rFonts w:hint="eastAsia" w:ascii="Times New Roman" w:eastAsia="仿宋_GB2312"/>
          <w:b w:val="0"/>
          <w:sz w:val="32"/>
          <w:szCs w:val="32"/>
        </w:rPr>
        <w:t>主要增加了耕地占用税、及新录用人员增加</w:t>
      </w:r>
      <w:r>
        <w:rPr>
          <w:rFonts w:ascii="Times New Roman" w:eastAsia="仿宋_GB2312"/>
          <w:b w:val="0"/>
          <w:sz w:val="32"/>
          <w:szCs w:val="32"/>
        </w:rPr>
        <w:t>。</w:t>
      </w:r>
    </w:p>
    <w:p w14:paraId="64A165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政府性基金预算财政拨款本年收入0.00万元，比上年减少77.22万元，降低100.0%，主要原因是；本年支出0.00万元，比上年减少77.22万元，降低100.0%，主要原因是。</w:t>
      </w:r>
    </w:p>
    <w:p w14:paraId="6A2FD5A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国有资本经营预算财政拨款本年收入0.00万元，比上年增加0.00万元，增长0.00%，主要原因是；本年支出0.00万元，比上年增加0.00万元，增长0.00%，主要原因是</w:t>
      </w:r>
      <w:r>
        <w:rPr>
          <w:rFonts w:hint="eastAsia" w:ascii="Times New Roman" w:eastAsia="仿宋_GB2312"/>
          <w:b w:val="0"/>
          <w:sz w:val="32"/>
          <w:szCs w:val="32"/>
        </w:rPr>
        <w:t>减少了正繁公路综合整治占地费用</w:t>
      </w:r>
      <w:r>
        <w:rPr>
          <w:rFonts w:ascii="Times New Roman" w:eastAsia="仿宋_GB2312"/>
          <w:b w:val="0"/>
          <w:sz w:val="32"/>
          <w:szCs w:val="32"/>
        </w:rPr>
        <w:t>。</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8DEC35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CA4FB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1,747.62万元，完成年初预算的133.3%，比年初预算增加436.71万元，决算数大于预算数主要原因是；本年支出1,747.62万元，完成年初预算的133.3%，比年初预算增加436.71万元，决算数大于预算数主要原因是。具体情况如下：</w:t>
      </w:r>
    </w:p>
    <w:p w14:paraId="6546B6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一般公共预算财政拨款本年收入完成年初预算的133.3%，比年初预算增加436.71万元，主要原因是；支出完成年初预算的133.3%，比年初预算增加436.71万元，主要原因是</w:t>
      </w:r>
      <w:r>
        <w:rPr>
          <w:rFonts w:hint="eastAsia" w:ascii="Times New Roman" w:eastAsia="仿宋_GB2312"/>
          <w:b w:val="0"/>
          <w:sz w:val="32"/>
          <w:szCs w:val="32"/>
        </w:rPr>
        <w:t>主要增加了耕地占用税、及新录用人员增加</w:t>
      </w:r>
      <w:r>
        <w:rPr>
          <w:rFonts w:ascii="Times New Roman" w:eastAsia="仿宋_GB2312"/>
          <w:b w:val="0"/>
          <w:sz w:val="32"/>
          <w:szCs w:val="32"/>
        </w:rPr>
        <w:t>。</w:t>
      </w:r>
    </w:p>
    <w:p w14:paraId="4AF835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w:t>
      </w:r>
      <w:r>
        <w:rPr>
          <w:rFonts w:hint="eastAsia" w:ascii="Times New Roman" w:eastAsia="仿宋_GB2312"/>
          <w:b w:val="0"/>
          <w:sz w:val="32"/>
          <w:szCs w:val="32"/>
          <w:lang w:eastAsia="zh-CN"/>
        </w:rPr>
        <w:t>未发生</w:t>
      </w:r>
      <w:r>
        <w:rPr>
          <w:rFonts w:hint="eastAsia" w:ascii="Times New Roman" w:eastAsia="仿宋_GB2312"/>
          <w:b w:val="0"/>
          <w:sz w:val="32"/>
          <w:szCs w:val="32"/>
        </w:rPr>
        <w:t>政府性基金</w:t>
      </w:r>
      <w:r>
        <w:rPr>
          <w:rFonts w:hint="eastAsia" w:ascii="Times New Roman" w:eastAsia="仿宋_GB2312"/>
          <w:b w:val="0"/>
          <w:sz w:val="32"/>
          <w:szCs w:val="32"/>
          <w:lang w:eastAsia="zh-CN"/>
        </w:rPr>
        <w:t>收入</w:t>
      </w:r>
      <w:r>
        <w:rPr>
          <w:rFonts w:ascii="Times New Roman" w:eastAsia="仿宋_GB2312"/>
          <w:b w:val="0"/>
          <w:sz w:val="32"/>
          <w:szCs w:val="32"/>
        </w:rPr>
        <w:t>；支出完成年初预算的0.0%，比年初预算增加0.00万元，主要原因是</w:t>
      </w:r>
      <w:r>
        <w:rPr>
          <w:rFonts w:hint="eastAsia" w:ascii="Times New Roman" w:eastAsia="仿宋_GB2312"/>
          <w:b w:val="0"/>
          <w:sz w:val="32"/>
          <w:szCs w:val="32"/>
          <w:lang w:eastAsia="zh-CN"/>
        </w:rPr>
        <w:t>未发生政府性基金支出</w:t>
      </w:r>
      <w:r>
        <w:rPr>
          <w:rFonts w:ascii="Times New Roman" w:eastAsia="仿宋_GB2312"/>
          <w:b w:val="0"/>
          <w:sz w:val="32"/>
          <w:szCs w:val="32"/>
        </w:rPr>
        <w:t>。</w:t>
      </w:r>
    </w:p>
    <w:p w14:paraId="5C4538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w:t>
      </w:r>
      <w:r>
        <w:rPr>
          <w:rFonts w:hint="eastAsia" w:ascii="Times New Roman" w:eastAsia="仿宋_GB2312"/>
          <w:b w:val="0"/>
          <w:sz w:val="32"/>
          <w:szCs w:val="32"/>
        </w:rPr>
        <w:t>未发生国有资本经营预算财政拨款收入</w:t>
      </w:r>
      <w:r>
        <w:rPr>
          <w:rFonts w:ascii="Times New Roman" w:eastAsia="仿宋_GB2312"/>
          <w:b w:val="0"/>
          <w:sz w:val="32"/>
          <w:szCs w:val="32"/>
        </w:rPr>
        <w:t>；支出完成年初预算的0.0%，比年初预算增加0.00万元，主要原因是</w:t>
      </w:r>
      <w:r>
        <w:rPr>
          <w:rFonts w:hint="eastAsia" w:ascii="Times New Roman" w:eastAsia="仿宋_GB2312"/>
          <w:b w:val="0"/>
          <w:sz w:val="32"/>
          <w:szCs w:val="32"/>
          <w:lang w:eastAsia="zh-CN"/>
        </w:rPr>
        <w:t>未发生国有资本经营预算财政拨款支出</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35E6C2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85185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2024年度财政拨款支出1,747.62万元，主要用于以下方面：</w:t>
      </w:r>
    </w:p>
    <w:p w14:paraId="0ED4F1A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0DDAC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一般公共服务（类）支出770.17万元，占44.1%，主要用于</w:t>
      </w:r>
      <w:r>
        <w:rPr>
          <w:rFonts w:hint="eastAsia" w:ascii="Times New Roman" w:eastAsia="仿宋_GB2312"/>
          <w:b w:val="0"/>
          <w:sz w:val="32"/>
          <w:szCs w:val="32"/>
        </w:rPr>
        <w:t>一般公共服务（类）支出</w:t>
      </w:r>
      <w:r>
        <w:rPr>
          <w:rFonts w:ascii="Times New Roman" w:eastAsia="仿宋_GB2312"/>
          <w:b w:val="0"/>
          <w:sz w:val="32"/>
          <w:szCs w:val="32"/>
        </w:rPr>
        <w:t>等支出</w:t>
      </w:r>
      <w:r>
        <w:rPr>
          <w:rFonts w:hint="eastAsia" w:ascii="Times New Roman" w:eastAsia="仿宋_GB2312"/>
          <w:b w:val="0"/>
          <w:sz w:val="32"/>
          <w:szCs w:val="32"/>
          <w:lang w:eastAsia="zh-CN"/>
        </w:rPr>
        <w:t>；</w:t>
      </w:r>
      <w:r>
        <w:rPr>
          <w:rFonts w:ascii="Times New Roman" w:eastAsia="仿宋_GB2312"/>
          <w:b w:val="0"/>
          <w:sz w:val="32"/>
          <w:szCs w:val="32"/>
        </w:rPr>
        <w:t>社会保障和就业 （类）支出55.08万元，占3.2%，主要用于</w:t>
      </w:r>
      <w:r>
        <w:rPr>
          <w:rFonts w:hint="eastAsia" w:ascii="Times New Roman" w:eastAsia="仿宋_GB2312"/>
          <w:b w:val="0"/>
          <w:sz w:val="32"/>
          <w:szCs w:val="32"/>
        </w:rPr>
        <w:t>社会保障和就业 （类）支出</w:t>
      </w:r>
      <w:r>
        <w:rPr>
          <w:rFonts w:ascii="Times New Roman" w:eastAsia="仿宋_GB2312"/>
          <w:b w:val="0"/>
          <w:sz w:val="32"/>
          <w:szCs w:val="32"/>
        </w:rPr>
        <w:t>等支出；卫生健康（类）支出25.05万元，占1.4%，主要用于</w:t>
      </w:r>
      <w:r>
        <w:rPr>
          <w:rFonts w:hint="eastAsia" w:ascii="Times New Roman" w:eastAsia="仿宋_GB2312"/>
          <w:b w:val="0"/>
          <w:sz w:val="32"/>
          <w:szCs w:val="32"/>
        </w:rPr>
        <w:t>卫生健康（类）支出</w:t>
      </w:r>
      <w:r>
        <w:rPr>
          <w:rFonts w:ascii="Times New Roman" w:eastAsia="仿宋_GB2312"/>
          <w:b w:val="0"/>
          <w:sz w:val="32"/>
          <w:szCs w:val="32"/>
        </w:rPr>
        <w:t>等支出；城乡社区（类）支出480.25万元，占27.5%，主要用于</w:t>
      </w:r>
      <w:r>
        <w:rPr>
          <w:rFonts w:hint="eastAsia" w:ascii="Times New Roman" w:eastAsia="仿宋_GB2312"/>
          <w:b w:val="0"/>
          <w:sz w:val="32"/>
          <w:szCs w:val="32"/>
        </w:rPr>
        <w:t>城乡社区（类）支出</w:t>
      </w:r>
      <w:r>
        <w:rPr>
          <w:rFonts w:ascii="Times New Roman" w:eastAsia="仿宋_GB2312"/>
          <w:b w:val="0"/>
          <w:sz w:val="32"/>
          <w:szCs w:val="32"/>
        </w:rPr>
        <w:t>等支出；农林水（类）支出382.16万元，占21.9%，主要用于</w:t>
      </w:r>
      <w:r>
        <w:rPr>
          <w:rFonts w:hint="eastAsia" w:ascii="Times New Roman" w:eastAsia="仿宋_GB2312"/>
          <w:b w:val="0"/>
          <w:sz w:val="32"/>
          <w:szCs w:val="32"/>
        </w:rPr>
        <w:t>农林水（类）支出</w:t>
      </w:r>
      <w:r>
        <w:rPr>
          <w:rFonts w:ascii="Times New Roman" w:eastAsia="仿宋_GB2312"/>
          <w:b w:val="0"/>
          <w:sz w:val="32"/>
          <w:szCs w:val="32"/>
        </w:rPr>
        <w:t>等支出；住房保障（类）支出34.91万元，占2.0%，主要用于等支出。</w:t>
      </w:r>
    </w:p>
    <w:p w14:paraId="58109AC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296DFF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未发生政府性基金预算财政拨款支出</w:t>
      </w:r>
      <w:r>
        <w:rPr>
          <w:rFonts w:ascii="Times New Roman" w:eastAsia="仿宋_GB2312"/>
          <w:b w:val="0"/>
          <w:sz w:val="32"/>
          <w:szCs w:val="32"/>
        </w:rPr>
        <w:t>。</w:t>
      </w:r>
    </w:p>
    <w:p w14:paraId="4AFF3C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0DF4FE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未发生国有资本经营预算财政拨款支出</w:t>
      </w:r>
      <w:r>
        <w:rPr>
          <w:rFonts w:ascii="Times New Roman" w:eastAsia="仿宋_GB2312"/>
          <w:b w:val="0"/>
          <w:sz w:val="32"/>
          <w:szCs w:val="32"/>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7EC67B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E8B434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2024年度财政拨款基本支出781.21万元，其中：</w:t>
      </w:r>
    </w:p>
    <w:p w14:paraId="7DD22C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人员经费716.06万元，主要包括基本工资、津贴补贴、奖金、伙食补助费、绩效工资、机关事业</w:t>
      </w:r>
      <w:r>
        <w:rPr>
          <w:rFonts w:hint="eastAsia" w:ascii="Times New Roman" w:eastAsia="仿宋_GB2312"/>
          <w:b w:val="0"/>
          <w:sz w:val="32"/>
          <w:szCs w:val="32"/>
          <w:lang w:eastAsia="zh-CN"/>
        </w:rPr>
        <w:t>单位</w:t>
      </w:r>
      <w:r>
        <w:rPr>
          <w:rFonts w:ascii="Times New Roman" w:eastAsia="仿宋_GB2312"/>
          <w:b w:val="0"/>
          <w:sz w:val="32"/>
          <w:szCs w:val="32"/>
        </w:rPr>
        <w:t>基本养老保险缴费、职业年金缴费、职工基本医疗保险缴费、住房公积金、其他社会保障缴费、其他工资福利支出、 退休费、 抚恤金、生活补助、其他对个人和家庭的补助支出。</w:t>
      </w:r>
    </w:p>
    <w:p w14:paraId="229E33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公用经费65.16万元，主要包括</w:t>
      </w:r>
      <w:r>
        <w:rPr>
          <w:rFonts w:hint="eastAsia" w:ascii="Times New Roman" w:eastAsia="仿宋_GB2312"/>
          <w:b w:val="0"/>
          <w:sz w:val="32"/>
          <w:szCs w:val="32"/>
        </w:rPr>
        <w:t>办公费、印刷费、电费、邮电费、维修（护）费、租赁费、劳务费、委托业务费、工会经费、福利费、公务用车运行维护费、其他交通费用、其他商品和服务支出</w:t>
      </w:r>
      <w:r>
        <w:rPr>
          <w:rFonts w:ascii="Times New Roman" w:eastAsia="仿宋_GB2312"/>
          <w:b w:val="0"/>
          <w:sz w:val="32"/>
          <w:szCs w:val="32"/>
        </w:rPr>
        <w:t>。</w:t>
      </w:r>
    </w:p>
    <w:p w14:paraId="4D99086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2458D77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1AA4F1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2024年度“三公”经费财政拨款支出预算为10.95万元，支出决算为8.33万元，完成预算的76.1%，较预算减少2.62万元，降低23.9%，主要原因是</w:t>
      </w:r>
      <w:r>
        <w:rPr>
          <w:rFonts w:hint="eastAsia" w:ascii="Times New Roman" w:eastAsia="仿宋_GB2312"/>
          <w:b w:val="0"/>
          <w:sz w:val="32"/>
          <w:szCs w:val="32"/>
        </w:rPr>
        <w:t>认真贯彻落实中央八项规定精神和厉行节约要求，从严控制“三公”经费开支，全年实际支出比预算有所节约</w:t>
      </w:r>
      <w:r>
        <w:rPr>
          <w:rFonts w:ascii="Times New Roman" w:eastAsia="仿宋_GB2312"/>
          <w:b w:val="0"/>
          <w:sz w:val="32"/>
          <w:szCs w:val="32"/>
        </w:rPr>
        <w:t>；较2023年度决算减少2.12万元，降低20.2%，主要原因是</w:t>
      </w:r>
      <w:r>
        <w:rPr>
          <w:rFonts w:hint="eastAsia" w:ascii="Times New Roman" w:eastAsia="仿宋_GB2312"/>
          <w:b w:val="0"/>
          <w:sz w:val="32"/>
          <w:szCs w:val="32"/>
        </w:rPr>
        <w:t>因秸秆禁烧以及拆违事项减少，导致公车使用次数减少</w:t>
      </w:r>
      <w:r>
        <w:rPr>
          <w:rFonts w:ascii="Times New Roman" w:eastAsia="仿宋_GB2312"/>
          <w:b w:val="0"/>
          <w:sz w:val="32"/>
          <w:szCs w:val="32"/>
        </w:rPr>
        <w:t>。</w:t>
      </w:r>
    </w:p>
    <w:p w14:paraId="16F3789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772716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2024年度因公出国（境）费支出预算为0.00万元,支出决算0.00万元。完成预算的0.0%。</w:t>
      </w:r>
      <w:r>
        <w:rPr>
          <w:rFonts w:hint="eastAsia" w:ascii="Times New Roman" w:eastAsia="仿宋_GB2312"/>
          <w:b w:val="0"/>
          <w:sz w:val="32"/>
          <w:szCs w:val="32"/>
        </w:rPr>
        <w:t>因公出国（境）费支出较预算持平，主要是未发生“因公出国（境）”经费支出；较上年持平，主要是未发生“因公出国（境）”经费支出。因公出国（境）团组0个、共0人、无本</w:t>
      </w:r>
      <w:r>
        <w:rPr>
          <w:rFonts w:hint="eastAsia" w:ascii="Times New Roman" w:eastAsia="仿宋_GB2312"/>
          <w:b w:val="0"/>
          <w:sz w:val="32"/>
          <w:szCs w:val="32"/>
          <w:lang w:eastAsia="zh-CN"/>
        </w:rPr>
        <w:t>单位</w:t>
      </w:r>
      <w:r>
        <w:rPr>
          <w:rFonts w:hint="eastAsia" w:ascii="Times New Roman" w:eastAsia="仿宋_GB2312"/>
          <w:b w:val="0"/>
          <w:sz w:val="32"/>
          <w:szCs w:val="32"/>
        </w:rPr>
        <w:t>组织的出国（境）团组</w:t>
      </w:r>
      <w:r>
        <w:rPr>
          <w:rFonts w:ascii="Times New Roman" w:eastAsia="仿宋_GB2312"/>
          <w:b w:val="0"/>
          <w:sz w:val="32"/>
          <w:szCs w:val="32"/>
        </w:rPr>
        <w:t>。</w:t>
      </w:r>
    </w:p>
    <w:p w14:paraId="2EF96A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2024年度公务用车购置及运行维护费预算为10.40万元，支出决算8.33万元，完成预算的80.1%,较预算减少2.07万元，降低19.9%,主要原因是</w:t>
      </w:r>
      <w:r>
        <w:rPr>
          <w:rFonts w:hint="eastAsia" w:ascii="Times New Roman" w:eastAsia="仿宋_GB2312"/>
          <w:b w:val="0"/>
          <w:sz w:val="32"/>
          <w:szCs w:val="32"/>
        </w:rPr>
        <w:t>认真贯彻落实中央八项规定精神和厉行节约要求，从严控制“三公”经费开支，全年实际支出比预算有所节约</w:t>
      </w:r>
      <w:r>
        <w:rPr>
          <w:rFonts w:ascii="Times New Roman" w:eastAsia="仿宋_GB2312"/>
          <w:b w:val="0"/>
          <w:sz w:val="32"/>
          <w:szCs w:val="32"/>
        </w:rPr>
        <w:t>；较上年减少2.12万元，降低20.2%,主要原因是</w:t>
      </w:r>
      <w:r>
        <w:rPr>
          <w:rFonts w:hint="eastAsia" w:ascii="Times New Roman" w:eastAsia="仿宋_GB2312"/>
          <w:b w:val="0"/>
          <w:sz w:val="32"/>
          <w:szCs w:val="32"/>
        </w:rPr>
        <w:t>因秸秆禁烧以及拆违事项减少，导致公车使用次数减少</w:t>
      </w:r>
      <w:r>
        <w:rPr>
          <w:rFonts w:ascii="Times New Roman" w:eastAsia="仿宋_GB2312"/>
          <w:b w:val="0"/>
          <w:sz w:val="32"/>
          <w:szCs w:val="32"/>
        </w:rPr>
        <w:t>。其中：</w:t>
      </w:r>
    </w:p>
    <w:p w14:paraId="3D1A7F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2024年度公务用车购置量0辆，发生“公务用车购置”经费支出0.00万元。公</w:t>
      </w:r>
      <w:r>
        <w:rPr>
          <w:rFonts w:hint="eastAsia" w:ascii="Times New Roman" w:eastAsia="仿宋_GB2312"/>
          <w:b w:val="0"/>
          <w:sz w:val="32"/>
          <w:szCs w:val="32"/>
        </w:rPr>
        <w:t>公务用车购置费支出较预算持平，主要是未发生“公务用车购置”经费支出；较上年持平，主要是未发生“公务用车购置”经费支出。</w:t>
      </w:r>
    </w:p>
    <w:p w14:paraId="5021E4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公务用车运行维护费支出8.33万元：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2024年度单位公务用车保有量4辆，发生运行维护费支出8.33万元。公车运行维护费支出较预算减少2.07万元，降低19.9%,主要原因是</w:t>
      </w:r>
      <w:r>
        <w:rPr>
          <w:rFonts w:hint="eastAsia" w:ascii="Times New Roman" w:eastAsia="仿宋_GB2312"/>
          <w:b w:val="0"/>
          <w:sz w:val="32"/>
          <w:szCs w:val="32"/>
        </w:rPr>
        <w:t>认真贯彻落实中央八项规定精神和厉行节约要求，从严控制“三公”经费开支，全年实际支出比预算有所节约</w:t>
      </w:r>
      <w:r>
        <w:rPr>
          <w:rFonts w:ascii="Times New Roman" w:eastAsia="仿宋_GB2312"/>
          <w:b w:val="0"/>
          <w:sz w:val="32"/>
          <w:szCs w:val="32"/>
        </w:rPr>
        <w:t>；较上年减少2.12万元，降低20.2%，主要原因是</w:t>
      </w:r>
      <w:r>
        <w:rPr>
          <w:rFonts w:hint="eastAsia" w:ascii="Times New Roman" w:eastAsia="仿宋_GB2312"/>
          <w:b w:val="0"/>
          <w:sz w:val="32"/>
          <w:szCs w:val="32"/>
        </w:rPr>
        <w:t>因秸秆禁烧以及拆违事项减少，导致公车使用次数减少</w:t>
      </w:r>
      <w:r>
        <w:rPr>
          <w:rFonts w:ascii="Times New Roman" w:eastAsia="仿宋_GB2312"/>
          <w:b w:val="0"/>
          <w:sz w:val="32"/>
          <w:szCs w:val="32"/>
        </w:rPr>
        <w:t>。</w:t>
      </w:r>
    </w:p>
    <w:p w14:paraId="28B073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2024年度公务接待费支出预算为0.55万元，支出决算0.00万元，完成预算的0.0%。公务接待费支出较预算减少0.55万元，降低100.0%,主要原因是</w:t>
      </w:r>
      <w:r>
        <w:rPr>
          <w:rFonts w:hint="eastAsia" w:ascii="Times New Roman" w:eastAsia="仿宋_GB2312"/>
          <w:b w:val="0"/>
          <w:sz w:val="32"/>
          <w:szCs w:val="32"/>
        </w:rPr>
        <w:t>未发生“公务接待”经费支出</w:t>
      </w:r>
      <w:r>
        <w:rPr>
          <w:rFonts w:ascii="Times New Roman" w:eastAsia="仿宋_GB2312"/>
          <w:b w:val="0"/>
          <w:sz w:val="32"/>
          <w:szCs w:val="32"/>
        </w:rPr>
        <w:t>；较上年度增加0.00万元，增长0.00%,主要原因是</w:t>
      </w:r>
      <w:r>
        <w:rPr>
          <w:rFonts w:hint="eastAsia" w:ascii="Times New Roman" w:eastAsia="仿宋_GB2312"/>
          <w:b w:val="0"/>
          <w:sz w:val="32"/>
          <w:szCs w:val="32"/>
        </w:rPr>
        <w:t>未发生“公务接待”经费支出</w:t>
      </w:r>
      <w:r>
        <w:rPr>
          <w:rFonts w:ascii="Times New Roman" w:eastAsia="仿宋_GB2312"/>
          <w:b w:val="0"/>
          <w:sz w:val="32"/>
          <w:szCs w:val="32"/>
        </w:rPr>
        <w:t>。本年度共发生公务接待0批次、0人次。</w:t>
      </w:r>
    </w:p>
    <w:p w14:paraId="5C5AB01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18C04B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2024年度机关运行经费支出65.16万元，较2023年度减少33.60万元，降低34.0%。主要原因是</w:t>
      </w:r>
      <w:r>
        <w:rPr>
          <w:rFonts w:hint="eastAsia" w:ascii="Times New Roman" w:eastAsia="仿宋_GB2312"/>
          <w:b w:val="0"/>
          <w:sz w:val="32"/>
          <w:szCs w:val="32"/>
        </w:rPr>
        <w:t>节约办公，节约办公用品</w:t>
      </w:r>
      <w:r>
        <w:rPr>
          <w:rFonts w:ascii="Times New Roman" w:eastAsia="仿宋_GB2312"/>
          <w:b w:val="0"/>
          <w:sz w:val="32"/>
          <w:szCs w:val="32"/>
        </w:rPr>
        <w:t>。</w:t>
      </w:r>
    </w:p>
    <w:p w14:paraId="1ECD24E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C9781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40D859B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689894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单位</w:t>
      </w:r>
      <w:r>
        <w:rPr>
          <w:rFonts w:ascii="Times New Roman" w:eastAsia="仿宋_GB2312"/>
          <w:b w:val="0"/>
          <w:sz w:val="32"/>
          <w:szCs w:val="32"/>
        </w:rPr>
        <w:t>共有车辆10辆，比上年增加6辆，主要是</w:t>
      </w:r>
      <w:r>
        <w:rPr>
          <w:rFonts w:hint="eastAsia" w:ascii="Times New Roman" w:eastAsia="仿宋_GB2312"/>
          <w:b w:val="0"/>
          <w:sz w:val="32"/>
          <w:szCs w:val="32"/>
          <w:lang w:eastAsia="zh-CN"/>
        </w:rPr>
        <w:t>增加工具用车</w:t>
      </w:r>
      <w:r>
        <w:rPr>
          <w:rFonts w:ascii="Times New Roman" w:eastAsia="仿宋_GB2312"/>
          <w:b w:val="0"/>
          <w:sz w:val="32"/>
          <w:szCs w:val="32"/>
        </w:rPr>
        <w:t>。其中，副部（省）级及以上领导用车0辆，主要负责人用车0辆，机要通信用车0辆，应急保障用车3辆，执法执勤用车0辆，特种专业技术用车1辆，离退休干部用车0辆，其他用车6辆，其他用车主要是。单位价值100万元（含）以上设备（不含车辆）0台（套）。</w:t>
      </w:r>
    </w:p>
    <w:p w14:paraId="3A13E27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A96269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1F85F3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单位</w:t>
      </w:r>
      <w:r>
        <w:rPr>
          <w:rFonts w:ascii="Times New Roman" w:eastAsia="仿宋_GB2312"/>
          <w:b w:val="0"/>
          <w:sz w:val="32"/>
          <w:szCs w:val="32"/>
        </w:rPr>
        <w:t>组织对2024年度本级预算项目支出全面开展绩效自评，共涉及资金</w:t>
      </w:r>
      <w:r>
        <w:rPr>
          <w:rFonts w:hint="eastAsia" w:ascii="Times New Roman" w:eastAsia="仿宋_GB2312"/>
          <w:b w:val="0"/>
          <w:sz w:val="32"/>
          <w:szCs w:val="32"/>
          <w:lang w:val="en-US" w:eastAsia="zh-CN"/>
        </w:rPr>
        <w:t>966.41</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13</w:t>
      </w:r>
      <w:r>
        <w:rPr>
          <w:rFonts w:ascii="Times New Roman" w:eastAsia="仿宋_GB2312"/>
          <w:b w:val="0"/>
          <w:sz w:val="32"/>
          <w:szCs w:val="32"/>
        </w:rPr>
        <w:t>个，涉及资金</w:t>
      </w:r>
      <w:r>
        <w:rPr>
          <w:rFonts w:hint="eastAsia" w:ascii="Times New Roman" w:eastAsia="仿宋_GB2312"/>
          <w:b w:val="0"/>
          <w:sz w:val="32"/>
          <w:szCs w:val="32"/>
          <w:lang w:val="en-US" w:eastAsia="zh-CN"/>
        </w:rPr>
        <w:t>966.41</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6A5C7F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rPr>
        <w:t>村干部基本报酬</w:t>
      </w:r>
      <w:r>
        <w:rPr>
          <w:rFonts w:ascii="Times New Roman" w:eastAsia="仿宋_GB2312"/>
          <w:b w:val="0"/>
          <w:sz w:val="32"/>
          <w:szCs w:val="32"/>
        </w:rPr>
        <w:t>等</w:t>
      </w:r>
      <w:r>
        <w:rPr>
          <w:rFonts w:hint="eastAsia" w:ascii="Times New Roman" w:eastAsia="仿宋_GB2312"/>
          <w:b w:val="0"/>
          <w:sz w:val="32"/>
          <w:szCs w:val="32"/>
          <w:lang w:val="en-US" w:eastAsia="zh-CN"/>
        </w:rPr>
        <w:t>1</w:t>
      </w:r>
      <w:r>
        <w:rPr>
          <w:rFonts w:ascii="Times New Roman" w:eastAsia="仿宋_GB2312"/>
          <w:b w:val="0"/>
          <w:sz w:val="32"/>
          <w:szCs w:val="32"/>
        </w:rPr>
        <w:t>个项目开展了</w:t>
      </w:r>
      <w:r>
        <w:rPr>
          <w:rFonts w:hint="eastAsia" w:ascii="Times New Roman" w:eastAsia="仿宋_GB2312"/>
          <w:b w:val="0"/>
          <w:sz w:val="32"/>
          <w:szCs w:val="32"/>
          <w:lang w:eastAsia="zh-CN"/>
        </w:rPr>
        <w:t>单位</w:t>
      </w:r>
      <w:r>
        <w:rPr>
          <w:rFonts w:ascii="Times New Roman" w:eastAsia="仿宋_GB2312"/>
          <w:b w:val="0"/>
          <w:sz w:val="32"/>
          <w:szCs w:val="32"/>
        </w:rPr>
        <w:t>重点评价，涉及一般公共预算支出</w:t>
      </w:r>
      <w:r>
        <w:rPr>
          <w:rFonts w:hint="eastAsia" w:ascii="Times New Roman" w:eastAsia="仿宋_GB2312"/>
          <w:b w:val="0"/>
          <w:sz w:val="32"/>
          <w:szCs w:val="32"/>
          <w:lang w:val="en-US" w:eastAsia="zh-CN"/>
        </w:rPr>
        <w:t>162.54</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p>
    <w:p w14:paraId="3C0285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3619C3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决算公开中反映等</w:t>
      </w:r>
      <w:r>
        <w:rPr>
          <w:rFonts w:hint="eastAsia" w:ascii="Times New Roman" w:eastAsia="仿宋_GB2312"/>
          <w:b w:val="0"/>
          <w:sz w:val="32"/>
          <w:szCs w:val="32"/>
          <w:lang w:val="en-US" w:eastAsia="zh-CN"/>
        </w:rPr>
        <w:t>2</w:t>
      </w:r>
      <w:r>
        <w:rPr>
          <w:rFonts w:ascii="Times New Roman" w:eastAsia="仿宋_GB2312"/>
          <w:b w:val="0"/>
          <w:sz w:val="32"/>
          <w:szCs w:val="32"/>
        </w:rPr>
        <w:t>个项目绩效自评结果。</w:t>
      </w:r>
    </w:p>
    <w:p w14:paraId="4FA8ECF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ascii="Times New Roman" w:eastAsia="仿宋_GB2312"/>
          <w:b w:val="0"/>
          <w:sz w:val="32"/>
          <w:szCs w:val="32"/>
        </w:rPr>
        <w:t>项目绩效自评情况：根据年初设定的绩效目标，项目绩效自评得分为分（绩效自评表附后）。全年预算数为</w:t>
      </w:r>
      <w:r>
        <w:rPr>
          <w:rFonts w:hint="eastAsia" w:ascii="Times New Roman" w:eastAsia="仿宋_GB2312"/>
          <w:b w:val="0"/>
          <w:sz w:val="32"/>
          <w:szCs w:val="32"/>
          <w:lang w:val="en-US" w:eastAsia="zh-CN"/>
        </w:rPr>
        <w:t>162.54</w:t>
      </w:r>
      <w:r>
        <w:rPr>
          <w:rFonts w:ascii="Times New Roman" w:eastAsia="仿宋_GB2312"/>
          <w:b w:val="0"/>
          <w:sz w:val="32"/>
          <w:szCs w:val="32"/>
        </w:rPr>
        <w:t>万元，执行数为</w:t>
      </w:r>
      <w:r>
        <w:rPr>
          <w:rFonts w:hint="eastAsia" w:ascii="Times New Roman" w:eastAsia="仿宋_GB2312"/>
          <w:b w:val="0"/>
          <w:sz w:val="32"/>
          <w:szCs w:val="32"/>
          <w:lang w:val="en-US" w:eastAsia="zh-CN"/>
        </w:rPr>
        <w:t>162.54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rPr>
        <w:t>项目绩效目标完成情况：一是补贴发放人数等于年初设定目标；二是补贴发放覆盖率达100.0%。发现的主要问题及原因：一是补贴发放及时性存在欠缺；二是对预算项目的重视度存在不足。下一步改进措施：一是及时发放村干部生活补贴；二是激励村干部工作热情、确保各项工作顺利进行。</w:t>
      </w:r>
    </w:p>
    <w:p w14:paraId="421A78F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drawing>
          <wp:inline distT="0" distB="0" distL="114300" distR="114300">
            <wp:extent cx="5759450" cy="5215255"/>
            <wp:effectExtent l="0" t="0" r="12700" b="4445"/>
            <wp:docPr id="2" name="图片 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1"/>
                    <pic:cNvPicPr>
                      <a:picLocks noChangeAspect="1"/>
                    </pic:cNvPicPr>
                  </pic:nvPicPr>
                  <pic:blipFill>
                    <a:blip r:embed="rId20"/>
                    <a:stretch>
                      <a:fillRect/>
                    </a:stretch>
                  </pic:blipFill>
                  <pic:spPr>
                    <a:xfrm>
                      <a:off x="0" y="0"/>
                      <a:ext cx="5759450" cy="5215255"/>
                    </a:xfrm>
                    <a:prstGeom prst="rect">
                      <a:avLst/>
                    </a:prstGeom>
                  </pic:spPr>
                </pic:pic>
              </a:graphicData>
            </a:graphic>
          </wp:inline>
        </w:drawing>
      </w:r>
    </w:p>
    <w:p w14:paraId="45F3534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服务群众专项经费项目自评综述：根据年初设定的绩效目标，村干部基本报酬项目绩效自评得分为98分（绩效自评表附后）。全年预算数为100万元，执行数为100万元，完成预算的100.0%。项目绩效目标完成情况：一是进行人居环境整治村数等于年初设定数；二是卫生清理覆盖率达98.0%。发现的主要问题及原因：一是资金支出不及时；二是支出准确性存在欠缺。下一步改进措施：一是我镇将加强预算支出力度，确保资金及时拨付到位；二是保证资金支出的准确性。</w:t>
      </w:r>
    </w:p>
    <w:p w14:paraId="701F090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drawing>
          <wp:inline distT="0" distB="0" distL="114300" distR="114300">
            <wp:extent cx="5755005" cy="5922645"/>
            <wp:effectExtent l="0" t="0" r="17145" b="1905"/>
            <wp:docPr id="4" name="图片 4"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图片1"/>
                    <pic:cNvPicPr>
                      <a:picLocks noChangeAspect="1"/>
                    </pic:cNvPicPr>
                  </pic:nvPicPr>
                  <pic:blipFill>
                    <a:blip r:embed="rId21"/>
                    <a:stretch>
                      <a:fillRect/>
                    </a:stretch>
                  </pic:blipFill>
                  <pic:spPr>
                    <a:xfrm>
                      <a:off x="0" y="0"/>
                      <a:ext cx="5755005" cy="5922645"/>
                    </a:xfrm>
                    <a:prstGeom prst="rect">
                      <a:avLst/>
                    </a:prstGeom>
                  </pic:spPr>
                </pic:pic>
              </a:graphicData>
            </a:graphic>
          </wp:inline>
        </w:drawing>
      </w:r>
    </w:p>
    <w:p w14:paraId="0974F0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14:paraId="02329B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根据</w:t>
      </w:r>
      <w:r>
        <w:rPr>
          <w:rFonts w:hint="eastAsia" w:ascii="Times New Roman" w:eastAsia="仿宋_GB2312"/>
          <w:sz w:val="32"/>
          <w:szCs w:val="32"/>
          <w:lang w:eastAsia="zh-CN"/>
        </w:rPr>
        <w:t>单位</w:t>
      </w:r>
      <w:r>
        <w:rPr>
          <w:rFonts w:hint="eastAsia" w:ascii="Times New Roman" w:eastAsia="仿宋_GB2312"/>
          <w:sz w:val="32"/>
          <w:szCs w:val="32"/>
        </w:rPr>
        <w:t>职责定位和各项工作履职情况进行综合评价，总得分98分，</w:t>
      </w:r>
      <w:r>
        <w:rPr>
          <w:rFonts w:hint="eastAsia" w:ascii="Times New Roman" w:eastAsia="仿宋_GB2312"/>
          <w:sz w:val="32"/>
          <w:szCs w:val="32"/>
          <w:lang w:eastAsia="zh-CN"/>
        </w:rPr>
        <w:t>单位</w:t>
      </w:r>
      <w:r>
        <w:rPr>
          <w:rFonts w:hint="eastAsia" w:ascii="Times New Roman" w:eastAsia="仿宋_GB2312"/>
          <w:sz w:val="32"/>
          <w:szCs w:val="32"/>
        </w:rPr>
        <w:t>整体支出综合绩效评价分为优秀等级。</w:t>
      </w:r>
    </w:p>
    <w:p w14:paraId="09902928">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9A52C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eastAsia="zh-CN"/>
        </w:rPr>
        <w:t>单位</w:t>
      </w:r>
      <w:r>
        <w:rPr>
          <w:rFonts w:ascii="Times New Roman" w:eastAsia="仿宋_GB2312"/>
          <w:b w:val="0"/>
          <w:sz w:val="32"/>
          <w:szCs w:val="32"/>
        </w:rPr>
        <w:t>2024年度政府性基金预算财政拨款收入支出决算表（公开07表）、国有资本经营预算财政拨款支出决算表（公开08表）无相应收支，故空表列示。</w:t>
      </w:r>
    </w:p>
    <w:p w14:paraId="5860E2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27D661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B99A86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w:t>
      </w:r>
      <w:r>
        <w:rPr>
          <w:rFonts w:hint="eastAsia" w:ascii="Times New Roman" w:eastAsia="仿宋_GB2312"/>
          <w:b w:val="0"/>
          <w:sz w:val="32"/>
          <w:szCs w:val="32"/>
          <w:lang w:eastAsia="zh-CN"/>
        </w:rPr>
        <w:t>单位</w:t>
      </w:r>
      <w:r>
        <w:rPr>
          <w:rFonts w:ascii="Times New Roman" w:eastAsia="仿宋_GB2312"/>
          <w:b w:val="0"/>
          <w:sz w:val="32"/>
          <w:szCs w:val="32"/>
        </w:rPr>
        <w:t>取得的财政预算资金。</w:t>
      </w:r>
    </w:p>
    <w:p w14:paraId="4B313D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361E07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628475B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08093A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8686D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71DEE8E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329153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7D437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537DF86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364654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13D6989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3AF6D02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14:paraId="3CBC316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9EB108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5154C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D2460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33D1357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EB9D94D3-F625-4F76-A1C0-51B60E3C59BE}"/>
  </w:font>
  <w:font w:name="黑体">
    <w:panose1 w:val="02010609060101010101"/>
    <w:charset w:val="86"/>
    <w:family w:val="auto"/>
    <w:pitch w:val="default"/>
    <w:sig w:usb0="800002BF" w:usb1="38CF7CFA" w:usb2="00000016" w:usb3="00000000" w:csb0="00040001" w:csb1="00000000"/>
    <w:embedRegular r:id="rId2" w:fontKey="{016F6D51-11B4-408B-8E96-9C8FAEBD9FB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95FA7171-3A56-47AF-ABD6-9F92BFA92301}"/>
  </w:font>
  <w:font w:name="仿宋">
    <w:panose1 w:val="02010609060101010101"/>
    <w:charset w:val="86"/>
    <w:family w:val="modern"/>
    <w:pitch w:val="default"/>
    <w:sig w:usb0="800002BF" w:usb1="38CF7CFA" w:usb2="00000016" w:usb3="00000000" w:csb0="00040001" w:csb1="00000000"/>
    <w:embedRegular r:id="rId4" w:fontKey="{62D77473-C972-4A23-A1F7-8AA86280347F}"/>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75A40F18-6DDE-4B35-A3B5-3D4EA24E9E79}"/>
  </w:font>
  <w:font w:name="方正小标宋_GBK">
    <w:panose1 w:val="02000000000000000000"/>
    <w:charset w:val="86"/>
    <w:family w:val="script"/>
    <w:pitch w:val="default"/>
    <w:sig w:usb0="A00002BF" w:usb1="38CF7CFA" w:usb2="00082016" w:usb3="00000000" w:csb0="00040001" w:csb1="00000000"/>
    <w:embedRegular r:id="rId6" w:fontKey="{B6D24808-6B32-42EC-9F86-E7837FB809E3}"/>
  </w:font>
  <w:font w:name="仿宋_GB2312">
    <w:panose1 w:val="02010609030101010101"/>
    <w:charset w:val="86"/>
    <w:family w:val="auto"/>
    <w:pitch w:val="default"/>
    <w:sig w:usb0="00000001" w:usb1="080E0000" w:usb2="00000000" w:usb3="00000000" w:csb0="00040000" w:csb1="00000000"/>
    <w:embedRegular r:id="rId7" w:fontKey="{8DC6DDDB-455B-4DC8-BCCD-A1B7B60D3201}"/>
  </w:font>
  <w:font w:name="ArialUnicodeMS">
    <w:altName w:val="Malgun Gothic"/>
    <w:panose1 w:val="00000000000000000000"/>
    <w:charset w:val="81"/>
    <w:family w:val="auto"/>
    <w:pitch w:val="default"/>
    <w:sig w:usb0="00000000" w:usb1="00000000" w:usb2="00000010" w:usb3="00000000" w:csb0="00080001" w:csb1="00000000"/>
    <w:embedRegular r:id="rId8" w:fontKey="{4F965319-10D4-4968-B1BC-F949DEE46C06}"/>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3C68F390-3F0D-4B13-996A-E51DC725298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667C1">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880E1A">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63F43">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9AB896">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CB4163">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5C4361"/>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863159"/>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3.jpeg"/><Relationship Id="rId20" Type="http://schemas.openxmlformats.org/officeDocument/2006/relationships/image" Target="media/image2.jpeg"/><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1711.04</c:v>
                </c:pt>
                <c:pt idx="1">
                  <c:v>1747.62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17476189.01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7812139.01</c:v>
                </c:pt>
                <c:pt idx="1">
                  <c:v>9664050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1711.04</c:v>
                </c:pt>
                <c:pt idx="1">
                  <c:v>1711.04</c:v>
                </c:pt>
                <c:pt idx="2">
                  <c:v>1633.81</c:v>
                </c:pt>
                <c:pt idx="3">
                  <c:v>1633.81</c:v>
                </c:pt>
                <c:pt idx="4">
                  <c:v>77.22</c:v>
                </c:pt>
                <c:pt idx="5">
                  <c:v>77.22</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1747.62</c:v>
                </c:pt>
                <c:pt idx="1">
                  <c:v>1747.62</c:v>
                </c:pt>
                <c:pt idx="2">
                  <c:v>1747.62</c:v>
                </c:pt>
                <c:pt idx="3">
                  <c:v>1747.62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1310.91</c:v>
                </c:pt>
                <c:pt idx="1">
                  <c:v>1310.91</c:v>
                </c:pt>
                <c:pt idx="2">
                  <c:v>1310.91</c:v>
                </c:pt>
                <c:pt idx="3">
                  <c:v>1310.91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1747.62</c:v>
                </c:pt>
                <c:pt idx="1">
                  <c:v>1747.62</c:v>
                </c:pt>
                <c:pt idx="2">
                  <c:v>1747.62</c:v>
                </c:pt>
                <c:pt idx="3">
                  <c:v>1747.62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770.17</c:v>
                </c:pt>
                <c:pt idx="1">
                  <c:v>0</c:v>
                </c:pt>
                <c:pt idx="2">
                  <c:v>0</c:v>
                </c:pt>
                <c:pt idx="3">
                  <c:v>0</c:v>
                </c:pt>
                <c:pt idx="4">
                  <c:v>0</c:v>
                </c:pt>
                <c:pt idx="5">
                  <c:v>0</c:v>
                </c:pt>
                <c:pt idx="6">
                  <c:v>0</c:v>
                </c:pt>
                <c:pt idx="7">
                  <c:v>55.08</c:v>
                </c:pt>
                <c:pt idx="8">
                  <c:v>25.05</c:v>
                </c:pt>
                <c:pt idx="9">
                  <c:v>0</c:v>
                </c:pt>
                <c:pt idx="10">
                  <c:v>480.25</c:v>
                </c:pt>
                <c:pt idx="11">
                  <c:v>382.16</c:v>
                </c:pt>
                <c:pt idx="12">
                  <c:v>0</c:v>
                </c:pt>
                <c:pt idx="13">
                  <c:v>0</c:v>
                </c:pt>
                <c:pt idx="14">
                  <c:v>0</c:v>
                </c:pt>
                <c:pt idx="15">
                  <c:v>0</c:v>
                </c:pt>
                <c:pt idx="16">
                  <c:v>0</c:v>
                </c:pt>
                <c:pt idx="17">
                  <c:v>0</c:v>
                </c:pt>
                <c:pt idx="18">
                  <c:v>34.91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39</Pages>
  <Words>407</Words>
  <Characters>421</Characters>
  <Lines>86</Lines>
  <Paragraphs>24</Paragraphs>
  <TotalTime>2</TotalTime>
  <ScaleCrop>false</ScaleCrop>
  <LinksUpToDate>false</LinksUpToDate>
  <CharactersWithSpaces>426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☆轩★</cp:lastModifiedBy>
  <cp:lastPrinted>2023-08-04T01:00:00Z</cp:lastPrinted>
  <dcterms:modified xsi:type="dcterms:W3CDTF">2025-09-26T02:53:39Z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BC477B9AAA1A4AF5A4BE3CAF082BA8B0_13</vt:lpwstr>
  </property>
  <property fmtid="{D5CDD505-2E9C-101B-9397-08002B2CF9AE}" pid="4" name="KSOTemplateUUID">
    <vt:lpwstr>v1.0_mb_S7ajbG3IpAnL1wSthNCxfw==</vt:lpwstr>
  </property>
  <property fmtid="{D5CDD505-2E9C-101B-9397-08002B2CF9AE}" pid="5" name="KSOTemplateDocerSaveRecord">
    <vt:lpwstr>eyJoZGlkIjoiOGIxYmM2NTgwNDVjMjI3MTQ3NDkxNDYzMzE1OGQyNGEiLCJ1c2VySWQiOiIyMzAwMTg3MDEifQ==</vt:lpwstr>
  </property>
</Properties>
</file>