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0B1B1E">
      <w:pPr>
        <w:adjustRightInd w:val="0"/>
        <w:snapToGrid w:val="0"/>
        <w:spacing w:line="560" w:lineRule="exact"/>
        <w:rPr>
          <w:rFonts w:hint="eastAsia" w:ascii="黑体" w:hAnsi="黑体" w:eastAsia="黑体" w:cs="黑体"/>
          <w:sz w:val="32"/>
          <w:szCs w:val="32"/>
          <w:lang w:eastAsia="zh-CN"/>
        </w:rPr>
      </w:pPr>
    </w:p>
    <w:p w14:paraId="2288B3E5">
      <w:pPr>
        <w:spacing w:line="560" w:lineRule="exact"/>
        <w:jc w:val="center"/>
        <w:rPr>
          <w:rFonts w:ascii="宋体" w:hAnsi="宋体" w:cs="宋体"/>
          <w:b/>
          <w:bCs/>
          <w:sz w:val="44"/>
          <w:szCs w:val="44"/>
        </w:rPr>
      </w:pPr>
    </w:p>
    <w:p w14:paraId="0957A23D">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行唐县医疗保障局</w:t>
      </w:r>
    </w:p>
    <w:p w14:paraId="6946D248">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3</w:t>
      </w:r>
      <w:r>
        <w:rPr>
          <w:rFonts w:hint="eastAsia" w:ascii="宋体" w:hAnsi="宋体" w:cs="宋体"/>
          <w:b/>
          <w:bCs/>
          <w:sz w:val="44"/>
          <w:szCs w:val="44"/>
        </w:rPr>
        <w:t>年度整体支出绩效自评报告</w:t>
      </w:r>
    </w:p>
    <w:p w14:paraId="4ABBB1B3">
      <w:pPr>
        <w:spacing w:line="560" w:lineRule="exact"/>
        <w:jc w:val="center"/>
        <w:rPr>
          <w:rFonts w:ascii="华文楷体" w:eastAsia="华文楷体"/>
          <w:sz w:val="32"/>
          <w:szCs w:val="32"/>
        </w:rPr>
      </w:pPr>
    </w:p>
    <w:p w14:paraId="4B4F741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县</w:t>
      </w:r>
      <w:r>
        <w:rPr>
          <w:rFonts w:hint="eastAsia" w:ascii="仿宋" w:hAnsi="仿宋" w:eastAsia="仿宋"/>
          <w:sz w:val="32"/>
          <w:szCs w:val="32"/>
        </w:rPr>
        <w:t>委</w:t>
      </w:r>
      <w:r>
        <w:rPr>
          <w:rFonts w:ascii="仿宋" w:hAnsi="仿宋" w:eastAsia="仿宋"/>
          <w:sz w:val="32"/>
          <w:szCs w:val="32"/>
        </w:rPr>
        <w:t>县</w:t>
      </w:r>
      <w:r>
        <w:rPr>
          <w:rFonts w:hint="eastAsia" w:ascii="仿宋" w:hAnsi="仿宋" w:eastAsia="仿宋"/>
          <w:sz w:val="32"/>
          <w:szCs w:val="32"/>
        </w:rPr>
        <w:t>政府《关于全面落实预算绩效管理的实施意见》（</w:t>
      </w:r>
      <w:r>
        <w:rPr>
          <w:rFonts w:ascii="仿宋" w:hAnsi="仿宋" w:eastAsia="仿宋"/>
          <w:sz w:val="32"/>
          <w:szCs w:val="32"/>
        </w:rPr>
        <w:t>行</w:t>
      </w:r>
      <w:r>
        <w:rPr>
          <w:rFonts w:hint="eastAsia" w:ascii="仿宋" w:hAnsi="仿宋" w:eastAsia="仿宋"/>
          <w:sz w:val="32"/>
          <w:szCs w:val="32"/>
        </w:rPr>
        <w:t>发﹝2019﹞8号）文件精神，遵循“科学性、规范性、客观性和公正性”的原则，对</w:t>
      </w:r>
      <w:r>
        <w:rPr>
          <w:rFonts w:hint="eastAsia" w:ascii="仿宋" w:hAnsi="仿宋" w:eastAsia="仿宋"/>
          <w:sz w:val="32"/>
          <w:szCs w:val="32"/>
          <w:lang w:eastAsia="zh-CN"/>
        </w:rPr>
        <w:t>行唐县医疗保障局</w:t>
      </w:r>
      <w:r>
        <w:rPr>
          <w:rFonts w:hint="eastAsia" w:ascii="仿宋" w:hAnsi="仿宋" w:eastAsia="仿宋"/>
          <w:sz w:val="32"/>
          <w:szCs w:val="32"/>
        </w:rPr>
        <w:t>202</w:t>
      </w:r>
      <w:r>
        <w:rPr>
          <w:rFonts w:ascii="仿宋" w:hAnsi="仿宋" w:eastAsia="仿宋"/>
          <w:sz w:val="32"/>
          <w:szCs w:val="32"/>
        </w:rPr>
        <w:t>3</w:t>
      </w:r>
      <w:r>
        <w:rPr>
          <w:rFonts w:hint="eastAsia" w:ascii="仿宋" w:hAnsi="仿宋" w:eastAsia="仿宋"/>
          <w:sz w:val="32"/>
          <w:szCs w:val="32"/>
        </w:rPr>
        <w:t>年整体支出情况实施了财政</w:t>
      </w:r>
      <w:r>
        <w:rPr>
          <w:rFonts w:hint="eastAsia" w:ascii="仿宋" w:hAnsi="仿宋" w:eastAsia="仿宋"/>
          <w:sz w:val="32"/>
          <w:szCs w:val="32"/>
          <w:lang w:eastAsia="zh-CN"/>
        </w:rPr>
        <w:t>资金</w:t>
      </w:r>
      <w:r>
        <w:rPr>
          <w:rFonts w:hint="eastAsia" w:ascii="仿宋" w:hAnsi="仿宋" w:eastAsia="仿宋"/>
          <w:sz w:val="32"/>
          <w:szCs w:val="32"/>
        </w:rPr>
        <w:t>支出绩效自评，</w:t>
      </w:r>
      <w:r>
        <w:rPr>
          <w:rFonts w:hint="eastAsia" w:ascii="仿宋" w:hAnsi="仿宋" w:eastAsia="仿宋"/>
          <w:sz w:val="32"/>
          <w:szCs w:val="32"/>
          <w:lang w:eastAsia="zh-CN"/>
        </w:rPr>
        <w:t>形成</w:t>
      </w:r>
      <w:r>
        <w:rPr>
          <w:rFonts w:hint="eastAsia" w:ascii="仿宋" w:hAnsi="仿宋" w:eastAsia="仿宋"/>
          <w:sz w:val="32"/>
          <w:szCs w:val="32"/>
        </w:rPr>
        <w:t>报告。</w:t>
      </w:r>
    </w:p>
    <w:p w14:paraId="5D8036E0">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561521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8D19A73">
      <w:pPr>
        <w:spacing w:line="360" w:lineRule="auto"/>
        <w:ind w:firstLine="640" w:firstLineChars="200"/>
        <w:rPr>
          <w:rFonts w:hint="eastAsia" w:ascii="仿宋" w:hAnsi="仿宋" w:eastAsia="仿宋"/>
          <w:sz w:val="32"/>
          <w:szCs w:val="32"/>
        </w:rPr>
      </w:pPr>
      <w:r>
        <w:rPr>
          <w:rFonts w:hint="eastAsia" w:ascii="仿宋" w:hAnsi="仿宋" w:eastAsia="仿宋"/>
          <w:sz w:val="32"/>
          <w:szCs w:val="32"/>
          <w:lang w:val="en-US" w:eastAsia="zh-CN"/>
        </w:rPr>
        <w:t>部门职责</w:t>
      </w:r>
      <w:r>
        <w:rPr>
          <w:rFonts w:hint="eastAsia" w:ascii="仿宋" w:hAnsi="仿宋" w:eastAsia="仿宋"/>
          <w:sz w:val="32"/>
          <w:szCs w:val="32"/>
        </w:rPr>
        <w:t>：</w:t>
      </w:r>
    </w:p>
    <w:p w14:paraId="595B35C4">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1、贯彻落实国家、省、市关于城镇职工和城乡居民医疗保险、生育保险、长期护理保险、医疗救助等医疗保障法规、政府规章以及政策、制度、规划和标准。按照上级制定的医疗保障政策规定，抓好组织实施。</w:t>
      </w:r>
    </w:p>
    <w:p w14:paraId="0FC70F24">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2、贯彻落实国家、省、市关于医疗保障基金监督管理规定，建立健全医疗保障基金安全防控机制，建设维护网络信息系统和智能监控平台，推进医疗保障基金支付方式改革，并组织实施。</w:t>
      </w:r>
    </w:p>
    <w:p w14:paraId="38539FD9">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3、贯彻落实城镇职工和城乡居民参保筹资和保障待遇政策。</w:t>
      </w:r>
    </w:p>
    <w:p w14:paraId="3BB033BF">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4、贯彻落实城乡统一的药品、医用耗材、医疗服务项目、医疗服务设施等医保支付标准。</w:t>
      </w:r>
    </w:p>
    <w:p w14:paraId="6BA34DDB">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45FB6442">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6、落实药品、医用耗材招标采购政策并监督实施，指导药品、医用耗材指标采购平台建设。</w:t>
      </w:r>
    </w:p>
    <w:p w14:paraId="49974215">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7、落实市定点医药机构协议和支付管理办法并组织实施。建立健全医疗保障信用评价体系和信息披露制度，监督管理定点医疗机构的医疗服务行为、医疗费用和医药价格，依法查处医疗保障领域违法违规行为。</w:t>
      </w:r>
    </w:p>
    <w:p w14:paraId="700190AE">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8、负责医疗保障经办管理、公共服务体系和信息化建设。贯彻落实异地就医管理和费用结算政策、医疗保障关系转移接续制度。</w:t>
      </w:r>
    </w:p>
    <w:p w14:paraId="62C58846">
      <w:pPr>
        <w:widowControl/>
        <w:spacing w:line="58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9、完成县委、县政府和上级交办的其他任务。</w:t>
      </w:r>
    </w:p>
    <w:p w14:paraId="22DC92A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2.组织机构及人员情况：行唐县医疗保障</w:t>
      </w:r>
      <w:r>
        <w:rPr>
          <w:rFonts w:hint="eastAsia" w:ascii="仿宋" w:hAnsi="仿宋" w:eastAsia="仿宋"/>
          <w:sz w:val="32"/>
          <w:szCs w:val="32"/>
        </w:rPr>
        <w:t>局</w:t>
      </w:r>
      <w:r>
        <w:rPr>
          <w:rFonts w:hint="eastAsia" w:ascii="仿宋" w:hAnsi="仿宋" w:eastAsia="仿宋"/>
          <w:sz w:val="32"/>
          <w:szCs w:val="32"/>
          <w:lang w:eastAsia="zh-CN"/>
        </w:rPr>
        <w:t>为</w:t>
      </w:r>
      <w:r>
        <w:rPr>
          <w:rFonts w:hint="eastAsia" w:ascii="仿宋" w:hAnsi="仿宋" w:eastAsia="仿宋"/>
          <w:sz w:val="32"/>
          <w:szCs w:val="32"/>
        </w:rPr>
        <w:t>独立核算</w:t>
      </w:r>
      <w:r>
        <w:rPr>
          <w:rFonts w:hint="eastAsia" w:ascii="仿宋" w:hAnsi="仿宋" w:eastAsia="仿宋"/>
          <w:sz w:val="32"/>
          <w:szCs w:val="32"/>
          <w:lang w:eastAsia="zh-CN"/>
        </w:rPr>
        <w:t>行政单位，属一级预算单位</w:t>
      </w:r>
      <w:r>
        <w:rPr>
          <w:rFonts w:hint="eastAsia" w:ascii="仿宋" w:hAnsi="仿宋" w:eastAsia="仿宋"/>
          <w:sz w:val="32"/>
          <w:szCs w:val="32"/>
        </w:rPr>
        <w:t>。</w:t>
      </w:r>
      <w:r>
        <w:rPr>
          <w:rFonts w:hint="eastAsia" w:ascii="仿宋" w:hAnsi="仿宋" w:eastAsia="仿宋"/>
          <w:sz w:val="32"/>
          <w:szCs w:val="32"/>
          <w:lang w:eastAsia="zh-CN"/>
        </w:rPr>
        <w:t>我局</w:t>
      </w:r>
      <w:r>
        <w:rPr>
          <w:rFonts w:hint="eastAsia" w:ascii="仿宋" w:hAnsi="仿宋" w:eastAsia="仿宋"/>
          <w:sz w:val="32"/>
          <w:szCs w:val="32"/>
        </w:rPr>
        <w:t>行政编制</w:t>
      </w:r>
      <w:r>
        <w:rPr>
          <w:rFonts w:hint="eastAsia" w:ascii="仿宋" w:hAnsi="仿宋" w:eastAsia="仿宋"/>
          <w:sz w:val="32"/>
          <w:szCs w:val="32"/>
          <w:lang w:val="en-US" w:eastAsia="zh-CN"/>
        </w:rPr>
        <w:t>9</w:t>
      </w:r>
      <w:r>
        <w:rPr>
          <w:rFonts w:hint="eastAsia" w:ascii="仿宋" w:hAnsi="仿宋" w:eastAsia="仿宋"/>
          <w:sz w:val="32"/>
          <w:szCs w:val="32"/>
        </w:rPr>
        <w:t>人</w:t>
      </w:r>
      <w:r>
        <w:rPr>
          <w:rFonts w:hint="eastAsia" w:ascii="仿宋" w:hAnsi="仿宋" w:eastAsia="仿宋"/>
          <w:sz w:val="32"/>
          <w:szCs w:val="32"/>
          <w:lang w:eastAsia="zh-CN"/>
        </w:rPr>
        <w:t>、财政拨款开支事业编制</w:t>
      </w:r>
      <w:r>
        <w:rPr>
          <w:rFonts w:hint="eastAsia" w:ascii="仿宋" w:hAnsi="仿宋" w:eastAsia="仿宋"/>
          <w:sz w:val="32"/>
          <w:szCs w:val="32"/>
          <w:lang w:val="en-US" w:eastAsia="zh-CN"/>
        </w:rPr>
        <w:t>22人。年终</w:t>
      </w:r>
      <w:r>
        <w:rPr>
          <w:rFonts w:hint="eastAsia" w:ascii="仿宋" w:hAnsi="仿宋" w:eastAsia="仿宋"/>
          <w:sz w:val="32"/>
          <w:szCs w:val="32"/>
        </w:rPr>
        <w:t>在职行政编制人员</w:t>
      </w:r>
      <w:r>
        <w:rPr>
          <w:rFonts w:hint="eastAsia" w:ascii="仿宋" w:hAnsi="仿宋" w:eastAsia="仿宋"/>
          <w:sz w:val="32"/>
          <w:szCs w:val="32"/>
          <w:lang w:val="en-US" w:eastAsia="zh-CN"/>
        </w:rPr>
        <w:t>8</w:t>
      </w:r>
      <w:r>
        <w:rPr>
          <w:rFonts w:hint="eastAsia" w:ascii="仿宋" w:hAnsi="仿宋" w:eastAsia="仿宋"/>
          <w:sz w:val="32"/>
          <w:szCs w:val="32"/>
        </w:rPr>
        <w:t>人</w:t>
      </w:r>
      <w:r>
        <w:rPr>
          <w:rFonts w:hint="eastAsia" w:ascii="仿宋" w:hAnsi="仿宋" w:eastAsia="仿宋"/>
          <w:sz w:val="32"/>
          <w:szCs w:val="32"/>
          <w:lang w:eastAsia="zh-CN"/>
        </w:rPr>
        <w:t>、</w:t>
      </w:r>
      <w:r>
        <w:rPr>
          <w:rFonts w:hint="eastAsia" w:ascii="仿宋" w:hAnsi="仿宋" w:eastAsia="仿宋"/>
          <w:sz w:val="32"/>
          <w:szCs w:val="32"/>
        </w:rPr>
        <w:t>在职事业编制人员</w:t>
      </w:r>
      <w:r>
        <w:rPr>
          <w:rFonts w:hint="eastAsia" w:ascii="仿宋" w:hAnsi="仿宋" w:eastAsia="仿宋"/>
          <w:sz w:val="32"/>
          <w:szCs w:val="32"/>
          <w:lang w:val="en-US" w:eastAsia="zh-CN"/>
        </w:rPr>
        <w:t>21</w:t>
      </w:r>
      <w:r>
        <w:rPr>
          <w:rFonts w:hint="eastAsia" w:ascii="仿宋" w:hAnsi="仿宋" w:eastAsia="仿宋"/>
          <w:sz w:val="32"/>
          <w:szCs w:val="32"/>
        </w:rPr>
        <w:t>人，</w:t>
      </w:r>
      <w:r>
        <w:rPr>
          <w:rFonts w:hint="eastAsia" w:ascii="仿宋" w:hAnsi="仿宋" w:eastAsia="仿宋"/>
          <w:sz w:val="32"/>
          <w:szCs w:val="32"/>
          <w:lang w:eastAsia="zh-CN"/>
        </w:rPr>
        <w:t>事业退休</w:t>
      </w:r>
      <w:r>
        <w:rPr>
          <w:rFonts w:hint="eastAsia" w:ascii="仿宋" w:hAnsi="仿宋" w:eastAsia="仿宋"/>
          <w:sz w:val="32"/>
          <w:szCs w:val="32"/>
          <w:lang w:val="en-US" w:eastAsia="zh-CN"/>
        </w:rPr>
        <w:t>1</w:t>
      </w:r>
      <w:r>
        <w:rPr>
          <w:rFonts w:hint="eastAsia" w:ascii="仿宋" w:hAnsi="仿宋" w:eastAsia="仿宋"/>
          <w:sz w:val="32"/>
          <w:szCs w:val="32"/>
        </w:rPr>
        <w:t>人</w:t>
      </w:r>
      <w:r>
        <w:rPr>
          <w:rFonts w:hint="eastAsia" w:ascii="仿宋" w:hAnsi="仿宋" w:eastAsia="仿宋"/>
          <w:sz w:val="32"/>
          <w:szCs w:val="32"/>
          <w:lang w:eastAsia="zh-CN"/>
        </w:rPr>
        <w:t>，</w:t>
      </w:r>
      <w:r>
        <w:rPr>
          <w:rFonts w:hint="eastAsia" w:ascii="仿宋_GB2312" w:hAnsi="宋体" w:eastAsia="仿宋_GB2312"/>
          <w:sz w:val="32"/>
          <w:szCs w:val="32"/>
        </w:rPr>
        <w:t>外单位借用人员7名、县招考自收自支事业编人员</w:t>
      </w:r>
      <w:r>
        <w:rPr>
          <w:rFonts w:hint="eastAsia" w:ascii="仿宋_GB2312" w:hAnsi="宋体" w:eastAsia="仿宋_GB2312"/>
          <w:sz w:val="32"/>
          <w:szCs w:val="32"/>
          <w:lang w:val="en-US" w:eastAsia="zh-CN"/>
        </w:rPr>
        <w:t>5</w:t>
      </w:r>
      <w:r>
        <w:rPr>
          <w:rFonts w:hint="eastAsia" w:ascii="仿宋_GB2312" w:hAnsi="宋体" w:eastAsia="仿宋_GB2312"/>
          <w:sz w:val="32"/>
          <w:szCs w:val="32"/>
        </w:rPr>
        <w:t>人</w:t>
      </w:r>
      <w:r>
        <w:rPr>
          <w:rFonts w:hint="eastAsia" w:ascii="仿宋" w:hAnsi="仿宋" w:eastAsia="仿宋"/>
          <w:sz w:val="32"/>
          <w:szCs w:val="32"/>
        </w:rPr>
        <w:t>。</w:t>
      </w:r>
    </w:p>
    <w:p w14:paraId="11DC679D">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4.</w:t>
      </w:r>
      <w:r>
        <w:rPr>
          <w:rFonts w:hint="eastAsia" w:ascii="仿宋" w:hAnsi="仿宋" w:eastAsia="仿宋"/>
          <w:sz w:val="32"/>
          <w:szCs w:val="32"/>
          <w:highlight w:val="none"/>
          <w:lang w:val="en-US" w:eastAsia="zh-CN"/>
        </w:rPr>
        <w:t>资产情况：截至2023年12月31日，</w:t>
      </w:r>
      <w:r>
        <w:rPr>
          <w:rFonts w:hint="eastAsia" w:ascii="仿宋" w:hAnsi="仿宋" w:eastAsia="仿宋"/>
          <w:sz w:val="32"/>
          <w:szCs w:val="32"/>
        </w:rPr>
        <w:t>我单位</w:t>
      </w:r>
      <w:r>
        <w:rPr>
          <w:rFonts w:hint="eastAsia" w:ascii="仿宋" w:hAnsi="仿宋" w:eastAsia="仿宋"/>
          <w:sz w:val="32"/>
          <w:szCs w:val="32"/>
          <w:lang w:val="en-US" w:eastAsia="zh-CN"/>
        </w:rPr>
        <w:t>2023年固定资产原值123.34万元。</w:t>
      </w:r>
    </w:p>
    <w:p w14:paraId="63CECDE6">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23B3AC0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行唐县医疗保障局2023年财政拨款收入</w:t>
      </w:r>
      <w:r>
        <w:rPr>
          <w:rFonts w:hint="eastAsia" w:ascii="仿宋_GB2312" w:hAnsi="仿宋" w:eastAsia="仿宋_GB2312"/>
          <w:sz w:val="32"/>
          <w:szCs w:val="32"/>
          <w:lang w:val="en-US" w:eastAsia="zh-CN"/>
        </w:rPr>
        <w:t>10149.65</w:t>
      </w:r>
      <w:r>
        <w:rPr>
          <w:rFonts w:hint="eastAsia" w:ascii="仿宋" w:hAnsi="仿宋" w:eastAsia="仿宋"/>
          <w:sz w:val="32"/>
          <w:szCs w:val="32"/>
          <w:lang w:val="en-US" w:eastAsia="zh-CN"/>
        </w:rPr>
        <w:t>万元，一般预算财政拨款收入</w:t>
      </w:r>
      <w:r>
        <w:rPr>
          <w:rFonts w:hint="eastAsia" w:ascii="仿宋_GB2312" w:hAnsi="仿宋" w:eastAsia="仿宋_GB2312"/>
          <w:sz w:val="32"/>
          <w:szCs w:val="32"/>
          <w:lang w:val="en-US" w:eastAsia="zh-CN"/>
        </w:rPr>
        <w:t>10149.65</w:t>
      </w:r>
      <w:r>
        <w:rPr>
          <w:rFonts w:hint="eastAsia" w:ascii="仿宋" w:hAnsi="仿宋" w:eastAsia="仿宋"/>
          <w:sz w:val="32"/>
          <w:szCs w:val="32"/>
          <w:lang w:val="en-US" w:eastAsia="zh-CN"/>
        </w:rPr>
        <w:t>万元。本年决算支出</w:t>
      </w:r>
      <w:r>
        <w:rPr>
          <w:rFonts w:hint="eastAsia" w:ascii="仿宋_GB2312" w:hAnsi="仿宋" w:eastAsia="仿宋_GB2312"/>
          <w:sz w:val="32"/>
          <w:szCs w:val="32"/>
          <w:lang w:val="en-US" w:eastAsia="zh-CN"/>
        </w:rPr>
        <w:t>10149.65</w:t>
      </w:r>
      <w:r>
        <w:rPr>
          <w:rFonts w:hint="eastAsia" w:ascii="仿宋" w:hAnsi="仿宋" w:eastAsia="仿宋"/>
          <w:sz w:val="32"/>
          <w:szCs w:val="32"/>
          <w:lang w:val="en-US" w:eastAsia="zh-CN"/>
        </w:rPr>
        <w:t>万元，其中：基本支出351.33元，项目支出9798.32万元。我部门在财政支出预算执行中，严格按相关财经法规，强化资金使用约束力，加强专项资金跟管理，确保了专款专用。坚持按照预算进度及各项资金用途安排拨付资金，严格控制一般性支出，切实做到“保人员工资发放、保机构正常运转、保重点难、点项目”，使有限资金发挥最佳使用效益，确保部门资金平稳运行。</w:t>
      </w:r>
    </w:p>
    <w:p w14:paraId="571EE447">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81DE86F">
      <w:pPr>
        <w:numPr>
          <w:ilvl w:val="0"/>
          <w:numId w:val="0"/>
        </w:numPr>
        <w:adjustRightInd w:val="0"/>
        <w:snapToGrid w:val="0"/>
        <w:spacing w:line="560" w:lineRule="exact"/>
        <w:ind w:firstLine="640" w:firstLineChars="200"/>
        <w:rPr>
          <w:rFonts w:hint="eastAsia" w:ascii="仿宋" w:hAnsi="仿宋" w:eastAsia="仿宋"/>
          <w:sz w:val="32"/>
          <w:szCs w:val="32"/>
          <w:lang w:val="en-US" w:eastAsia="zh-CN"/>
        </w:rPr>
      </w:pPr>
      <w:r>
        <w:rPr>
          <w:rFonts w:hint="default" w:ascii="仿宋" w:hAnsi="仿宋" w:eastAsia="仿宋" w:cs="黑体"/>
          <w:kern w:val="2"/>
          <w:sz w:val="32"/>
          <w:szCs w:val="32"/>
          <w:lang w:val="en-US" w:eastAsia="zh-CN" w:bidi="ar-SA"/>
        </w:rPr>
        <w:t>1、</w:t>
      </w:r>
      <w:r>
        <w:rPr>
          <w:rFonts w:hint="eastAsia" w:ascii="仿宋" w:hAnsi="仿宋" w:eastAsia="仿宋"/>
          <w:sz w:val="32"/>
          <w:szCs w:val="32"/>
          <w:lang w:val="en-US" w:eastAsia="zh-CN"/>
        </w:rPr>
        <w:t>2023年</w:t>
      </w:r>
      <w:r>
        <w:rPr>
          <w:rFonts w:hint="eastAsia" w:ascii="仿宋_GB2312" w:hAnsi="仿宋_GB2312" w:eastAsia="仿宋_GB2312" w:cs="仿宋_GB2312"/>
          <w:color w:val="000000"/>
          <w:sz w:val="32"/>
          <w:szCs w:val="32"/>
          <w:lang w:val="en-US" w:eastAsia="zh-CN"/>
        </w:rPr>
        <w:t>，在县委、县政府坚强领导下，我局以习近平新时代中国特色社会主义思想为引领，深入学习宣传贯彻党的二十大精神和习近平总书记在河北考察时的重要讲话和重要指示精神，全面落实县委、县政府工作部署，坚持医疗保障基金“以收定支、收支平衡、略有结余”的原则，围绕各类考核目标，心无旁骛、苦干实干，坚持将实绩体现在数据，成绩对比在同期，有力推动了全县医疗保障事业高质量发展，各项指标稳中向好，</w:t>
      </w:r>
      <w:r>
        <w:rPr>
          <w:rFonts w:hint="eastAsia" w:ascii="仿宋" w:hAnsi="仿宋" w:eastAsia="仿宋"/>
          <w:sz w:val="32"/>
          <w:szCs w:val="32"/>
          <w:lang w:val="en-US" w:eastAsia="zh-CN"/>
        </w:rPr>
        <w:t>较好地完成了部门年度工作目标。根据部门整体支出绩效评价指标体系，我单位2023年度评价得分为99分，评价结果为“优”。部门整体支出绩效情况如下：</w:t>
      </w:r>
    </w:p>
    <w:p w14:paraId="06BDCD1F">
      <w:pPr>
        <w:numPr>
          <w:ilvl w:val="0"/>
          <w:numId w:val="0"/>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1、投入30分</w:t>
      </w:r>
    </w:p>
    <w:p w14:paraId="78300703">
      <w:pPr>
        <w:numPr>
          <w:ilvl w:val="0"/>
          <w:numId w:val="0"/>
        </w:num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（1）绩效目标指标管理得15分。其中：绩效目标科学性得9分，绩效指标科学性得6分，预算编制完整性得3分，项目预算功能分类等编制合规性得9分，预算上报及时性得3分。</w:t>
      </w:r>
    </w:p>
    <w:p w14:paraId="2857B925">
      <w:pPr>
        <w:numPr>
          <w:ilvl w:val="0"/>
          <w:numId w:val="0"/>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2、过程（执行）40分</w:t>
      </w:r>
    </w:p>
    <w:p w14:paraId="1834C80B">
      <w:pPr>
        <w:numPr>
          <w:ilvl w:val="0"/>
          <w:numId w:val="0"/>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预算执行得24分。其中：收入预算完成率得2分，预算调整率得1分，支出进度得4分，资金结余结转率得2分，“三公经费”控制率得2分，政府采购执行率得2分，决策真实性得2分，资金使用合规性得4分，财务管理规范性得5分。</w:t>
      </w:r>
    </w:p>
    <w:p w14:paraId="73907ACB">
      <w:pPr>
        <w:numPr>
          <w:ilvl w:val="0"/>
          <w:numId w:val="0"/>
        </w:num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（2）预算管理得7分。其中：管理制度健全性得 2分，预决算信息公开性得2分，基础信息完善性得1分；资产管理规范性得2 分。</w:t>
      </w:r>
    </w:p>
    <w:p w14:paraId="4107F70B">
      <w:pPr>
        <w:numPr>
          <w:ilvl w:val="0"/>
          <w:numId w:val="0"/>
        </w:num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（3）绩效评价得8分。其中：绩效自评覆盖率得 4分，评价结果应用率得4分。</w:t>
      </w:r>
    </w:p>
    <w:p w14:paraId="4B234242">
      <w:pPr>
        <w:numPr>
          <w:ilvl w:val="0"/>
          <w:numId w:val="0"/>
        </w:num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3、产出14分。</w:t>
      </w:r>
    </w:p>
    <w:p w14:paraId="35F0BC21">
      <w:pPr>
        <w:numPr>
          <w:ilvl w:val="0"/>
          <w:numId w:val="0"/>
        </w:num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（1）实际完成率得6分。预算批复的部门年度发展规划目标和部门职责分类绩效目标进行细化和量化得6分。</w:t>
      </w:r>
    </w:p>
    <w:p w14:paraId="51CD8B41">
      <w:pPr>
        <w:numPr>
          <w:ilvl w:val="0"/>
          <w:numId w:val="0"/>
        </w:num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（2）完成及时率得8分。预算批复的部门年度发展规划目标和部门职责分类绩效目标进行细化和量化得8分。</w:t>
      </w:r>
    </w:p>
    <w:p w14:paraId="0735CEBC">
      <w:pPr>
        <w:numPr>
          <w:ilvl w:val="0"/>
          <w:numId w:val="0"/>
        </w:num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4、效果15分。</w:t>
      </w:r>
    </w:p>
    <w:p w14:paraId="731467EE">
      <w:pPr>
        <w:numPr>
          <w:ilvl w:val="0"/>
          <w:numId w:val="0"/>
        </w:num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（1）职责效益得15分。其中：部门整体效益得9分，社会公众满意度得6分。</w:t>
      </w:r>
    </w:p>
    <w:p w14:paraId="0AD7196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default" w:ascii="黑体" w:hAnsi="黑体" w:eastAsia="黑体" w:cs="黑体"/>
          <w:i w:val="0"/>
          <w:caps w:val="0"/>
          <w:color w:val="333333"/>
          <w:spacing w:val="0"/>
          <w:kern w:val="0"/>
          <w:sz w:val="32"/>
          <w:szCs w:val="32"/>
          <w:shd w:val="clear" w:fill="FFFFFF"/>
          <w:lang w:val="en-US" w:eastAsia="zh-CN" w:bidi="ar"/>
        </w:rPr>
      </w:pPr>
      <w:r>
        <w:rPr>
          <w:rFonts w:hint="eastAsia" w:ascii="黑体" w:hAnsi="黑体" w:eastAsia="黑体" w:cs="黑体"/>
          <w:i w:val="0"/>
          <w:caps w:val="0"/>
          <w:color w:val="333333"/>
          <w:spacing w:val="0"/>
          <w:kern w:val="0"/>
          <w:sz w:val="32"/>
          <w:szCs w:val="32"/>
          <w:shd w:val="clear" w:fill="FFFFFF"/>
          <w:lang w:val="en-US" w:eastAsia="zh-CN" w:bidi="ar"/>
        </w:rPr>
        <w:t>2023年重点工作</w:t>
      </w:r>
    </w:p>
    <w:p w14:paraId="3C4D8D1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（一）抓党建强队伍，有效推进班子科学决策</w:t>
      </w:r>
    </w:p>
    <w:p w14:paraId="0CB7E64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color w:val="000000"/>
          <w:sz w:val="32"/>
          <w:szCs w:val="32"/>
          <w:lang w:val="en-US" w:eastAsia="zh-CN"/>
        </w:rPr>
        <w:t>局党组始终以习近平新时代中国特色社会主义思想为指导，认真学习贯彻党的二十大精神、习近平在河北考察时重要讲话精神及县委十三届六次全会精神等，坚决拥护“两个确立”、切实增强“四个意识”、坚定“四个自信”、做到“两个维护”。并将学习效果体现到工作谋划，落实到工作实践中，使二十大精神在医保局落地生根。</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32"/>
          <w:lang w:val="en-US" w:eastAsia="zh-CN"/>
        </w:rPr>
        <w:t>切实担负起管党治党政治责任，强化一把手“第一责任人”，主管领导“一岗双责”责任，严明六个纪律，不断强化党组核心建设。经常性开展谈心谈话提醒，集中学习督导教育，通过抓早抓小，促进党员干部作风转变。</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32"/>
          <w:lang w:val="en-US" w:eastAsia="zh-CN"/>
        </w:rPr>
        <w:t>坚持民主集中制，在“三重一大”决策中培育树正气、讲党性的民主作风，坚持凡是“三重一大”事项的决策都要经过深入调研，征求班子及相关干部职工意见建议，并全过程追溯。</w:t>
      </w:r>
      <w:r>
        <w:rPr>
          <w:rFonts w:hint="eastAsia" w:ascii="仿宋_GB2312" w:hAnsi="仿宋_GB2312" w:eastAsia="仿宋_GB2312" w:cs="仿宋_GB2312"/>
          <w:b/>
          <w:bCs/>
          <w:color w:val="000000"/>
          <w:sz w:val="32"/>
          <w:szCs w:val="32"/>
          <w:lang w:val="en-US" w:eastAsia="zh-CN"/>
        </w:rPr>
        <w:t>四是</w:t>
      </w:r>
      <w:r>
        <w:rPr>
          <w:rFonts w:hint="eastAsia" w:ascii="仿宋_GB2312" w:hAnsi="仿宋_GB2312" w:eastAsia="仿宋_GB2312" w:cs="仿宋_GB2312"/>
          <w:color w:val="000000"/>
          <w:sz w:val="32"/>
          <w:szCs w:val="32"/>
          <w:lang w:val="en-US" w:eastAsia="zh-CN"/>
        </w:rPr>
        <w:t>以党建为引领，坚持党组书记讲党课，讲党课8次，有效推进参保、基金监管、价采、中心报销等工作提档升级。</w:t>
      </w:r>
      <w:r>
        <w:rPr>
          <w:rFonts w:hint="eastAsia" w:ascii="仿宋_GB2312" w:hAnsi="仿宋_GB2312" w:eastAsia="仿宋_GB2312" w:cs="仿宋_GB2312"/>
          <w:b/>
          <w:bCs/>
          <w:color w:val="000000"/>
          <w:sz w:val="32"/>
          <w:szCs w:val="32"/>
          <w:lang w:val="en-US" w:eastAsia="zh-CN"/>
        </w:rPr>
        <w:t>五是</w:t>
      </w:r>
      <w:r>
        <w:rPr>
          <w:rFonts w:hint="eastAsia" w:ascii="仿宋_GB2312" w:hAnsi="仿宋_GB2312" w:eastAsia="仿宋_GB2312" w:cs="仿宋_GB2312"/>
          <w:color w:val="000000"/>
          <w:sz w:val="32"/>
          <w:szCs w:val="32"/>
          <w:lang w:val="en-US" w:eastAsia="zh-CN"/>
        </w:rPr>
        <w:t>为不断提高干部能力素质，切实提升我局单位职工工作能力，每周五下午进行集中学习，由各科室轮流讲课，讲课之人准备之时，是对业务的进一步精进，提升干部职工学习兴趣，提高办事能力。</w:t>
      </w:r>
    </w:p>
    <w:p w14:paraId="6B1CFDE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（二）强宣传压责任，多措并举完成</w:t>
      </w:r>
      <w:r>
        <w:rPr>
          <w:rFonts w:hint="eastAsia" w:ascii="楷体_GB2312" w:hAnsi="楷体_GB2312" w:eastAsia="楷体_GB2312" w:cs="楷体_GB2312"/>
          <w:b/>
          <w:bCs w:val="0"/>
          <w:color w:val="auto"/>
          <w:sz w:val="32"/>
          <w:szCs w:val="32"/>
          <w:lang w:val="en-US" w:eastAsia="zh-CN"/>
        </w:rPr>
        <w:t>全民</w:t>
      </w:r>
      <w:r>
        <w:rPr>
          <w:rFonts w:hint="eastAsia" w:ascii="楷体_GB2312" w:hAnsi="楷体_GB2312" w:eastAsia="楷体_GB2312" w:cs="楷体_GB2312"/>
          <w:b/>
          <w:bCs w:val="0"/>
          <w:sz w:val="32"/>
          <w:szCs w:val="32"/>
          <w:lang w:val="en-US" w:eastAsia="zh-CN"/>
        </w:rPr>
        <w:t>参保</w:t>
      </w:r>
    </w:p>
    <w:p w14:paraId="285A40A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（一）2023年度全民参保工作完成情况：</w:t>
      </w:r>
      <w:r>
        <w:rPr>
          <w:rFonts w:hint="eastAsia" w:ascii="仿宋_GB2312" w:hAnsi="仿宋_GB2312" w:eastAsia="仿宋_GB2312" w:cs="仿宋_GB2312"/>
          <w:b w:val="0"/>
          <w:bCs w:val="0"/>
          <w:color w:val="000000"/>
          <w:sz w:val="32"/>
          <w:szCs w:val="32"/>
          <w:highlight w:val="none"/>
          <w:lang w:val="en-US" w:eastAsia="zh-CN"/>
        </w:rPr>
        <w:t>截至2023年4月全民参保结束时，通过调度通报、多方宣传、压实责任、强化配</w:t>
      </w:r>
      <w:r>
        <w:rPr>
          <w:rFonts w:hint="eastAsia" w:ascii="仿宋_GB2312" w:hAnsi="仿宋_GB2312" w:eastAsia="仿宋_GB2312" w:cs="仿宋_GB2312"/>
          <w:b w:val="0"/>
          <w:bCs w:val="0"/>
          <w:color w:val="000000"/>
          <w:sz w:val="32"/>
          <w:szCs w:val="32"/>
          <w:lang w:val="en-US" w:eastAsia="zh-CN"/>
        </w:rPr>
        <w:t>合、精准人员等多措并举，行唐县</w:t>
      </w:r>
      <w:r>
        <w:rPr>
          <w:rFonts w:hint="eastAsia" w:ascii="仿宋_GB2312" w:hAnsi="仿宋_GB2312" w:eastAsia="仿宋_GB2312" w:cs="仿宋_GB2312"/>
          <w:color w:val="000000"/>
          <w:sz w:val="32"/>
          <w:szCs w:val="32"/>
          <w:lang w:val="en-US" w:eastAsia="zh-CN"/>
        </w:rPr>
        <w:t>2023年度基本医疗保险全民参保人数377199人（居民参保350297人，职工参保26902），参保率100.15%，全市排名第6名，与2022年相比，在全市提升了一个位次，受到上级表扬。</w:t>
      </w:r>
    </w:p>
    <w:p w14:paraId="75C44F3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（二）2024年度全民参保工作进展：</w:t>
      </w:r>
      <w:r>
        <w:rPr>
          <w:rFonts w:hint="eastAsia" w:ascii="仿宋_GB2312" w:hAnsi="仿宋_GB2312" w:eastAsia="仿宋_GB2312" w:cs="仿宋_GB2312"/>
          <w:b w:val="0"/>
          <w:bCs w:val="0"/>
          <w:color w:val="000000"/>
          <w:sz w:val="32"/>
          <w:szCs w:val="32"/>
          <w:lang w:val="en-US" w:eastAsia="zh-CN"/>
        </w:rPr>
        <w:t>2023年</w:t>
      </w:r>
      <w:r>
        <w:rPr>
          <w:rFonts w:hint="eastAsia" w:ascii="仿宋_GB2312" w:hAnsi="仿宋_GB2312" w:eastAsia="仿宋_GB2312" w:cs="仿宋_GB2312"/>
          <w:color w:val="000000"/>
          <w:sz w:val="32"/>
          <w:szCs w:val="32"/>
          <w:lang w:val="en-US" w:eastAsia="zh-CN"/>
        </w:rPr>
        <w:t>10月13日县政府召开了“2024年度城乡居民医保参保征缴”启动大会，下发了《行唐县2024年度城乡居民基本医疗保险参保征缴实施方案》，争取2024年保持总参保率不低于95%，在全市参保工作考核中争先创优。</w:t>
      </w:r>
    </w:p>
    <w:p w14:paraId="3492C0A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32"/>
          <w:lang w:val="en-US" w:eastAsia="zh-CN"/>
        </w:rPr>
        <w:t>领导高度重视。县政府分管领导多次组织召开全县全民参保工作部署调度会议，细化任务分工，全面压实乡镇及相关单位工作责任。</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32"/>
          <w:lang w:val="en-US" w:eastAsia="zh-CN"/>
        </w:rPr>
        <w:t>做到精准参保。建立完善了包含城乡居民、城镇职工等各类人群参保信息的参保数据库并实行动态管理，及时掌握各类群体参保信息，实现了精准参保。</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32"/>
          <w:lang w:val="en-US" w:eastAsia="zh-CN"/>
        </w:rPr>
        <w:t>部门协同合力。主动加强与税务、公安、民政、教育等部门协调沟通，形成了推动基本医保全覆盖工作合力。</w:t>
      </w:r>
      <w:r>
        <w:rPr>
          <w:rFonts w:hint="eastAsia" w:ascii="仿宋_GB2312" w:hAnsi="仿宋_GB2312" w:eastAsia="仿宋_GB2312" w:cs="仿宋_GB2312"/>
          <w:b/>
          <w:bCs/>
          <w:color w:val="000000"/>
          <w:sz w:val="32"/>
          <w:szCs w:val="32"/>
          <w:lang w:val="en-US" w:eastAsia="zh-CN"/>
        </w:rPr>
        <w:t>四是</w:t>
      </w:r>
      <w:r>
        <w:rPr>
          <w:rFonts w:hint="eastAsia" w:ascii="仿宋_GB2312" w:hAnsi="仿宋_GB2312" w:eastAsia="仿宋_GB2312" w:cs="仿宋_GB2312"/>
          <w:color w:val="000000"/>
          <w:sz w:val="32"/>
          <w:szCs w:val="32"/>
          <w:lang w:val="en-US" w:eastAsia="zh-CN"/>
        </w:rPr>
        <w:t>多种形式搞宣传，印发45000份城乡居民医疗保险明白纸，通过电视台、政府网站、行唐发布、行唐融媒体中心微信公众号、微信朋友圈等多种宣传途径，全方位高频次广密度提醒</w:t>
      </w:r>
      <w:r>
        <w:rPr>
          <w:rFonts w:hint="eastAsia" w:ascii="仿宋_GB2312" w:hAnsi="仿宋_GB2312" w:eastAsia="仿宋_GB2312" w:cs="仿宋_GB2312"/>
          <w:color w:val="000000"/>
          <w:sz w:val="32"/>
          <w:szCs w:val="32"/>
          <w:highlight w:val="none"/>
          <w:lang w:val="en-US" w:eastAsia="zh-CN"/>
        </w:rPr>
        <w:t>广大居民参保缴费。截至目前，2024年度</w:t>
      </w:r>
      <w:r>
        <w:rPr>
          <w:rFonts w:hint="eastAsia" w:ascii="仿宋_GB2312" w:hAnsi="仿宋_GB2312" w:eastAsia="仿宋_GB2312" w:cs="仿宋_GB2312"/>
          <w:color w:val="000000"/>
          <w:sz w:val="32"/>
          <w:szCs w:val="32"/>
          <w:lang w:val="en-US" w:eastAsia="zh-CN"/>
        </w:rPr>
        <w:t>全民参保人数355731人（居民参保328069人，职工参保27662），参保率95.58%，全市排名第7名。县医保局将持续加大参保催缴力度，争取在参保结束时点，争先进位。</w:t>
      </w:r>
    </w:p>
    <w:p w14:paraId="52BDD6C3">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（三）强防范严监管，加大违规使用基金处理力度</w:t>
      </w:r>
    </w:p>
    <w:p w14:paraId="156D1DF6">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以零容忍态度严厉打击欺诈骗保、套保等违法行为，重拳出击、铁腕治理，坚决守好护好人民群众的“救命钱”。 </w:t>
      </w:r>
    </w:p>
    <w:p w14:paraId="7CC3EBD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default" w:ascii="仿宋_GB2312" w:hAnsi="微软雅黑" w:eastAsia="仿宋_GB2312" w:cs="仿宋_GB2312"/>
          <w:b w:val="0"/>
          <w:bCs w:val="0"/>
          <w:i w:val="0"/>
          <w:caps w:val="0"/>
          <w:color w:val="000000" w:themeColor="text1"/>
          <w:spacing w:val="0"/>
          <w:kern w:val="0"/>
          <w:sz w:val="32"/>
          <w:szCs w:val="32"/>
          <w:shd w:val="clear" w:fill="FFFFFF"/>
          <w:lang w:val="en-US" w:eastAsia="zh-CN" w:bidi="ar"/>
        </w:rPr>
      </w:pPr>
      <w:r>
        <w:rPr>
          <w:rFonts w:hint="eastAsia" w:ascii="仿宋_GB2312" w:hAnsi="仿宋_GB2312" w:eastAsia="仿宋_GB2312" w:cs="仿宋_GB2312"/>
          <w:color w:val="000000"/>
          <w:sz w:val="32"/>
          <w:szCs w:val="32"/>
          <w:lang w:val="en-US" w:eastAsia="zh-CN"/>
        </w:rPr>
        <w:t>一是为了统筹做好2023年基金监管工作，提高基金监管工作效率，年初制定了2023年《基金监管工作计划》。实现2023年度定点医药机构监督检查全覆盖。二是加大对疑点数据及异常数据的监管力度，充分利用大数据系统和床位监管系统，丰富监管手段，提升管理水平。通过日常检查、专项检查、交叉检查、飞行检查、重点检查、聘请第三方审计等方式，对辖区内定点医疗机构和定点零售药店进行监管检查，严格控制定点医疗机构次均费用的不合理增长，对违规违法行为进行严厉处理，追回违规资金885.8万元。三是严格行政执法。对检查发现的违法问题，及时立案调查，全年共开展行政执法3起，罚款3.21万元。四是全面规范医保协议管理，完成对26个定点医疗机构和65个定点药店的2022年度考核工作，划分出ABCD四个等级，对排名靠后的定点医药机构加大检查频次，对违反协议的医药机构扣除协议保证金153.9余万元，维护了医保基金安全。五是联合卫生健康局召开全县定点医疗机构会议，解读《河北省社会保险基金安全责任追究办法》，传达《河北省医疗保障局关于做好2023年医疗保障局基金监管工作的通知》的精神，要求各定点医疗机构要提高政治站位，保障医保基金安全，坚决杜绝欺诈骗保问题的发生。六是在12月开展了“规范用基金、守好救命钱，防止年终突击刷卡”集中整治月活动，对各定点医药机构下发《河北省医疗保障基金检查问题指南》，要求各定点医药机构对照“问题指南”自查整改，增强合理、规范使用医疗保障基金的意识。进一步打击了违规违约行为，扎紧了医保基金的“钱袋子“，同时进一步规范了医疗机构的诊疗行为。</w:t>
      </w:r>
    </w:p>
    <w:p w14:paraId="37214EC3">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color w:val="000000"/>
          <w:sz w:val="32"/>
          <w:szCs w:val="32"/>
          <w:lang w:val="en-US" w:eastAsia="zh-CN"/>
        </w:rPr>
      </w:pPr>
      <w:r>
        <w:rPr>
          <w:rFonts w:hint="eastAsia" w:ascii="楷体_GB2312" w:hAnsi="楷体_GB2312" w:eastAsia="楷体_GB2312" w:cs="楷体_GB2312"/>
          <w:b/>
          <w:bCs/>
          <w:color w:val="000000"/>
          <w:sz w:val="32"/>
          <w:szCs w:val="32"/>
          <w:lang w:val="en-US" w:eastAsia="zh-CN"/>
        </w:rPr>
        <w:t>（四）强沟通精数据，助力乡村振兴有效衔接</w:t>
      </w:r>
    </w:p>
    <w:p w14:paraId="007AE28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一是认真贯彻落实建档立卡脱贫人口等特殊人群实现参保全覆盖，做到应保尽保，其中农村低收入人口全部参保。对个人缴费部分进行分类资助，进一步抓实医保在巩固拓展脱贫攻坚成果同乡村振兴有效衔接的基础性工作。二是数据及时对接。每月5日前，与乡村振兴局、民政局对接，对建档立卡脱贫人口、低保、特困供养对象增加及减少人员进行比对核实、动态调整，保证脱贫人口、低保、特困供养对象、低保边缘家庭医疗保障待遇；同时，将因病致贫返贫人员监测信息推送给县乡村振兴局，对符合条件的实行防贫保险救助，自2023年1月以来，累计向乡村振兴局、民政局推送脱贫人口监测数据451人，推送参加居民医保的普通居民监测数据2436人，易返贫致贫人口73人，低保边缘家庭成员935人。乡村振兴局、民政局经过核实后126人纳入了防贫监测对象和低保对象，其中：77人享受医疗救助待遇报销568537.49元；126人享受参保资助39690元。三是认真落实建档立卡脱贫人口“三重保障”一站式结算，认真贯彻落实省、市《关于巩固拓展医疗保障脱贫攻坚成果有效衔接乡村振兴战略的实施方案》、石家庄市人民政府办公室印发的《关于健全重特大疾病医疗保险和救助制度的实施方案》文件要求，2023年1-11月，我县农村低收入人口140203人次享受了医疗救助2670.93万元。</w:t>
      </w:r>
    </w:p>
    <w:p w14:paraId="4BAA10B8">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楷体_GB2312" w:hAnsi="楷体_GB2312" w:eastAsia="楷体_GB2312" w:cs="楷体_GB2312"/>
          <w:b/>
          <w:bCs w:val="0"/>
          <w:sz w:val="32"/>
          <w:szCs w:val="32"/>
          <w:lang w:val="en-US" w:eastAsia="zh-CN"/>
        </w:rPr>
        <w:t>（五）集中力量抓采购，减轻群众负担和医保基金压力</w:t>
      </w:r>
    </w:p>
    <w:p w14:paraId="5BD1AD1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今年以来，继续严格落实上级常态化开展药品和医用耗材集中带量采购制度。通过与卫健局联合制定规范性文件、建立医疗服务数据库、开展集中带量采购等，有效减轻群众负担。一是积极组织医疗机构开展国家、省组织药品、医用耗材集中带量采购预计采购数量上报工作，落实集采药品、医用耗材中选结果的报量采购。我县跟进国家和省组织集中带量采购药品14个批次1000多个药品品规；集采药品采购数量超5380482（最小制剂单位），集采药品采购金额超8818.73万元。跟进国家和省组织集中带量采购医用耗材14个批次；集采耗材采购数量超3194284 ，采购金额约2514.64万元。2023年网采药品数量10886898（最小制剂单位），网采金额1.95亿元；网采耗材数量7845850个，网采金额2787.77万元。二是及时拨付落实集中带量采购药品耗材结余留用医保资金，共拨付各协议医疗机构结余留用资金60.47万元。三是规范医疗机构“药品进销存管理”。目前已联合卫健局联合出台了《规范医疗机构挂网采购行为并推进药品、耗材集中带量采购工作的通知》，该通知从集中带量采购、药品耗材完成进度、规范医疗机构网采行为、进销存数据一致性、结余留用资金发放政策、预付周转金专款专用等方面做出了明确要求。通过此措施有助于对医疗机构的药品、耗材的使用合理性开展监管，减少违规行为的发生。通过药品、耗材集中带量采购，医疗机构从“集中采购平台”采购价格较低的药品，既减轻了群众医药费负担，又大大节约了医保基金。通过拨付结余留用资金，调动了医务人员使用“集中采购平台”上价格较低药品、耗材的积极性，又支持医疗机构发展。</w:t>
      </w:r>
    </w:p>
    <w:p w14:paraId="1860DE5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color w:val="000000"/>
          <w:sz w:val="32"/>
          <w:szCs w:val="32"/>
          <w:lang w:val="en-US" w:eastAsia="zh-CN"/>
        </w:rPr>
      </w:pPr>
      <w:r>
        <w:rPr>
          <w:rFonts w:hint="eastAsia" w:ascii="楷体_GB2312" w:hAnsi="楷体_GB2312" w:eastAsia="楷体_GB2312" w:cs="楷体_GB2312"/>
          <w:b/>
          <w:bCs/>
          <w:color w:val="000000"/>
          <w:sz w:val="32"/>
          <w:szCs w:val="32"/>
          <w:lang w:val="en-US" w:eastAsia="zh-CN"/>
        </w:rPr>
        <w:t>（六）抓作风强管理，提升医疗保障服务水平</w:t>
      </w:r>
    </w:p>
    <w:p w14:paraId="2DAFD16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以群众满意为准绳，多次召开班子会，统一思想，凝聚合力，深入研究，提质、增效、创优工作。一是严格落实首问首办负责制、服务承诺制。业务窗口“一次性”告知各种医保业务的办理流程、办理时限及需提交的材料等，实现“一站式”办理各项业务。二是建立慢特病数据库，定期对慢特病鉴定医疗机构进行一对一审核，确保慢特病人群及时享受待遇。2023年截至</w:t>
      </w:r>
      <w:bookmarkStart w:id="0" w:name="_GoBack"/>
      <w:bookmarkEnd w:id="0"/>
      <w:r>
        <w:rPr>
          <w:rFonts w:hint="eastAsia" w:ascii="仿宋_GB2312" w:hAnsi="仿宋_GB2312" w:eastAsia="仿宋_GB2312" w:cs="仿宋_GB2312"/>
          <w:color w:val="000000"/>
          <w:sz w:val="32"/>
          <w:szCs w:val="32"/>
          <w:lang w:val="en-US" w:eastAsia="zh-CN"/>
        </w:rPr>
        <w:t>11月底鉴定慢性病 1659人次，特殊病815人次，并对其用药情况进行疑点数据核查，维护基金安全。三是重点围绕电子医保凭证使用、慢特病申报、医疗救助、医保基金监管条例等医保政策，利用多种渠道进行宣传，主动服务参保群众，定点医药机构，深入开展医保政策进机关、进社区、进乡村、进企业、进医院“五进”专题宣传活动，有效利用公众号、微信群、QQ群、日常检查、窗口服务等平台强化医保政策宣传，切实打通医保政策宣传服务“最后一公里”。四是为进一步做好我县定点医疗机构开通门诊保障服务工作，让参保群众“看好病、少花钱、少跑腿”，切实将利民、惠民、便民落到实处，提高参保人员的满意度和幸福感。经过申请受理、资料审核、现场考察评估等主要环节，经市局批准确定尚恒济开通门诊保障服务业务。五是为进一步满足异地参保人员在我县基层定点医疗机构和门诊保障定点药店就近就医购药需求，对我县15家乡镇卫生院（居民门诊统筹、居民慢性病、居民两病）和1家门诊保</w:t>
      </w:r>
      <w:r>
        <w:rPr>
          <w:rFonts w:hint="eastAsia" w:ascii="仿宋_GB2312" w:hAnsi="仿宋_GB2312" w:eastAsia="仿宋_GB2312" w:cs="仿宋_GB2312"/>
          <w:color w:val="000000"/>
          <w:sz w:val="32"/>
          <w:szCs w:val="32"/>
          <w:highlight w:val="none"/>
          <w:lang w:val="en-US" w:eastAsia="zh-CN"/>
        </w:rPr>
        <w:t>障定点药店（职工个人账户、职工门诊统筹）在已开通医保结算服务类别的基础上开通异地就</w:t>
      </w:r>
      <w:r>
        <w:rPr>
          <w:rFonts w:hint="eastAsia" w:ascii="仿宋_GB2312" w:hAnsi="仿宋_GB2312" w:eastAsia="仿宋_GB2312" w:cs="仿宋_GB2312"/>
          <w:color w:val="000000"/>
          <w:sz w:val="32"/>
          <w:szCs w:val="32"/>
          <w:lang w:val="en-US" w:eastAsia="zh-CN"/>
        </w:rPr>
        <w:t>医购药结算服务功能。六是中心手工零星报销：城乡居民（含生育）595人次；城镇职工（含生育保险）203人次。七是6月3日联合税务部门印发了《城乡居民和灵活就业人员基本医疗保险“缴费即参保”工作方案》，在“缴费即参保”系统上线以来，实现“缴费即参保”达3万多人，提升了缴费人满意度。</w:t>
      </w:r>
    </w:p>
    <w:p w14:paraId="5F3356C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（七）加强基金总体控制，全面完成上年度基金清算</w:t>
      </w:r>
    </w:p>
    <w:p w14:paraId="79F9D91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一是合理编制医保基金预算方案，建立了医保基金“总额预算控制、合理超支分担、结余适当留用”的责任共担和激励约束支付机制，多次与上级医保部门沟通，争取支持，于2023年3月按照平均清算95%的比例顺利完成2022年度城乡居民医保基金清算。二是建立健全医保基金提示预警制度，每月由财务部门对超支医疗机构进行书面提示提醒，督促医疗机构合理控制医保基金使用额度，规范诊疗就医行为。</w:t>
      </w:r>
    </w:p>
    <w:p w14:paraId="440B9DE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（八）激励约束共举，全面跟进支付方式改革</w:t>
      </w:r>
    </w:p>
    <w:p w14:paraId="46B19D1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聚焦更好保障参保人权益，着力健全管用高效的医保支付机制，一是全面落实DIP（区域点数法总额预算和按病种分值付费）医保支付方式改革工作要求，按时保质保量完成各项任务。</w:t>
      </w:r>
      <w:r>
        <w:rPr>
          <w:rFonts w:hint="eastAsia" w:ascii="仿宋" w:hAnsi="仿宋" w:eastAsia="仿宋" w:cs="仿宋"/>
          <w:sz w:val="32"/>
          <w:szCs w:val="32"/>
          <w:highlight w:val="none"/>
          <w:lang w:val="en-US" w:eastAsia="zh-CN"/>
        </w:rPr>
        <w:t>截至目前我县有6家（县人民医院、康德医院、行唐县中医医院</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行</w:t>
      </w:r>
      <w:r>
        <w:rPr>
          <w:rFonts w:hint="eastAsia" w:ascii="仿宋" w:hAnsi="仿宋" w:eastAsia="仿宋" w:cs="仿宋"/>
          <w:sz w:val="32"/>
          <w:szCs w:val="32"/>
          <w:lang w:val="en-US" w:eastAsia="zh-CN"/>
        </w:rPr>
        <w:t>唐福康医院、行唐尚恒济医院、行唐联康医院）符合条件的</w:t>
      </w:r>
      <w:r>
        <w:rPr>
          <w:rFonts w:hint="eastAsia" w:ascii="仿宋_GB2312" w:hAnsi="仿宋_GB2312" w:eastAsia="仿宋_GB2312" w:cs="仿宋_GB2312"/>
          <w:sz w:val="32"/>
          <w:szCs w:val="32"/>
          <w:lang w:val="en-US" w:eastAsia="zh-CN"/>
        </w:rPr>
        <w:t>开展住院服务定点医疗机构</w:t>
      </w:r>
      <w:r>
        <w:rPr>
          <w:rFonts w:hint="eastAsia" w:ascii="仿宋" w:hAnsi="仿宋" w:eastAsia="仿宋" w:cs="仿宋"/>
          <w:sz w:val="32"/>
          <w:szCs w:val="32"/>
          <w:lang w:val="en-US" w:eastAsia="zh-CN"/>
        </w:rPr>
        <w:t>医疗机构实现DIP实际付费</w:t>
      </w:r>
      <w:r>
        <w:rPr>
          <w:rFonts w:hint="eastAsia" w:ascii="仿宋_GB2312" w:hAnsi="仿宋_GB2312" w:eastAsia="仿宋_GB2312" w:cs="仿宋_GB2312"/>
          <w:color w:val="000000"/>
          <w:sz w:val="32"/>
          <w:szCs w:val="32"/>
          <w:lang w:val="en-US" w:eastAsia="zh-CN"/>
        </w:rPr>
        <w:t>。二是按照上级要求，完成医共体医保基金打包支付工作，按照“总额预算、按月拨付、年终结算”的原则，于10月完成对县内2个医共体医保基金打包支付工作，共打包支付600余万元。</w:t>
      </w:r>
    </w:p>
    <w:p w14:paraId="586E4183">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7CBD59A">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1972EDE">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sz w:val="32"/>
          <w:szCs w:val="32"/>
        </w:rPr>
        <w:t xml:space="preserve"> </w:t>
      </w:r>
      <w:r>
        <w:rPr>
          <w:rFonts w:hint="eastAsia" w:ascii="仿宋" w:hAnsi="仿宋" w:eastAsia="仿宋"/>
          <w:sz w:val="32"/>
          <w:szCs w:val="32"/>
          <w:lang w:eastAsia="zh-CN"/>
        </w:rPr>
        <w:t>我</w:t>
      </w:r>
      <w:r>
        <w:rPr>
          <w:rFonts w:hint="eastAsia" w:ascii="仿宋" w:hAnsi="仿宋" w:eastAsia="仿宋"/>
          <w:sz w:val="32"/>
          <w:szCs w:val="32"/>
          <w:lang w:val="en-US" w:eastAsia="zh-CN"/>
        </w:rPr>
        <w:t>局成立绩效自评小组，有主管领导及相关科室参与，通过核实数据、查阅资料、归纳汇总等环节对绩效执行情况、资金来源情况和资金使用情况以及绩效目标实现程度进行了分析评价。</w:t>
      </w:r>
    </w:p>
    <w:p w14:paraId="41C3C193">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5C1DF21C">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绩效自评工作小组，按照《行唐县部门预算项目绩效自评管理办法》要求，结合 工作实际，对照预算批复时确定的绩效目标及指标，根据 2023年度预算执行情况、决算报告等相关材料，遵循客观公正、公开 透明、全面覆盖的原则，组织实施本部门的绩效自评工作。</w:t>
      </w:r>
    </w:p>
    <w:p w14:paraId="1E70D520">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1.制定绩效自评工作方案。工作方案包括年度绩效评价实施方案、评价指标体系及评价标准、基础数据、绩效评价资料。自评小组对绩效评价相关事项进行讨论与研究，确定评价证据。</w:t>
      </w:r>
    </w:p>
    <w:p w14:paraId="1DE0C80C">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2.根据制定的绩效自评工作方案，收集相关实施材料， 审核基础资料，核实年度绩效目标是否实施及实施情况是否良好， 并进行拍照留痕，对收集的证据运用科学的方法进行综合分析。</w:t>
      </w:r>
    </w:p>
    <w:p w14:paraId="2D8B4AEA">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3.根据分析后的情况评分，形成综合评价结果，将评价 结果与各项指标进行比较，确定绩效评价等级(优、良、中、差)</w:t>
      </w:r>
    </w:p>
    <w:p w14:paraId="3812EA65">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3B88D95">
      <w:pPr>
        <w:numPr>
          <w:ilvl w:val="0"/>
          <w:numId w:val="2"/>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7AA88B4">
      <w:pPr>
        <w:pStyle w:val="5"/>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sz w:val="32"/>
          <w:szCs w:val="32"/>
          <w:highlight w:val="none"/>
          <w:lang w:val="en-US" w:eastAsia="zh-CN"/>
        </w:rPr>
      </w:pPr>
      <w:r>
        <w:rPr>
          <w:rFonts w:hint="eastAsia" w:ascii="仿宋" w:hAnsi="仿宋" w:eastAsia="仿宋"/>
          <w:sz w:val="32"/>
          <w:szCs w:val="32"/>
          <w:lang w:val="en-US" w:eastAsia="zh-CN"/>
        </w:rPr>
        <w:t>根据预算绩效管理要求，本部门组织对2023年度一般公共预算项目支出全面开展绩效自评。2023年重点绩效评价本着 “兼顾整体政策评价和重点项目评价”的原则，确定了对重大支出政策或重大项目开展财政重点绩效评价，总体绩效目标完成较好。专项资金安排符合上级政府决策部署，认真分析研究指标任务，细化、分解落实目标责任，并开展常态化，有效推进了各项指标任务的落实。全力做好排查、化解、稳控、打击等各环节工作，有效提升了医疗机构对医保基金的规范使用，严厉打击欺诈骗保行为，大力宣传医保政策，有效提升了</w:t>
      </w:r>
      <w:r>
        <w:rPr>
          <w:rFonts w:hint="eastAsia" w:ascii="仿宋" w:hAnsi="仿宋" w:eastAsia="仿宋"/>
          <w:sz w:val="32"/>
          <w:szCs w:val="32"/>
          <w:highlight w:val="none"/>
          <w:lang w:val="en-US" w:eastAsia="zh-CN"/>
        </w:rPr>
        <w:t xml:space="preserve">城乡居民的参保率。截至本年末，我部门项目绩效指标任务已完成。 </w:t>
      </w:r>
    </w:p>
    <w:p w14:paraId="6A0E1B97">
      <w:pPr>
        <w:spacing w:line="560" w:lineRule="exact"/>
        <w:rPr>
          <w:rFonts w:hint="eastAsia" w:ascii="仿宋" w:hAnsi="仿宋" w:eastAsia="仿宋" w:cs="黑体"/>
          <w:kern w:val="2"/>
          <w:sz w:val="32"/>
          <w:szCs w:val="32"/>
          <w:lang w:val="en-US" w:eastAsia="zh-CN" w:bidi="ar-SA"/>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14E13F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绩效目标实现情况：</w:t>
      </w:r>
    </w:p>
    <w:p w14:paraId="6B21F83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（一）抓党建强队伍，有效推进班子科学决策</w:t>
      </w:r>
    </w:p>
    <w:p w14:paraId="171501C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color w:val="000000"/>
          <w:sz w:val="32"/>
          <w:szCs w:val="32"/>
          <w:lang w:val="en-US" w:eastAsia="zh-CN"/>
        </w:rPr>
        <w:t>局党组始终以习近平新时代中国特色社会主义思想为指导，认真学习贯彻党的二十大精神、习近平在河北考察时重要讲话精神及县委十三届六次全会精神等，坚决拥护“两个确立”、切实增强“四个意识”、坚定“四个自信”、做到“两个维护”。并将学习效果体现到工作谋划，落实到工作实践中，使二十大精神在医保局落地生根。</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32"/>
          <w:lang w:val="en-US" w:eastAsia="zh-CN"/>
        </w:rPr>
        <w:t>切实担负起管党治党政治责任，强化一把手“第一责任人”，主管领导“一岗双责”责任，严明六个纪律，不断强化党组核心建设。经常性开展谈心谈话提醒，集中学习督导教育，通过抓早抓小，促进党员干部作风转变。</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32"/>
          <w:lang w:val="en-US" w:eastAsia="zh-CN"/>
        </w:rPr>
        <w:t>坚持民主集中制，在“三重一大”决策中培育树正气、讲党性的民主作风，坚持凡是“三重一大”事项的决策都要经过深入调研，征求班子及相关干部职工意见建议，并全过程追溯。</w:t>
      </w:r>
      <w:r>
        <w:rPr>
          <w:rFonts w:hint="eastAsia" w:ascii="仿宋_GB2312" w:hAnsi="仿宋_GB2312" w:eastAsia="仿宋_GB2312" w:cs="仿宋_GB2312"/>
          <w:b/>
          <w:bCs/>
          <w:color w:val="000000"/>
          <w:sz w:val="32"/>
          <w:szCs w:val="32"/>
          <w:lang w:val="en-US" w:eastAsia="zh-CN"/>
        </w:rPr>
        <w:t>四是</w:t>
      </w:r>
      <w:r>
        <w:rPr>
          <w:rFonts w:hint="eastAsia" w:ascii="仿宋_GB2312" w:hAnsi="仿宋_GB2312" w:eastAsia="仿宋_GB2312" w:cs="仿宋_GB2312"/>
          <w:color w:val="000000"/>
          <w:sz w:val="32"/>
          <w:szCs w:val="32"/>
          <w:lang w:val="en-US" w:eastAsia="zh-CN"/>
        </w:rPr>
        <w:t>以党建为引领，坚持党组书记讲党课，讲党课8次，有效推进参保、基金监管、价采、中心报销等工作提档升级。</w:t>
      </w:r>
      <w:r>
        <w:rPr>
          <w:rFonts w:hint="eastAsia" w:ascii="仿宋_GB2312" w:hAnsi="仿宋_GB2312" w:eastAsia="仿宋_GB2312" w:cs="仿宋_GB2312"/>
          <w:b/>
          <w:bCs/>
          <w:color w:val="000000"/>
          <w:sz w:val="32"/>
          <w:szCs w:val="32"/>
          <w:lang w:val="en-US" w:eastAsia="zh-CN"/>
        </w:rPr>
        <w:t>五是</w:t>
      </w:r>
      <w:r>
        <w:rPr>
          <w:rFonts w:hint="eastAsia" w:ascii="仿宋_GB2312" w:hAnsi="仿宋_GB2312" w:eastAsia="仿宋_GB2312" w:cs="仿宋_GB2312"/>
          <w:color w:val="000000"/>
          <w:sz w:val="32"/>
          <w:szCs w:val="32"/>
          <w:lang w:val="en-US" w:eastAsia="zh-CN"/>
        </w:rPr>
        <w:t>为不断提高干部能力素质，切实提升我局单位职工工作能力，每周五下午进行集中学习，由各科室轮流讲课，讲课之人准备之时，是对业务的进一步精进，提升干部职工学习兴趣，提高办事能力。</w:t>
      </w:r>
    </w:p>
    <w:p w14:paraId="5746C52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（二）强宣传压责任，多措并举完成</w:t>
      </w:r>
      <w:r>
        <w:rPr>
          <w:rFonts w:hint="eastAsia" w:ascii="楷体_GB2312" w:hAnsi="楷体_GB2312" w:eastAsia="楷体_GB2312" w:cs="楷体_GB2312"/>
          <w:b/>
          <w:bCs w:val="0"/>
          <w:color w:val="auto"/>
          <w:sz w:val="32"/>
          <w:szCs w:val="32"/>
          <w:lang w:val="en-US" w:eastAsia="zh-CN"/>
        </w:rPr>
        <w:t>全民</w:t>
      </w:r>
      <w:r>
        <w:rPr>
          <w:rFonts w:hint="eastAsia" w:ascii="楷体_GB2312" w:hAnsi="楷体_GB2312" w:eastAsia="楷体_GB2312" w:cs="楷体_GB2312"/>
          <w:b/>
          <w:bCs w:val="0"/>
          <w:sz w:val="32"/>
          <w:szCs w:val="32"/>
          <w:lang w:val="en-US" w:eastAsia="zh-CN"/>
        </w:rPr>
        <w:t>参保</w:t>
      </w:r>
    </w:p>
    <w:p w14:paraId="74E27C18">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（一）2023年度全民参保工作完成情况</w:t>
      </w:r>
      <w:r>
        <w:rPr>
          <w:rFonts w:hint="eastAsia" w:ascii="仿宋_GB2312" w:hAnsi="仿宋_GB2312" w:eastAsia="仿宋_GB2312" w:cs="仿宋_GB2312"/>
          <w:b/>
          <w:bCs/>
          <w:color w:val="000000"/>
          <w:sz w:val="32"/>
          <w:szCs w:val="32"/>
          <w:highlight w:val="none"/>
          <w:lang w:val="en-US" w:eastAsia="zh-CN"/>
        </w:rPr>
        <w:t>：</w:t>
      </w:r>
      <w:r>
        <w:rPr>
          <w:rFonts w:hint="eastAsia" w:ascii="仿宋_GB2312" w:hAnsi="仿宋_GB2312" w:eastAsia="仿宋_GB2312" w:cs="仿宋_GB2312"/>
          <w:b w:val="0"/>
          <w:bCs w:val="0"/>
          <w:color w:val="000000"/>
          <w:sz w:val="32"/>
          <w:szCs w:val="32"/>
          <w:highlight w:val="none"/>
          <w:lang w:val="en-US" w:eastAsia="zh-CN"/>
        </w:rPr>
        <w:t>截至2023年4月全民参保结束时，通过调度通报、多方宣传、压实责任、强化</w:t>
      </w:r>
      <w:r>
        <w:rPr>
          <w:rFonts w:hint="eastAsia" w:ascii="仿宋_GB2312" w:hAnsi="仿宋_GB2312" w:eastAsia="仿宋_GB2312" w:cs="仿宋_GB2312"/>
          <w:b w:val="0"/>
          <w:bCs w:val="0"/>
          <w:color w:val="000000"/>
          <w:sz w:val="32"/>
          <w:szCs w:val="32"/>
          <w:lang w:val="en-US" w:eastAsia="zh-CN"/>
        </w:rPr>
        <w:t>配合、精准人员等多措并举，行唐县</w:t>
      </w:r>
      <w:r>
        <w:rPr>
          <w:rFonts w:hint="eastAsia" w:ascii="仿宋_GB2312" w:hAnsi="仿宋_GB2312" w:eastAsia="仿宋_GB2312" w:cs="仿宋_GB2312"/>
          <w:color w:val="000000"/>
          <w:sz w:val="32"/>
          <w:szCs w:val="32"/>
          <w:lang w:val="en-US" w:eastAsia="zh-CN"/>
        </w:rPr>
        <w:t>2023年度基本医疗保险全民参保人数377199人（居民参保350297人，职工参保26902），参保率100.15%，全市排名第6名，与2022年相比，在全市提升了一个位次，受到上级表扬。</w:t>
      </w:r>
    </w:p>
    <w:p w14:paraId="6913F75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（二）2024年度全民参保工作进展：</w:t>
      </w:r>
      <w:r>
        <w:rPr>
          <w:rFonts w:hint="eastAsia" w:ascii="仿宋_GB2312" w:hAnsi="仿宋_GB2312" w:eastAsia="仿宋_GB2312" w:cs="仿宋_GB2312"/>
          <w:b w:val="0"/>
          <w:bCs w:val="0"/>
          <w:color w:val="000000"/>
          <w:sz w:val="32"/>
          <w:szCs w:val="32"/>
          <w:lang w:val="en-US" w:eastAsia="zh-CN"/>
        </w:rPr>
        <w:t>2023年</w:t>
      </w:r>
      <w:r>
        <w:rPr>
          <w:rFonts w:hint="eastAsia" w:ascii="仿宋_GB2312" w:hAnsi="仿宋_GB2312" w:eastAsia="仿宋_GB2312" w:cs="仿宋_GB2312"/>
          <w:color w:val="000000"/>
          <w:sz w:val="32"/>
          <w:szCs w:val="32"/>
          <w:lang w:val="en-US" w:eastAsia="zh-CN"/>
        </w:rPr>
        <w:t>10月13日县政府召开了“2024年度城乡居民医保参保征缴”启动大会，下发了《行唐县2024年度城乡居民基本医疗保险参保征缴实施方案》，争取2024年保持总参保率不低于95%，在全市参保工作考核中争先创优。</w:t>
      </w:r>
    </w:p>
    <w:p w14:paraId="4EA0397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32"/>
          <w:lang w:val="en-US" w:eastAsia="zh-CN"/>
        </w:rPr>
        <w:t>领导高度重视。县政府分管领导多次组织召开全县全民参保工作部署调度会议，细化任务分工，全面压实乡镇及相关单位工作责任。</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32"/>
          <w:lang w:val="en-US" w:eastAsia="zh-CN"/>
        </w:rPr>
        <w:t>做到精准参保。建立完善了包含城乡居民、城镇职工等各类人群参保信息的参保数据库并实行动态管理，及时掌握各类群体参保信息，实现了精准参保。</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32"/>
          <w:lang w:val="en-US" w:eastAsia="zh-CN"/>
        </w:rPr>
        <w:t>部门协同合力。主动加强与税务、公安、民政、教育等部门协调沟通，形成了推动基本医保全覆盖工作合力。</w:t>
      </w:r>
      <w:r>
        <w:rPr>
          <w:rFonts w:hint="eastAsia" w:ascii="仿宋_GB2312" w:hAnsi="仿宋_GB2312" w:eastAsia="仿宋_GB2312" w:cs="仿宋_GB2312"/>
          <w:b/>
          <w:bCs/>
          <w:color w:val="000000"/>
          <w:sz w:val="32"/>
          <w:szCs w:val="32"/>
          <w:lang w:val="en-US" w:eastAsia="zh-CN"/>
        </w:rPr>
        <w:t>四是</w:t>
      </w:r>
      <w:r>
        <w:rPr>
          <w:rFonts w:hint="eastAsia" w:ascii="仿宋_GB2312" w:hAnsi="仿宋_GB2312" w:eastAsia="仿宋_GB2312" w:cs="仿宋_GB2312"/>
          <w:color w:val="000000"/>
          <w:sz w:val="32"/>
          <w:szCs w:val="32"/>
          <w:lang w:val="en-US" w:eastAsia="zh-CN"/>
        </w:rPr>
        <w:t>多种形式搞宣传，印发45000份城乡居民医疗保险明白纸，通过电视台、政府网站、行唐发布、行唐融媒体中心微信公众号、微信朋友圈等多种宣传途径</w:t>
      </w:r>
      <w:r>
        <w:rPr>
          <w:rFonts w:hint="eastAsia" w:ascii="仿宋_GB2312" w:hAnsi="仿宋_GB2312" w:eastAsia="仿宋_GB2312" w:cs="仿宋_GB2312"/>
          <w:color w:val="000000"/>
          <w:sz w:val="32"/>
          <w:szCs w:val="32"/>
          <w:highlight w:val="none"/>
          <w:lang w:val="en-US" w:eastAsia="zh-CN"/>
        </w:rPr>
        <w:t>，全方位高频次广密度提醒广大居民参保缴费。截至目前，2024年度</w:t>
      </w:r>
      <w:r>
        <w:rPr>
          <w:rFonts w:hint="eastAsia" w:ascii="仿宋_GB2312" w:hAnsi="仿宋_GB2312" w:eastAsia="仿宋_GB2312" w:cs="仿宋_GB2312"/>
          <w:color w:val="000000"/>
          <w:sz w:val="32"/>
          <w:szCs w:val="32"/>
          <w:lang w:val="en-US" w:eastAsia="zh-CN"/>
        </w:rPr>
        <w:t>全民参保人数355731人（居民参保328069人，职工参保27662），参保率95.58%，全市排名第7名。县医保局将持续加大参保催缴力度，争取在参保结束时点，争先进位。</w:t>
      </w:r>
    </w:p>
    <w:p w14:paraId="57C8E79C">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right="0" w:rightChars="0" w:firstLine="643" w:firstLineChars="200"/>
        <w:textAlignment w:val="auto"/>
        <w:outlineLvl w:val="9"/>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（三）强防范严监管，加大违规使用基金处理力度</w:t>
      </w:r>
    </w:p>
    <w:p w14:paraId="294E34A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以零容忍态度严厉打击欺诈骗保、套保等违法行为，重拳出击、铁腕治理，坚决守好护好人民群众的“救命钱”。 </w:t>
      </w:r>
    </w:p>
    <w:p w14:paraId="3755D11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default" w:ascii="仿宋_GB2312" w:hAnsi="微软雅黑" w:eastAsia="仿宋_GB2312" w:cs="仿宋_GB2312"/>
          <w:b w:val="0"/>
          <w:bCs w:val="0"/>
          <w:i w:val="0"/>
          <w:caps w:val="0"/>
          <w:color w:val="000000" w:themeColor="text1"/>
          <w:spacing w:val="0"/>
          <w:kern w:val="0"/>
          <w:sz w:val="32"/>
          <w:szCs w:val="32"/>
          <w:shd w:val="clear" w:fill="FFFFFF"/>
          <w:lang w:val="en-US" w:eastAsia="zh-CN" w:bidi="ar"/>
        </w:rPr>
      </w:pPr>
      <w:r>
        <w:rPr>
          <w:rFonts w:hint="eastAsia" w:ascii="仿宋_GB2312" w:hAnsi="仿宋_GB2312" w:eastAsia="仿宋_GB2312" w:cs="仿宋_GB2312"/>
          <w:color w:val="000000"/>
          <w:sz w:val="32"/>
          <w:szCs w:val="32"/>
          <w:lang w:val="en-US" w:eastAsia="zh-CN"/>
        </w:rPr>
        <w:t>一是为了统筹做好2023年基金监管工作，提高基金监管工作效率，年初制定了2023年《基金监管工作计划》。实现2023年度定点医药机构监督检查全覆盖。二是加大对疑点数据及异常数据的监管力度，充分利用大数据系统和床位监管系统，丰富监管手段，提升管理水平。通过日常检查、专项检查、交叉检查、飞行检查、重点检查、聘请第三方审计等方式，对辖区内定点医疗机构和定点零售药店进行监管检查，严格控制定点医疗机构次均费用的不合理增长，对违规违法行为进行严厉处理，追回违规资金885.8万元。三是严格行政执法。对检查发现的违法问题，及时立案调查，全年共开展行政执法3起，罚款3.21万元。四是全面规范医保协议管理，完成对26个定点医疗机构和65个定点药店的2022年度考核工作，划分出ABCD四个等级，对排名靠后的定点医药机构加大检查频次，对违反协议的医药机构扣除协议保证金153.9余万元，维护了医保基金安全。五是联合卫生健康局召开全县定点医疗机构会议，解读《河北省社会保险基金安全责任追究办法》，传达《河北省医疗保障局关于做好2023年医疗保障局基金监管工作的通知》的精神，要求各定点医疗机构要提高政治站位，保障医保基金安全，坚决杜绝欺诈骗保问题的发生。六是在12月开展了“规范用基金、守好救命钱，防止年终突击刷卡”集中整治月活动，对各定点医药机构下发《河北省医疗保障基金检查问题指南》，要求各定点医药机构对照“问题指南”自查整改，增强合理、规范使用医疗保障基金的意识。进一步打击了违规违约行为，扎紧了医保基金的“钱袋子“，同时进一步规范了医疗机构的诊疗行为。</w:t>
      </w:r>
    </w:p>
    <w:p w14:paraId="42B28D1B">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78C6AB2">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379D83A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E8D23F7">
      <w:pPr>
        <w:keepNext w:val="0"/>
        <w:keepLines w:val="0"/>
        <w:pageBreakBefore w:val="0"/>
        <w:widowControl w:val="0"/>
        <w:kinsoku/>
        <w:wordWrap/>
        <w:overflowPunct/>
        <w:topLinePunct w:val="0"/>
        <w:autoSpaceDE/>
        <w:autoSpaceDN/>
        <w:bidi w:val="0"/>
        <w:adjustRightInd/>
        <w:snapToGrid w:val="0"/>
        <w:spacing w:line="540" w:lineRule="exact"/>
        <w:ind w:left="0" w:leftChars="0" w:right="0" w:rightChars="0" w:firstLine="640" w:firstLineChars="200"/>
        <w:jc w:val="both"/>
        <w:textAlignment w:val="auto"/>
        <w:outlineLvl w:val="9"/>
        <w:rPr>
          <w:rFonts w:hint="eastAsia" w:ascii="楷体" w:hAnsi="楷体" w:eastAsia="楷体"/>
          <w:bCs/>
          <w:sz w:val="32"/>
          <w:szCs w:val="32"/>
        </w:rPr>
      </w:pPr>
      <w:r>
        <w:rPr>
          <w:rFonts w:hint="eastAsia" w:ascii="楷体" w:hAnsi="楷体" w:eastAsia="楷体"/>
          <w:bCs/>
          <w:sz w:val="32"/>
          <w:szCs w:val="32"/>
        </w:rPr>
        <w:t>（一）存在的主要问题</w:t>
      </w:r>
    </w:p>
    <w:p w14:paraId="33352640">
      <w:pPr>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1、预算编制工作有待细化。预算编制工作不够明确、细化，预算编制的合理性需要提高。预算执行力度还需加强。</w:t>
      </w:r>
    </w:p>
    <w:p w14:paraId="227A7F61">
      <w:pPr>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2、绩效目标的设定需要更加科学、规范，易于评价</w:t>
      </w:r>
    </w:p>
    <w:p w14:paraId="07C7E83A">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61ADE998">
      <w:pPr>
        <w:snapToGrid w:val="0"/>
        <w:spacing w:line="560" w:lineRule="exact"/>
        <w:ind w:left="200"/>
        <w:rPr>
          <w:rFonts w:ascii="仿宋" w:hAnsi="仿宋" w:eastAsia="仿宋" w:cs="仿宋"/>
          <w:sz w:val="32"/>
          <w:szCs w:val="32"/>
        </w:rPr>
      </w:pPr>
      <w:r>
        <w:rPr>
          <w:rFonts w:hint="eastAsia" w:ascii="仿宋" w:hAnsi="仿宋" w:eastAsia="仿宋" w:cs="仿宋"/>
          <w:sz w:val="32"/>
          <w:szCs w:val="32"/>
        </w:rPr>
        <w:t>1、细化预算编制工作，认真做好预算编制工作，进一步强单位内部各科室的预算管理意识，严格按照预算编制的相关制度和要求进行预算编制，全面编制预算项目，进一步提高预算项目的科学性、合理性、严谨性和可控性。</w:t>
      </w:r>
    </w:p>
    <w:p w14:paraId="73025D6D">
      <w:pPr>
        <w:snapToGrid w:val="0"/>
        <w:spacing w:line="560" w:lineRule="exact"/>
        <w:ind w:firstLine="200"/>
        <w:rPr>
          <w:rFonts w:ascii="仿宋" w:hAnsi="仿宋" w:eastAsia="仿宋" w:cs="仿宋"/>
          <w:sz w:val="32"/>
          <w:szCs w:val="32"/>
        </w:rPr>
      </w:pPr>
      <w:r>
        <w:rPr>
          <w:rFonts w:hint="eastAsia" w:ascii="仿宋" w:hAnsi="仿宋" w:eastAsia="仿宋" w:cs="仿宋"/>
          <w:sz w:val="32"/>
          <w:szCs w:val="32"/>
        </w:rPr>
        <w:t>2、项目的绩效目标要根据项目的实际情况设定，要科学规范易于评价。</w:t>
      </w:r>
    </w:p>
    <w:p w14:paraId="0CD21780">
      <w:pPr>
        <w:snapToGrid w:val="0"/>
        <w:spacing w:line="560" w:lineRule="exact"/>
        <w:ind w:firstLine="200"/>
        <w:rPr>
          <w:rFonts w:ascii="仿宋" w:hAnsi="仿宋" w:eastAsia="仿宋" w:cs="仿宋"/>
          <w:sz w:val="32"/>
          <w:szCs w:val="32"/>
        </w:rPr>
      </w:pPr>
      <w:r>
        <w:rPr>
          <w:rFonts w:hint="eastAsia" w:ascii="仿宋" w:hAnsi="仿宋" w:eastAsia="仿宋" w:cs="仿宋"/>
          <w:sz w:val="32"/>
          <w:szCs w:val="32"/>
        </w:rPr>
        <w:t>3、加强财务管理，建立健全各项制度，优化工作流程，规范单位财务行为。</w:t>
      </w:r>
    </w:p>
    <w:p w14:paraId="7C7A50C9">
      <w:pPr>
        <w:adjustRightInd w:val="0"/>
        <w:snapToGrid w:val="0"/>
        <w:spacing w:line="560" w:lineRule="exact"/>
        <w:ind w:firstLine="640" w:firstLineChars="200"/>
        <w:rPr>
          <w:rFonts w:hint="eastAsia" w:ascii="黑体" w:hAnsi="黑体" w:eastAsia="黑体"/>
          <w:sz w:val="32"/>
          <w:szCs w:val="32"/>
        </w:rPr>
      </w:pPr>
    </w:p>
    <w:p w14:paraId="0C55402D">
      <w:pPr>
        <w:adjustRightInd w:val="0"/>
        <w:snapToGrid w:val="0"/>
        <w:spacing w:line="560" w:lineRule="exact"/>
        <w:ind w:firstLine="640" w:firstLineChars="200"/>
        <w:rPr>
          <w:rFonts w:hint="eastAsia" w:ascii="黑体" w:hAnsi="黑体" w:eastAsia="黑体"/>
          <w:sz w:val="32"/>
          <w:szCs w:val="32"/>
        </w:rPr>
      </w:pPr>
    </w:p>
    <w:p w14:paraId="23FADBC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146840C5">
      <w:pPr>
        <w:keepNext w:val="0"/>
        <w:keepLines w:val="0"/>
        <w:pageBreakBefore w:val="0"/>
        <w:widowControl w:val="0"/>
        <w:kinsoku/>
        <w:wordWrap/>
        <w:overflowPunct/>
        <w:topLinePunct w:val="0"/>
        <w:autoSpaceDE/>
        <w:autoSpaceDN/>
        <w:bidi w:val="0"/>
        <w:adjustRightInd/>
        <w:snapToGrid w:val="0"/>
        <w:spacing w:line="5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组长：</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 xml:space="preserve">柳永良    </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局</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长</w:t>
      </w:r>
    </w:p>
    <w:p w14:paraId="76758EC4">
      <w:pPr>
        <w:keepNext w:val="0"/>
        <w:keepLines w:val="0"/>
        <w:pageBreakBefore w:val="0"/>
        <w:widowControl w:val="0"/>
        <w:kinsoku/>
        <w:wordWrap/>
        <w:overflowPunct/>
        <w:topLinePunct w:val="0"/>
        <w:autoSpaceDE/>
        <w:autoSpaceDN/>
        <w:bidi w:val="0"/>
        <w:adjustRightInd/>
        <w:snapToGrid w:val="0"/>
        <w:spacing w:line="5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成员：</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 xml:space="preserve">习聪会    </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副局长</w:t>
      </w:r>
    </w:p>
    <w:p w14:paraId="75F54D29">
      <w:pPr>
        <w:keepNext w:val="0"/>
        <w:keepLines w:val="0"/>
        <w:pageBreakBefore w:val="0"/>
        <w:widowControl w:val="0"/>
        <w:kinsoku/>
        <w:wordWrap/>
        <w:overflowPunct/>
        <w:topLinePunct w:val="0"/>
        <w:autoSpaceDE/>
        <w:autoSpaceDN/>
        <w:bidi w:val="0"/>
        <w:adjustRightInd/>
        <w:snapToGrid w:val="0"/>
        <w:spacing w:line="5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石</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 xml:space="preserve">磊     </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副局长</w:t>
      </w:r>
    </w:p>
    <w:p w14:paraId="0008F26B">
      <w:pPr>
        <w:keepNext w:val="0"/>
        <w:keepLines w:val="0"/>
        <w:pageBreakBefore w:val="0"/>
        <w:widowControl w:val="0"/>
        <w:kinsoku/>
        <w:wordWrap/>
        <w:overflowPunct/>
        <w:topLinePunct w:val="0"/>
        <w:autoSpaceDE/>
        <w:autoSpaceDN/>
        <w:bidi w:val="0"/>
        <w:adjustRightInd/>
        <w:snapToGrid w:val="0"/>
        <w:spacing w:line="540" w:lineRule="exact"/>
        <w:ind w:left="1260" w:leftChars="0" w:right="0" w:rightChars="0" w:firstLine="420" w:firstLineChars="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陈</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雷</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党组成员</w:t>
      </w:r>
    </w:p>
    <w:p w14:paraId="031F26CE">
      <w:pPr>
        <w:keepNext w:val="0"/>
        <w:keepLines w:val="0"/>
        <w:pageBreakBefore w:val="0"/>
        <w:widowControl w:val="0"/>
        <w:kinsoku/>
        <w:wordWrap/>
        <w:overflowPunct/>
        <w:topLinePunct w:val="0"/>
        <w:autoSpaceDE/>
        <w:autoSpaceDN/>
        <w:bidi w:val="0"/>
        <w:adjustRightInd/>
        <w:snapToGrid w:val="0"/>
        <w:spacing w:line="540" w:lineRule="exact"/>
        <w:ind w:left="1260" w:leftChars="0" w:right="0" w:rightChars="0" w:firstLine="420" w:firstLineChars="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辛剑峰</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党组成员</w:t>
      </w:r>
    </w:p>
    <w:p w14:paraId="0F61AF4B">
      <w:pPr>
        <w:keepNext w:val="0"/>
        <w:keepLines w:val="0"/>
        <w:pageBreakBefore w:val="0"/>
        <w:widowControl w:val="0"/>
        <w:kinsoku/>
        <w:wordWrap/>
        <w:overflowPunct/>
        <w:topLinePunct w:val="0"/>
        <w:autoSpaceDE/>
        <w:autoSpaceDN/>
        <w:bidi w:val="0"/>
        <w:adjustRightInd/>
        <w:snapToGrid w:val="0"/>
        <w:spacing w:line="540" w:lineRule="exact"/>
        <w:ind w:left="1260" w:leftChars="0" w:right="0" w:rightChars="0" w:firstLine="420" w:firstLineChars="0"/>
        <w:jc w:val="both"/>
        <w:textAlignment w:val="auto"/>
        <w:outlineLvl w:val="9"/>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杨春英</w:t>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ab/>
      </w:r>
      <w:r>
        <w:rPr>
          <w:rFonts w:hint="eastAsia" w:ascii="仿宋" w:hAnsi="仿宋" w:eastAsia="仿宋" w:cs="仿宋"/>
          <w:color w:val="auto"/>
          <w:sz w:val="32"/>
          <w:szCs w:val="32"/>
          <w:lang w:val="en-US" w:eastAsia="zh-CN"/>
        </w:rPr>
        <w:t>党组成员</w:t>
      </w:r>
    </w:p>
    <w:p w14:paraId="66B1F2A3">
      <w:pPr>
        <w:spacing w:line="560" w:lineRule="exact"/>
        <w:ind w:firstLine="1920" w:firstLineChars="600"/>
        <w:rPr>
          <w:rFonts w:hint="eastAsia" w:ascii="仿宋" w:hAnsi="仿宋" w:eastAsia="仿宋" w:cs="仿宋"/>
        </w:rPr>
      </w:pPr>
      <w:r>
        <w:rPr>
          <w:rFonts w:hint="eastAsia" w:ascii="仿宋_GB2312" w:hAnsi="Calibri" w:eastAsia="仿宋_GB2312" w:cs="黑体"/>
          <w:b w:val="0"/>
          <w:bCs w:val="0"/>
          <w:kern w:val="2"/>
          <w:sz w:val="32"/>
          <w:szCs w:val="32"/>
          <w:lang w:val="en-US" w:eastAsia="zh-CN" w:bidi="ar-SA"/>
        </w:rPr>
        <w:t xml:space="preserve">     </w:t>
      </w: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roman"/>
    <w:pitch w:val="default"/>
    <w:sig w:usb0="00000001" w:usb1="080E0000" w:usb2="00000000" w:usb3="00000000" w:csb0="00040000" w:csb1="00000000"/>
  </w:font>
  <w:font w:name="华文楷体">
    <w:panose1 w:val="02010600040101010101"/>
    <w:charset w:val="86"/>
    <w:family w:val="auto"/>
    <w:pitch w:val="default"/>
    <w:sig w:usb0="A00002BF" w:usb1="78CF7CFB" w:usb2="00000016" w:usb3="00000000" w:csb0="6006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37645">
    <w:pPr>
      <w:pStyle w:val="8"/>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3D819BA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3D819BA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ZDA2ODk3YTI5ZDFmNDQ1Y2RkMmFjYjFiOTRiYzNjNGYifQ=="/>
  </w:docVars>
  <w:rsids>
    <w:rsidRoot w:val="00000000"/>
    <w:rsid w:val="013E162C"/>
    <w:rsid w:val="06906DD4"/>
    <w:rsid w:val="07233AF9"/>
    <w:rsid w:val="089F5554"/>
    <w:rsid w:val="0A0A6645"/>
    <w:rsid w:val="0A6267A5"/>
    <w:rsid w:val="0B36445D"/>
    <w:rsid w:val="0B367E19"/>
    <w:rsid w:val="0B637BD3"/>
    <w:rsid w:val="0FD02E11"/>
    <w:rsid w:val="107E1332"/>
    <w:rsid w:val="165A7B41"/>
    <w:rsid w:val="1B6D3826"/>
    <w:rsid w:val="1F470728"/>
    <w:rsid w:val="21930EC6"/>
    <w:rsid w:val="21BF3324"/>
    <w:rsid w:val="21C45767"/>
    <w:rsid w:val="23F24EDE"/>
    <w:rsid w:val="252520E9"/>
    <w:rsid w:val="271D2DE6"/>
    <w:rsid w:val="2A24600D"/>
    <w:rsid w:val="2D5A53C6"/>
    <w:rsid w:val="348727BE"/>
    <w:rsid w:val="40FE39DE"/>
    <w:rsid w:val="428E6185"/>
    <w:rsid w:val="4CF05CE3"/>
    <w:rsid w:val="4DA07254"/>
    <w:rsid w:val="4E3A696B"/>
    <w:rsid w:val="4EF6220D"/>
    <w:rsid w:val="4F0171CE"/>
    <w:rsid w:val="50FE50D0"/>
    <w:rsid w:val="523B5BF4"/>
    <w:rsid w:val="531B5B9F"/>
    <w:rsid w:val="53622851"/>
    <w:rsid w:val="545B3E0C"/>
    <w:rsid w:val="572D7193"/>
    <w:rsid w:val="574216FD"/>
    <w:rsid w:val="5D1A3EFF"/>
    <w:rsid w:val="5D58169F"/>
    <w:rsid w:val="60422044"/>
    <w:rsid w:val="60FB5683"/>
    <w:rsid w:val="6230253C"/>
    <w:rsid w:val="649F4037"/>
    <w:rsid w:val="688632B2"/>
    <w:rsid w:val="69D733AD"/>
    <w:rsid w:val="6CA7144F"/>
    <w:rsid w:val="6CDD099F"/>
    <w:rsid w:val="6E995E62"/>
    <w:rsid w:val="715737BA"/>
    <w:rsid w:val="721F290F"/>
    <w:rsid w:val="769D0DCC"/>
    <w:rsid w:val="76AF1747"/>
    <w:rsid w:val="79E042AA"/>
    <w:rsid w:val="7A6C3DB7"/>
    <w:rsid w:val="7EF878A5"/>
    <w:rsid w:val="7FBA726B"/>
    <w:rsid w:val="7FF640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autoRedefine/>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autoRedefine/>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autoRedefine/>
    <w:qFormat/>
    <w:uiPriority w:val="0"/>
    <w:pPr>
      <w:keepNext/>
      <w:keepLines/>
      <w:widowControl w:val="0"/>
      <w:spacing w:before="260" w:after="260" w:line="415" w:lineRule="auto"/>
      <w:outlineLvl w:val="2"/>
    </w:pPr>
    <w:rPr>
      <w:b/>
      <w:bCs/>
      <w:sz w:val="32"/>
      <w:szCs w:val="32"/>
    </w:rPr>
  </w:style>
  <w:style w:type="character" w:default="1" w:styleId="11">
    <w:name w:val="Default Paragraph Font"/>
    <w:autoRedefine/>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5">
    <w:name w:val="Body Text"/>
    <w:basedOn w:val="1"/>
    <w:next w:val="6"/>
    <w:autoRedefine/>
    <w:semiHidden/>
    <w:unhideWhenUsed/>
    <w:qFormat/>
    <w:uiPriority w:val="0"/>
    <w:pPr>
      <w:spacing w:after="120" w:afterLines="0" w:afterAutospacing="0"/>
    </w:pPr>
  </w:style>
  <w:style w:type="paragraph" w:customStyle="1" w:styleId="6">
    <w:name w:val="正文部分 Char Char Char"/>
    <w:next w:val="7"/>
    <w:autoRedefine/>
    <w:qFormat/>
    <w:uiPriority w:val="0"/>
    <w:pPr>
      <w:widowControl w:val="0"/>
      <w:adjustRightInd w:val="0"/>
      <w:snapToGrid w:val="0"/>
      <w:spacing w:after="120" w:afterLines="0" w:line="460" w:lineRule="exact"/>
      <w:jc w:val="both"/>
      <w:textAlignment w:val="baseline"/>
    </w:pPr>
    <w:rPr>
      <w:rFonts w:ascii="Times New Roman" w:hAnsi="Calibri" w:eastAsia="宋体" w:cs="Times New Roman"/>
      <w:kern w:val="2"/>
      <w:sz w:val="24"/>
      <w:szCs w:val="24"/>
      <w:lang w:val="en-US" w:eastAsia="zh-CN" w:bidi="ar-SA"/>
    </w:rPr>
  </w:style>
  <w:style w:type="paragraph" w:customStyle="1" w:styleId="7">
    <w:name w:val="章标题"/>
    <w:autoRedefine/>
    <w:qFormat/>
    <w:uiPriority w:val="0"/>
    <w:pPr>
      <w:widowControl w:val="0"/>
      <w:spacing w:before="240" w:beforeLines="0" w:after="60" w:afterLines="0" w:line="360" w:lineRule="auto"/>
      <w:jc w:val="center"/>
      <w:outlineLvl w:val="0"/>
    </w:pPr>
    <w:rPr>
      <w:rFonts w:ascii="Cambria" w:hAnsi="Cambria" w:eastAsia="宋体" w:cs="Times New Roman"/>
      <w:b/>
      <w:bCs/>
      <w:kern w:val="0"/>
      <w:sz w:val="21"/>
      <w:szCs w:val="32"/>
      <w:lang w:val="en-US" w:eastAsia="zh-CN" w:bidi="ar-SA"/>
    </w:rPr>
  </w:style>
  <w:style w:type="paragraph" w:styleId="8">
    <w:name w:val="footer"/>
    <w:basedOn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customStyle="1" w:styleId="12">
    <w:name w:val="插入文本样式-插入总体目标文件"/>
    <w:basedOn w:val="1"/>
    <w:autoRedefine/>
    <w:qFormat/>
    <w:uiPriority w:val="0"/>
    <w:pPr>
      <w:spacing w:line="500" w:lineRule="exact"/>
      <w:ind w:firstLine="560"/>
    </w:pPr>
    <w:rPr>
      <w:rFonts w:eastAsia="仿宋_GB2312"/>
      <w:sz w:val="28"/>
    </w:rPr>
  </w:style>
  <w:style w:type="paragraph" w:customStyle="1" w:styleId="13">
    <w:name w:val="插入文本样式-插入职责分类绩效目标文件"/>
    <w:basedOn w:val="1"/>
    <w:autoRedefine/>
    <w:qFormat/>
    <w:uiPriority w:val="0"/>
    <w:pPr>
      <w:spacing w:line="500" w:lineRule="exact"/>
      <w:ind w:firstLine="560"/>
    </w:pPr>
    <w:rPr>
      <w:rFonts w:eastAsia="仿宋_GB2312"/>
      <w:sz w:val="28"/>
    </w:rPr>
  </w:style>
  <w:style w:type="paragraph" w:customStyle="1" w:styleId="14">
    <w:name w:val="插入文本样式-插入实现年度发展规划目标的保障措施文件"/>
    <w:basedOn w:val="1"/>
    <w:autoRedefine/>
    <w:qFormat/>
    <w:uiPriority w:val="0"/>
    <w:pPr>
      <w:spacing w:line="500" w:lineRule="exact"/>
      <w:ind w:firstLine="560"/>
    </w:pPr>
    <w:rPr>
      <w:rFonts w:eastAsia="仿宋_GB2312"/>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6883F41-BBD4-4423-8332-5AC09A4F4A40}">
  <ds:schemaRefs/>
</ds:datastoreItem>
</file>

<file path=docProps/app.xml><?xml version="1.0" encoding="utf-8"?>
<Properties xmlns="http://schemas.openxmlformats.org/officeDocument/2006/extended-properties" xmlns:vt="http://schemas.openxmlformats.org/officeDocument/2006/docPropsVTypes">
  <Template>Normal.eit</Template>
  <Pages>16</Pages>
  <Words>9030</Words>
  <Characters>9479</Characters>
  <Lines>0</Lines>
  <Paragraphs>29</Paragraphs>
  <TotalTime>17</TotalTime>
  <ScaleCrop>false</ScaleCrop>
  <LinksUpToDate>false</LinksUpToDate>
  <CharactersWithSpaces>9559</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2024-05-15T04:22:00Z</cp:lastPrinted>
  <dcterms:modified xsi:type="dcterms:W3CDTF">2025-07-30T08:07:58Z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B6518C13456947B4AC34BAC8E15F67C1_13</vt:lpwstr>
  </property>
  <property fmtid="{D5CDD505-2E9C-101B-9397-08002B2CF9AE}" pid="4" name="KSOTemplateDocerSaveRecord">
    <vt:lpwstr>eyJoZGlkIjoiZDA2ODk3YTI5ZDFmNDQ1Y2RkMmFjYjFiOTRiYzNjNGYiLCJ1c2VySWQiOiI0MTQyNTM4MTEifQ==</vt:lpwstr>
  </property>
</Properties>
</file>