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53.06</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r>
              <w:t>5.53</w:t>
            </w: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r>
              <w:t>2.35</w:t>
            </w: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r>
              <w:t>39.85</w:t>
            </w: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r>
              <w:t>5.33</w:t>
            </w: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53.06</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53.06</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53.06</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53.06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53.06</w:t>
            </w:r>
          </w:p>
        </w:tc>
        <w:tc>
          <w:tcPr>
            <w:tcW w:w="1134" w:type="dxa"/>
            <w:tcBorders>
              <w:left w:val="single" w:sz="6" w:space="0" w:color="auto"/>
              <w:right w:val="single" w:sz="6" w:space="0" w:color="auto"/>
            </w:tcBorders>
            <w:vAlign w:val="center"/>
          </w:tcPr>
          <w:p>
            <w:pPr>
              <w:pStyle w:val="23"/>
            </w:pPr>
            <w:r>
              <w:t>53.06</w:t>
            </w:r>
          </w:p>
        </w:tc>
        <w:tc>
          <w:tcPr>
            <w:tcW w:w="1134" w:type="dxa"/>
            <w:tcBorders>
              <w:left w:val="single" w:sz="6" w:space="0" w:color="auto"/>
              <w:right w:val="single" w:sz="6" w:space="0" w:color="auto"/>
            </w:tcBorders>
            <w:vAlign w:val="center"/>
          </w:tcPr>
          <w:p>
            <w:pPr>
              <w:pStyle w:val="23"/>
            </w:pPr>
            <w:r>
              <w:t>53.06</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208</w:t>
            </w:r>
          </w:p>
        </w:tc>
        <w:tc>
          <w:tcPr>
            <w:tcW w:w="1559" w:type="dxa"/>
            <w:tcBorders>
              <w:left w:val="single" w:sz="6" w:space="0" w:color="auto"/>
              <w:right w:val="single" w:sz="6" w:space="0" w:color="auto"/>
            </w:tcBorders>
            <w:vAlign w:val="center"/>
          </w:tcPr>
          <w:p>
            <w:pPr>
              <w:pStyle w:val="20"/>
            </w:pPr>
            <w:r>
              <w:t>社会保障和就业支出</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20805</w:t>
            </w:r>
          </w:p>
        </w:tc>
        <w:tc>
          <w:tcPr>
            <w:tcW w:w="1559" w:type="dxa"/>
            <w:tcBorders>
              <w:left w:val="single" w:sz="6" w:space="0" w:color="auto"/>
              <w:right w:val="single" w:sz="6" w:space="0" w:color="auto"/>
            </w:tcBorders>
            <w:vAlign w:val="center"/>
          </w:tcPr>
          <w:p>
            <w:pPr>
              <w:pStyle w:val="20"/>
            </w:pPr>
            <w:r>
              <w:t>行政事业单位养老支出</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2080505</w:t>
            </w:r>
          </w:p>
        </w:tc>
        <w:tc>
          <w:tcPr>
            <w:tcW w:w="1559" w:type="dxa"/>
            <w:tcBorders>
              <w:left w:val="single" w:sz="6" w:space="0" w:color="auto"/>
              <w:right w:val="single" w:sz="6" w:space="0" w:color="auto"/>
            </w:tcBorders>
            <w:vAlign w:val="center"/>
          </w:tcPr>
          <w:p>
            <w:pPr>
              <w:pStyle w:val="20"/>
            </w:pPr>
            <w:r>
              <w:t>机关事业单位基本养老保险缴费支出</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r>
              <w:t>5.53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210</w:t>
            </w:r>
          </w:p>
        </w:tc>
        <w:tc>
          <w:tcPr>
            <w:tcW w:w="1559" w:type="dxa"/>
            <w:tcBorders>
              <w:left w:val="single" w:sz="6" w:space="0" w:color="auto"/>
              <w:right w:val="single" w:sz="6" w:space="0" w:color="auto"/>
            </w:tcBorders>
            <w:vAlign w:val="center"/>
          </w:tcPr>
          <w:p>
            <w:pPr>
              <w:pStyle w:val="20"/>
            </w:pPr>
            <w:r>
              <w:t>卫生健康支出</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right w:val="single" w:sz="6" w:space="0" w:color="auto"/>
            </w:tcBorders>
            <w:vAlign w:val="center"/>
          </w:tcPr>
          <w:p>
            <w:pPr>
              <w:pStyle w:val="20"/>
            </w:pPr>
            <w:r>
              <w:t>21011</w:t>
            </w:r>
          </w:p>
        </w:tc>
        <w:tc>
          <w:tcPr>
            <w:tcW w:w="1559" w:type="dxa"/>
            <w:tcBorders>
              <w:left w:val="single" w:sz="6" w:space="0" w:color="auto"/>
              <w:right w:val="single" w:sz="6" w:space="0" w:color="auto"/>
            </w:tcBorders>
            <w:vAlign w:val="center"/>
          </w:tcPr>
          <w:p>
            <w:pPr>
              <w:pStyle w:val="20"/>
            </w:pPr>
            <w:r>
              <w:t>行政事业单位医疗</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right w:val="single" w:sz="6" w:space="0" w:color="auto"/>
            </w:tcBorders>
            <w:vAlign w:val="center"/>
          </w:tcPr>
          <w:p>
            <w:pPr>
              <w:pStyle w:val="20"/>
            </w:pPr>
            <w:r>
              <w:t>2101102</w:t>
            </w:r>
          </w:p>
        </w:tc>
        <w:tc>
          <w:tcPr>
            <w:tcW w:w="1559" w:type="dxa"/>
            <w:tcBorders>
              <w:left w:val="single" w:sz="6" w:space="0" w:color="auto"/>
              <w:right w:val="single" w:sz="6" w:space="0" w:color="auto"/>
            </w:tcBorders>
            <w:vAlign w:val="center"/>
          </w:tcPr>
          <w:p>
            <w:pPr>
              <w:pStyle w:val="20"/>
            </w:pPr>
            <w:r>
              <w:t>事业单位医疗</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r>
              <w:t>2.35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right w:val="single" w:sz="6" w:space="0" w:color="auto"/>
            </w:tcBorders>
            <w:vAlign w:val="center"/>
          </w:tcPr>
          <w:p>
            <w:pPr>
              <w:pStyle w:val="20"/>
            </w:pPr>
            <w:r>
              <w:t>212</w:t>
            </w:r>
          </w:p>
        </w:tc>
        <w:tc>
          <w:tcPr>
            <w:tcW w:w="1559" w:type="dxa"/>
            <w:tcBorders>
              <w:left w:val="single" w:sz="6" w:space="0" w:color="auto"/>
              <w:right w:val="single" w:sz="6" w:space="0" w:color="auto"/>
            </w:tcBorders>
            <w:vAlign w:val="center"/>
          </w:tcPr>
          <w:p>
            <w:pPr>
              <w:pStyle w:val="20"/>
            </w:pPr>
            <w:r>
              <w:t>城乡社区支出</w:t>
            </w:r>
          </w:p>
        </w:tc>
        <w:tc>
          <w:tcPr>
            <w:tcW w:w="1134" w:type="dxa"/>
            <w:tcBorders>
              <w:left w:val="single" w:sz="6" w:space="0" w:color="auto"/>
              <w:right w:val="single" w:sz="6" w:space="0" w:color="auto"/>
            </w:tcBorders>
            <w:vAlign w:val="center"/>
          </w:tcPr>
          <w:p>
            <w:pPr>
              <w:pStyle w:val="19"/>
            </w:pPr>
            <w:r>
              <w:t>39.85</w:t>
            </w:r>
          </w:p>
        </w:tc>
        <w:tc>
          <w:tcPr>
            <w:tcW w:w="1134" w:type="dxa"/>
            <w:tcBorders>
              <w:left w:val="single" w:sz="6" w:space="0" w:color="auto"/>
              <w:right w:val="single" w:sz="6" w:space="0" w:color="auto"/>
            </w:tcBorders>
            <w:vAlign w:val="center"/>
          </w:tcPr>
          <w:p>
            <w:pPr>
              <w:pStyle w:val="19"/>
            </w:pPr>
            <w:r>
              <w:t>39.85</w:t>
            </w:r>
          </w:p>
        </w:tc>
        <w:tc>
          <w:tcPr>
            <w:tcW w:w="1134" w:type="dxa"/>
            <w:tcBorders>
              <w:left w:val="single" w:sz="6" w:space="0" w:color="auto"/>
              <w:right w:val="single" w:sz="6" w:space="0" w:color="auto"/>
            </w:tcBorders>
            <w:vAlign w:val="center"/>
          </w:tcPr>
          <w:p>
            <w:pPr>
              <w:pStyle w:val="19"/>
            </w:pPr>
            <w:r>
              <w:t>39.85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right w:val="single" w:sz="6" w:space="0" w:color="auto"/>
            </w:tcBorders>
            <w:vAlign w:val="center"/>
          </w:tcPr>
          <w:p>
            <w:pPr>
              <w:pStyle w:val="20"/>
            </w:pPr>
            <w:r>
              <w:t>21201</w:t>
            </w:r>
          </w:p>
        </w:tc>
        <w:tc>
          <w:tcPr>
            <w:tcW w:w="1559" w:type="dxa"/>
            <w:tcBorders>
              <w:left w:val="single" w:sz="6" w:space="0" w:color="auto"/>
              <w:right w:val="single" w:sz="6" w:space="0" w:color="auto"/>
            </w:tcBorders>
            <w:vAlign w:val="center"/>
          </w:tcPr>
          <w:p>
            <w:pPr>
              <w:pStyle w:val="20"/>
            </w:pPr>
            <w:r>
              <w:t>城乡社区管理事务</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right w:val="single" w:sz="6" w:space="0" w:color="auto"/>
            </w:tcBorders>
            <w:vAlign w:val="center"/>
          </w:tcPr>
          <w:p>
            <w:pPr>
              <w:pStyle w:val="20"/>
            </w:pPr>
            <w:r>
              <w:t>2120101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r>
              <w:t>3.12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right w:val="single" w:sz="6" w:space="0" w:color="auto"/>
            </w:tcBorders>
            <w:vAlign w:val="center"/>
          </w:tcPr>
          <w:p>
            <w:pPr>
              <w:pStyle w:val="20"/>
            </w:pPr>
            <w:r>
              <w:t>21206</w:t>
            </w:r>
          </w:p>
        </w:tc>
        <w:tc>
          <w:tcPr>
            <w:tcW w:w="1559" w:type="dxa"/>
            <w:tcBorders>
              <w:left w:val="single" w:sz="6" w:space="0" w:color="auto"/>
              <w:right w:val="single" w:sz="6" w:space="0" w:color="auto"/>
            </w:tcBorders>
            <w:vAlign w:val="center"/>
          </w:tcPr>
          <w:p>
            <w:pPr>
              <w:pStyle w:val="20"/>
            </w:pPr>
            <w:r>
              <w:t>建设市场管理与监督</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right w:val="single" w:sz="6" w:space="0" w:color="auto"/>
            </w:tcBorders>
            <w:vAlign w:val="center"/>
          </w:tcPr>
          <w:p>
            <w:pPr>
              <w:pStyle w:val="20"/>
            </w:pPr>
            <w:r>
              <w:t>2120601</w:t>
            </w:r>
          </w:p>
        </w:tc>
        <w:tc>
          <w:tcPr>
            <w:tcW w:w="1559" w:type="dxa"/>
            <w:tcBorders>
              <w:left w:val="single" w:sz="6" w:space="0" w:color="auto"/>
              <w:right w:val="single" w:sz="6" w:space="0" w:color="auto"/>
            </w:tcBorders>
            <w:vAlign w:val="center"/>
          </w:tcPr>
          <w:p>
            <w:pPr>
              <w:pStyle w:val="20"/>
            </w:pPr>
            <w:r>
              <w:t>建设市场管理与监督</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r>
              <w:t>36.73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right w:val="single" w:sz="6" w:space="0" w:color="auto"/>
            </w:tcBorders>
            <w:vAlign w:val="center"/>
          </w:tcPr>
          <w:p>
            <w:pPr>
              <w:pStyle w:val="20"/>
            </w:pPr>
            <w:r>
              <w:t>221</w:t>
            </w:r>
          </w:p>
        </w:tc>
        <w:tc>
          <w:tcPr>
            <w:tcW w:w="1559" w:type="dxa"/>
            <w:tcBorders>
              <w:left w:val="single" w:sz="6" w:space="0" w:color="auto"/>
              <w:right w:val="single" w:sz="6" w:space="0" w:color="auto"/>
            </w:tcBorders>
            <w:vAlign w:val="center"/>
          </w:tcPr>
          <w:p>
            <w:pPr>
              <w:pStyle w:val="20"/>
            </w:pPr>
            <w:r>
              <w:t>住房保障支出</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22102</w:t>
            </w:r>
          </w:p>
        </w:tc>
        <w:tc>
          <w:tcPr>
            <w:tcW w:w="1559" w:type="dxa"/>
            <w:tcBorders>
              <w:left w:val="single" w:sz="6" w:space="0" w:color="auto"/>
              <w:right w:val="single" w:sz="6" w:space="0" w:color="auto"/>
            </w:tcBorders>
            <w:vAlign w:val="center"/>
          </w:tcPr>
          <w:p>
            <w:pPr>
              <w:pStyle w:val="20"/>
            </w:pPr>
            <w:r>
              <w:t>住房改革支出</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2210201</w:t>
            </w:r>
          </w:p>
        </w:tc>
        <w:tc>
          <w:tcPr>
            <w:tcW w:w="1559" w:type="dxa"/>
            <w:tcBorders>
              <w:left w:val="single" w:sz="6" w:space="0" w:color="auto"/>
              <w:right w:val="single" w:sz="6" w:space="0" w:color="auto"/>
            </w:tcBorders>
            <w:vAlign w:val="center"/>
          </w:tcPr>
          <w:p>
            <w:pPr>
              <w:pStyle w:val="20"/>
            </w:pPr>
            <w:r>
              <w:t>住房公积金</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r>
              <w:t>5.33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53.06</w:t>
            </w:r>
          </w:p>
        </w:tc>
        <w:tc>
          <w:tcPr>
            <w:tcW w:w="1361" w:type="dxa"/>
            <w:tcBorders>
              <w:left w:val="single" w:sz="6" w:space="0" w:color="auto"/>
              <w:right w:val="single" w:sz="6" w:space="0" w:color="auto"/>
            </w:tcBorders>
            <w:vAlign w:val="center"/>
          </w:tcPr>
          <w:p>
            <w:pPr>
              <w:pStyle w:val="23"/>
            </w:pPr>
            <w:r>
              <w:t>53.06</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r>
              <w:t>5.53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right w:val="single" w:sz="6" w:space="0" w:color="auto"/>
            </w:tcBorders>
            <w:vAlign w:val="center"/>
          </w:tcPr>
          <w:p>
            <w:pPr>
              <w:pStyle w:val="20"/>
            </w:pPr>
            <w:r>
              <w:t>2101102</w:t>
            </w:r>
          </w:p>
        </w:tc>
        <w:tc>
          <w:tcPr>
            <w:tcW w:w="4535" w:type="dxa"/>
            <w:tcBorders>
              <w:left w:val="single" w:sz="6" w:space="0" w:color="auto"/>
              <w:right w:val="single" w:sz="6" w:space="0" w:color="auto"/>
            </w:tcBorders>
            <w:vAlign w:val="center"/>
          </w:tcPr>
          <w:p>
            <w:pPr>
              <w:pStyle w:val="20"/>
            </w:pPr>
            <w:r>
              <w:t>事业单位医疗</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r>
              <w:t>2.35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right w:val="single" w:sz="6" w:space="0" w:color="auto"/>
            </w:tcBorders>
            <w:vAlign w:val="center"/>
          </w:tcPr>
          <w:p>
            <w:pPr>
              <w:pStyle w:val="20"/>
            </w:pPr>
            <w:r>
              <w:t>212</w:t>
            </w:r>
          </w:p>
        </w:tc>
        <w:tc>
          <w:tcPr>
            <w:tcW w:w="4535" w:type="dxa"/>
            <w:tcBorders>
              <w:left w:val="single" w:sz="6" w:space="0" w:color="auto"/>
              <w:right w:val="single" w:sz="6" w:space="0" w:color="auto"/>
            </w:tcBorders>
            <w:vAlign w:val="center"/>
          </w:tcPr>
          <w:p>
            <w:pPr>
              <w:pStyle w:val="20"/>
            </w:pPr>
            <w:r>
              <w:t>城乡社区支出</w:t>
            </w:r>
          </w:p>
        </w:tc>
        <w:tc>
          <w:tcPr>
            <w:tcW w:w="1361" w:type="dxa"/>
            <w:tcBorders>
              <w:left w:val="single" w:sz="6" w:space="0" w:color="auto"/>
              <w:right w:val="single" w:sz="6" w:space="0" w:color="auto"/>
            </w:tcBorders>
            <w:vAlign w:val="center"/>
          </w:tcPr>
          <w:p>
            <w:pPr>
              <w:pStyle w:val="19"/>
            </w:pPr>
            <w:r>
              <w:t>39.85</w:t>
            </w:r>
          </w:p>
        </w:tc>
        <w:tc>
          <w:tcPr>
            <w:tcW w:w="1361" w:type="dxa"/>
            <w:tcBorders>
              <w:left w:val="single" w:sz="6" w:space="0" w:color="auto"/>
              <w:right w:val="single" w:sz="6" w:space="0" w:color="auto"/>
            </w:tcBorders>
            <w:vAlign w:val="center"/>
          </w:tcPr>
          <w:p>
            <w:pPr>
              <w:pStyle w:val="19"/>
            </w:pPr>
            <w:r>
              <w:t>39.85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right w:val="single" w:sz="6" w:space="0" w:color="auto"/>
            </w:tcBorders>
            <w:vAlign w:val="center"/>
          </w:tcPr>
          <w:p>
            <w:pPr>
              <w:pStyle w:val="20"/>
            </w:pPr>
            <w:r>
              <w:t>21201</w:t>
            </w:r>
          </w:p>
        </w:tc>
        <w:tc>
          <w:tcPr>
            <w:tcW w:w="4535" w:type="dxa"/>
            <w:tcBorders>
              <w:left w:val="single" w:sz="6" w:space="0" w:color="auto"/>
              <w:right w:val="single" w:sz="6" w:space="0" w:color="auto"/>
            </w:tcBorders>
            <w:vAlign w:val="center"/>
          </w:tcPr>
          <w:p>
            <w:pPr>
              <w:pStyle w:val="20"/>
            </w:pPr>
            <w:r>
              <w:t>城乡社区管理事务</w:t>
            </w:r>
          </w:p>
        </w:tc>
        <w:tc>
          <w:tcPr>
            <w:tcW w:w="1361" w:type="dxa"/>
            <w:tcBorders>
              <w:left w:val="single" w:sz="6" w:space="0" w:color="auto"/>
              <w:right w:val="single" w:sz="6" w:space="0" w:color="auto"/>
            </w:tcBorders>
            <w:vAlign w:val="center"/>
          </w:tcPr>
          <w:p>
            <w:pPr>
              <w:pStyle w:val="19"/>
            </w:pPr>
            <w:r>
              <w:t>3.12</w:t>
            </w:r>
          </w:p>
        </w:tc>
        <w:tc>
          <w:tcPr>
            <w:tcW w:w="1361" w:type="dxa"/>
            <w:tcBorders>
              <w:left w:val="single" w:sz="6" w:space="0" w:color="auto"/>
              <w:right w:val="single" w:sz="6" w:space="0" w:color="auto"/>
            </w:tcBorders>
            <w:vAlign w:val="center"/>
          </w:tcPr>
          <w:p>
            <w:pPr>
              <w:pStyle w:val="19"/>
            </w:pPr>
            <w:r>
              <w:t>3.12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right w:val="single" w:sz="6" w:space="0" w:color="auto"/>
            </w:tcBorders>
            <w:vAlign w:val="center"/>
          </w:tcPr>
          <w:p>
            <w:pPr>
              <w:pStyle w:val="20"/>
            </w:pPr>
            <w:r>
              <w:t>2120101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3.12</w:t>
            </w:r>
          </w:p>
        </w:tc>
        <w:tc>
          <w:tcPr>
            <w:tcW w:w="1361" w:type="dxa"/>
            <w:tcBorders>
              <w:left w:val="single" w:sz="6" w:space="0" w:color="auto"/>
              <w:right w:val="single" w:sz="6" w:space="0" w:color="auto"/>
            </w:tcBorders>
            <w:vAlign w:val="center"/>
          </w:tcPr>
          <w:p>
            <w:pPr>
              <w:pStyle w:val="19"/>
            </w:pPr>
            <w:r>
              <w:t>3.12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right w:val="single" w:sz="6" w:space="0" w:color="auto"/>
            </w:tcBorders>
            <w:vAlign w:val="center"/>
          </w:tcPr>
          <w:p>
            <w:pPr>
              <w:pStyle w:val="20"/>
            </w:pPr>
            <w:r>
              <w:t>21206</w:t>
            </w:r>
          </w:p>
        </w:tc>
        <w:tc>
          <w:tcPr>
            <w:tcW w:w="4535" w:type="dxa"/>
            <w:tcBorders>
              <w:left w:val="single" w:sz="6" w:space="0" w:color="auto"/>
              <w:right w:val="single" w:sz="6" w:space="0" w:color="auto"/>
            </w:tcBorders>
            <w:vAlign w:val="center"/>
          </w:tcPr>
          <w:p>
            <w:pPr>
              <w:pStyle w:val="20"/>
            </w:pPr>
            <w:r>
              <w:t>建设市场管理与监督</w:t>
            </w:r>
          </w:p>
        </w:tc>
        <w:tc>
          <w:tcPr>
            <w:tcW w:w="1361" w:type="dxa"/>
            <w:tcBorders>
              <w:left w:val="single" w:sz="6" w:space="0" w:color="auto"/>
              <w:right w:val="single" w:sz="6" w:space="0" w:color="auto"/>
            </w:tcBorders>
            <w:vAlign w:val="center"/>
          </w:tcPr>
          <w:p>
            <w:pPr>
              <w:pStyle w:val="19"/>
            </w:pPr>
            <w:r>
              <w:t>36.73</w:t>
            </w:r>
          </w:p>
        </w:tc>
        <w:tc>
          <w:tcPr>
            <w:tcW w:w="1361" w:type="dxa"/>
            <w:tcBorders>
              <w:left w:val="single" w:sz="6" w:space="0" w:color="auto"/>
              <w:right w:val="single" w:sz="6" w:space="0" w:color="auto"/>
            </w:tcBorders>
            <w:vAlign w:val="center"/>
          </w:tcPr>
          <w:p>
            <w:pPr>
              <w:pStyle w:val="19"/>
            </w:pPr>
            <w:r>
              <w:t>36.73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right w:val="single" w:sz="6" w:space="0" w:color="auto"/>
            </w:tcBorders>
            <w:vAlign w:val="center"/>
          </w:tcPr>
          <w:p>
            <w:pPr>
              <w:pStyle w:val="20"/>
            </w:pPr>
            <w:r>
              <w:t>2120601</w:t>
            </w:r>
          </w:p>
        </w:tc>
        <w:tc>
          <w:tcPr>
            <w:tcW w:w="4535" w:type="dxa"/>
            <w:tcBorders>
              <w:left w:val="single" w:sz="6" w:space="0" w:color="auto"/>
              <w:right w:val="single" w:sz="6" w:space="0" w:color="auto"/>
            </w:tcBorders>
            <w:vAlign w:val="center"/>
          </w:tcPr>
          <w:p>
            <w:pPr>
              <w:pStyle w:val="20"/>
            </w:pPr>
            <w:r>
              <w:t>建设市场管理与监督</w:t>
            </w:r>
          </w:p>
        </w:tc>
        <w:tc>
          <w:tcPr>
            <w:tcW w:w="1361" w:type="dxa"/>
            <w:tcBorders>
              <w:left w:val="single" w:sz="6" w:space="0" w:color="auto"/>
              <w:right w:val="single" w:sz="6" w:space="0" w:color="auto"/>
            </w:tcBorders>
            <w:vAlign w:val="center"/>
          </w:tcPr>
          <w:p>
            <w:pPr>
              <w:pStyle w:val="19"/>
            </w:pPr>
            <w:r>
              <w:t>36.73</w:t>
            </w:r>
          </w:p>
        </w:tc>
        <w:tc>
          <w:tcPr>
            <w:tcW w:w="1361" w:type="dxa"/>
            <w:tcBorders>
              <w:left w:val="single" w:sz="6" w:space="0" w:color="auto"/>
              <w:right w:val="single" w:sz="6" w:space="0" w:color="auto"/>
            </w:tcBorders>
            <w:vAlign w:val="center"/>
          </w:tcPr>
          <w:p>
            <w:pPr>
              <w:pStyle w:val="19"/>
            </w:pPr>
            <w:r>
              <w:t>36.73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r>
              <w:t>5.33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53.06</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r>
              <w:t>5.53</w:t>
            </w:r>
          </w:p>
        </w:tc>
        <w:tc>
          <w:tcPr>
            <w:tcW w:w="1474" w:type="dxa"/>
            <w:tcBorders>
              <w:left w:val="single" w:sz="6" w:space="0" w:color="auto"/>
              <w:right w:val="single" w:sz="6" w:space="0" w:color="auto"/>
            </w:tcBorders>
            <w:vAlign w:val="center"/>
          </w:tcPr>
          <w:p>
            <w:pPr>
              <w:pStyle w:val="19"/>
            </w:pPr>
            <w:r>
              <w:t>5.53</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r>
              <w:t>2.35</w:t>
            </w:r>
          </w:p>
        </w:tc>
        <w:tc>
          <w:tcPr>
            <w:tcW w:w="1474" w:type="dxa"/>
            <w:tcBorders>
              <w:left w:val="single" w:sz="6" w:space="0" w:color="auto"/>
              <w:right w:val="single" w:sz="6" w:space="0" w:color="auto"/>
            </w:tcBorders>
            <w:vAlign w:val="center"/>
          </w:tcPr>
          <w:p>
            <w:pPr>
              <w:pStyle w:val="19"/>
            </w:pPr>
            <w:r>
              <w:t>2.35</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r>
              <w:t>39.85</w:t>
            </w:r>
          </w:p>
        </w:tc>
        <w:tc>
          <w:tcPr>
            <w:tcW w:w="1474" w:type="dxa"/>
            <w:tcBorders>
              <w:left w:val="single" w:sz="6" w:space="0" w:color="auto"/>
              <w:right w:val="single" w:sz="6" w:space="0" w:color="auto"/>
            </w:tcBorders>
            <w:vAlign w:val="center"/>
          </w:tcPr>
          <w:p>
            <w:pPr>
              <w:pStyle w:val="19"/>
            </w:pPr>
            <w:r>
              <w:t>39.85</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r>
              <w:t>5.33</w:t>
            </w:r>
          </w:p>
        </w:tc>
        <w:tc>
          <w:tcPr>
            <w:tcW w:w="1474" w:type="dxa"/>
            <w:tcBorders>
              <w:left w:val="single" w:sz="6" w:space="0" w:color="auto"/>
              <w:right w:val="single" w:sz="6" w:space="0" w:color="auto"/>
            </w:tcBorders>
            <w:vAlign w:val="center"/>
          </w:tcPr>
          <w:p>
            <w:pPr>
              <w:pStyle w:val="19"/>
            </w:pPr>
            <w:r>
              <w:t>5.33</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53.06</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53.06</w:t>
            </w:r>
          </w:p>
        </w:tc>
        <w:tc>
          <w:tcPr>
            <w:tcW w:w="1474" w:type="dxa"/>
            <w:tcBorders>
              <w:left w:val="single" w:sz="6" w:space="0" w:color="auto"/>
              <w:right w:val="single" w:sz="6" w:space="0" w:color="auto"/>
            </w:tcBorders>
            <w:vAlign w:val="center"/>
          </w:tcPr>
          <w:p>
            <w:pPr>
              <w:pStyle w:val="23"/>
            </w:pPr>
            <w:r>
              <w:t>53.06</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53.06</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53.06</w:t>
            </w:r>
          </w:p>
        </w:tc>
        <w:tc>
          <w:tcPr>
            <w:tcW w:w="1474" w:type="dxa"/>
            <w:tcBorders>
              <w:left w:val="single" w:sz="6" w:space="0" w:color="auto"/>
              <w:right w:val="single" w:sz="6" w:space="0" w:color="auto"/>
            </w:tcBorders>
            <w:vAlign w:val="center"/>
          </w:tcPr>
          <w:p>
            <w:pPr>
              <w:pStyle w:val="23"/>
            </w:pPr>
            <w:r>
              <w:t>53.06</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53.06</w:t>
            </w:r>
          </w:p>
        </w:tc>
        <w:tc>
          <w:tcPr>
            <w:tcW w:w="2551" w:type="dxa"/>
            <w:tcBorders>
              <w:left w:val="single" w:sz="6" w:space="0" w:color="auto"/>
              <w:right w:val="single" w:sz="6" w:space="0" w:color="auto"/>
            </w:tcBorders>
            <w:vAlign w:val="center"/>
          </w:tcPr>
          <w:p>
            <w:pPr>
              <w:pStyle w:val="23"/>
            </w:pPr>
            <w:r>
              <w:t>53.06</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2551" w:type="dxa"/>
            <w:tcBorders>
              <w:left w:val="single" w:sz="6" w:space="0" w:color="auto"/>
              <w:right w:val="single" w:sz="6" w:space="0" w:color="auto"/>
            </w:tcBorders>
            <w:vAlign w:val="center"/>
          </w:tcPr>
          <w:p>
            <w:pPr>
              <w:pStyle w:val="19"/>
            </w:pPr>
            <w:r>
              <w:t>5.53</w:t>
            </w:r>
          </w:p>
        </w:tc>
        <w:tc>
          <w:tcPr>
            <w:tcW w:w="2551" w:type="dxa"/>
            <w:tcBorders>
              <w:left w:val="single" w:sz="6" w:space="0" w:color="auto"/>
              <w:right w:val="single" w:sz="6" w:space="0" w:color="auto"/>
            </w:tcBorders>
            <w:vAlign w:val="center"/>
          </w:tcPr>
          <w:p>
            <w:pPr>
              <w:pStyle w:val="19"/>
            </w:pPr>
            <w:r>
              <w:t>5.53</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2551" w:type="dxa"/>
            <w:tcBorders>
              <w:left w:val="single" w:sz="6" w:space="0" w:color="auto"/>
              <w:right w:val="single" w:sz="6" w:space="0" w:color="auto"/>
            </w:tcBorders>
            <w:vAlign w:val="center"/>
          </w:tcPr>
          <w:p>
            <w:pPr>
              <w:pStyle w:val="19"/>
            </w:pPr>
            <w:r>
              <w:t>5.53</w:t>
            </w:r>
          </w:p>
        </w:tc>
        <w:tc>
          <w:tcPr>
            <w:tcW w:w="2551" w:type="dxa"/>
            <w:tcBorders>
              <w:left w:val="single" w:sz="6" w:space="0" w:color="auto"/>
              <w:right w:val="single" w:sz="6" w:space="0" w:color="auto"/>
            </w:tcBorders>
            <w:vAlign w:val="center"/>
          </w:tcPr>
          <w:p>
            <w:pPr>
              <w:pStyle w:val="19"/>
            </w:pPr>
            <w:r>
              <w:t>5.53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2551" w:type="dxa"/>
            <w:tcBorders>
              <w:left w:val="single" w:sz="6" w:space="0" w:color="auto"/>
              <w:right w:val="single" w:sz="6" w:space="0" w:color="auto"/>
            </w:tcBorders>
            <w:vAlign w:val="center"/>
          </w:tcPr>
          <w:p>
            <w:pPr>
              <w:pStyle w:val="19"/>
            </w:pPr>
            <w:r>
              <w:t>5.53</w:t>
            </w:r>
          </w:p>
        </w:tc>
        <w:tc>
          <w:tcPr>
            <w:tcW w:w="2551" w:type="dxa"/>
            <w:tcBorders>
              <w:left w:val="single" w:sz="6" w:space="0" w:color="auto"/>
              <w:right w:val="single" w:sz="6" w:space="0" w:color="auto"/>
            </w:tcBorders>
            <w:vAlign w:val="center"/>
          </w:tcPr>
          <w:p>
            <w:pPr>
              <w:pStyle w:val="19"/>
            </w:pPr>
            <w:r>
              <w:t>5.53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2551" w:type="dxa"/>
            <w:tcBorders>
              <w:left w:val="single" w:sz="6" w:space="0" w:color="auto"/>
              <w:right w:val="single" w:sz="6" w:space="0" w:color="auto"/>
            </w:tcBorders>
            <w:vAlign w:val="center"/>
          </w:tcPr>
          <w:p>
            <w:pPr>
              <w:pStyle w:val="19"/>
            </w:pPr>
            <w:r>
              <w:t>2.35</w:t>
            </w:r>
          </w:p>
        </w:tc>
        <w:tc>
          <w:tcPr>
            <w:tcW w:w="2551" w:type="dxa"/>
            <w:tcBorders>
              <w:left w:val="single" w:sz="6" w:space="0" w:color="auto"/>
              <w:right w:val="single" w:sz="6" w:space="0" w:color="auto"/>
            </w:tcBorders>
            <w:vAlign w:val="center"/>
          </w:tcPr>
          <w:p>
            <w:pPr>
              <w:pStyle w:val="19"/>
            </w:pPr>
            <w:r>
              <w:t>2.35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2551" w:type="dxa"/>
            <w:tcBorders>
              <w:left w:val="single" w:sz="6" w:space="0" w:color="auto"/>
              <w:right w:val="single" w:sz="6" w:space="0" w:color="auto"/>
            </w:tcBorders>
            <w:vAlign w:val="center"/>
          </w:tcPr>
          <w:p>
            <w:pPr>
              <w:pStyle w:val="19"/>
            </w:pPr>
            <w:r>
              <w:t>2.35</w:t>
            </w:r>
          </w:p>
        </w:tc>
        <w:tc>
          <w:tcPr>
            <w:tcW w:w="2551" w:type="dxa"/>
            <w:tcBorders>
              <w:left w:val="single" w:sz="6" w:space="0" w:color="auto"/>
              <w:right w:val="single" w:sz="6" w:space="0" w:color="auto"/>
            </w:tcBorders>
            <w:vAlign w:val="center"/>
          </w:tcPr>
          <w:p>
            <w:pPr>
              <w:pStyle w:val="19"/>
            </w:pPr>
            <w:r>
              <w:t>2.35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2101102</w:t>
            </w:r>
          </w:p>
        </w:tc>
        <w:tc>
          <w:tcPr>
            <w:tcW w:w="4535" w:type="dxa"/>
            <w:tcBorders>
              <w:left w:val="single" w:sz="6" w:space="0" w:color="auto"/>
              <w:right w:val="single" w:sz="6" w:space="0" w:color="auto"/>
            </w:tcBorders>
            <w:vAlign w:val="center"/>
          </w:tcPr>
          <w:p>
            <w:pPr>
              <w:pStyle w:val="20"/>
            </w:pPr>
            <w:r>
              <w:t>事业单位医疗</w:t>
            </w:r>
          </w:p>
        </w:tc>
        <w:tc>
          <w:tcPr>
            <w:tcW w:w="2551" w:type="dxa"/>
            <w:tcBorders>
              <w:left w:val="single" w:sz="6" w:space="0" w:color="auto"/>
              <w:right w:val="single" w:sz="6" w:space="0" w:color="auto"/>
            </w:tcBorders>
            <w:vAlign w:val="center"/>
          </w:tcPr>
          <w:p>
            <w:pPr>
              <w:pStyle w:val="19"/>
            </w:pPr>
            <w:r>
              <w:t>2.35</w:t>
            </w:r>
          </w:p>
        </w:tc>
        <w:tc>
          <w:tcPr>
            <w:tcW w:w="2551" w:type="dxa"/>
            <w:tcBorders>
              <w:left w:val="single" w:sz="6" w:space="0" w:color="auto"/>
              <w:right w:val="single" w:sz="6" w:space="0" w:color="auto"/>
            </w:tcBorders>
            <w:vAlign w:val="center"/>
          </w:tcPr>
          <w:p>
            <w:pPr>
              <w:pStyle w:val="19"/>
            </w:pPr>
            <w:r>
              <w:t>2.35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212</w:t>
            </w:r>
          </w:p>
        </w:tc>
        <w:tc>
          <w:tcPr>
            <w:tcW w:w="4535" w:type="dxa"/>
            <w:tcBorders>
              <w:left w:val="single" w:sz="6" w:space="0" w:color="auto"/>
              <w:right w:val="single" w:sz="6" w:space="0" w:color="auto"/>
            </w:tcBorders>
            <w:vAlign w:val="center"/>
          </w:tcPr>
          <w:p>
            <w:pPr>
              <w:pStyle w:val="20"/>
            </w:pPr>
            <w:r>
              <w:t>城乡社区支出</w:t>
            </w:r>
          </w:p>
        </w:tc>
        <w:tc>
          <w:tcPr>
            <w:tcW w:w="2551" w:type="dxa"/>
            <w:tcBorders>
              <w:left w:val="single" w:sz="6" w:space="0" w:color="auto"/>
              <w:right w:val="single" w:sz="6" w:space="0" w:color="auto"/>
            </w:tcBorders>
            <w:vAlign w:val="center"/>
          </w:tcPr>
          <w:p>
            <w:pPr>
              <w:pStyle w:val="19"/>
            </w:pPr>
            <w:r>
              <w:t>39.85</w:t>
            </w:r>
          </w:p>
        </w:tc>
        <w:tc>
          <w:tcPr>
            <w:tcW w:w="2551" w:type="dxa"/>
            <w:tcBorders>
              <w:left w:val="single" w:sz="6" w:space="0" w:color="auto"/>
              <w:right w:val="single" w:sz="6" w:space="0" w:color="auto"/>
            </w:tcBorders>
            <w:vAlign w:val="center"/>
          </w:tcPr>
          <w:p>
            <w:pPr>
              <w:pStyle w:val="19"/>
            </w:pPr>
            <w:r>
              <w:t>39.85</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21201</w:t>
            </w:r>
          </w:p>
        </w:tc>
        <w:tc>
          <w:tcPr>
            <w:tcW w:w="4535" w:type="dxa"/>
            <w:tcBorders>
              <w:left w:val="single" w:sz="6" w:space="0" w:color="auto"/>
              <w:right w:val="single" w:sz="6" w:space="0" w:color="auto"/>
            </w:tcBorders>
            <w:vAlign w:val="center"/>
          </w:tcPr>
          <w:p>
            <w:pPr>
              <w:pStyle w:val="20"/>
            </w:pPr>
            <w:r>
              <w:t>城乡社区管理事务</w:t>
            </w:r>
          </w:p>
        </w:tc>
        <w:tc>
          <w:tcPr>
            <w:tcW w:w="2551" w:type="dxa"/>
            <w:tcBorders>
              <w:left w:val="single" w:sz="6" w:space="0" w:color="auto"/>
              <w:right w:val="single" w:sz="6" w:space="0" w:color="auto"/>
            </w:tcBorders>
            <w:vAlign w:val="center"/>
          </w:tcPr>
          <w:p>
            <w:pPr>
              <w:pStyle w:val="19"/>
            </w:pPr>
            <w:r>
              <w:t>3.12</w:t>
            </w:r>
          </w:p>
        </w:tc>
        <w:tc>
          <w:tcPr>
            <w:tcW w:w="2551" w:type="dxa"/>
            <w:tcBorders>
              <w:left w:val="single" w:sz="6" w:space="0" w:color="auto"/>
              <w:right w:val="single" w:sz="6" w:space="0" w:color="auto"/>
            </w:tcBorders>
            <w:vAlign w:val="center"/>
          </w:tcPr>
          <w:p>
            <w:pPr>
              <w:pStyle w:val="19"/>
            </w:pPr>
            <w:r>
              <w:t>3.12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2120101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3.12</w:t>
            </w:r>
          </w:p>
        </w:tc>
        <w:tc>
          <w:tcPr>
            <w:tcW w:w="2551" w:type="dxa"/>
            <w:tcBorders>
              <w:left w:val="single" w:sz="6" w:space="0" w:color="auto"/>
              <w:right w:val="single" w:sz="6" w:space="0" w:color="auto"/>
            </w:tcBorders>
            <w:vAlign w:val="center"/>
          </w:tcPr>
          <w:p>
            <w:pPr>
              <w:pStyle w:val="19"/>
            </w:pPr>
            <w:r>
              <w:t>3.12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21206</w:t>
            </w:r>
          </w:p>
        </w:tc>
        <w:tc>
          <w:tcPr>
            <w:tcW w:w="4535" w:type="dxa"/>
            <w:tcBorders>
              <w:left w:val="single" w:sz="6" w:space="0" w:color="auto"/>
              <w:right w:val="single" w:sz="6" w:space="0" w:color="auto"/>
            </w:tcBorders>
            <w:vAlign w:val="center"/>
          </w:tcPr>
          <w:p>
            <w:pPr>
              <w:pStyle w:val="20"/>
            </w:pPr>
            <w:r>
              <w:t>建设市场管理与监督</w:t>
            </w:r>
          </w:p>
        </w:tc>
        <w:tc>
          <w:tcPr>
            <w:tcW w:w="2551" w:type="dxa"/>
            <w:tcBorders>
              <w:left w:val="single" w:sz="6" w:space="0" w:color="auto"/>
              <w:right w:val="single" w:sz="6" w:space="0" w:color="auto"/>
            </w:tcBorders>
            <w:vAlign w:val="center"/>
          </w:tcPr>
          <w:p>
            <w:pPr>
              <w:pStyle w:val="19"/>
            </w:pPr>
            <w:r>
              <w:t>36.73</w:t>
            </w:r>
          </w:p>
        </w:tc>
        <w:tc>
          <w:tcPr>
            <w:tcW w:w="2551" w:type="dxa"/>
            <w:tcBorders>
              <w:left w:val="single" w:sz="6" w:space="0" w:color="auto"/>
              <w:right w:val="single" w:sz="6" w:space="0" w:color="auto"/>
            </w:tcBorders>
            <w:vAlign w:val="center"/>
          </w:tcPr>
          <w:p>
            <w:pPr>
              <w:pStyle w:val="19"/>
            </w:pPr>
            <w:r>
              <w:t>36.73</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2120601</w:t>
            </w:r>
          </w:p>
        </w:tc>
        <w:tc>
          <w:tcPr>
            <w:tcW w:w="4535" w:type="dxa"/>
            <w:tcBorders>
              <w:left w:val="single" w:sz="6" w:space="0" w:color="auto"/>
              <w:right w:val="single" w:sz="6" w:space="0" w:color="auto"/>
            </w:tcBorders>
            <w:vAlign w:val="center"/>
          </w:tcPr>
          <w:p>
            <w:pPr>
              <w:pStyle w:val="20"/>
            </w:pPr>
            <w:r>
              <w:t>建设市场管理与监督</w:t>
            </w:r>
          </w:p>
        </w:tc>
        <w:tc>
          <w:tcPr>
            <w:tcW w:w="2551" w:type="dxa"/>
            <w:tcBorders>
              <w:left w:val="single" w:sz="6" w:space="0" w:color="auto"/>
              <w:right w:val="single" w:sz="6" w:space="0" w:color="auto"/>
            </w:tcBorders>
            <w:vAlign w:val="center"/>
          </w:tcPr>
          <w:p>
            <w:pPr>
              <w:pStyle w:val="19"/>
            </w:pPr>
            <w:r>
              <w:t>36.73</w:t>
            </w:r>
          </w:p>
        </w:tc>
        <w:tc>
          <w:tcPr>
            <w:tcW w:w="2551" w:type="dxa"/>
            <w:tcBorders>
              <w:left w:val="single" w:sz="6" w:space="0" w:color="auto"/>
              <w:right w:val="single" w:sz="6" w:space="0" w:color="auto"/>
            </w:tcBorders>
            <w:vAlign w:val="center"/>
          </w:tcPr>
          <w:p>
            <w:pPr>
              <w:pStyle w:val="19"/>
            </w:pPr>
            <w:r>
              <w:t>36.73</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2551" w:type="dxa"/>
            <w:tcBorders>
              <w:left w:val="single" w:sz="6" w:space="0" w:color="auto"/>
              <w:right w:val="single" w:sz="6" w:space="0" w:color="auto"/>
            </w:tcBorders>
            <w:vAlign w:val="center"/>
          </w:tcPr>
          <w:p>
            <w:pPr>
              <w:pStyle w:val="19"/>
            </w:pPr>
            <w:r>
              <w:t>5.33</w:t>
            </w:r>
          </w:p>
        </w:tc>
        <w:tc>
          <w:tcPr>
            <w:tcW w:w="2551" w:type="dxa"/>
            <w:tcBorders>
              <w:left w:val="single" w:sz="6" w:space="0" w:color="auto"/>
              <w:right w:val="single" w:sz="6" w:space="0" w:color="auto"/>
            </w:tcBorders>
            <w:vAlign w:val="center"/>
          </w:tcPr>
          <w:p>
            <w:pPr>
              <w:pStyle w:val="19"/>
            </w:pPr>
            <w:r>
              <w:t>5.33</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2551" w:type="dxa"/>
            <w:tcBorders>
              <w:left w:val="single" w:sz="6" w:space="0" w:color="auto"/>
              <w:right w:val="single" w:sz="6" w:space="0" w:color="auto"/>
            </w:tcBorders>
            <w:vAlign w:val="center"/>
          </w:tcPr>
          <w:p>
            <w:pPr>
              <w:pStyle w:val="19"/>
            </w:pPr>
            <w:r>
              <w:t>5.33</w:t>
            </w:r>
          </w:p>
        </w:tc>
        <w:tc>
          <w:tcPr>
            <w:tcW w:w="2551" w:type="dxa"/>
            <w:tcBorders>
              <w:left w:val="single" w:sz="6" w:space="0" w:color="auto"/>
              <w:right w:val="single" w:sz="6" w:space="0" w:color="auto"/>
            </w:tcBorders>
            <w:vAlign w:val="center"/>
          </w:tcPr>
          <w:p>
            <w:pPr>
              <w:pStyle w:val="19"/>
            </w:pPr>
            <w:r>
              <w:t>5.33</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5.33</w:t>
            </w:r>
          </w:p>
        </w:tc>
        <w:tc>
          <w:tcPr>
            <w:tcW w:w="2551" w:type="dxa"/>
            <w:tcBorders>
              <w:left w:val="single" w:sz="6" w:space="0" w:color="auto"/>
              <w:right w:val="single" w:sz="6" w:space="0" w:color="auto"/>
            </w:tcBorders>
            <w:vAlign w:val="center"/>
          </w:tcPr>
          <w:p>
            <w:pPr>
              <w:pStyle w:val="19"/>
            </w:pPr>
            <w:r>
              <w:t>5.33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53.06</w:t>
            </w:r>
          </w:p>
        </w:tc>
        <w:tc>
          <w:tcPr>
            <w:tcW w:w="2551" w:type="dxa"/>
            <w:tcBorders>
              <w:left w:val="single" w:sz="6" w:space="0" w:color="auto"/>
              <w:right w:val="single" w:sz="6" w:space="0" w:color="auto"/>
            </w:tcBorders>
            <w:vAlign w:val="center"/>
          </w:tcPr>
          <w:p>
            <w:pPr>
              <w:pStyle w:val="23"/>
            </w:pPr>
            <w:r>
              <w:t>49.94</w:t>
            </w:r>
          </w:p>
        </w:tc>
        <w:tc>
          <w:tcPr>
            <w:tcW w:w="2551" w:type="dxa"/>
            <w:vAlign w:val="center"/>
          </w:tcPr>
          <w:p>
            <w:pPr>
              <w:pStyle w:val="23"/>
            </w:pPr>
            <w:r>
              <w:t>3.12</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49.94</w:t>
            </w:r>
          </w:p>
        </w:tc>
        <w:tc>
          <w:tcPr>
            <w:tcW w:w="2551" w:type="dxa"/>
            <w:tcBorders>
              <w:left w:val="single" w:sz="6" w:space="0" w:color="auto"/>
              <w:right w:val="single" w:sz="6" w:space="0" w:color="auto"/>
            </w:tcBorders>
            <w:vAlign w:val="center"/>
          </w:tcPr>
          <w:p>
            <w:pPr>
              <w:pStyle w:val="19"/>
            </w:pPr>
            <w:r>
              <w:t>49.94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21.07</w:t>
            </w:r>
          </w:p>
        </w:tc>
        <w:tc>
          <w:tcPr>
            <w:tcW w:w="2551" w:type="dxa"/>
            <w:tcBorders>
              <w:left w:val="single" w:sz="6" w:space="0" w:color="auto"/>
              <w:right w:val="single" w:sz="6" w:space="0" w:color="auto"/>
            </w:tcBorders>
            <w:vAlign w:val="center"/>
          </w:tcPr>
          <w:p>
            <w:pPr>
              <w:pStyle w:val="19"/>
            </w:pPr>
            <w:r>
              <w:t>21.07</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1.74</w:t>
            </w:r>
          </w:p>
        </w:tc>
        <w:tc>
          <w:tcPr>
            <w:tcW w:w="2551" w:type="dxa"/>
            <w:tcBorders>
              <w:left w:val="single" w:sz="6" w:space="0" w:color="auto"/>
              <w:right w:val="single" w:sz="6" w:space="0" w:color="auto"/>
            </w:tcBorders>
            <w:vAlign w:val="center"/>
          </w:tcPr>
          <w:p>
            <w:pPr>
              <w:pStyle w:val="19"/>
            </w:pPr>
            <w:r>
              <w:t>1.74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13.55</w:t>
            </w:r>
          </w:p>
        </w:tc>
        <w:tc>
          <w:tcPr>
            <w:tcW w:w="2551" w:type="dxa"/>
            <w:tcBorders>
              <w:left w:val="single" w:sz="6" w:space="0" w:color="auto"/>
              <w:right w:val="single" w:sz="6" w:space="0" w:color="auto"/>
            </w:tcBorders>
            <w:vAlign w:val="center"/>
          </w:tcPr>
          <w:p>
            <w:pPr>
              <w:pStyle w:val="19"/>
            </w:pPr>
            <w:r>
              <w:t>13.55</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5.53</w:t>
            </w:r>
          </w:p>
        </w:tc>
        <w:tc>
          <w:tcPr>
            <w:tcW w:w="2551" w:type="dxa"/>
            <w:tcBorders>
              <w:left w:val="single" w:sz="6" w:space="0" w:color="auto"/>
              <w:right w:val="single" w:sz="6" w:space="0" w:color="auto"/>
            </w:tcBorders>
            <w:vAlign w:val="center"/>
          </w:tcPr>
          <w:p>
            <w:pPr>
              <w:pStyle w:val="19"/>
            </w:pPr>
            <w:r>
              <w:t>5.53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2.35</w:t>
            </w:r>
          </w:p>
        </w:tc>
        <w:tc>
          <w:tcPr>
            <w:tcW w:w="2551" w:type="dxa"/>
            <w:tcBorders>
              <w:left w:val="single" w:sz="6" w:space="0" w:color="auto"/>
              <w:right w:val="single" w:sz="6" w:space="0" w:color="auto"/>
            </w:tcBorders>
            <w:vAlign w:val="center"/>
          </w:tcPr>
          <w:p>
            <w:pPr>
              <w:pStyle w:val="19"/>
            </w:pPr>
            <w:r>
              <w:t>2.35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0.37</w:t>
            </w:r>
          </w:p>
        </w:tc>
        <w:tc>
          <w:tcPr>
            <w:tcW w:w="2551" w:type="dxa"/>
            <w:tcBorders>
              <w:left w:val="single" w:sz="6" w:space="0" w:color="auto"/>
              <w:right w:val="single" w:sz="6" w:space="0" w:color="auto"/>
            </w:tcBorders>
            <w:vAlign w:val="center"/>
          </w:tcPr>
          <w:p>
            <w:pPr>
              <w:pStyle w:val="19"/>
            </w:pPr>
            <w:r>
              <w:t>0.37</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5.33</w:t>
            </w:r>
          </w:p>
        </w:tc>
        <w:tc>
          <w:tcPr>
            <w:tcW w:w="2551" w:type="dxa"/>
            <w:tcBorders>
              <w:left w:val="single" w:sz="6" w:space="0" w:color="auto"/>
              <w:right w:val="single" w:sz="6" w:space="0" w:color="auto"/>
            </w:tcBorders>
            <w:vAlign w:val="center"/>
          </w:tcPr>
          <w:p>
            <w:pPr>
              <w:pStyle w:val="19"/>
            </w:pPr>
            <w:r>
              <w:t>5.33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302</w:t>
            </w:r>
          </w:p>
        </w:tc>
        <w:tc>
          <w:tcPr>
            <w:tcW w:w="4535" w:type="dxa"/>
            <w:tcBorders>
              <w:left w:val="single" w:sz="6" w:space="0" w:color="auto"/>
              <w:right w:val="single" w:sz="6" w:space="0" w:color="auto"/>
            </w:tcBorders>
            <w:vAlign w:val="center"/>
          </w:tcPr>
          <w:p>
            <w:pPr>
              <w:pStyle w:val="20"/>
            </w:pPr>
            <w:r>
              <w:t>商品和服务支出</w:t>
            </w:r>
          </w:p>
        </w:tc>
        <w:tc>
          <w:tcPr>
            <w:tcW w:w="2551" w:type="dxa"/>
            <w:tcBorders>
              <w:left w:val="single" w:sz="6" w:space="0" w:color="auto"/>
              <w:right w:val="single" w:sz="6" w:space="0" w:color="auto"/>
            </w:tcBorders>
            <w:vAlign w:val="center"/>
          </w:tcPr>
          <w:p>
            <w:pPr>
              <w:pStyle w:val="19"/>
            </w:pPr>
            <w:r>
              <w:t>3.12</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3.12</w:t>
            </w: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30201</w:t>
            </w:r>
          </w:p>
        </w:tc>
        <w:tc>
          <w:tcPr>
            <w:tcW w:w="4535" w:type="dxa"/>
            <w:tcBorders>
              <w:left w:val="single" w:sz="6" w:space="0" w:color="auto"/>
              <w:right w:val="single" w:sz="6" w:space="0" w:color="auto"/>
            </w:tcBorders>
            <w:vAlign w:val="center"/>
          </w:tcPr>
          <w:p>
            <w:pPr>
              <w:pStyle w:val="20"/>
            </w:pPr>
            <w:r>
              <w:t>办公费</w:t>
            </w:r>
          </w:p>
        </w:tc>
        <w:tc>
          <w:tcPr>
            <w:tcW w:w="2551" w:type="dxa"/>
            <w:tcBorders>
              <w:left w:val="single" w:sz="6" w:space="0" w:color="auto"/>
              <w:right w:val="single" w:sz="6" w:space="0" w:color="auto"/>
            </w:tcBorders>
            <w:vAlign w:val="center"/>
          </w:tcPr>
          <w:p>
            <w:pPr>
              <w:pStyle w:val="19"/>
            </w:pPr>
            <w:r>
              <w:t>0.20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0.20</w:t>
            </w: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30207</w:t>
            </w:r>
          </w:p>
        </w:tc>
        <w:tc>
          <w:tcPr>
            <w:tcW w:w="4535" w:type="dxa"/>
            <w:tcBorders>
              <w:left w:val="single" w:sz="6" w:space="0" w:color="auto"/>
              <w:right w:val="single" w:sz="6" w:space="0" w:color="auto"/>
            </w:tcBorders>
            <w:vAlign w:val="center"/>
          </w:tcPr>
          <w:p>
            <w:pPr>
              <w:pStyle w:val="20"/>
            </w:pPr>
            <w:r>
              <w:t>邮电费</w:t>
            </w:r>
          </w:p>
        </w:tc>
        <w:tc>
          <w:tcPr>
            <w:tcW w:w="2551" w:type="dxa"/>
            <w:tcBorders>
              <w:left w:val="single" w:sz="6" w:space="0" w:color="auto"/>
              <w:right w:val="single" w:sz="6" w:space="0" w:color="auto"/>
            </w:tcBorders>
            <w:vAlign w:val="center"/>
          </w:tcPr>
          <w:p>
            <w:pPr>
              <w:pStyle w:val="19"/>
            </w:pPr>
            <w:r>
              <w:t>0.26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0.26</w:t>
            </w: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30211</w:t>
            </w:r>
          </w:p>
        </w:tc>
        <w:tc>
          <w:tcPr>
            <w:tcW w:w="4535" w:type="dxa"/>
            <w:tcBorders>
              <w:left w:val="single" w:sz="6" w:space="0" w:color="auto"/>
              <w:right w:val="single" w:sz="6" w:space="0" w:color="auto"/>
            </w:tcBorders>
            <w:vAlign w:val="center"/>
          </w:tcPr>
          <w:p>
            <w:pPr>
              <w:pStyle w:val="20"/>
            </w:pPr>
            <w:r>
              <w:t>差旅费</w:t>
            </w:r>
          </w:p>
        </w:tc>
        <w:tc>
          <w:tcPr>
            <w:tcW w:w="2551" w:type="dxa"/>
            <w:tcBorders>
              <w:left w:val="single" w:sz="6" w:space="0" w:color="auto"/>
              <w:right w:val="single" w:sz="6" w:space="0" w:color="auto"/>
            </w:tcBorders>
            <w:vAlign w:val="center"/>
          </w:tcPr>
          <w:p>
            <w:pPr>
              <w:pStyle w:val="19"/>
            </w:pPr>
            <w:r>
              <w:t>0.32</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30213</w:t>
            </w:r>
          </w:p>
        </w:tc>
        <w:tc>
          <w:tcPr>
            <w:tcW w:w="4535" w:type="dxa"/>
            <w:tcBorders>
              <w:left w:val="single" w:sz="6" w:space="0" w:color="auto"/>
              <w:right w:val="single" w:sz="6" w:space="0" w:color="auto"/>
            </w:tcBorders>
            <w:vAlign w:val="center"/>
          </w:tcPr>
          <w:p>
            <w:pPr>
              <w:pStyle w:val="20"/>
            </w:pPr>
            <w:r>
              <w:t>维修(护)费</w:t>
            </w:r>
          </w:p>
        </w:tc>
        <w:tc>
          <w:tcPr>
            <w:tcW w:w="2551" w:type="dxa"/>
            <w:tcBorders>
              <w:left w:val="single" w:sz="6" w:space="0" w:color="auto"/>
              <w:right w:val="single" w:sz="6" w:space="0" w:color="auto"/>
            </w:tcBorders>
            <w:vAlign w:val="center"/>
          </w:tcPr>
          <w:p>
            <w:pPr>
              <w:pStyle w:val="19"/>
            </w:pPr>
            <w:r>
              <w:t>0.32</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0.32</w:t>
            </w: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30217</w:t>
            </w:r>
          </w:p>
        </w:tc>
        <w:tc>
          <w:tcPr>
            <w:tcW w:w="4535" w:type="dxa"/>
            <w:tcBorders>
              <w:left w:val="single" w:sz="6" w:space="0" w:color="auto"/>
              <w:right w:val="single" w:sz="6" w:space="0" w:color="auto"/>
            </w:tcBorders>
            <w:vAlign w:val="center"/>
          </w:tcPr>
          <w:p>
            <w:pPr>
              <w:pStyle w:val="20"/>
            </w:pPr>
            <w:r>
              <w:t>公务接待费</w:t>
            </w:r>
          </w:p>
        </w:tc>
        <w:tc>
          <w:tcPr>
            <w:tcW w:w="2551" w:type="dxa"/>
            <w:tcBorders>
              <w:left w:val="single" w:sz="6" w:space="0" w:color="auto"/>
              <w:right w:val="single" w:sz="6" w:space="0" w:color="auto"/>
            </w:tcBorders>
            <w:vAlign w:val="center"/>
          </w:tcPr>
          <w:p>
            <w:pPr>
              <w:pStyle w:val="19"/>
            </w:pPr>
            <w:r>
              <w:t>0.01</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0.01</w:t>
            </w:r>
          </w:p>
        </w:tc>
      </w:tr>
      <w:tr>
        <w:trPr>
          <w:trHeight w:val="369"/>
        </w:trPr>
        <w:tc>
          <w:tcPr>
            <w:tcW w:w="850" w:type="dxa"/>
            <w:vAlign w:val="center"/>
          </w:tcPr>
          <w:p>
            <w:pPr>
              <w:pStyle w:val="21"/>
            </w:pPr>
            <w:r>
              <w:t>16</w:t>
            </w:r>
          </w:p>
        </w:tc>
        <w:tc>
          <w:tcPr>
            <w:tcW w:w="1191" w:type="dxa"/>
            <w:tcBorders>
              <w:left w:val="single" w:sz="6" w:space="0" w:color="auto"/>
              <w:right w:val="single" w:sz="6" w:space="0" w:color="auto"/>
            </w:tcBorders>
            <w:vAlign w:val="center"/>
          </w:tcPr>
          <w:p>
            <w:pPr>
              <w:pStyle w:val="20"/>
            </w:pPr>
            <w:r>
              <w:t>30228</w:t>
            </w:r>
          </w:p>
        </w:tc>
        <w:tc>
          <w:tcPr>
            <w:tcW w:w="4535" w:type="dxa"/>
            <w:tcBorders>
              <w:left w:val="single" w:sz="6" w:space="0" w:color="auto"/>
              <w:right w:val="single" w:sz="6" w:space="0" w:color="auto"/>
            </w:tcBorders>
            <w:vAlign w:val="center"/>
          </w:tcPr>
          <w:p>
            <w:pPr>
              <w:pStyle w:val="20"/>
            </w:pPr>
            <w:r>
              <w:t>工会经费</w:t>
            </w:r>
          </w:p>
        </w:tc>
        <w:tc>
          <w:tcPr>
            <w:tcW w:w="2551" w:type="dxa"/>
            <w:tcBorders>
              <w:left w:val="single" w:sz="6" w:space="0" w:color="auto"/>
              <w:right w:val="single" w:sz="6" w:space="0" w:color="auto"/>
            </w:tcBorders>
            <w:vAlign w:val="center"/>
          </w:tcPr>
          <w:p>
            <w:pPr>
              <w:pStyle w:val="19"/>
            </w:pPr>
            <w:r>
              <w:t>0.25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0.25</w:t>
            </w:r>
          </w:p>
        </w:tc>
      </w:tr>
      <w:tr>
        <w:trPr>
          <w:trHeight w:val="369"/>
        </w:trPr>
        <w:tc>
          <w:tcPr>
            <w:tcW w:w="850" w:type="dxa"/>
            <w:vAlign w:val="center"/>
          </w:tcPr>
          <w:p>
            <w:pPr>
              <w:pStyle w:val="21"/>
            </w:pPr>
            <w:r>
              <w:t>17</w:t>
            </w:r>
          </w:p>
        </w:tc>
        <w:tc>
          <w:tcPr>
            <w:tcW w:w="1191" w:type="dxa"/>
            <w:tcBorders>
              <w:left w:val="single" w:sz="6" w:space="0" w:color="auto"/>
              <w:right w:val="single" w:sz="6" w:space="0" w:color="auto"/>
            </w:tcBorders>
            <w:vAlign w:val="center"/>
          </w:tcPr>
          <w:p>
            <w:pPr>
              <w:pStyle w:val="20"/>
            </w:pPr>
            <w:r>
              <w:t>30229</w:t>
            </w:r>
          </w:p>
        </w:tc>
        <w:tc>
          <w:tcPr>
            <w:tcW w:w="4535" w:type="dxa"/>
            <w:tcBorders>
              <w:left w:val="single" w:sz="6" w:space="0" w:color="auto"/>
              <w:right w:val="single" w:sz="6" w:space="0" w:color="auto"/>
            </w:tcBorders>
            <w:vAlign w:val="center"/>
          </w:tcPr>
          <w:p>
            <w:pPr>
              <w:pStyle w:val="20"/>
            </w:pPr>
            <w:r>
              <w:t>福利费</w:t>
            </w:r>
          </w:p>
        </w:tc>
        <w:tc>
          <w:tcPr>
            <w:tcW w:w="2551" w:type="dxa"/>
            <w:tcBorders>
              <w:left w:val="single" w:sz="6" w:space="0" w:color="auto"/>
              <w:right w:val="single" w:sz="6" w:space="0" w:color="auto"/>
            </w:tcBorders>
            <w:vAlign w:val="center"/>
          </w:tcPr>
          <w:p>
            <w:pPr>
              <w:pStyle w:val="19"/>
            </w:pPr>
            <w:r>
              <w:t>0.35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0.35</w:t>
            </w:r>
          </w:p>
        </w:tc>
      </w:tr>
      <w:tr>
        <w:trPr>
          <w:trHeight w:val="369"/>
        </w:trPr>
        <w:tc>
          <w:tcPr>
            <w:tcW w:w="850" w:type="dxa"/>
            <w:vAlign w:val="center"/>
          </w:tcPr>
          <w:p>
            <w:pPr>
              <w:pStyle w:val="21"/>
            </w:pPr>
            <w:r>
              <w:t>18</w:t>
            </w:r>
          </w:p>
        </w:tc>
        <w:tc>
          <w:tcPr>
            <w:tcW w:w="1191" w:type="dxa"/>
            <w:tcBorders>
              <w:left w:val="single" w:sz="6" w:space="0" w:color="auto"/>
              <w:right w:val="single" w:sz="6" w:space="0" w:color="auto"/>
            </w:tcBorders>
            <w:vAlign w:val="center"/>
          </w:tcPr>
          <w:p>
            <w:pPr>
              <w:pStyle w:val="20"/>
            </w:pPr>
            <w:r>
              <w:t>30239</w:t>
            </w:r>
          </w:p>
        </w:tc>
        <w:tc>
          <w:tcPr>
            <w:tcW w:w="4535" w:type="dxa"/>
            <w:tcBorders>
              <w:left w:val="single" w:sz="6" w:space="0" w:color="auto"/>
              <w:right w:val="single" w:sz="6" w:space="0" w:color="auto"/>
            </w:tcBorders>
            <w:vAlign w:val="center"/>
          </w:tcPr>
          <w:p>
            <w:pPr>
              <w:pStyle w:val="20"/>
            </w:pPr>
            <w:r>
              <w:t>其他交通费用</w:t>
            </w:r>
          </w:p>
        </w:tc>
        <w:tc>
          <w:tcPr>
            <w:tcW w:w="2551" w:type="dxa"/>
            <w:tcBorders>
              <w:left w:val="single" w:sz="6" w:space="0" w:color="auto"/>
              <w:right w:val="single" w:sz="6" w:space="0" w:color="auto"/>
            </w:tcBorders>
            <w:vAlign w:val="center"/>
          </w:tcPr>
          <w:p>
            <w:pPr>
              <w:pStyle w:val="19"/>
            </w:pPr>
            <w:r>
              <w:t>1.38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1.38</w:t>
            </w:r>
          </w:p>
        </w:tc>
      </w:tr>
      <w:tr>
        <w:trPr>
          <w:trHeight w:val="369"/>
        </w:trPr>
        <w:tc>
          <w:tcPr>
            <w:tcW w:w="850" w:type="dxa"/>
            <w:vAlign w:val="center"/>
          </w:tcPr>
          <w:p>
            <w:pPr>
              <w:pStyle w:val="21"/>
            </w:pPr>
            <w:r>
              <w:t>19</w:t>
            </w:r>
          </w:p>
        </w:tc>
        <w:tc>
          <w:tcPr>
            <w:tcW w:w="1191" w:type="dxa"/>
            <w:tcBorders>
              <w:left w:val="single" w:sz="6" w:space="0" w:color="auto"/>
              <w:right w:val="single" w:sz="6" w:space="0" w:color="auto"/>
            </w:tcBorders>
            <w:vAlign w:val="center"/>
          </w:tcPr>
          <w:p>
            <w:pPr>
              <w:pStyle w:val="20"/>
            </w:pPr>
            <w:r>
              <w:t>30299</w:t>
            </w:r>
          </w:p>
        </w:tc>
        <w:tc>
          <w:tcPr>
            <w:tcW w:w="4535" w:type="dxa"/>
            <w:tcBorders>
              <w:left w:val="single" w:sz="6" w:space="0" w:color="auto"/>
              <w:right w:val="single" w:sz="6" w:space="0" w:color="auto"/>
            </w:tcBorders>
            <w:vAlign w:val="center"/>
          </w:tcPr>
          <w:p>
            <w:pPr>
              <w:pStyle w:val="20"/>
            </w:pPr>
            <w:r>
              <w:t>其他商品和服务支出</w:t>
            </w:r>
          </w:p>
        </w:tc>
        <w:tc>
          <w:tcPr>
            <w:tcW w:w="2551" w:type="dxa"/>
            <w:tcBorders>
              <w:left w:val="single" w:sz="6" w:space="0" w:color="auto"/>
              <w:right w:val="single" w:sz="6" w:space="0" w:color="auto"/>
            </w:tcBorders>
            <w:vAlign w:val="center"/>
          </w:tcPr>
          <w:p>
            <w:pPr>
              <w:pStyle w:val="19"/>
            </w:pPr>
            <w:r>
              <w:t>0.03</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0.03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0.01</w:t>
            </w:r>
          </w:p>
        </w:tc>
        <w:tc>
          <w:tcPr>
            <w:tcW w:w="2381" w:type="dxa"/>
            <w:tcBorders>
              <w:left w:val="single" w:sz="6" w:space="0" w:color="auto"/>
              <w:right w:val="single" w:sz="6" w:space="0" w:color="auto"/>
            </w:tcBorders>
            <w:vAlign w:val="center"/>
          </w:tcPr>
          <w:p>
            <w:pPr>
              <w:pStyle w:val="23"/>
            </w:pPr>
            <w:r>
              <w:t>0.01</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0.01</w:t>
            </w:r>
          </w:p>
        </w:tc>
        <w:tc>
          <w:tcPr>
            <w:tcW w:w="2381" w:type="dxa"/>
            <w:tcBorders>
              <w:left w:val="single" w:sz="6" w:space="0" w:color="auto"/>
              <w:right w:val="single" w:sz="6" w:space="0" w:color="auto"/>
            </w:tcBorders>
            <w:vAlign w:val="center"/>
          </w:tcPr>
          <w:p>
            <w:pPr>
              <w:pStyle w:val="19"/>
            </w:pPr>
            <w:r>
              <w:t>0.01</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0.01</w:t>
            </w:r>
          </w:p>
        </w:tc>
        <w:tc>
          <w:tcPr>
            <w:tcW w:w="2381" w:type="dxa"/>
            <w:tcBorders>
              <w:left w:val="single" w:sz="6" w:space="0" w:color="auto"/>
              <w:right w:val="single" w:sz="6" w:space="0" w:color="auto"/>
            </w:tcBorders>
            <w:vAlign w:val="center"/>
          </w:tcPr>
          <w:p>
            <w:pPr>
              <w:pStyle w:val="19"/>
            </w:pPr>
            <w:r>
              <w:t>0.01</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auto"/>
              <w:right w:val="single" w:sz="6" w:space="0" w:color="auto"/>
            </w:tcBorders>
            <w:vAlign w:val="center"/>
          </w:tcPr>
          <w:p>
            <w:pPr>
              <w:pStyle w:val="20"/>
            </w:pPr>
            <w:r>
              <w:t>四、会议费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auto"/>
              <w:right w:val="single" w:sz="6" w:space="0" w:color="auto"/>
            </w:tcBorders>
            <w:vAlign w:val="center"/>
          </w:tcPr>
          <w:p>
            <w:pPr>
              <w:pStyle w:val="20"/>
            </w:pPr>
            <w:r>
              <w:t xml:space="preserve">    其中：省属高校业务性会议费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auto"/>
              <w:right w:val="single" w:sz="6" w:space="0" w:color="auto"/>
            </w:tcBorders>
            <w:vAlign w:val="center"/>
          </w:tcPr>
          <w:p>
            <w:pPr>
              <w:pStyle w:val="20"/>
            </w:pPr>
            <w:r>
              <w:t xml:space="preserve">          其他会议费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auto"/>
              <w:right w:val="single" w:sz="6" w:space="0" w:color="auto"/>
            </w:tcBorders>
            <w:vAlign w:val="center"/>
          </w:tcPr>
          <w:p>
            <w:pPr>
              <w:pStyle w:val="20"/>
            </w:pPr>
            <w:r>
              <w:t>五、培训费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行唐县政府投资项目代建中心（县城市更新促进中心）2025年部门预算信息公开情况说明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行唐县政府投资项目代建中心（县城市更新促进中心）2025年部门预算信息公开情况说明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按照《中华人民共和国预算法》、《地方预决算公开操作规程》和《关于进一步推进预算公开工作的实施意见》规定，现将行唐县政府投资项目代建中心（县城市更新促进中心）2025年部门预算公开如下：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pStyle w:val="113"/>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Autospacing="0" w:afterAutospacing="0"/>
        <w:ind w:left="0" w:firstLineChars="250" w:firstLine="80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部门职责：</w:t>
      </w:r>
    </w:p>
    <w:p>
      <w:pPr>
        <w:pStyle w:val="113"/>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Autospacing="0" w:afterAutospacing="0"/>
        <w:ind w:left="0" w:firstLineChars="300" w:firstLine="540"/>
        <w:rPr>
          <w:rFonts w:ascii="仿宋_GB2312" w:eastAsia="仿宋_GB2312" w:cs="仿宋_GB2312" w:hint="eastAsia"/>
          <w:sz w:val="32"/>
          <w:szCs w:val="32"/>
          <w:shd w:val="clear" w:color="auto" w:fill="FFFFFF"/>
        </w:rPr>
      </w:pPr>
      <w:r>
        <w:rPr>
          <w:rFonts w:ascii="Arial" w:eastAsia="Arial" w:cs="Arial" w:hAnsi="Arial"/>
          <w:color w:val="000000"/>
          <w:spacing w:val="0"/>
          <w:sz w:val="18"/>
          <w:szCs w:val="18"/>
          <w:shd w:val="clear" w:color="auto" w:fill="FFFFFF"/>
          <w:lang w:bidi="ar-SA"/>
          <w:highlight w:val="auto"/>
        </w:rPr>
        <w:t> </w:t>
      </w:r>
      <w:r>
        <w:rPr>
          <w:rFonts w:ascii="仿宋_GB2312" w:eastAsia="仿宋_GB2312" w:cs="仿宋_GB2312" w:hint="eastAsia"/>
          <w:color w:val="auto"/>
          <w:spacing w:val="0"/>
          <w:sz w:val="32"/>
          <w:szCs w:val="32"/>
          <w:shd w:val="clear" w:color="auto" w:fill="FFFFFF"/>
          <w:lang w:bidi="ar-SA"/>
        </w:rPr>
        <w:t>开展城市更新相关政策研究；承担城市更新发展规划、年度计划的前期调研、分析、论证等事务性工作；负责拟订县城市更新项目库，整理、汇总城市更新项目文件档案和信息数据等工作；负责城市更新重点项目的实施工作；负责政府投资建设项目可行性研究等工作；负责政府投资建设项目的施工图设计及审查、预算编制、招标控制评审等文件准备工作；负责列入城市更新储备库的项目及政府投资项目的代理、代建等工作，对项目建设全过程进行管理；负责项目完成后与项目使用单位进行移交工作；承担县城市更新领导小组交办的工作任务；完成县委、县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行唐县政府投资项目代建中心（县城市更新促进中心）本级</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rPr>
          <w:rFonts w:ascii="黑体" w:eastAsia="黑体" w:cs="黑体" w:hAnsi="黑体"/>
          <w:color w:val="000000"/>
          <w:sz w:val="32"/>
        </w:rPr>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按照预算管理有关规定，目前我省部门预算的编制实行综合预算管理，即全部收入和支出都反映在预算中。河北省财政厅机关及所属事业单位的收支包含在部门预算中。</w:t>
      </w:r>
    </w:p>
    <w:p>
      <w:pPr>
        <w:pStyle w:val="26"/>
      </w:pPr>
      <w:r>
        <w:t>1、收入说明</w:t>
      </w:r>
    </w:p>
    <w:p>
      <w:pPr>
        <w:pStyle w:val="26"/>
      </w:pPr>
      <w:r>
        <w:t>反映本部门当年全部收入。2025年预算收入</w:t>
      </w:r>
      <w:r>
        <w:rPr>
          <w:lang w:val="en-US" w:eastAsia="zh-CN"/>
        </w:rPr>
        <w:t>53.06</w:t>
      </w:r>
      <w:r>
        <w:t>元，其中：一般公共预算收入53.06万元，基金预算收入</w:t>
      </w:r>
      <w:r>
        <w:rPr>
          <w:lang w:val="en-US" w:eastAsia="zh-CN"/>
        </w:rPr>
        <w:t>0</w:t>
      </w:r>
      <w:r>
        <w:t>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收支预算总表支出栏、基本支出表、项目支出表按经济分类和支出功能分类科目编制，反映河北省财政厅年度部门预算中支出预算的总体情况。20</w:t>
      </w:r>
      <w:r>
        <w:rPr>
          <w:rFonts w:hint="eastAsia"/>
          <w:lang w:val="en-US" w:eastAsia="zh-CN"/>
        </w:rPr>
        <w:t>2</w:t>
      </w:r>
      <w:r>
        <w:rPr>
          <w:lang w:val="en-US" w:eastAsia="zh-CN"/>
        </w:rPr>
        <w:t>5</w:t>
      </w:r>
      <w:r>
        <w:t>年支出预算</w:t>
      </w:r>
      <w:r>
        <w:rPr>
          <w:lang w:val="en-US" w:eastAsia="zh-CN"/>
        </w:rPr>
        <w:t>53.06</w:t>
      </w:r>
      <w:r>
        <w:t>万元，其中基本支出</w:t>
      </w:r>
      <w:r>
        <w:rPr>
          <w:lang w:val="en-US" w:eastAsia="zh-CN"/>
        </w:rPr>
        <w:t>53.06</w:t>
      </w:r>
      <w:r>
        <w:t>万元，包括人员经费49.94万元和日常公用经费3.12万元。</w:t>
      </w:r>
    </w:p>
    <w:p>
      <w:pPr>
        <w:pStyle w:val="26"/>
      </w:pPr>
      <w:r>
        <w:t>3、比上年增减情况</w:t>
      </w:r>
    </w:p>
    <w:p>
      <w:pPr>
        <w:pStyle w:val="26"/>
      </w:pPr>
      <w:r>
        <w:t>2025年预算收支安排</w:t>
      </w:r>
      <w:r>
        <w:rPr>
          <w:lang w:val="en-US" w:eastAsia="zh-CN"/>
        </w:rPr>
        <w:t>53.06</w:t>
      </w:r>
      <w:r>
        <w:t>万元，较2024年预算增加21.21万元，其中：基本支出</w:t>
      </w:r>
      <w:r>
        <w:rPr>
          <w:lang w:val="en-US" w:eastAsia="zh-CN"/>
        </w:rPr>
        <w:t>增加21.21</w:t>
      </w:r>
      <w:r>
        <w:t>万元，主要为人员经费支出</w:t>
      </w:r>
      <w:r>
        <w:rPr>
          <w:lang w:val="en-US" w:eastAsia="zh-CN"/>
        </w:rPr>
        <w:t>增加</w:t>
      </w:r>
      <w:r>
        <w:t>。</w:t>
      </w:r>
    </w:p>
    <w:p>
      <w:pPr>
        <w:spacing w:before="10" w:after="10" w:line="360" w:lineRule="auto"/>
        <w:ind w:firstLine="640"/>
        <w:outlineLvl w:val="2"/>
      </w:pPr>
      <w:bookmarkStart w:id="11" w:name="_Toc_3_3_0000000012"/>
      <w:r>
        <w:rPr>
          <w:rFonts w:ascii="黑体" w:eastAsia="黑体" w:cs="黑体" w:hAnsi="黑体"/>
          <w:color w:val="000000"/>
          <w:sz w:val="32"/>
        </w:rPr>
        <w:t>三、机关运行经费安排情况</w:t>
      </w:r>
      <w:bookmarkEnd w:id="11"/>
      <w:r>
        <w:rPr>
          <w:rFonts w:ascii="黑体" w:eastAsia="黑体" w:cs="黑体" w:hAnsi="黑体"/>
          <w:color w:val="000000"/>
          <w:sz w:val="32"/>
        </w:rPr>
        <w:t>（无）</w:t>
      </w:r>
    </w:p>
    <w:p>
      <w:pPr>
        <w:spacing w:before="10" w:after="10" w:line="360" w:lineRule="auto"/>
        <w:ind w:firstLine="640"/>
        <w:jc w:val="left"/>
        <w:outlineLvl w:val="2"/>
        <w:rPr>
          <w:rFonts w:ascii="黑体" w:eastAsia="黑体" w:cs="黑体" w:hAnsi="黑体"/>
          <w:color w:val="000000"/>
          <w:sz w:val="32"/>
        </w:rPr>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2025年，我部门财政拨款“三公”经费预算安排</w:t>
      </w:r>
      <w:r>
        <w:rPr>
          <w:lang w:val="en-US" w:eastAsia="zh-CN"/>
        </w:rPr>
        <w:t>0.01</w:t>
      </w:r>
      <w:r>
        <w:t>万元，其中：因公出国（境）费0万元；公务用车购置及运维费</w:t>
      </w:r>
      <w:r>
        <w:rPr>
          <w:lang w:val="en-US" w:eastAsia="zh-CN"/>
        </w:rPr>
        <w:t>0</w:t>
      </w:r>
      <w:r>
        <w:t>万元；公务接待费</w:t>
      </w:r>
      <w:r>
        <w:rPr>
          <w:rFonts w:hint="eastAsia"/>
          <w:lang w:val="en-US" w:eastAsia="zh-CN"/>
        </w:rPr>
        <w:t>0.</w:t>
      </w:r>
      <w:r>
        <w:rPr>
          <w:lang w:val="en-US" w:eastAsia="zh-CN"/>
        </w:rPr>
        <w:t>01</w:t>
      </w:r>
      <w:r>
        <w:t>万元。</w:t>
      </w:r>
    </w:p>
    <w:p>
      <w:pPr>
        <w:spacing w:before="10" w:after="10" w:line="360" w:lineRule="auto"/>
        <w:ind w:firstLine="640"/>
        <w:jc w:val="left"/>
        <w:outlineLvl w:val="2"/>
      </w:pPr>
    </w:p>
    <w:p>
      <w:pPr>
        <w:pStyle w:val="28"/>
      </w:pP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numPr>
          <w:ilvl w:val="0"/>
          <w:numId w:val="1"/>
        </w:numPr>
        <w:spacing w:before="0" w:after="0" w:line="500" w:lineRule="exact"/>
        <w:jc w:val="left"/>
        <w:outlineLvl w:val="9"/>
        <w:rPr>
          <w:rFonts w:ascii="Times New Roman" w:eastAsia="方正仿宋_GBK" w:cs="Times New Roman" w:hAnsi="Times New Roman"/>
          <w:color w:val="000000"/>
          <w:sz w:val="28"/>
        </w:rPr>
      </w:pPr>
      <w:r>
        <w:rPr>
          <w:rFonts w:ascii="Times New Roman" w:eastAsia="方正仿宋_GBK" w:cs="Times New Roman" w:hAnsi="Times New Roman"/>
          <w:color w:val="000000"/>
          <w:sz w:val="28"/>
        </w:rPr>
        <w:t>总体绩效目标</w:t>
      </w:r>
    </w:p>
    <w:p>
      <w:pPr>
        <w:pStyle w:val="154"/>
        <w:rPr>
          <w:rFonts w:ascii="仿宋_GB2312" w:eastAsia="仿宋_GB2312" w:cs="仿宋_GB2312" w:hAnsi="仿宋_GB2312" w:hint="eastAsia"/>
          <w:sz w:val="28"/>
          <w:szCs w:val="28"/>
        </w:rPr>
      </w:pPr>
      <w:r>
        <w:rPr>
          <w:rFonts w:ascii="仿宋_GB2312" w:eastAsia="仿宋_GB2312" w:cs="仿宋_GB2312" w:hAnsi="仿宋_GB2312" w:hint="eastAsia"/>
          <w:sz w:val="28"/>
          <w:szCs w:val="28"/>
          <w:lang w:val="en-US" w:eastAsia="zh-CN"/>
        </w:rPr>
        <w:t>保障</w:t>
      </w:r>
      <w:r>
        <w:rPr>
          <w:rFonts w:ascii="仿宋_GB2312" w:eastAsia="仿宋_GB2312" w:cs="仿宋_GB2312" w:hAnsi="仿宋_GB2312" w:hint="eastAsia"/>
          <w:sz w:val="28"/>
          <w:szCs w:val="28"/>
        </w:rPr>
        <w:t>单位职工工资正常发放，各种保险、公积金、职业年金等按时缴纳，确保单位正常运转。</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154"/>
        <w:rPr>
          <w:rFonts w:ascii="仿宋_GB2312" w:eastAsia="仿宋_GB2312" w:cs="仿宋_GB2312" w:hAnsi="仿宋_GB2312" w:hint="eastAsia"/>
          <w:sz w:val="28"/>
          <w:szCs w:val="28"/>
        </w:rPr>
      </w:pPr>
      <w:r>
        <w:rPr>
          <w:rFonts w:ascii="仿宋_GB2312" w:eastAsia="仿宋_GB2312" w:cs="仿宋_GB2312" w:hAnsi="仿宋_GB2312" w:hint="eastAsia"/>
          <w:sz w:val="28"/>
          <w:szCs w:val="28"/>
          <w:lang w:val="en-US" w:eastAsia="zh-CN"/>
        </w:rPr>
        <w:t>保障</w:t>
      </w:r>
      <w:r>
        <w:rPr>
          <w:rFonts w:ascii="仿宋_GB2312" w:eastAsia="仿宋_GB2312" w:cs="仿宋_GB2312" w:hAnsi="仿宋_GB2312" w:hint="eastAsia"/>
          <w:sz w:val="28"/>
          <w:szCs w:val="28"/>
        </w:rPr>
        <w:t>单位职工工资正常发放，各种保险、公积金、职业年金等按时缴纳，确保单位正常运转。</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ind w:left="0" w:firstLineChars="200" w:firstLine="560"/>
      </w:pPr>
      <w:r>
        <w:t>1.完善制度建设。制定完善预算绩效管理制度、资金管理办法、工作保障制度等，为全年预算绩效目标的实现奠定制度基础。</w:t>
      </w:r>
    </w:p>
    <w:p>
      <w:pPr>
        <w:pStyle w:val="31"/>
      </w:pPr>
      <w:r>
        <w:t>2.加强支出管理。通过优化支出结构、编细编实预算、加快履行政府采购手续、尽快启动项目、及时支付资金、确保支出进度达标。</w:t>
      </w:r>
    </w:p>
    <w:p>
      <w:pPr>
        <w:pStyle w:val="31"/>
      </w:pPr>
      <w:r>
        <w:t>3.加强绩效运行监控。按要求开展绩效运行监控，发现问题及时采取措施，确保绩效目标如期保质实现。</w:t>
      </w:r>
    </w:p>
    <w:p>
      <w:pPr>
        <w:pStyle w:val="31"/>
      </w:pPr>
      <w:r>
        <w:t>4.做好绩效自评。按要求开展上年度部门预算绩效自评和重点评价工作，对评价中发现的问题及时整改，调整优化支出结构，提高财政资金使用效益。</w:t>
      </w:r>
    </w:p>
    <w:p>
      <w:pPr>
        <w:pStyle w:val="31"/>
      </w:pPr>
      <w:r>
        <w:t>5.规范财务资产管理。完善财务管理制度，严格审批程序，加强固定资产登记、使用和报废处置管理，做到支出合理，物尽其用。</w:t>
      </w:r>
    </w:p>
    <w:p>
      <w:pPr>
        <w:pStyle w:val="31"/>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rPr>
          <w:rFonts w:hint="eastAsia"/>
          <w:lang w:eastAsia="zh-CN"/>
        </w:rPr>
        <w:sectPr>
          <w:pgSz w:w="16840" w:h="11900" w:orient="landscape"/>
          <w:pgMar w:top="1361" w:right="1020" w:bottom="1361" w:left="1020" w:header="720" w:footer="720" w:gutter="0"/>
          <w:docGrid w:linePitch="326" w:charSpace="0"/>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left="0"/>
        <w:jc w:val="left"/>
        <w:outlineLvl w:val="2"/>
        <w:rPr>
          <w:rFonts w:ascii="黑体" w:eastAsia="黑体" w:cs="黑体" w:hAnsi="黑体"/>
          <w:color w:val="000000"/>
          <w:sz w:val="32"/>
        </w:rPr>
      </w:pPr>
      <w:bookmarkStart w:id="14" w:name="_Toc_3_3_0000000015"/>
    </w:p>
    <w:p>
      <w:pPr>
        <w:spacing w:before="10" w:after="10" w:line="360" w:lineRule="auto"/>
        <w:ind w:left="0" w:firstLineChars="100" w:firstLine="32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六、部门主管专项资金预算安排情况及绩效目标</w:t>
      </w:r>
      <w:bookmarkEnd w:id="14"/>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七、部门项目预算安排情况及绩效目标</w:t>
      </w:r>
      <w:bookmarkEnd w:id="15"/>
      <w:r>
        <w:rPr>
          <w:rFonts w:ascii="黑体" w:eastAsia="黑体" w:cs="黑体" w:hAnsi="黑体"/>
          <w:color w:val="000000"/>
          <w:sz w:val="32"/>
        </w:rPr>
        <w:t>（无）</w:t>
      </w: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r>
        <w:rPr>
          <w:rFonts w:ascii="黑体" w:eastAsia="黑体" w:cs="黑体" w:hAnsi="黑体"/>
          <w:color w:val="000000"/>
          <w:sz w:val="32"/>
        </w:rPr>
        <w:t>（无）</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r>
        <w:rPr>
          <w:rFonts w:ascii="黑体" w:eastAsia="黑体" w:cs="黑体" w:hAnsi="黑体"/>
          <w:color w:val="000000"/>
          <w:sz w:val="32"/>
        </w:rPr>
        <w:t>（无</w:t>
      </w:r>
      <w:bookmarkStart w:id="18" w:name="_GoBack"/>
      <w:bookmarkEnd w:id="18"/>
      <w:r>
        <w:rPr>
          <w:rFonts w:ascii="黑体" w:eastAsia="黑体" w:cs="黑体" w:hAnsi="黑体"/>
          <w:color w:val="000000"/>
          <w:sz w:val="32"/>
        </w:rPr>
        <w:t>）</w:t>
      </w:r>
    </w:p>
    <w:p>
      <w:pPr>
        <w:spacing w:before="0" w:after="0" w:line="500" w:lineRule="exact"/>
        <w:ind w:firstLine="560"/>
        <w:jc w:val="left"/>
        <w:outlineLvl w:val="9"/>
      </w:pPr>
      <w:r>
        <w:rPr>
          <w:rFonts w:ascii="Times New Roman" w:eastAsia="方正仿宋_GBK" w:cs="Times New Roman" w:hAnsi="Times New Roman"/>
          <w:b w:val="0"/>
          <w:color w:val="000000"/>
          <w:sz w:val="28"/>
        </w:rPr>
        <w:t>行唐县政府投资项目代建中心（县城市更新促进中心）（含所属单位）上年末固定资产金额为0.00万元（详见下表）。本年度拟购置固定资产总额为0.00万元，已按要求列入政府采购预算，详见政府采购预算表。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479行唐县政府投资项目代建中心（县城市更新促进中心）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panose1 w:val="03000509000000000000"/>
    <w:charset w:val="86"/>
    <w:family w:val="script"/>
    <w:pitch w:val="variable"/>
    <w:sig w:usb0="00000001" w:usb1="080E0000" w:usb2="00000000" w:usb3="00000000" w:csb0="00040000" w:csb1="00000000"/>
  </w:font>
  <w:font w:name="Arial">
    <w:panose1 w:val="020B0604020202020204"/>
    <w:charset w:val="00"/>
    <w:family w:val="auto"/>
    <w:pitch w:val="variable"/>
    <w:sig w:usb0="00007A87" w:usb1="80000000" w:usb2="00000008" w:usb3="00000000" w:csb0="400001FF" w:csb1="FFFF0000"/>
  </w:font>
  <w:font w:name="仿宋_GB2312">
    <w:panose1 w:val="02010609030101010101"/>
    <w:charset w:val="86"/>
    <w:family w:val="auto"/>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Calibri">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18</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C54BD62"/>
    <w:multiLevelType w:val="hybridMultilevel"/>
    <w:tmpl w:val="00000000"/>
    <w:lvl w:ilvl="0">
      <w:start w:val="1"/>
      <w:numFmt w:val="chineseCountingThousand"/>
      <w:lvlRestart w:val="0"/>
      <w:lvlText w:val="（%1）"/>
      <w:lvlJc w:val="left"/>
      <w:pPr>
        <w:ind w:left="1400" w:hanging="840"/>
      </w:p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styleId="113">
    <w:name w:val="Normal (Web)"/>
    <w:basedOn w:val="0"/>
    <w:next w:val="19"/>
    <w:pPr>
      <w:widowControl w:val="0"/>
      <w:spacing w:before="100" w:beforeAutospacing="1" w:after="100" w:afterAutospacing="1"/>
      <w:ind w:left="0" w:right="0"/>
      <w:jc w:val="left"/>
    </w:pPr>
    <w:rPr>
      <w:rFonts w:ascii="Calibri" w:eastAsia="宋体" w:cs="宋体" w:hAnsi="Calibri"/>
      <w:color w:val="auto"/>
      <w:kern w:val="0"/>
      <w:sz w:val="24"/>
      <w:szCs w:val="24"/>
      <w:lang w:val="en-US" w:eastAsia="zh-CN" w:bidi="ar-SA"/>
    </w:rPr>
  </w:style>
  <w:style w:type="paragraph" w:customStyle="1" w:styleId="154">
    <w:name w:val="正文-公1"/>
    <w:basedOn w:val="0"/>
    <w:pPr>
      <w:widowControl w:val="0"/>
      <w:ind w:firstLineChars="200" w:firstLine="200"/>
      <w:jc w:val="both"/>
    </w:pPr>
    <w:rPr>
      <w:rFonts w:ascii="Times New Roman" w:eastAsia="宋体" w:cs="Times New Roman" w:hAnsi="Times New Roman"/>
      <w:kern w:val="2"/>
      <w:sz w:val="21"/>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2B019CD9-0723-4C36-B415-C980E9EC960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69</TotalTime>
  <Application>Yozo_Office27021597764231179</Application>
  <Pages>25</Pages>
  <Words>0</Words>
  <Characters>7584</Characters>
  <Lines>0</Lines>
  <Paragraphs>115</Paragraphs>
  <CharactersWithSpaces>10112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2025-01-24T08:59:08Z</dcterms:created>
  <dcterms:modified xsi:type="dcterms:W3CDTF">2025-01-24T02:09:42Z</dcterms:modified>
</cp:coreProperties>
</file>