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44"/>
          <w:szCs w:val="44"/>
          <w:lang w:val="uk-UA"/>
        </w:rPr>
      </w:pPr>
      <w:r>
        <w:rPr>
          <w:rFonts w:hint="eastAsia" w:ascii="黑体" w:hAnsi="黑体" w:eastAsia="黑体" w:cs="黑体"/>
          <w:b/>
          <w:color w:val="000000"/>
          <w:sz w:val="44"/>
          <w:szCs w:val="44"/>
          <w:lang w:eastAsia="zh-CN"/>
        </w:rPr>
        <w:t>行唐县人民法院</w:t>
      </w:r>
      <w:r>
        <w:rPr>
          <w:rFonts w:hint="eastAsia" w:ascii="黑体" w:hAnsi="黑体" w:eastAsia="黑体" w:cs="黑体"/>
          <w:b/>
          <w:color w:val="000000"/>
          <w:sz w:val="44"/>
          <w:szCs w:val="44"/>
        </w:rPr>
        <w:t>所属单位</w:t>
      </w:r>
      <w:r>
        <w:rPr>
          <w:rFonts w:hint="eastAsia" w:ascii="黑体" w:hAnsi="黑体" w:eastAsia="黑体" w:cs="黑体"/>
          <w:b/>
          <w:color w:val="000000"/>
          <w:sz w:val="44"/>
          <w:szCs w:val="44"/>
          <w:lang w:eastAsia="zh-CN"/>
        </w:rPr>
        <w:t>2022年单位预算信息公开</w:t>
      </w:r>
      <w:r>
        <w:rPr>
          <w:rFonts w:hint="eastAsia" w:ascii="黑体" w:hAnsi="黑体" w:eastAsia="黑体" w:cs="黑体"/>
          <w:sz w:val="44"/>
          <w:szCs w:val="44"/>
        </w:rPr>
        <w:fldChar w:fldCharType="begin"/>
      </w:r>
      <w:r>
        <w:rPr>
          <w:rFonts w:hint="eastAsia" w:ascii="黑体" w:hAnsi="黑体" w:eastAsia="黑体" w:cs="黑体"/>
          <w:sz w:val="44"/>
          <w:szCs w:val="44"/>
        </w:rPr>
        <w:instrText xml:space="preserve">TOC \o "4-4" \h \z \u</w:instrText>
      </w:r>
      <w:r>
        <w:rPr>
          <w:rFonts w:hint="eastAsia" w:ascii="黑体" w:hAnsi="黑体" w:eastAsia="黑体" w:cs="黑体"/>
          <w:sz w:val="44"/>
          <w:szCs w:val="44"/>
        </w:rPr>
        <w:fldChar w:fldCharType="separate"/>
      </w:r>
      <w:r>
        <w:rPr>
          <w:rFonts w:hint="eastAsia" w:ascii="黑体" w:hAnsi="黑体" w:eastAsia="黑体" w:cs="黑体"/>
          <w:sz w:val="44"/>
          <w:szCs w:val="44"/>
        </w:rPr>
        <w:fldChar w:fldCharType="begin"/>
      </w:r>
      <w:r>
        <w:rPr>
          <w:rFonts w:hint="eastAsia" w:ascii="黑体" w:hAnsi="黑体" w:eastAsia="黑体" w:cs="黑体"/>
          <w:sz w:val="44"/>
          <w:szCs w:val="44"/>
        </w:rPr>
        <w:instrText xml:space="preserve"> HYPERLINK \l "_Toc25043" </w:instrText>
      </w:r>
      <w:r>
        <w:rPr>
          <w:rFonts w:hint="eastAsia" w:ascii="黑体" w:hAnsi="黑体" w:eastAsia="黑体" w:cs="黑体"/>
          <w:sz w:val="44"/>
          <w:szCs w:val="44"/>
        </w:rPr>
        <w:fldChar w:fldCharType="separate"/>
      </w:r>
      <w:r>
        <w:rPr>
          <w:rFonts w:hint="eastAsia" w:ascii="黑体" w:hAnsi="黑体" w:eastAsia="黑体" w:cs="黑体"/>
          <w:sz w:val="44"/>
          <w:szCs w:val="44"/>
        </w:rPr>
        <w:fldChar w:fldCharType="end"/>
      </w:r>
    </w:p>
    <w:p>
      <w:pPr>
        <w:rPr>
          <w:rFonts w:hint="eastAsia" w:ascii="黑体" w:hAnsi="黑体" w:eastAsia="黑体" w:cs="黑体"/>
          <w:sz w:val="44"/>
          <w:szCs w:val="44"/>
          <w:lang w:val="en-US" w:eastAsia="zh-CN"/>
        </w:rPr>
      </w:pPr>
      <w:r>
        <w:rPr>
          <w:rFonts w:hint="eastAsia" w:ascii="黑体" w:hAnsi="黑体" w:eastAsia="黑体" w:cs="黑体"/>
          <w:sz w:val="44"/>
          <w:szCs w:val="44"/>
        </w:rPr>
        <w:fldChar w:fldCharType="end"/>
      </w:r>
      <w:r>
        <w:rPr>
          <w:rFonts w:hint="eastAsia" w:ascii="黑体" w:hAnsi="黑体" w:eastAsia="黑体" w:cs="黑体"/>
          <w:sz w:val="44"/>
          <w:szCs w:val="44"/>
          <w:lang w:val="en-US" w:eastAsia="zh-CN"/>
        </w:rPr>
        <w:t xml:space="preserve">  </w:t>
      </w:r>
    </w:p>
    <w:p>
      <w:pPr>
        <w:ind w:firstLine="440" w:firstLineChars="100"/>
        <w:rPr>
          <w:rFonts w:eastAsia="方正仿宋_GBK" w:cs="Times New Roman"/>
          <w:color w:val="000000"/>
          <w:sz w:val="28"/>
        </w:rPr>
      </w:pPr>
      <w:r>
        <w:rPr>
          <w:rFonts w:hint="eastAsia" w:ascii="黑体" w:hAnsi="黑体" w:eastAsia="黑体" w:cs="黑体"/>
          <w:sz w:val="44"/>
          <w:szCs w:val="44"/>
          <w:lang w:val="en-US" w:eastAsia="zh-CN"/>
        </w:rPr>
        <w:t xml:space="preserve"> </w:t>
      </w:r>
      <w:r>
        <w:rPr>
          <w:rFonts w:hint="eastAsia" w:eastAsia="方正仿宋_GBK" w:cs="Times New Roman"/>
          <w:color w:val="000000"/>
          <w:sz w:val="28"/>
        </w:rPr>
        <w:t>单位</w:t>
      </w:r>
      <w:r>
        <w:rPr>
          <w:rFonts w:eastAsia="方正仿宋_GBK" w:cs="Times New Roman"/>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rPr>
        <w:t>单位</w:t>
      </w:r>
      <w:r>
        <w:t>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rPr>
        <w:t>单位</w:t>
      </w:r>
      <w:r>
        <w:t>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rPr>
        <w:t>单位</w:t>
      </w:r>
      <w:r>
        <w:t>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rPr>
        <w:t>单位</w:t>
      </w:r>
      <w:r>
        <w:t>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rPr>
        <w:t>单位</w:t>
      </w:r>
      <w:r>
        <w:t>预算政府基金预算财政拨款支出表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rPr>
        <w:t>单位</w:t>
      </w:r>
      <w:r>
        <w:t>预算国有资本经营预算财政拨款支出表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rPr>
        <w:t>单位</w:t>
      </w:r>
      <w:r>
        <w:t>预算财政拨款“三公”经费支出表</w:t>
      </w:r>
      <w:r>
        <w:tab/>
      </w:r>
      <w:r>
        <w:rPr>
          <w:rFonts w:hint="eastAsia"/>
          <w:lang w:val="en-US" w:eastAsia="zh-CN"/>
        </w:rPr>
        <w:t>1</w:t>
      </w:r>
      <w:r>
        <w:fldChar w:fldCharType="end"/>
      </w:r>
      <w:r>
        <w:rPr>
          <w:rFonts w:hint="eastAsia"/>
          <w:lang w:val="en-US" w:eastAsia="zh-CN"/>
        </w:rPr>
        <w:t>6</w:t>
      </w:r>
    </w:p>
    <w:p>
      <w:pPr>
        <w:ind w:firstLine="560" w:firstLineChars="200"/>
        <w:rPr>
          <w:rFonts w:eastAsia="方正仿宋_GBK" w:cs="Times New Roman"/>
          <w:color w:val="000000"/>
          <w:sz w:val="28"/>
        </w:rPr>
      </w:pPr>
      <w:r>
        <w:rPr>
          <w:rFonts w:eastAsia="方正仿宋_GBK" w:cs="Times New Roman"/>
          <w:color w:val="000000"/>
          <w:sz w:val="28"/>
        </w:rPr>
        <w:fldChar w:fldCharType="end"/>
      </w:r>
      <w:r>
        <w:rPr>
          <w:rFonts w:hint="eastAsia" w:eastAsia="方正仿宋_GBK" w:cs="Times New Roman"/>
          <w:color w:val="000000"/>
          <w:sz w:val="28"/>
        </w:rPr>
        <w:t>单位</w:t>
      </w:r>
      <w:r>
        <w:rPr>
          <w:rFonts w:eastAsia="方正仿宋_GBK" w:cs="Times New Roman"/>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rPr>
        <w:t>单位</w:t>
      </w:r>
      <w:r>
        <w:t>职责及机构设置情况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rPr>
        <w:t>单位</w:t>
      </w:r>
      <w:r>
        <w:t>预算安排的总体情况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6</w:t>
      </w:r>
    </w:p>
    <w:p>
      <w:pPr>
        <w:rPr>
          <w:rFonts w:eastAsia="方正仿宋_GBK" w:cs="Times New Roman"/>
          <w:color w:val="000000"/>
          <w:sz w:val="28"/>
          <w:lang w:val="uk-UA"/>
        </w:rPr>
        <w:sectPr>
          <w:pgSz w:w="16840" w:h="11900" w:orient="landscape"/>
          <w:pgMar w:top="1587" w:right="1134" w:bottom="1361" w:left="1134" w:header="720" w:footer="720" w:gutter="0"/>
          <w:pgNumType w:start="1"/>
          <w:cols w:space="720" w:num="1"/>
        </w:sectPr>
      </w:pPr>
      <w:r>
        <w:rPr>
          <w:rFonts w:eastAsia="方正仿宋_GBK" w:cs="Times New Roman"/>
          <w:color w:val="000000"/>
          <w:sz w:val="28"/>
        </w:rPr>
        <w:fldChar w:fldCharType="end"/>
      </w:r>
    </w:p>
    <w:p/>
    <w:p/>
    <w:p>
      <w:pPr>
        <w:jc w:val="center"/>
        <w:outlineLvl w:val="3"/>
      </w:pPr>
      <w:bookmarkStart w:id="0" w:name="_Toc25043"/>
      <w:r>
        <w:rPr>
          <w:rFonts w:ascii="方正小标宋_GBK" w:hAnsi="方正小标宋_GBK" w:eastAsia="方正小标宋_GBK" w:cs="方正小标宋_GBK"/>
          <w:color w:val="000000"/>
          <w:sz w:val="44"/>
        </w:rPr>
        <w:t>一、行唐县人民法院本级收支预算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161001行唐县人民法院本级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2301.57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2128.02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2301.57</w:t>
            </w:r>
          </w:p>
        </w:tc>
        <w:tc>
          <w:tcPr>
            <w:tcW w:w="4535" w:type="dxa"/>
            <w:vAlign w:val="center"/>
          </w:tcPr>
          <w:p>
            <w:pPr>
              <w:pStyle w:val="16"/>
            </w:pPr>
            <w:r>
              <w:t>本年支出合计</w:t>
            </w:r>
          </w:p>
        </w:tc>
        <w:tc>
          <w:tcPr>
            <w:tcW w:w="2126" w:type="dxa"/>
            <w:vAlign w:val="center"/>
          </w:tcPr>
          <w:p>
            <w:pPr>
              <w:pStyle w:val="17"/>
            </w:pPr>
            <w:r>
              <w:t>2301.57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2301.57</w:t>
            </w:r>
          </w:p>
        </w:tc>
        <w:tc>
          <w:tcPr>
            <w:tcW w:w="4535" w:type="dxa"/>
            <w:vAlign w:val="center"/>
          </w:tcPr>
          <w:p>
            <w:pPr>
              <w:pStyle w:val="16"/>
            </w:pPr>
            <w:r>
              <w:t>支出总计</w:t>
            </w:r>
          </w:p>
        </w:tc>
        <w:tc>
          <w:tcPr>
            <w:tcW w:w="2126" w:type="dxa"/>
            <w:vAlign w:val="center"/>
          </w:tcPr>
          <w:p>
            <w:pPr>
              <w:pStyle w:val="17"/>
            </w:pPr>
            <w:r>
              <w:t>2301.57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59"/>
        <w:gridCol w:w="1206"/>
        <w:gridCol w:w="3354"/>
        <w:gridCol w:w="1054"/>
        <w:gridCol w:w="1054"/>
        <w:gridCol w:w="1323"/>
        <w:gridCol w:w="1044"/>
        <w:gridCol w:w="776"/>
        <w:gridCol w:w="776"/>
        <w:gridCol w:w="1009"/>
        <w:gridCol w:w="1265"/>
        <w:gridCol w:w="798"/>
        <w:gridCol w:w="7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11"/>
            </w:pPr>
            <w:r>
              <w:t>161001行唐县人民法院本级</w:t>
            </w:r>
          </w:p>
        </w:tc>
        <w:tc>
          <w:tcPr>
            <w:tcW w:w="0" w:type="auto"/>
            <w:gridSpan w:val="3"/>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4587" w:type="dxa"/>
            <w:gridSpan w:val="2"/>
            <w:vAlign w:val="center"/>
          </w:tcPr>
          <w:p>
            <w:pPr>
              <w:pStyle w:val="12"/>
            </w:pPr>
            <w:r>
              <w:t>功能分类科目</w:t>
            </w:r>
          </w:p>
        </w:tc>
        <w:tc>
          <w:tcPr>
            <w:tcW w:w="245" w:type="dxa"/>
            <w:vMerge w:val="restart"/>
            <w:vAlign w:val="center"/>
          </w:tcPr>
          <w:p>
            <w:pPr>
              <w:pStyle w:val="12"/>
            </w:pPr>
            <w:r>
              <w:t>合计</w:t>
            </w:r>
          </w:p>
        </w:tc>
        <w:tc>
          <w:tcPr>
            <w:tcW w:w="0" w:type="auto"/>
            <w:gridSpan w:val="8"/>
            <w:vAlign w:val="center"/>
          </w:tcPr>
          <w:p>
            <w:pPr>
              <w:pStyle w:val="12"/>
            </w:pPr>
            <w:r>
              <w:t>本年收入</w:t>
            </w:r>
          </w:p>
        </w:tc>
        <w:tc>
          <w:tcPr>
            <w:tcW w:w="0" w:type="auto"/>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    编码</w:t>
            </w:r>
          </w:p>
        </w:tc>
        <w:tc>
          <w:tcPr>
            <w:tcW w:w="3354" w:type="dxa"/>
            <w:vAlign w:val="center"/>
          </w:tcPr>
          <w:p>
            <w:pPr>
              <w:pStyle w:val="12"/>
            </w:pPr>
            <w:r>
              <w:t>科目名称</w:t>
            </w:r>
          </w:p>
        </w:tc>
        <w:tc>
          <w:tcPr>
            <w:tcW w:w="245" w:type="dxa"/>
            <w:vMerge w:val="continue"/>
          </w:tcPr>
          <w:p/>
        </w:tc>
        <w:tc>
          <w:tcPr>
            <w:tcW w:w="0" w:type="auto"/>
            <w:vAlign w:val="center"/>
          </w:tcPr>
          <w:p>
            <w:pPr>
              <w:pStyle w:val="12"/>
            </w:pPr>
            <w:r>
              <w:t>小计</w:t>
            </w:r>
          </w:p>
        </w:tc>
        <w:tc>
          <w:tcPr>
            <w:tcW w:w="0" w:type="auto"/>
            <w:vAlign w:val="center"/>
          </w:tcPr>
          <w:p>
            <w:pPr>
              <w:pStyle w:val="12"/>
            </w:pPr>
            <w:r>
              <w:t>财政拨款 收入</w:t>
            </w:r>
          </w:p>
        </w:tc>
        <w:tc>
          <w:tcPr>
            <w:tcW w:w="0" w:type="auto"/>
            <w:vAlign w:val="center"/>
          </w:tcPr>
          <w:p>
            <w:pPr>
              <w:pStyle w:val="12"/>
            </w:pPr>
            <w:r>
              <w:t>财政专户 收入</w:t>
            </w:r>
          </w:p>
        </w:tc>
        <w:tc>
          <w:tcPr>
            <w:tcW w:w="0" w:type="auto"/>
            <w:vAlign w:val="center"/>
          </w:tcPr>
          <w:p>
            <w:pPr>
              <w:pStyle w:val="12"/>
            </w:pPr>
            <w:r>
              <w:t>事业收入</w:t>
            </w:r>
          </w:p>
        </w:tc>
        <w:tc>
          <w:tcPr>
            <w:tcW w:w="0" w:type="auto"/>
            <w:vAlign w:val="center"/>
          </w:tcPr>
          <w:p>
            <w:pPr>
              <w:pStyle w:val="12"/>
            </w:pPr>
            <w:r>
              <w:t>经营收入</w:t>
            </w:r>
          </w:p>
        </w:tc>
        <w:tc>
          <w:tcPr>
            <w:tcW w:w="0" w:type="auto"/>
            <w:vAlign w:val="center"/>
          </w:tcPr>
          <w:p>
            <w:pPr>
              <w:pStyle w:val="12"/>
            </w:pPr>
            <w:r>
              <w:t>上级补助收入</w:t>
            </w:r>
          </w:p>
        </w:tc>
        <w:tc>
          <w:tcPr>
            <w:tcW w:w="0" w:type="auto"/>
            <w:vAlign w:val="center"/>
          </w:tcPr>
          <w:p>
            <w:pPr>
              <w:pStyle w:val="12"/>
            </w:pPr>
            <w:r>
              <w:t>附属单位上缴收入</w:t>
            </w:r>
          </w:p>
        </w:tc>
        <w:tc>
          <w:tcPr>
            <w:tcW w:w="0" w:type="auto"/>
            <w:vAlign w:val="center"/>
          </w:tcPr>
          <w:p>
            <w:pPr>
              <w:pStyle w:val="12"/>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3354" w:type="dxa"/>
            <w:vAlign w:val="center"/>
          </w:tcPr>
          <w:p>
            <w:pPr>
              <w:pStyle w:val="12"/>
            </w:pPr>
            <w:r>
              <w:t>2</w:t>
            </w:r>
          </w:p>
        </w:tc>
        <w:tc>
          <w:tcPr>
            <w:tcW w:w="245" w:type="dxa"/>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c>
          <w:tcPr>
            <w:tcW w:w="0" w:type="auto"/>
            <w:vAlign w:val="center"/>
          </w:tcPr>
          <w:p>
            <w:pPr>
              <w:pStyle w:val="12"/>
            </w:pPr>
            <w:r>
              <w:t>8</w:t>
            </w:r>
          </w:p>
        </w:tc>
        <w:tc>
          <w:tcPr>
            <w:tcW w:w="0" w:type="auto"/>
            <w:vAlign w:val="center"/>
          </w:tcPr>
          <w:p>
            <w:pPr>
              <w:pStyle w:val="12"/>
            </w:pPr>
            <w:r>
              <w:t>9</w:t>
            </w:r>
          </w:p>
        </w:tc>
        <w:tc>
          <w:tcPr>
            <w:tcW w:w="0" w:type="auto"/>
            <w:vAlign w:val="center"/>
          </w:tcPr>
          <w:p>
            <w:pPr>
              <w:pStyle w:val="12"/>
            </w:pPr>
            <w:r>
              <w:t>10</w:t>
            </w:r>
          </w:p>
        </w:tc>
        <w:tc>
          <w:tcPr>
            <w:tcW w:w="0" w:type="auto"/>
            <w:vAlign w:val="center"/>
          </w:tcPr>
          <w:p>
            <w:pPr>
              <w:pStyle w:val="12"/>
            </w:pPr>
            <w:r>
              <w:t>11</w:t>
            </w:r>
          </w:p>
        </w:tc>
        <w:tc>
          <w:tcPr>
            <w:tcW w:w="0" w:type="auto"/>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3354" w:type="dxa"/>
            <w:vAlign w:val="center"/>
          </w:tcPr>
          <w:p>
            <w:pPr>
              <w:pStyle w:val="16"/>
            </w:pPr>
            <w:r>
              <w:t>合计</w:t>
            </w:r>
          </w:p>
        </w:tc>
        <w:tc>
          <w:tcPr>
            <w:tcW w:w="245" w:type="dxa"/>
            <w:vAlign w:val="center"/>
          </w:tcPr>
          <w:p>
            <w:pPr>
              <w:pStyle w:val="17"/>
            </w:pPr>
            <w:r>
              <w:t>2301.57</w:t>
            </w:r>
          </w:p>
        </w:tc>
        <w:tc>
          <w:tcPr>
            <w:tcW w:w="0" w:type="auto"/>
            <w:vAlign w:val="center"/>
          </w:tcPr>
          <w:p>
            <w:pPr>
              <w:pStyle w:val="17"/>
            </w:pPr>
            <w:r>
              <w:t>2301.57</w:t>
            </w:r>
          </w:p>
        </w:tc>
        <w:tc>
          <w:tcPr>
            <w:tcW w:w="0" w:type="auto"/>
            <w:vAlign w:val="center"/>
          </w:tcPr>
          <w:p>
            <w:pPr>
              <w:pStyle w:val="17"/>
            </w:pPr>
            <w:r>
              <w:t>2301.57</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204</w:t>
            </w:r>
          </w:p>
        </w:tc>
        <w:tc>
          <w:tcPr>
            <w:tcW w:w="3354" w:type="dxa"/>
            <w:vAlign w:val="center"/>
          </w:tcPr>
          <w:p>
            <w:pPr>
              <w:pStyle w:val="14"/>
            </w:pPr>
            <w:r>
              <w:t>公共安全支出</w:t>
            </w:r>
          </w:p>
        </w:tc>
        <w:tc>
          <w:tcPr>
            <w:tcW w:w="245" w:type="dxa"/>
            <w:vAlign w:val="center"/>
          </w:tcPr>
          <w:p>
            <w:pPr>
              <w:pStyle w:val="13"/>
            </w:pPr>
            <w:r>
              <w:t>2128.02</w:t>
            </w:r>
          </w:p>
        </w:tc>
        <w:tc>
          <w:tcPr>
            <w:tcW w:w="0" w:type="auto"/>
            <w:vAlign w:val="center"/>
          </w:tcPr>
          <w:p>
            <w:pPr>
              <w:pStyle w:val="13"/>
            </w:pPr>
            <w:r>
              <w:t>2128.02</w:t>
            </w:r>
          </w:p>
        </w:tc>
        <w:tc>
          <w:tcPr>
            <w:tcW w:w="0" w:type="auto"/>
            <w:vAlign w:val="center"/>
          </w:tcPr>
          <w:p>
            <w:pPr>
              <w:pStyle w:val="13"/>
            </w:pPr>
            <w:r>
              <w:t>2128.02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20405</w:t>
            </w:r>
          </w:p>
        </w:tc>
        <w:tc>
          <w:tcPr>
            <w:tcW w:w="3354" w:type="dxa"/>
            <w:vAlign w:val="center"/>
          </w:tcPr>
          <w:p>
            <w:pPr>
              <w:pStyle w:val="14"/>
            </w:pPr>
            <w:r>
              <w:t>法院</w:t>
            </w:r>
          </w:p>
        </w:tc>
        <w:tc>
          <w:tcPr>
            <w:tcW w:w="245" w:type="dxa"/>
            <w:vAlign w:val="center"/>
          </w:tcPr>
          <w:p>
            <w:pPr>
              <w:pStyle w:val="13"/>
            </w:pPr>
            <w:r>
              <w:t>2128.02</w:t>
            </w:r>
          </w:p>
        </w:tc>
        <w:tc>
          <w:tcPr>
            <w:tcW w:w="0" w:type="auto"/>
            <w:vAlign w:val="center"/>
          </w:tcPr>
          <w:p>
            <w:pPr>
              <w:pStyle w:val="13"/>
            </w:pPr>
            <w:r>
              <w:t>2128.02</w:t>
            </w:r>
          </w:p>
        </w:tc>
        <w:tc>
          <w:tcPr>
            <w:tcW w:w="0" w:type="auto"/>
            <w:vAlign w:val="center"/>
          </w:tcPr>
          <w:p>
            <w:pPr>
              <w:pStyle w:val="13"/>
            </w:pPr>
            <w:r>
              <w:t>2128.02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2040501</w:t>
            </w:r>
          </w:p>
        </w:tc>
        <w:tc>
          <w:tcPr>
            <w:tcW w:w="3354" w:type="dxa"/>
            <w:vAlign w:val="center"/>
          </w:tcPr>
          <w:p>
            <w:pPr>
              <w:pStyle w:val="14"/>
            </w:pPr>
            <w:r>
              <w:t>行政运行</w:t>
            </w:r>
          </w:p>
        </w:tc>
        <w:tc>
          <w:tcPr>
            <w:tcW w:w="245" w:type="dxa"/>
            <w:vAlign w:val="center"/>
          </w:tcPr>
          <w:p>
            <w:pPr>
              <w:pStyle w:val="13"/>
            </w:pPr>
            <w:r>
              <w:t>991.02</w:t>
            </w:r>
          </w:p>
        </w:tc>
        <w:tc>
          <w:tcPr>
            <w:tcW w:w="0" w:type="auto"/>
            <w:vAlign w:val="center"/>
          </w:tcPr>
          <w:p>
            <w:pPr>
              <w:pStyle w:val="13"/>
            </w:pPr>
            <w:r>
              <w:t>991.02</w:t>
            </w:r>
          </w:p>
        </w:tc>
        <w:tc>
          <w:tcPr>
            <w:tcW w:w="0" w:type="auto"/>
            <w:vAlign w:val="center"/>
          </w:tcPr>
          <w:p>
            <w:pPr>
              <w:pStyle w:val="13"/>
            </w:pPr>
            <w:r>
              <w:t>991.02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2040502</w:t>
            </w:r>
          </w:p>
        </w:tc>
        <w:tc>
          <w:tcPr>
            <w:tcW w:w="3354" w:type="dxa"/>
            <w:vAlign w:val="center"/>
          </w:tcPr>
          <w:p>
            <w:pPr>
              <w:pStyle w:val="14"/>
            </w:pPr>
            <w:r>
              <w:t>一般行政管理事务</w:t>
            </w:r>
          </w:p>
        </w:tc>
        <w:tc>
          <w:tcPr>
            <w:tcW w:w="245" w:type="dxa"/>
            <w:vAlign w:val="center"/>
          </w:tcPr>
          <w:p>
            <w:pPr>
              <w:pStyle w:val="13"/>
            </w:pPr>
            <w:r>
              <w:t>533.00</w:t>
            </w:r>
          </w:p>
        </w:tc>
        <w:tc>
          <w:tcPr>
            <w:tcW w:w="0" w:type="auto"/>
            <w:vAlign w:val="center"/>
          </w:tcPr>
          <w:p>
            <w:pPr>
              <w:pStyle w:val="13"/>
            </w:pPr>
            <w:r>
              <w:t>533.00</w:t>
            </w:r>
          </w:p>
        </w:tc>
        <w:tc>
          <w:tcPr>
            <w:tcW w:w="0" w:type="auto"/>
            <w:vAlign w:val="center"/>
          </w:tcPr>
          <w:p>
            <w:pPr>
              <w:pStyle w:val="13"/>
            </w:pPr>
            <w:r>
              <w:t>533.00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2040504</w:t>
            </w:r>
          </w:p>
        </w:tc>
        <w:tc>
          <w:tcPr>
            <w:tcW w:w="3354" w:type="dxa"/>
            <w:vAlign w:val="center"/>
          </w:tcPr>
          <w:p>
            <w:pPr>
              <w:pStyle w:val="14"/>
            </w:pPr>
            <w:r>
              <w:t>案件审判</w:t>
            </w:r>
          </w:p>
        </w:tc>
        <w:tc>
          <w:tcPr>
            <w:tcW w:w="245" w:type="dxa"/>
            <w:vAlign w:val="center"/>
          </w:tcPr>
          <w:p>
            <w:pPr>
              <w:pStyle w:val="13"/>
            </w:pPr>
            <w:r>
              <w:t>604.00</w:t>
            </w:r>
          </w:p>
        </w:tc>
        <w:tc>
          <w:tcPr>
            <w:tcW w:w="0" w:type="auto"/>
            <w:vAlign w:val="center"/>
          </w:tcPr>
          <w:p>
            <w:pPr>
              <w:pStyle w:val="13"/>
            </w:pPr>
            <w:r>
              <w:t>604.00</w:t>
            </w:r>
          </w:p>
        </w:tc>
        <w:tc>
          <w:tcPr>
            <w:tcW w:w="0" w:type="auto"/>
            <w:vAlign w:val="center"/>
          </w:tcPr>
          <w:p>
            <w:pPr>
              <w:pStyle w:val="13"/>
            </w:pPr>
            <w:r>
              <w:t>604.00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208</w:t>
            </w:r>
          </w:p>
        </w:tc>
        <w:tc>
          <w:tcPr>
            <w:tcW w:w="3354" w:type="dxa"/>
            <w:vAlign w:val="center"/>
          </w:tcPr>
          <w:p>
            <w:pPr>
              <w:pStyle w:val="14"/>
            </w:pPr>
            <w:r>
              <w:t>社会保障和就业支出</w:t>
            </w:r>
          </w:p>
        </w:tc>
        <w:tc>
          <w:tcPr>
            <w:tcW w:w="245" w:type="dxa"/>
            <w:vAlign w:val="center"/>
          </w:tcPr>
          <w:p>
            <w:pPr>
              <w:pStyle w:val="13"/>
            </w:pPr>
            <w:r>
              <w:t>77.95</w:t>
            </w:r>
          </w:p>
        </w:tc>
        <w:tc>
          <w:tcPr>
            <w:tcW w:w="0" w:type="auto"/>
            <w:vAlign w:val="center"/>
          </w:tcPr>
          <w:p>
            <w:pPr>
              <w:pStyle w:val="13"/>
            </w:pPr>
            <w:r>
              <w:t>77.95</w:t>
            </w:r>
          </w:p>
        </w:tc>
        <w:tc>
          <w:tcPr>
            <w:tcW w:w="0" w:type="auto"/>
            <w:vAlign w:val="center"/>
          </w:tcPr>
          <w:p>
            <w:pPr>
              <w:pStyle w:val="13"/>
            </w:pPr>
            <w:r>
              <w:t>77.95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20805</w:t>
            </w:r>
          </w:p>
        </w:tc>
        <w:tc>
          <w:tcPr>
            <w:tcW w:w="3354" w:type="dxa"/>
            <w:vAlign w:val="center"/>
          </w:tcPr>
          <w:p>
            <w:pPr>
              <w:pStyle w:val="14"/>
            </w:pPr>
            <w:r>
              <w:t>行政事业单位养老支出</w:t>
            </w:r>
          </w:p>
        </w:tc>
        <w:tc>
          <w:tcPr>
            <w:tcW w:w="245" w:type="dxa"/>
            <w:vAlign w:val="center"/>
          </w:tcPr>
          <w:p>
            <w:pPr>
              <w:pStyle w:val="13"/>
            </w:pPr>
            <w:r>
              <w:t>75.21</w:t>
            </w:r>
          </w:p>
        </w:tc>
        <w:tc>
          <w:tcPr>
            <w:tcW w:w="0" w:type="auto"/>
            <w:vAlign w:val="center"/>
          </w:tcPr>
          <w:p>
            <w:pPr>
              <w:pStyle w:val="13"/>
            </w:pPr>
            <w:r>
              <w:t>75.21</w:t>
            </w:r>
          </w:p>
        </w:tc>
        <w:tc>
          <w:tcPr>
            <w:tcW w:w="0" w:type="auto"/>
            <w:vAlign w:val="center"/>
          </w:tcPr>
          <w:p>
            <w:pPr>
              <w:pStyle w:val="13"/>
            </w:pPr>
            <w:r>
              <w:t>75.21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2080505</w:t>
            </w:r>
          </w:p>
        </w:tc>
        <w:tc>
          <w:tcPr>
            <w:tcW w:w="3354" w:type="dxa"/>
            <w:vAlign w:val="center"/>
          </w:tcPr>
          <w:p>
            <w:pPr>
              <w:pStyle w:val="14"/>
            </w:pPr>
            <w:r>
              <w:t>机关事业单位基本养老保险缴费支出</w:t>
            </w:r>
          </w:p>
        </w:tc>
        <w:tc>
          <w:tcPr>
            <w:tcW w:w="245" w:type="dxa"/>
            <w:vAlign w:val="center"/>
          </w:tcPr>
          <w:p>
            <w:pPr>
              <w:pStyle w:val="13"/>
            </w:pPr>
            <w:r>
              <w:t>75.21</w:t>
            </w:r>
          </w:p>
        </w:tc>
        <w:tc>
          <w:tcPr>
            <w:tcW w:w="0" w:type="auto"/>
            <w:vAlign w:val="center"/>
          </w:tcPr>
          <w:p>
            <w:pPr>
              <w:pStyle w:val="13"/>
            </w:pPr>
            <w:r>
              <w:t>75.21</w:t>
            </w:r>
          </w:p>
        </w:tc>
        <w:tc>
          <w:tcPr>
            <w:tcW w:w="0" w:type="auto"/>
            <w:vAlign w:val="center"/>
          </w:tcPr>
          <w:p>
            <w:pPr>
              <w:pStyle w:val="13"/>
            </w:pPr>
            <w:r>
              <w:t>75.21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20827</w:t>
            </w:r>
          </w:p>
        </w:tc>
        <w:tc>
          <w:tcPr>
            <w:tcW w:w="3354" w:type="dxa"/>
            <w:vAlign w:val="center"/>
          </w:tcPr>
          <w:p>
            <w:pPr>
              <w:pStyle w:val="14"/>
            </w:pPr>
            <w:r>
              <w:t>财政对其他社会保险基金的补助</w:t>
            </w:r>
          </w:p>
        </w:tc>
        <w:tc>
          <w:tcPr>
            <w:tcW w:w="245" w:type="dxa"/>
            <w:vAlign w:val="center"/>
          </w:tcPr>
          <w:p>
            <w:pPr>
              <w:pStyle w:val="13"/>
            </w:pPr>
            <w:r>
              <w:t>2.74</w:t>
            </w:r>
          </w:p>
        </w:tc>
        <w:tc>
          <w:tcPr>
            <w:tcW w:w="0" w:type="auto"/>
            <w:vAlign w:val="center"/>
          </w:tcPr>
          <w:p>
            <w:pPr>
              <w:pStyle w:val="13"/>
            </w:pPr>
            <w:r>
              <w:t>2.74</w:t>
            </w:r>
          </w:p>
        </w:tc>
        <w:tc>
          <w:tcPr>
            <w:tcW w:w="0" w:type="auto"/>
            <w:vAlign w:val="center"/>
          </w:tcPr>
          <w:p>
            <w:pPr>
              <w:pStyle w:val="13"/>
            </w:pPr>
            <w:r>
              <w:t>2.74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2082701</w:t>
            </w:r>
          </w:p>
        </w:tc>
        <w:tc>
          <w:tcPr>
            <w:tcW w:w="3354" w:type="dxa"/>
            <w:vAlign w:val="center"/>
          </w:tcPr>
          <w:p>
            <w:pPr>
              <w:pStyle w:val="14"/>
            </w:pPr>
            <w:r>
              <w:t>财政对失业保险基金的补助</w:t>
            </w:r>
          </w:p>
        </w:tc>
        <w:tc>
          <w:tcPr>
            <w:tcW w:w="245" w:type="dxa"/>
            <w:vAlign w:val="center"/>
          </w:tcPr>
          <w:p>
            <w:pPr>
              <w:pStyle w:val="13"/>
            </w:pPr>
            <w:r>
              <w:t>0.06</w:t>
            </w:r>
          </w:p>
        </w:tc>
        <w:tc>
          <w:tcPr>
            <w:tcW w:w="0" w:type="auto"/>
            <w:vAlign w:val="center"/>
          </w:tcPr>
          <w:p>
            <w:pPr>
              <w:pStyle w:val="13"/>
            </w:pPr>
            <w:r>
              <w:t>0.06</w:t>
            </w:r>
          </w:p>
        </w:tc>
        <w:tc>
          <w:tcPr>
            <w:tcW w:w="0" w:type="auto"/>
            <w:vAlign w:val="center"/>
          </w:tcPr>
          <w:p>
            <w:pPr>
              <w:pStyle w:val="13"/>
            </w:pPr>
            <w:r>
              <w:t>0.06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2082702</w:t>
            </w:r>
          </w:p>
        </w:tc>
        <w:tc>
          <w:tcPr>
            <w:tcW w:w="3354" w:type="dxa"/>
            <w:vAlign w:val="center"/>
          </w:tcPr>
          <w:p>
            <w:pPr>
              <w:pStyle w:val="14"/>
            </w:pPr>
            <w:r>
              <w:t>财政对工伤保险基金的补助</w:t>
            </w:r>
          </w:p>
        </w:tc>
        <w:tc>
          <w:tcPr>
            <w:tcW w:w="245" w:type="dxa"/>
            <w:vAlign w:val="center"/>
          </w:tcPr>
          <w:p>
            <w:pPr>
              <w:pStyle w:val="13"/>
            </w:pPr>
            <w:r>
              <w:t>2.68</w:t>
            </w:r>
          </w:p>
        </w:tc>
        <w:tc>
          <w:tcPr>
            <w:tcW w:w="0" w:type="auto"/>
            <w:vAlign w:val="center"/>
          </w:tcPr>
          <w:p>
            <w:pPr>
              <w:pStyle w:val="13"/>
            </w:pPr>
            <w:r>
              <w:t>2.68</w:t>
            </w:r>
          </w:p>
        </w:tc>
        <w:tc>
          <w:tcPr>
            <w:tcW w:w="0" w:type="auto"/>
            <w:vAlign w:val="center"/>
          </w:tcPr>
          <w:p>
            <w:pPr>
              <w:pStyle w:val="13"/>
            </w:pPr>
            <w:r>
              <w:t>2.68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210</w:t>
            </w:r>
          </w:p>
        </w:tc>
        <w:tc>
          <w:tcPr>
            <w:tcW w:w="3354" w:type="dxa"/>
            <w:vAlign w:val="center"/>
          </w:tcPr>
          <w:p>
            <w:pPr>
              <w:pStyle w:val="14"/>
            </w:pPr>
            <w:r>
              <w:t>卫生健康支出</w:t>
            </w:r>
          </w:p>
        </w:tc>
        <w:tc>
          <w:tcPr>
            <w:tcW w:w="245" w:type="dxa"/>
            <w:vAlign w:val="center"/>
          </w:tcPr>
          <w:p>
            <w:pPr>
              <w:pStyle w:val="13"/>
            </w:pPr>
            <w:r>
              <w:t>39.14</w:t>
            </w:r>
          </w:p>
        </w:tc>
        <w:tc>
          <w:tcPr>
            <w:tcW w:w="0" w:type="auto"/>
            <w:vAlign w:val="center"/>
          </w:tcPr>
          <w:p>
            <w:pPr>
              <w:pStyle w:val="13"/>
            </w:pPr>
            <w:r>
              <w:t>39.14</w:t>
            </w:r>
          </w:p>
        </w:tc>
        <w:tc>
          <w:tcPr>
            <w:tcW w:w="0" w:type="auto"/>
            <w:vAlign w:val="center"/>
          </w:tcPr>
          <w:p>
            <w:pPr>
              <w:pStyle w:val="13"/>
            </w:pPr>
            <w:r>
              <w:t>39.14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21011</w:t>
            </w:r>
          </w:p>
        </w:tc>
        <w:tc>
          <w:tcPr>
            <w:tcW w:w="3354" w:type="dxa"/>
            <w:vAlign w:val="center"/>
          </w:tcPr>
          <w:p>
            <w:pPr>
              <w:pStyle w:val="14"/>
            </w:pPr>
            <w:r>
              <w:t>行政事业单位医疗</w:t>
            </w:r>
          </w:p>
        </w:tc>
        <w:tc>
          <w:tcPr>
            <w:tcW w:w="245" w:type="dxa"/>
            <w:vAlign w:val="center"/>
          </w:tcPr>
          <w:p>
            <w:pPr>
              <w:pStyle w:val="13"/>
            </w:pPr>
            <w:r>
              <w:t>39.14</w:t>
            </w:r>
          </w:p>
        </w:tc>
        <w:tc>
          <w:tcPr>
            <w:tcW w:w="0" w:type="auto"/>
            <w:vAlign w:val="center"/>
          </w:tcPr>
          <w:p>
            <w:pPr>
              <w:pStyle w:val="13"/>
            </w:pPr>
            <w:r>
              <w:t>39.14</w:t>
            </w:r>
          </w:p>
        </w:tc>
        <w:tc>
          <w:tcPr>
            <w:tcW w:w="0" w:type="auto"/>
            <w:vAlign w:val="center"/>
          </w:tcPr>
          <w:p>
            <w:pPr>
              <w:pStyle w:val="13"/>
            </w:pPr>
            <w:r>
              <w:t>39.14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2101101</w:t>
            </w:r>
          </w:p>
        </w:tc>
        <w:tc>
          <w:tcPr>
            <w:tcW w:w="3354" w:type="dxa"/>
            <w:vAlign w:val="center"/>
          </w:tcPr>
          <w:p>
            <w:pPr>
              <w:pStyle w:val="14"/>
            </w:pPr>
            <w:r>
              <w:t>行政单位医疗</w:t>
            </w:r>
          </w:p>
        </w:tc>
        <w:tc>
          <w:tcPr>
            <w:tcW w:w="245" w:type="dxa"/>
            <w:vAlign w:val="center"/>
          </w:tcPr>
          <w:p>
            <w:pPr>
              <w:pStyle w:val="13"/>
            </w:pPr>
            <w:r>
              <w:t>39.14</w:t>
            </w:r>
          </w:p>
        </w:tc>
        <w:tc>
          <w:tcPr>
            <w:tcW w:w="0" w:type="auto"/>
            <w:vAlign w:val="center"/>
          </w:tcPr>
          <w:p>
            <w:pPr>
              <w:pStyle w:val="13"/>
            </w:pPr>
            <w:r>
              <w:t>39.14</w:t>
            </w:r>
          </w:p>
        </w:tc>
        <w:tc>
          <w:tcPr>
            <w:tcW w:w="0" w:type="auto"/>
            <w:vAlign w:val="center"/>
          </w:tcPr>
          <w:p>
            <w:pPr>
              <w:pStyle w:val="13"/>
            </w:pPr>
            <w:r>
              <w:t>39.14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221</w:t>
            </w:r>
          </w:p>
        </w:tc>
        <w:tc>
          <w:tcPr>
            <w:tcW w:w="3354" w:type="dxa"/>
            <w:vAlign w:val="center"/>
          </w:tcPr>
          <w:p>
            <w:pPr>
              <w:pStyle w:val="14"/>
            </w:pPr>
            <w:r>
              <w:t>住房保障支出</w:t>
            </w:r>
          </w:p>
        </w:tc>
        <w:tc>
          <w:tcPr>
            <w:tcW w:w="245" w:type="dxa"/>
            <w:vAlign w:val="center"/>
          </w:tcPr>
          <w:p>
            <w:pPr>
              <w:pStyle w:val="13"/>
            </w:pPr>
            <w:r>
              <w:t>56.46</w:t>
            </w:r>
          </w:p>
        </w:tc>
        <w:tc>
          <w:tcPr>
            <w:tcW w:w="0" w:type="auto"/>
            <w:vAlign w:val="center"/>
          </w:tcPr>
          <w:p>
            <w:pPr>
              <w:pStyle w:val="13"/>
            </w:pPr>
            <w:r>
              <w:t>56.46</w:t>
            </w:r>
          </w:p>
        </w:tc>
        <w:tc>
          <w:tcPr>
            <w:tcW w:w="0" w:type="auto"/>
            <w:vAlign w:val="center"/>
          </w:tcPr>
          <w:p>
            <w:pPr>
              <w:pStyle w:val="13"/>
            </w:pPr>
            <w:r>
              <w:t>56.46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22102</w:t>
            </w:r>
          </w:p>
        </w:tc>
        <w:tc>
          <w:tcPr>
            <w:tcW w:w="3354" w:type="dxa"/>
            <w:vAlign w:val="center"/>
          </w:tcPr>
          <w:p>
            <w:pPr>
              <w:pStyle w:val="14"/>
            </w:pPr>
            <w:r>
              <w:t>住房改革支出</w:t>
            </w:r>
          </w:p>
        </w:tc>
        <w:tc>
          <w:tcPr>
            <w:tcW w:w="245" w:type="dxa"/>
            <w:vAlign w:val="center"/>
          </w:tcPr>
          <w:p>
            <w:pPr>
              <w:pStyle w:val="13"/>
            </w:pPr>
            <w:r>
              <w:t>56.46</w:t>
            </w:r>
          </w:p>
        </w:tc>
        <w:tc>
          <w:tcPr>
            <w:tcW w:w="0" w:type="auto"/>
            <w:vAlign w:val="center"/>
          </w:tcPr>
          <w:p>
            <w:pPr>
              <w:pStyle w:val="13"/>
            </w:pPr>
            <w:r>
              <w:t>56.46</w:t>
            </w:r>
          </w:p>
        </w:tc>
        <w:tc>
          <w:tcPr>
            <w:tcW w:w="0" w:type="auto"/>
            <w:vAlign w:val="center"/>
          </w:tcPr>
          <w:p>
            <w:pPr>
              <w:pStyle w:val="13"/>
            </w:pPr>
            <w:r>
              <w:t>56.46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2210201</w:t>
            </w:r>
          </w:p>
        </w:tc>
        <w:tc>
          <w:tcPr>
            <w:tcW w:w="3354" w:type="dxa"/>
            <w:vAlign w:val="center"/>
          </w:tcPr>
          <w:p>
            <w:pPr>
              <w:pStyle w:val="14"/>
            </w:pPr>
            <w:r>
              <w:t>住房公积金</w:t>
            </w:r>
          </w:p>
        </w:tc>
        <w:tc>
          <w:tcPr>
            <w:tcW w:w="245" w:type="dxa"/>
            <w:vAlign w:val="center"/>
          </w:tcPr>
          <w:p>
            <w:pPr>
              <w:pStyle w:val="13"/>
            </w:pPr>
            <w:r>
              <w:t>56.46</w:t>
            </w:r>
          </w:p>
        </w:tc>
        <w:tc>
          <w:tcPr>
            <w:tcW w:w="0" w:type="auto"/>
            <w:vAlign w:val="center"/>
          </w:tcPr>
          <w:p>
            <w:pPr>
              <w:pStyle w:val="13"/>
            </w:pPr>
            <w:r>
              <w:t>56.46</w:t>
            </w:r>
          </w:p>
        </w:tc>
        <w:tc>
          <w:tcPr>
            <w:tcW w:w="0" w:type="auto"/>
            <w:vAlign w:val="center"/>
          </w:tcPr>
          <w:p>
            <w:pPr>
              <w:pStyle w:val="13"/>
            </w:pPr>
            <w:r>
              <w:t>56.46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576"/>
        <w:gridCol w:w="1054"/>
        <w:gridCol w:w="1056"/>
        <w:gridCol w:w="1056"/>
        <w:gridCol w:w="1056"/>
        <w:gridCol w:w="1789"/>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161001行唐县人民法院本级</w:t>
            </w:r>
          </w:p>
        </w:tc>
        <w:tc>
          <w:tcPr>
            <w:tcW w:w="0" w:type="auto"/>
            <w:gridSpan w:val="2"/>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c>
          <w:tcPr>
            <w:tcW w:w="0" w:type="auto"/>
            <w:vMerge w:val="restart"/>
            <w:vAlign w:val="center"/>
          </w:tcPr>
          <w:p>
            <w:pPr>
              <w:pStyle w:val="12"/>
            </w:pPr>
            <w:r>
              <w:t>经营支出</w:t>
            </w:r>
          </w:p>
        </w:tc>
        <w:tc>
          <w:tcPr>
            <w:tcW w:w="0" w:type="auto"/>
            <w:vMerge w:val="restart"/>
            <w:vAlign w:val="center"/>
          </w:tcPr>
          <w:p>
            <w:pPr>
              <w:pStyle w:val="12"/>
            </w:pPr>
            <w:r>
              <w:t>上解上级     支出</w:t>
            </w:r>
          </w:p>
        </w:tc>
        <w:tc>
          <w:tcPr>
            <w:tcW w:w="0" w:type="auto"/>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    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c>
          <w:tcPr>
            <w:tcW w:w="0" w:type="auto"/>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2301.57</w:t>
            </w:r>
          </w:p>
        </w:tc>
        <w:tc>
          <w:tcPr>
            <w:tcW w:w="0" w:type="auto"/>
            <w:vAlign w:val="center"/>
          </w:tcPr>
          <w:p>
            <w:pPr>
              <w:pStyle w:val="17"/>
            </w:pPr>
            <w:r>
              <w:t>1164.57</w:t>
            </w:r>
          </w:p>
        </w:tc>
        <w:tc>
          <w:tcPr>
            <w:tcW w:w="0" w:type="auto"/>
            <w:vAlign w:val="center"/>
          </w:tcPr>
          <w:p>
            <w:pPr>
              <w:pStyle w:val="17"/>
            </w:pPr>
            <w:r>
              <w:t>1137.00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204</w:t>
            </w:r>
          </w:p>
        </w:tc>
        <w:tc>
          <w:tcPr>
            <w:tcW w:w="0" w:type="auto"/>
            <w:vAlign w:val="center"/>
          </w:tcPr>
          <w:p>
            <w:pPr>
              <w:pStyle w:val="14"/>
            </w:pPr>
            <w:r>
              <w:t>公共安全支出</w:t>
            </w:r>
          </w:p>
        </w:tc>
        <w:tc>
          <w:tcPr>
            <w:tcW w:w="0" w:type="auto"/>
            <w:vAlign w:val="center"/>
          </w:tcPr>
          <w:p>
            <w:pPr>
              <w:pStyle w:val="13"/>
            </w:pPr>
            <w:r>
              <w:t>2128.02</w:t>
            </w:r>
          </w:p>
        </w:tc>
        <w:tc>
          <w:tcPr>
            <w:tcW w:w="0" w:type="auto"/>
            <w:vAlign w:val="center"/>
          </w:tcPr>
          <w:p>
            <w:pPr>
              <w:pStyle w:val="13"/>
            </w:pPr>
            <w:r>
              <w:t>991.02</w:t>
            </w:r>
          </w:p>
        </w:tc>
        <w:tc>
          <w:tcPr>
            <w:tcW w:w="0" w:type="auto"/>
            <w:vAlign w:val="center"/>
          </w:tcPr>
          <w:p>
            <w:pPr>
              <w:pStyle w:val="13"/>
            </w:pPr>
            <w:r>
              <w:t>1137.00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20405</w:t>
            </w:r>
          </w:p>
        </w:tc>
        <w:tc>
          <w:tcPr>
            <w:tcW w:w="0" w:type="auto"/>
            <w:vAlign w:val="center"/>
          </w:tcPr>
          <w:p>
            <w:pPr>
              <w:pStyle w:val="14"/>
            </w:pPr>
            <w:r>
              <w:t>法院</w:t>
            </w:r>
          </w:p>
        </w:tc>
        <w:tc>
          <w:tcPr>
            <w:tcW w:w="0" w:type="auto"/>
            <w:vAlign w:val="center"/>
          </w:tcPr>
          <w:p>
            <w:pPr>
              <w:pStyle w:val="13"/>
            </w:pPr>
            <w:r>
              <w:t>2128.02</w:t>
            </w:r>
          </w:p>
        </w:tc>
        <w:tc>
          <w:tcPr>
            <w:tcW w:w="0" w:type="auto"/>
            <w:vAlign w:val="center"/>
          </w:tcPr>
          <w:p>
            <w:pPr>
              <w:pStyle w:val="13"/>
            </w:pPr>
            <w:r>
              <w:t>991.02</w:t>
            </w:r>
          </w:p>
        </w:tc>
        <w:tc>
          <w:tcPr>
            <w:tcW w:w="0" w:type="auto"/>
            <w:vAlign w:val="center"/>
          </w:tcPr>
          <w:p>
            <w:pPr>
              <w:pStyle w:val="13"/>
            </w:pPr>
            <w:r>
              <w:t>1137.00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2040501</w:t>
            </w:r>
          </w:p>
        </w:tc>
        <w:tc>
          <w:tcPr>
            <w:tcW w:w="0" w:type="auto"/>
            <w:vAlign w:val="center"/>
          </w:tcPr>
          <w:p>
            <w:pPr>
              <w:pStyle w:val="14"/>
            </w:pPr>
            <w:r>
              <w:t>行政运行</w:t>
            </w:r>
          </w:p>
        </w:tc>
        <w:tc>
          <w:tcPr>
            <w:tcW w:w="0" w:type="auto"/>
            <w:vAlign w:val="center"/>
          </w:tcPr>
          <w:p>
            <w:pPr>
              <w:pStyle w:val="13"/>
            </w:pPr>
            <w:r>
              <w:t>991.02</w:t>
            </w:r>
          </w:p>
        </w:tc>
        <w:tc>
          <w:tcPr>
            <w:tcW w:w="0" w:type="auto"/>
            <w:vAlign w:val="center"/>
          </w:tcPr>
          <w:p>
            <w:pPr>
              <w:pStyle w:val="13"/>
            </w:pPr>
            <w:r>
              <w:t>991.02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2040502</w:t>
            </w:r>
          </w:p>
        </w:tc>
        <w:tc>
          <w:tcPr>
            <w:tcW w:w="0" w:type="auto"/>
            <w:vAlign w:val="center"/>
          </w:tcPr>
          <w:p>
            <w:pPr>
              <w:pStyle w:val="14"/>
            </w:pPr>
            <w:r>
              <w:t>一般行政管理事务</w:t>
            </w:r>
          </w:p>
        </w:tc>
        <w:tc>
          <w:tcPr>
            <w:tcW w:w="0" w:type="auto"/>
            <w:vAlign w:val="center"/>
          </w:tcPr>
          <w:p>
            <w:pPr>
              <w:pStyle w:val="13"/>
            </w:pPr>
            <w:r>
              <w:t>533.00</w:t>
            </w:r>
          </w:p>
        </w:tc>
        <w:tc>
          <w:tcPr>
            <w:tcW w:w="0" w:type="auto"/>
            <w:vAlign w:val="center"/>
          </w:tcPr>
          <w:p>
            <w:pPr>
              <w:pStyle w:val="13"/>
            </w:pPr>
          </w:p>
        </w:tc>
        <w:tc>
          <w:tcPr>
            <w:tcW w:w="0" w:type="auto"/>
            <w:vAlign w:val="center"/>
          </w:tcPr>
          <w:p>
            <w:pPr>
              <w:pStyle w:val="13"/>
            </w:pPr>
            <w:r>
              <w:t>533.00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2040504</w:t>
            </w:r>
          </w:p>
        </w:tc>
        <w:tc>
          <w:tcPr>
            <w:tcW w:w="0" w:type="auto"/>
            <w:vAlign w:val="center"/>
          </w:tcPr>
          <w:p>
            <w:pPr>
              <w:pStyle w:val="14"/>
            </w:pPr>
            <w:r>
              <w:t>案件审判</w:t>
            </w:r>
          </w:p>
        </w:tc>
        <w:tc>
          <w:tcPr>
            <w:tcW w:w="0" w:type="auto"/>
            <w:vAlign w:val="center"/>
          </w:tcPr>
          <w:p>
            <w:pPr>
              <w:pStyle w:val="13"/>
            </w:pPr>
            <w:r>
              <w:t>604.00</w:t>
            </w:r>
          </w:p>
        </w:tc>
        <w:tc>
          <w:tcPr>
            <w:tcW w:w="0" w:type="auto"/>
            <w:vAlign w:val="center"/>
          </w:tcPr>
          <w:p>
            <w:pPr>
              <w:pStyle w:val="13"/>
            </w:pPr>
          </w:p>
        </w:tc>
        <w:tc>
          <w:tcPr>
            <w:tcW w:w="0" w:type="auto"/>
            <w:vAlign w:val="center"/>
          </w:tcPr>
          <w:p>
            <w:pPr>
              <w:pStyle w:val="13"/>
            </w:pPr>
            <w:r>
              <w:t>604.00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77.95</w:t>
            </w:r>
          </w:p>
        </w:tc>
        <w:tc>
          <w:tcPr>
            <w:tcW w:w="0" w:type="auto"/>
            <w:vAlign w:val="center"/>
          </w:tcPr>
          <w:p>
            <w:pPr>
              <w:pStyle w:val="13"/>
            </w:pPr>
            <w:r>
              <w:t>77.95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75.21</w:t>
            </w:r>
          </w:p>
        </w:tc>
        <w:tc>
          <w:tcPr>
            <w:tcW w:w="0" w:type="auto"/>
            <w:vAlign w:val="center"/>
          </w:tcPr>
          <w:p>
            <w:pPr>
              <w:pStyle w:val="13"/>
            </w:pPr>
            <w:r>
              <w:t>75.21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75.21</w:t>
            </w:r>
          </w:p>
        </w:tc>
        <w:tc>
          <w:tcPr>
            <w:tcW w:w="0" w:type="auto"/>
            <w:vAlign w:val="center"/>
          </w:tcPr>
          <w:p>
            <w:pPr>
              <w:pStyle w:val="13"/>
            </w:pPr>
            <w:r>
              <w:t>75.21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20827</w:t>
            </w:r>
          </w:p>
        </w:tc>
        <w:tc>
          <w:tcPr>
            <w:tcW w:w="0" w:type="auto"/>
            <w:vAlign w:val="center"/>
          </w:tcPr>
          <w:p>
            <w:pPr>
              <w:pStyle w:val="14"/>
            </w:pPr>
            <w:r>
              <w:t>财政对其他社会保险基金的补助</w:t>
            </w:r>
          </w:p>
        </w:tc>
        <w:tc>
          <w:tcPr>
            <w:tcW w:w="0" w:type="auto"/>
            <w:vAlign w:val="center"/>
          </w:tcPr>
          <w:p>
            <w:pPr>
              <w:pStyle w:val="13"/>
            </w:pPr>
            <w:r>
              <w:t>2.74</w:t>
            </w:r>
          </w:p>
        </w:tc>
        <w:tc>
          <w:tcPr>
            <w:tcW w:w="0" w:type="auto"/>
            <w:vAlign w:val="center"/>
          </w:tcPr>
          <w:p>
            <w:pPr>
              <w:pStyle w:val="13"/>
            </w:pPr>
            <w:r>
              <w:t>2.74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2082701</w:t>
            </w:r>
          </w:p>
        </w:tc>
        <w:tc>
          <w:tcPr>
            <w:tcW w:w="0" w:type="auto"/>
            <w:vAlign w:val="center"/>
          </w:tcPr>
          <w:p>
            <w:pPr>
              <w:pStyle w:val="14"/>
            </w:pPr>
            <w:r>
              <w:t>财政对失业保险基金的补助</w:t>
            </w:r>
          </w:p>
        </w:tc>
        <w:tc>
          <w:tcPr>
            <w:tcW w:w="0" w:type="auto"/>
            <w:vAlign w:val="center"/>
          </w:tcPr>
          <w:p>
            <w:pPr>
              <w:pStyle w:val="13"/>
            </w:pPr>
            <w:r>
              <w:t>0.06</w:t>
            </w:r>
          </w:p>
        </w:tc>
        <w:tc>
          <w:tcPr>
            <w:tcW w:w="0" w:type="auto"/>
            <w:vAlign w:val="center"/>
          </w:tcPr>
          <w:p>
            <w:pPr>
              <w:pStyle w:val="13"/>
            </w:pPr>
            <w:r>
              <w:t>0.06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2082702</w:t>
            </w:r>
          </w:p>
        </w:tc>
        <w:tc>
          <w:tcPr>
            <w:tcW w:w="0" w:type="auto"/>
            <w:vAlign w:val="center"/>
          </w:tcPr>
          <w:p>
            <w:pPr>
              <w:pStyle w:val="14"/>
            </w:pPr>
            <w:r>
              <w:t>财政对工伤保险基金的补助</w:t>
            </w:r>
          </w:p>
        </w:tc>
        <w:tc>
          <w:tcPr>
            <w:tcW w:w="0" w:type="auto"/>
            <w:vAlign w:val="center"/>
          </w:tcPr>
          <w:p>
            <w:pPr>
              <w:pStyle w:val="13"/>
            </w:pPr>
            <w:r>
              <w:t>2.68</w:t>
            </w:r>
          </w:p>
        </w:tc>
        <w:tc>
          <w:tcPr>
            <w:tcW w:w="0" w:type="auto"/>
            <w:vAlign w:val="center"/>
          </w:tcPr>
          <w:p>
            <w:pPr>
              <w:pStyle w:val="13"/>
            </w:pPr>
            <w:r>
              <w:t>2.68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39.14</w:t>
            </w:r>
          </w:p>
        </w:tc>
        <w:tc>
          <w:tcPr>
            <w:tcW w:w="0" w:type="auto"/>
            <w:vAlign w:val="center"/>
          </w:tcPr>
          <w:p>
            <w:pPr>
              <w:pStyle w:val="13"/>
            </w:pPr>
            <w:r>
              <w:t>39.14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39.14</w:t>
            </w:r>
          </w:p>
        </w:tc>
        <w:tc>
          <w:tcPr>
            <w:tcW w:w="0" w:type="auto"/>
            <w:vAlign w:val="center"/>
          </w:tcPr>
          <w:p>
            <w:pPr>
              <w:pStyle w:val="13"/>
            </w:pPr>
            <w:r>
              <w:t>39.14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2101101</w:t>
            </w:r>
          </w:p>
        </w:tc>
        <w:tc>
          <w:tcPr>
            <w:tcW w:w="0" w:type="auto"/>
            <w:vAlign w:val="center"/>
          </w:tcPr>
          <w:p>
            <w:pPr>
              <w:pStyle w:val="14"/>
            </w:pPr>
            <w:r>
              <w:t>行政单位医疗</w:t>
            </w:r>
          </w:p>
        </w:tc>
        <w:tc>
          <w:tcPr>
            <w:tcW w:w="0" w:type="auto"/>
            <w:vAlign w:val="center"/>
          </w:tcPr>
          <w:p>
            <w:pPr>
              <w:pStyle w:val="13"/>
            </w:pPr>
            <w:r>
              <w:t>39.14</w:t>
            </w:r>
          </w:p>
        </w:tc>
        <w:tc>
          <w:tcPr>
            <w:tcW w:w="0" w:type="auto"/>
            <w:vAlign w:val="center"/>
          </w:tcPr>
          <w:p>
            <w:pPr>
              <w:pStyle w:val="13"/>
            </w:pPr>
            <w:r>
              <w:t>39.14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56.46</w:t>
            </w:r>
          </w:p>
        </w:tc>
        <w:tc>
          <w:tcPr>
            <w:tcW w:w="0" w:type="auto"/>
            <w:vAlign w:val="center"/>
          </w:tcPr>
          <w:p>
            <w:pPr>
              <w:pStyle w:val="13"/>
            </w:pPr>
            <w:r>
              <w:t>56.46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56.46</w:t>
            </w:r>
          </w:p>
        </w:tc>
        <w:tc>
          <w:tcPr>
            <w:tcW w:w="0" w:type="auto"/>
            <w:vAlign w:val="center"/>
          </w:tcPr>
          <w:p>
            <w:pPr>
              <w:pStyle w:val="13"/>
            </w:pPr>
            <w:r>
              <w:t>56.46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56.46</w:t>
            </w:r>
          </w:p>
        </w:tc>
        <w:tc>
          <w:tcPr>
            <w:tcW w:w="0" w:type="auto"/>
            <w:vAlign w:val="center"/>
          </w:tcPr>
          <w:p>
            <w:pPr>
              <w:pStyle w:val="13"/>
            </w:pPr>
            <w:r>
              <w:t>56.46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161001行唐县人民法院本级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2301.57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2128.02</w:t>
            </w:r>
          </w:p>
        </w:tc>
        <w:tc>
          <w:tcPr>
            <w:tcW w:w="1474" w:type="dxa"/>
            <w:vAlign w:val="center"/>
          </w:tcPr>
          <w:p>
            <w:pPr>
              <w:pStyle w:val="13"/>
            </w:pPr>
            <w:r>
              <w:t>2128.02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77.95</w:t>
            </w:r>
          </w:p>
        </w:tc>
        <w:tc>
          <w:tcPr>
            <w:tcW w:w="1474" w:type="dxa"/>
            <w:vAlign w:val="center"/>
          </w:tcPr>
          <w:p>
            <w:pPr>
              <w:pStyle w:val="13"/>
            </w:pPr>
            <w:r>
              <w:t>77.95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39.14</w:t>
            </w:r>
          </w:p>
        </w:tc>
        <w:tc>
          <w:tcPr>
            <w:tcW w:w="1474" w:type="dxa"/>
            <w:vAlign w:val="center"/>
          </w:tcPr>
          <w:p>
            <w:pPr>
              <w:pStyle w:val="13"/>
            </w:pPr>
            <w:r>
              <w:t>39.14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56.46</w:t>
            </w:r>
          </w:p>
        </w:tc>
        <w:tc>
          <w:tcPr>
            <w:tcW w:w="1474" w:type="dxa"/>
            <w:vAlign w:val="center"/>
          </w:tcPr>
          <w:p>
            <w:pPr>
              <w:pStyle w:val="13"/>
            </w:pPr>
            <w:r>
              <w:t>56.46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2301.57</w:t>
            </w:r>
          </w:p>
        </w:tc>
        <w:tc>
          <w:tcPr>
            <w:tcW w:w="3402" w:type="dxa"/>
            <w:vAlign w:val="center"/>
          </w:tcPr>
          <w:p>
            <w:pPr>
              <w:pStyle w:val="16"/>
            </w:pPr>
            <w:r>
              <w:t>本年支出合计</w:t>
            </w:r>
          </w:p>
        </w:tc>
        <w:tc>
          <w:tcPr>
            <w:tcW w:w="1474" w:type="dxa"/>
            <w:vAlign w:val="center"/>
          </w:tcPr>
          <w:p>
            <w:pPr>
              <w:pStyle w:val="17"/>
            </w:pPr>
            <w:r>
              <w:t>2301.57</w:t>
            </w:r>
          </w:p>
        </w:tc>
        <w:tc>
          <w:tcPr>
            <w:tcW w:w="1474" w:type="dxa"/>
            <w:vAlign w:val="center"/>
          </w:tcPr>
          <w:p>
            <w:pPr>
              <w:pStyle w:val="17"/>
            </w:pPr>
            <w:r>
              <w:t>2301.57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2301.57</w:t>
            </w:r>
          </w:p>
        </w:tc>
        <w:tc>
          <w:tcPr>
            <w:tcW w:w="3402" w:type="dxa"/>
            <w:vAlign w:val="center"/>
          </w:tcPr>
          <w:p>
            <w:pPr>
              <w:pStyle w:val="16"/>
            </w:pPr>
            <w:r>
              <w:t>支出总计</w:t>
            </w:r>
          </w:p>
        </w:tc>
        <w:tc>
          <w:tcPr>
            <w:tcW w:w="1474" w:type="dxa"/>
            <w:vAlign w:val="center"/>
          </w:tcPr>
          <w:p>
            <w:pPr>
              <w:pStyle w:val="17"/>
            </w:pPr>
            <w:r>
              <w:t>2301.57</w:t>
            </w:r>
          </w:p>
        </w:tc>
        <w:tc>
          <w:tcPr>
            <w:tcW w:w="1474" w:type="dxa"/>
            <w:vAlign w:val="center"/>
          </w:tcPr>
          <w:p>
            <w:pPr>
              <w:pStyle w:val="17"/>
            </w:pPr>
            <w:r>
              <w:t>2301.57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161001行唐县人民法院本级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2301.57</w:t>
            </w:r>
          </w:p>
        </w:tc>
        <w:tc>
          <w:tcPr>
            <w:tcW w:w="2551" w:type="dxa"/>
            <w:vAlign w:val="center"/>
          </w:tcPr>
          <w:p>
            <w:pPr>
              <w:pStyle w:val="17"/>
            </w:pPr>
            <w:r>
              <w:t>1164.57</w:t>
            </w:r>
          </w:p>
        </w:tc>
        <w:tc>
          <w:tcPr>
            <w:tcW w:w="2551" w:type="dxa"/>
            <w:vAlign w:val="center"/>
          </w:tcPr>
          <w:p>
            <w:pPr>
              <w:pStyle w:val="17"/>
            </w:pPr>
            <w:r>
              <w:t>1137.00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2128.02</w:t>
            </w:r>
          </w:p>
        </w:tc>
        <w:tc>
          <w:tcPr>
            <w:tcW w:w="2551" w:type="dxa"/>
            <w:vAlign w:val="center"/>
          </w:tcPr>
          <w:p>
            <w:pPr>
              <w:pStyle w:val="13"/>
            </w:pPr>
            <w:r>
              <w:t>991.02</w:t>
            </w:r>
          </w:p>
        </w:tc>
        <w:tc>
          <w:tcPr>
            <w:tcW w:w="2551" w:type="dxa"/>
            <w:vAlign w:val="center"/>
          </w:tcPr>
          <w:p>
            <w:pPr>
              <w:pStyle w:val="13"/>
            </w:pPr>
            <w:r>
              <w:t>1137.00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20405</w:t>
            </w:r>
          </w:p>
        </w:tc>
        <w:tc>
          <w:tcPr>
            <w:tcW w:w="4535" w:type="dxa"/>
            <w:vAlign w:val="center"/>
          </w:tcPr>
          <w:p>
            <w:pPr>
              <w:pStyle w:val="14"/>
            </w:pPr>
            <w:r>
              <w:t>法院</w:t>
            </w:r>
          </w:p>
        </w:tc>
        <w:tc>
          <w:tcPr>
            <w:tcW w:w="2551" w:type="dxa"/>
            <w:vAlign w:val="center"/>
          </w:tcPr>
          <w:p>
            <w:pPr>
              <w:pStyle w:val="13"/>
            </w:pPr>
            <w:r>
              <w:t>2128.02</w:t>
            </w:r>
          </w:p>
        </w:tc>
        <w:tc>
          <w:tcPr>
            <w:tcW w:w="2551" w:type="dxa"/>
            <w:vAlign w:val="center"/>
          </w:tcPr>
          <w:p>
            <w:pPr>
              <w:pStyle w:val="13"/>
            </w:pPr>
            <w:r>
              <w:t>991.02</w:t>
            </w:r>
          </w:p>
        </w:tc>
        <w:tc>
          <w:tcPr>
            <w:tcW w:w="2551" w:type="dxa"/>
            <w:vAlign w:val="center"/>
          </w:tcPr>
          <w:p>
            <w:pPr>
              <w:pStyle w:val="13"/>
            </w:pPr>
            <w:r>
              <w:t>1137.00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2040501</w:t>
            </w:r>
          </w:p>
        </w:tc>
        <w:tc>
          <w:tcPr>
            <w:tcW w:w="4535" w:type="dxa"/>
            <w:vAlign w:val="center"/>
          </w:tcPr>
          <w:p>
            <w:pPr>
              <w:pStyle w:val="14"/>
            </w:pPr>
            <w:r>
              <w:t>行政运行</w:t>
            </w:r>
          </w:p>
        </w:tc>
        <w:tc>
          <w:tcPr>
            <w:tcW w:w="2551" w:type="dxa"/>
            <w:vAlign w:val="center"/>
          </w:tcPr>
          <w:p>
            <w:pPr>
              <w:pStyle w:val="13"/>
            </w:pPr>
            <w:r>
              <w:t>991.02</w:t>
            </w:r>
          </w:p>
        </w:tc>
        <w:tc>
          <w:tcPr>
            <w:tcW w:w="2551" w:type="dxa"/>
            <w:vAlign w:val="center"/>
          </w:tcPr>
          <w:p>
            <w:pPr>
              <w:pStyle w:val="13"/>
            </w:pPr>
            <w:r>
              <w:t>991.02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2040502</w:t>
            </w:r>
          </w:p>
        </w:tc>
        <w:tc>
          <w:tcPr>
            <w:tcW w:w="4535" w:type="dxa"/>
            <w:vAlign w:val="center"/>
          </w:tcPr>
          <w:p>
            <w:pPr>
              <w:pStyle w:val="14"/>
            </w:pPr>
            <w:r>
              <w:t>一般行政管理事务</w:t>
            </w:r>
          </w:p>
        </w:tc>
        <w:tc>
          <w:tcPr>
            <w:tcW w:w="2551" w:type="dxa"/>
            <w:vAlign w:val="center"/>
          </w:tcPr>
          <w:p>
            <w:pPr>
              <w:pStyle w:val="13"/>
            </w:pPr>
            <w:r>
              <w:t>533.00</w:t>
            </w:r>
          </w:p>
        </w:tc>
        <w:tc>
          <w:tcPr>
            <w:tcW w:w="2551" w:type="dxa"/>
            <w:vAlign w:val="center"/>
          </w:tcPr>
          <w:p>
            <w:pPr>
              <w:pStyle w:val="13"/>
            </w:pPr>
          </w:p>
        </w:tc>
        <w:tc>
          <w:tcPr>
            <w:tcW w:w="2551" w:type="dxa"/>
            <w:vAlign w:val="center"/>
          </w:tcPr>
          <w:p>
            <w:pPr>
              <w:pStyle w:val="13"/>
            </w:pPr>
            <w:r>
              <w:t>533.00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2040504</w:t>
            </w:r>
          </w:p>
        </w:tc>
        <w:tc>
          <w:tcPr>
            <w:tcW w:w="4535" w:type="dxa"/>
            <w:vAlign w:val="center"/>
          </w:tcPr>
          <w:p>
            <w:pPr>
              <w:pStyle w:val="14"/>
            </w:pPr>
            <w:r>
              <w:t>案件审判</w:t>
            </w:r>
          </w:p>
        </w:tc>
        <w:tc>
          <w:tcPr>
            <w:tcW w:w="2551" w:type="dxa"/>
            <w:vAlign w:val="center"/>
          </w:tcPr>
          <w:p>
            <w:pPr>
              <w:pStyle w:val="13"/>
            </w:pPr>
            <w:r>
              <w:t>604.00</w:t>
            </w:r>
          </w:p>
        </w:tc>
        <w:tc>
          <w:tcPr>
            <w:tcW w:w="2551" w:type="dxa"/>
            <w:vAlign w:val="center"/>
          </w:tcPr>
          <w:p>
            <w:pPr>
              <w:pStyle w:val="13"/>
            </w:pPr>
          </w:p>
        </w:tc>
        <w:tc>
          <w:tcPr>
            <w:tcW w:w="2551" w:type="dxa"/>
            <w:vAlign w:val="center"/>
          </w:tcPr>
          <w:p>
            <w:pPr>
              <w:pStyle w:val="13"/>
            </w:pPr>
            <w:r>
              <w:t>604.00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77.95</w:t>
            </w:r>
          </w:p>
        </w:tc>
        <w:tc>
          <w:tcPr>
            <w:tcW w:w="2551" w:type="dxa"/>
            <w:vAlign w:val="center"/>
          </w:tcPr>
          <w:p>
            <w:pPr>
              <w:pStyle w:val="13"/>
            </w:pPr>
            <w:r>
              <w:t>77.95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75.21</w:t>
            </w:r>
          </w:p>
        </w:tc>
        <w:tc>
          <w:tcPr>
            <w:tcW w:w="2551" w:type="dxa"/>
            <w:vAlign w:val="center"/>
          </w:tcPr>
          <w:p>
            <w:pPr>
              <w:pStyle w:val="13"/>
            </w:pPr>
            <w:r>
              <w:t>75.21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75.21</w:t>
            </w:r>
          </w:p>
        </w:tc>
        <w:tc>
          <w:tcPr>
            <w:tcW w:w="2551" w:type="dxa"/>
            <w:vAlign w:val="center"/>
          </w:tcPr>
          <w:p>
            <w:pPr>
              <w:pStyle w:val="13"/>
            </w:pPr>
            <w:r>
              <w:t>75.21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2.74</w:t>
            </w:r>
          </w:p>
        </w:tc>
        <w:tc>
          <w:tcPr>
            <w:tcW w:w="2551" w:type="dxa"/>
            <w:vAlign w:val="center"/>
          </w:tcPr>
          <w:p>
            <w:pPr>
              <w:pStyle w:val="13"/>
            </w:pPr>
            <w:r>
              <w:t>2.74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0.06</w:t>
            </w:r>
          </w:p>
        </w:tc>
        <w:tc>
          <w:tcPr>
            <w:tcW w:w="2551" w:type="dxa"/>
            <w:vAlign w:val="center"/>
          </w:tcPr>
          <w:p>
            <w:pPr>
              <w:pStyle w:val="13"/>
            </w:pPr>
            <w:r>
              <w:t>0.06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2.68</w:t>
            </w:r>
          </w:p>
        </w:tc>
        <w:tc>
          <w:tcPr>
            <w:tcW w:w="2551" w:type="dxa"/>
            <w:vAlign w:val="center"/>
          </w:tcPr>
          <w:p>
            <w:pPr>
              <w:pStyle w:val="13"/>
            </w:pPr>
            <w:r>
              <w:t>2.68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39.14</w:t>
            </w:r>
          </w:p>
        </w:tc>
        <w:tc>
          <w:tcPr>
            <w:tcW w:w="2551" w:type="dxa"/>
            <w:vAlign w:val="center"/>
          </w:tcPr>
          <w:p>
            <w:pPr>
              <w:pStyle w:val="13"/>
            </w:pPr>
            <w:r>
              <w:t>39.14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39.14</w:t>
            </w:r>
          </w:p>
        </w:tc>
        <w:tc>
          <w:tcPr>
            <w:tcW w:w="2551" w:type="dxa"/>
            <w:vAlign w:val="center"/>
          </w:tcPr>
          <w:p>
            <w:pPr>
              <w:pStyle w:val="13"/>
            </w:pPr>
            <w:r>
              <w:t>39.14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39.14</w:t>
            </w:r>
          </w:p>
        </w:tc>
        <w:tc>
          <w:tcPr>
            <w:tcW w:w="2551" w:type="dxa"/>
            <w:vAlign w:val="center"/>
          </w:tcPr>
          <w:p>
            <w:pPr>
              <w:pStyle w:val="13"/>
            </w:pPr>
            <w:r>
              <w:t>39.14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56.46</w:t>
            </w:r>
          </w:p>
        </w:tc>
        <w:tc>
          <w:tcPr>
            <w:tcW w:w="2551" w:type="dxa"/>
            <w:vAlign w:val="center"/>
          </w:tcPr>
          <w:p>
            <w:pPr>
              <w:pStyle w:val="13"/>
            </w:pPr>
            <w:r>
              <w:t>56.46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56.46</w:t>
            </w:r>
          </w:p>
        </w:tc>
        <w:tc>
          <w:tcPr>
            <w:tcW w:w="2551" w:type="dxa"/>
            <w:vAlign w:val="center"/>
          </w:tcPr>
          <w:p>
            <w:pPr>
              <w:pStyle w:val="13"/>
            </w:pPr>
            <w:r>
              <w:t>56.46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56.46</w:t>
            </w:r>
          </w:p>
        </w:tc>
        <w:tc>
          <w:tcPr>
            <w:tcW w:w="2551" w:type="dxa"/>
            <w:vAlign w:val="center"/>
          </w:tcPr>
          <w:p>
            <w:pPr>
              <w:pStyle w:val="13"/>
            </w:pPr>
            <w:r>
              <w:t>56.46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161001行唐县人民法院本级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1164.57</w:t>
            </w:r>
          </w:p>
        </w:tc>
        <w:tc>
          <w:tcPr>
            <w:tcW w:w="2551" w:type="dxa"/>
            <w:vAlign w:val="center"/>
          </w:tcPr>
          <w:p>
            <w:pPr>
              <w:pStyle w:val="17"/>
            </w:pPr>
            <w:r>
              <w:t>997.95</w:t>
            </w:r>
          </w:p>
        </w:tc>
        <w:tc>
          <w:tcPr>
            <w:tcW w:w="2551" w:type="dxa"/>
            <w:vAlign w:val="center"/>
          </w:tcPr>
          <w:p>
            <w:pPr>
              <w:pStyle w:val="17"/>
            </w:pPr>
            <w:r>
              <w:t>166.62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970.79</w:t>
            </w:r>
          </w:p>
        </w:tc>
        <w:tc>
          <w:tcPr>
            <w:tcW w:w="2551" w:type="dxa"/>
            <w:vAlign w:val="center"/>
          </w:tcPr>
          <w:p>
            <w:pPr>
              <w:pStyle w:val="13"/>
            </w:pPr>
            <w:r>
              <w:t>970.79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322.25</w:t>
            </w:r>
          </w:p>
        </w:tc>
        <w:tc>
          <w:tcPr>
            <w:tcW w:w="2551" w:type="dxa"/>
            <w:vAlign w:val="center"/>
          </w:tcPr>
          <w:p>
            <w:pPr>
              <w:pStyle w:val="13"/>
            </w:pPr>
            <w:r>
              <w:t>322.25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242.38</w:t>
            </w:r>
          </w:p>
        </w:tc>
        <w:tc>
          <w:tcPr>
            <w:tcW w:w="2551" w:type="dxa"/>
            <w:vAlign w:val="center"/>
          </w:tcPr>
          <w:p>
            <w:pPr>
              <w:pStyle w:val="13"/>
            </w:pPr>
            <w:r>
              <w:t>242.38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229.73</w:t>
            </w:r>
          </w:p>
        </w:tc>
        <w:tc>
          <w:tcPr>
            <w:tcW w:w="2551" w:type="dxa"/>
            <w:vAlign w:val="center"/>
          </w:tcPr>
          <w:p>
            <w:pPr>
              <w:pStyle w:val="13"/>
            </w:pPr>
            <w:r>
              <w:t>229.73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2.88</w:t>
            </w:r>
          </w:p>
        </w:tc>
        <w:tc>
          <w:tcPr>
            <w:tcW w:w="2551" w:type="dxa"/>
            <w:vAlign w:val="center"/>
          </w:tcPr>
          <w:p>
            <w:pPr>
              <w:pStyle w:val="13"/>
            </w:pPr>
            <w:r>
              <w:t>2.88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75.21</w:t>
            </w:r>
          </w:p>
        </w:tc>
        <w:tc>
          <w:tcPr>
            <w:tcW w:w="2551" w:type="dxa"/>
            <w:vAlign w:val="center"/>
          </w:tcPr>
          <w:p>
            <w:pPr>
              <w:pStyle w:val="13"/>
            </w:pPr>
            <w:r>
              <w:t>75.21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城镇职工基本医疗保险缴费</w:t>
            </w:r>
          </w:p>
        </w:tc>
        <w:tc>
          <w:tcPr>
            <w:tcW w:w="2551" w:type="dxa"/>
            <w:vAlign w:val="center"/>
          </w:tcPr>
          <w:p>
            <w:pPr>
              <w:pStyle w:val="13"/>
            </w:pPr>
            <w:r>
              <w:t>39.14</w:t>
            </w:r>
          </w:p>
        </w:tc>
        <w:tc>
          <w:tcPr>
            <w:tcW w:w="2551" w:type="dxa"/>
            <w:vAlign w:val="center"/>
          </w:tcPr>
          <w:p>
            <w:pPr>
              <w:pStyle w:val="13"/>
            </w:pPr>
            <w:r>
              <w:t>39.14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2.74</w:t>
            </w:r>
          </w:p>
        </w:tc>
        <w:tc>
          <w:tcPr>
            <w:tcW w:w="2551" w:type="dxa"/>
            <w:vAlign w:val="center"/>
          </w:tcPr>
          <w:p>
            <w:pPr>
              <w:pStyle w:val="13"/>
            </w:pPr>
            <w:r>
              <w:t>2.74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56.46</w:t>
            </w:r>
          </w:p>
        </w:tc>
        <w:tc>
          <w:tcPr>
            <w:tcW w:w="2551" w:type="dxa"/>
            <w:vAlign w:val="center"/>
          </w:tcPr>
          <w:p>
            <w:pPr>
              <w:pStyle w:val="13"/>
            </w:pPr>
            <w:r>
              <w:t>56.46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166.62</w:t>
            </w:r>
          </w:p>
        </w:tc>
        <w:tc>
          <w:tcPr>
            <w:tcW w:w="2551" w:type="dxa"/>
            <w:vAlign w:val="center"/>
          </w:tcPr>
          <w:p>
            <w:pPr>
              <w:pStyle w:val="13"/>
            </w:pPr>
          </w:p>
        </w:tc>
        <w:tc>
          <w:tcPr>
            <w:tcW w:w="2551" w:type="dxa"/>
            <w:vAlign w:val="center"/>
          </w:tcPr>
          <w:p>
            <w:pPr>
              <w:pStyle w:val="13"/>
            </w:pPr>
            <w:r>
              <w:t>166.62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22.78</w:t>
            </w:r>
          </w:p>
        </w:tc>
        <w:tc>
          <w:tcPr>
            <w:tcW w:w="2551" w:type="dxa"/>
            <w:vAlign w:val="center"/>
          </w:tcPr>
          <w:p>
            <w:pPr>
              <w:pStyle w:val="13"/>
            </w:pPr>
          </w:p>
        </w:tc>
        <w:tc>
          <w:tcPr>
            <w:tcW w:w="2551" w:type="dxa"/>
            <w:vAlign w:val="center"/>
          </w:tcPr>
          <w:p>
            <w:pPr>
              <w:pStyle w:val="13"/>
            </w:pPr>
            <w:r>
              <w:t>22.78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7.10</w:t>
            </w:r>
          </w:p>
        </w:tc>
        <w:tc>
          <w:tcPr>
            <w:tcW w:w="2551" w:type="dxa"/>
            <w:vAlign w:val="center"/>
          </w:tcPr>
          <w:p>
            <w:pPr>
              <w:pStyle w:val="13"/>
            </w:pPr>
          </w:p>
        </w:tc>
        <w:tc>
          <w:tcPr>
            <w:tcW w:w="2551" w:type="dxa"/>
            <w:vAlign w:val="center"/>
          </w:tcPr>
          <w:p>
            <w:pPr>
              <w:pStyle w:val="13"/>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2.24</w:t>
            </w:r>
          </w:p>
        </w:tc>
        <w:tc>
          <w:tcPr>
            <w:tcW w:w="2551" w:type="dxa"/>
            <w:vAlign w:val="center"/>
          </w:tcPr>
          <w:p>
            <w:pPr>
              <w:pStyle w:val="13"/>
            </w:pPr>
          </w:p>
        </w:tc>
        <w:tc>
          <w:tcPr>
            <w:tcW w:w="2551" w:type="dxa"/>
            <w:vAlign w:val="center"/>
          </w:tcPr>
          <w:p>
            <w:pPr>
              <w:pStyle w:val="13"/>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12.63</w:t>
            </w:r>
          </w:p>
        </w:tc>
        <w:tc>
          <w:tcPr>
            <w:tcW w:w="2551" w:type="dxa"/>
            <w:vAlign w:val="center"/>
          </w:tcPr>
          <w:p>
            <w:pPr>
              <w:pStyle w:val="13"/>
            </w:pPr>
          </w:p>
        </w:tc>
        <w:tc>
          <w:tcPr>
            <w:tcW w:w="2551" w:type="dxa"/>
            <w:vAlign w:val="center"/>
          </w:tcPr>
          <w:p>
            <w:pPr>
              <w:pStyle w:val="13"/>
            </w:pPr>
            <w:r>
              <w:t>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5.10</w:t>
            </w:r>
          </w:p>
        </w:tc>
        <w:tc>
          <w:tcPr>
            <w:tcW w:w="2551" w:type="dxa"/>
            <w:vAlign w:val="center"/>
          </w:tcPr>
          <w:p>
            <w:pPr>
              <w:pStyle w:val="13"/>
            </w:pPr>
          </w:p>
        </w:tc>
        <w:tc>
          <w:tcPr>
            <w:tcW w:w="2551" w:type="dxa"/>
            <w:vAlign w:val="center"/>
          </w:tcPr>
          <w:p>
            <w:pPr>
              <w:pStyle w:val="13"/>
            </w:pPr>
            <w:r>
              <w:t>5.10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5.68</w:t>
            </w:r>
          </w:p>
        </w:tc>
        <w:tc>
          <w:tcPr>
            <w:tcW w:w="2551" w:type="dxa"/>
            <w:vAlign w:val="center"/>
          </w:tcPr>
          <w:p>
            <w:pPr>
              <w:pStyle w:val="13"/>
            </w:pPr>
          </w:p>
        </w:tc>
        <w:tc>
          <w:tcPr>
            <w:tcW w:w="2551" w:type="dxa"/>
            <w:vAlign w:val="center"/>
          </w:tcPr>
          <w:p>
            <w:pPr>
              <w:pStyle w:val="13"/>
            </w:pPr>
            <w:r>
              <w:t>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6.29</w:t>
            </w:r>
          </w:p>
        </w:tc>
        <w:tc>
          <w:tcPr>
            <w:tcW w:w="2551" w:type="dxa"/>
            <w:vAlign w:val="center"/>
          </w:tcPr>
          <w:p>
            <w:pPr>
              <w:pStyle w:val="13"/>
            </w:pPr>
          </w:p>
        </w:tc>
        <w:tc>
          <w:tcPr>
            <w:tcW w:w="2551" w:type="dxa"/>
            <w:vAlign w:val="center"/>
          </w:tcPr>
          <w:p>
            <w:pPr>
              <w:pStyle w:val="13"/>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11.42</w:t>
            </w:r>
          </w:p>
        </w:tc>
        <w:tc>
          <w:tcPr>
            <w:tcW w:w="2551" w:type="dxa"/>
            <w:vAlign w:val="center"/>
          </w:tcPr>
          <w:p>
            <w:pPr>
              <w:pStyle w:val="13"/>
            </w:pPr>
          </w:p>
        </w:tc>
        <w:tc>
          <w:tcPr>
            <w:tcW w:w="2551" w:type="dxa"/>
            <w:vAlign w:val="center"/>
          </w:tcPr>
          <w:p>
            <w:pPr>
              <w:pStyle w:val="13"/>
            </w:pPr>
            <w:r>
              <w:t>11.42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33.00</w:t>
            </w:r>
          </w:p>
        </w:tc>
        <w:tc>
          <w:tcPr>
            <w:tcW w:w="2551" w:type="dxa"/>
            <w:vAlign w:val="center"/>
          </w:tcPr>
          <w:p>
            <w:pPr>
              <w:pStyle w:val="13"/>
            </w:pPr>
          </w:p>
        </w:tc>
        <w:tc>
          <w:tcPr>
            <w:tcW w:w="2551" w:type="dxa"/>
            <w:vAlign w:val="center"/>
          </w:tcPr>
          <w:p>
            <w:pPr>
              <w:pStyle w:val="13"/>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46.62</w:t>
            </w:r>
          </w:p>
        </w:tc>
        <w:tc>
          <w:tcPr>
            <w:tcW w:w="2551" w:type="dxa"/>
            <w:vAlign w:val="center"/>
          </w:tcPr>
          <w:p>
            <w:pPr>
              <w:pStyle w:val="13"/>
            </w:pPr>
          </w:p>
        </w:tc>
        <w:tc>
          <w:tcPr>
            <w:tcW w:w="2551" w:type="dxa"/>
            <w:vAlign w:val="center"/>
          </w:tcPr>
          <w:p>
            <w:pPr>
              <w:pStyle w:val="13"/>
            </w:pPr>
            <w:r>
              <w:t>46.62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11.26</w:t>
            </w:r>
          </w:p>
        </w:tc>
        <w:tc>
          <w:tcPr>
            <w:tcW w:w="2551" w:type="dxa"/>
            <w:vAlign w:val="center"/>
          </w:tcPr>
          <w:p>
            <w:pPr>
              <w:pStyle w:val="13"/>
            </w:pPr>
          </w:p>
        </w:tc>
        <w:tc>
          <w:tcPr>
            <w:tcW w:w="2551" w:type="dxa"/>
            <w:vAlign w:val="center"/>
          </w:tcPr>
          <w:p>
            <w:pPr>
              <w:pStyle w:val="13"/>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27.16</w:t>
            </w:r>
          </w:p>
        </w:tc>
        <w:tc>
          <w:tcPr>
            <w:tcW w:w="2551" w:type="dxa"/>
            <w:vAlign w:val="center"/>
          </w:tcPr>
          <w:p>
            <w:pPr>
              <w:pStyle w:val="13"/>
            </w:pPr>
            <w:r>
              <w:t>27.16</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21.40</w:t>
            </w:r>
          </w:p>
        </w:tc>
        <w:tc>
          <w:tcPr>
            <w:tcW w:w="2551" w:type="dxa"/>
            <w:vAlign w:val="center"/>
          </w:tcPr>
          <w:p>
            <w:pPr>
              <w:pStyle w:val="13"/>
            </w:pPr>
            <w:r>
              <w:t>21.40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5.76</w:t>
            </w:r>
          </w:p>
        </w:tc>
        <w:tc>
          <w:tcPr>
            <w:tcW w:w="2551" w:type="dxa"/>
            <w:vAlign w:val="center"/>
          </w:tcPr>
          <w:p>
            <w:pPr>
              <w:pStyle w:val="13"/>
            </w:pPr>
            <w:r>
              <w:t>5.76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161001行唐县人民法院本级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161001行唐县人民法院本级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161001行唐县人民法院本级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rPr>
                <w:rFonts w:hint="default" w:eastAsia="方正书宋_GBK"/>
                <w:lang w:val="en-US" w:eastAsia="zh-CN"/>
              </w:rPr>
            </w:pPr>
            <w:r>
              <w:rPr>
                <w:rFonts w:hint="eastAsia"/>
                <w:lang w:val="en-US" w:eastAsia="zh-CN"/>
              </w:rPr>
              <w:t>33.5</w:t>
            </w:r>
          </w:p>
        </w:tc>
        <w:tc>
          <w:tcPr>
            <w:tcW w:w="2381" w:type="dxa"/>
            <w:vAlign w:val="center"/>
          </w:tcPr>
          <w:p>
            <w:pPr>
              <w:pStyle w:val="17"/>
              <w:rPr>
                <w:rFonts w:hint="default" w:eastAsia="方正书宋_GBK"/>
                <w:lang w:val="en-US" w:eastAsia="zh-CN"/>
              </w:rPr>
            </w:pPr>
            <w:r>
              <w:rPr>
                <w:rFonts w:hint="eastAsia"/>
                <w:lang w:val="en-US" w:eastAsia="zh-CN"/>
              </w:rPr>
              <w:t>33.5</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rPr>
                <w:rFonts w:hint="eastAsia" w:eastAsiaTheme="minorEastAsia"/>
                <w:lang w:eastAsia="zh-CN"/>
              </w:rPr>
            </w:pPr>
            <w:r>
              <w:rPr>
                <w:rFonts w:hint="eastAsia" w:eastAsiaTheme="minorEastAsia"/>
                <w:lang w:eastAsia="zh-CN"/>
              </w:rPr>
              <w:t>3</w:t>
            </w:r>
            <w:r>
              <w:rPr>
                <w:rFonts w:eastAsiaTheme="minorEastAsia"/>
                <w:lang w:eastAsia="zh-CN"/>
              </w:rPr>
              <w:t>3.5</w:t>
            </w:r>
          </w:p>
        </w:tc>
        <w:tc>
          <w:tcPr>
            <w:tcW w:w="2381" w:type="dxa"/>
            <w:vAlign w:val="center"/>
          </w:tcPr>
          <w:p>
            <w:pPr>
              <w:pStyle w:val="13"/>
              <w:rPr>
                <w:rFonts w:hint="eastAsia" w:eastAsiaTheme="minorEastAsia"/>
                <w:lang w:eastAsia="zh-CN"/>
              </w:rPr>
            </w:pPr>
            <w:r>
              <w:rPr>
                <w:rFonts w:hint="eastAsia" w:eastAsiaTheme="minorEastAsia"/>
                <w:lang w:eastAsia="zh-CN"/>
              </w:rPr>
              <w:t>3</w:t>
            </w:r>
            <w:r>
              <w:rPr>
                <w:rFonts w:eastAsiaTheme="minorEastAsia"/>
                <w:lang w:eastAsia="zh-CN"/>
              </w:rPr>
              <w:t>3.5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rPr>
                <w:rFonts w:ascii="方正书宋_GBK" w:hAnsi="方正书宋_GBK" w:eastAsia="方正书宋_GBK" w:cs="方正书宋_GBK"/>
                <w:sz w:val="21"/>
                <w:szCs w:val="24"/>
                <w:lang w:val="en-US" w:eastAsia="uk-UA" w:bidi="ar-SA"/>
              </w:rPr>
            </w:pPr>
            <w:r>
              <w:t>33.00</w:t>
            </w:r>
          </w:p>
        </w:tc>
        <w:tc>
          <w:tcPr>
            <w:tcW w:w="2381" w:type="dxa"/>
            <w:vAlign w:val="center"/>
          </w:tcPr>
          <w:p>
            <w:pPr>
              <w:pStyle w:val="13"/>
              <w:rPr>
                <w:rFonts w:ascii="方正书宋_GBK" w:hAnsi="方正书宋_GBK" w:eastAsia="方正书宋_GBK" w:cs="方正书宋_GBK"/>
                <w:sz w:val="21"/>
                <w:szCs w:val="24"/>
                <w:lang w:val="en-US" w:eastAsia="uk-UA" w:bidi="ar-SA"/>
              </w:rPr>
            </w:pPr>
            <w:r>
              <w:t>33.00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33.00</w:t>
            </w:r>
          </w:p>
        </w:tc>
        <w:tc>
          <w:tcPr>
            <w:tcW w:w="2381" w:type="dxa"/>
            <w:vAlign w:val="center"/>
          </w:tcPr>
          <w:p>
            <w:pPr>
              <w:pStyle w:val="13"/>
            </w:pPr>
            <w:r>
              <w:t>33.00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r>
              <w:t>0.50</w:t>
            </w:r>
          </w:p>
        </w:tc>
        <w:tc>
          <w:tcPr>
            <w:tcW w:w="2381" w:type="dxa"/>
            <w:vAlign w:val="center"/>
          </w:tcPr>
          <w:p>
            <w:pPr>
              <w:pStyle w:val="13"/>
            </w:pPr>
            <w:r>
              <w:t>0.50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行唐县人民法院本级2022年单位预算信息公开情况说明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val="en-US" w:eastAsia="zh-CN"/>
        </w:rPr>
        <w:t>中华人民共和国</w:t>
      </w:r>
      <w:bookmarkStart w:id="1" w:name="_GoBack"/>
      <w:bookmarkEnd w:id="1"/>
      <w:r>
        <w:rPr>
          <w:rFonts w:eastAsia="方正仿宋_GBK" w:cs="Times New Roman"/>
          <w:color w:val="000000"/>
          <w:sz w:val="28"/>
        </w:rPr>
        <w:t>预算法》、《地方预决算公开操作规程》和《关于进一步推进预算公开工作的实施意见》规定，现将行唐县人民法院本级2022年单位预算公开如下：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根据《行唐县人民法院职能配置、内设机构和人员编制规定》， 行唐县人民法院的主要职责是：</w:t>
      </w:r>
    </w:p>
    <w:p>
      <w:pPr>
        <w:pStyle w:val="31"/>
      </w:pPr>
      <w:r>
        <w:t>（一）深入贯彻习近平新时代中国特色社会主义思想，深入贯彻党的路线方针政策和决策部署，坚持党对法院工作的绝对领导，坚决维护习近平总书记的核心地位，坚决维护党中央权威和集中统一领导。</w:t>
      </w:r>
    </w:p>
    <w:p>
      <w:pPr>
        <w:pStyle w:val="31"/>
      </w:pPr>
      <w:r>
        <w:t>（二）依法审判法律规定由行唐县人民法院管辖的刑事、民事、行政等第一审案件。</w:t>
      </w:r>
    </w:p>
    <w:p>
      <w:pPr>
        <w:pStyle w:val="31"/>
      </w:pPr>
      <w:r>
        <w:t>（三）依法审判上级人民法院指定、同级人民法院移送的刑事、民事、行政等第一审案件。</w:t>
      </w:r>
    </w:p>
    <w:p>
      <w:pPr>
        <w:pStyle w:val="31"/>
      </w:pPr>
      <w:r>
        <w:t>（四）审查和受理各类申诉案件，审判各类再审案件，处理来信来访。</w:t>
      </w:r>
    </w:p>
    <w:p>
      <w:pPr>
        <w:pStyle w:val="31"/>
      </w:pPr>
      <w:r>
        <w:t>（五）依法办理发生法律效力的民事、行政案件判决和裁定执行事项及刑事案件判决和裁定中关于财产部分的执行事项；办理法律规定由基层人民法院执行的其他法律文书的执行事项。</w:t>
      </w:r>
    </w:p>
    <w:p>
      <w:pPr>
        <w:pStyle w:val="31"/>
      </w:pPr>
      <w:r>
        <w:t>（六）负责本院审判工作的调查研究，总结审判工作经验。</w:t>
      </w:r>
    </w:p>
    <w:p>
      <w:pPr>
        <w:pStyle w:val="31"/>
      </w:pPr>
      <w:r>
        <w:t>（七）负责干警思想政治教育和业务培训工作；按照权限管理法官和其他工作人员。</w:t>
      </w:r>
    </w:p>
    <w:p>
      <w:pPr>
        <w:pStyle w:val="31"/>
      </w:pPr>
      <w:r>
        <w:t>（八）管理有关经费及物资装备。</w:t>
      </w:r>
    </w:p>
    <w:p>
      <w:pPr>
        <w:pStyle w:val="31"/>
      </w:pPr>
      <w:r>
        <w:t>（九）负责司法技术鉴定、通讯、计算机等技术管理工作</w:t>
      </w:r>
    </w:p>
    <w:p>
      <w:pPr>
        <w:pStyle w:val="31"/>
      </w:pPr>
      <w:r>
        <w:t>（十）负责审判工作中的法制宣传，教育公民忠于祖国，自觉遵守宪法、法律和社会公德。</w:t>
      </w:r>
    </w:p>
    <w:p>
      <w:pPr>
        <w:pStyle w:val="31"/>
      </w:pPr>
      <w:r>
        <w:t>（十一）完成其他应由行唐县人民法院负责的工作。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行唐县人民法院本级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2"/>
      </w:pPr>
      <w:r>
        <w:t>按照预算管理有关规定，目前预算的编制实行综合预算制度，即全部收入和支出都反映的预算中。单位所属事业单位的收支包含在部门预算中。</w:t>
      </w:r>
    </w:p>
    <w:p>
      <w:pPr>
        <w:pStyle w:val="32"/>
      </w:pPr>
      <w:r>
        <w:t>1、收入说明</w:t>
      </w:r>
    </w:p>
    <w:p>
      <w:pPr>
        <w:pStyle w:val="32"/>
      </w:pPr>
      <w:r>
        <w:t>反映本</w:t>
      </w:r>
      <w:r>
        <w:rPr>
          <w:rFonts w:hint="eastAsia"/>
        </w:rPr>
        <w:t>单位</w:t>
      </w:r>
      <w:r>
        <w:t>当年全部收入，2022年预算收入2301.57万元，</w:t>
      </w:r>
      <w:r>
        <w:rPr>
          <w:rFonts w:hint="eastAsia"/>
        </w:rPr>
        <w:t>其中：</w:t>
      </w:r>
      <w:r>
        <w:t>一般公共预算财政拨款收入</w:t>
      </w:r>
      <w:r>
        <w:rPr>
          <w:rFonts w:hint="eastAsia"/>
        </w:rPr>
        <w:t>2</w:t>
      </w:r>
      <w:r>
        <w:t>301.57</w:t>
      </w:r>
      <w:r>
        <w:rPr>
          <w:rFonts w:hint="eastAsia"/>
        </w:rPr>
        <w:t>万元，基金预算收入0万元，财政专户收入0万元，其他来源收入0万元，上年结转收入0万元</w:t>
      </w:r>
      <w:r>
        <w:t>。</w:t>
      </w:r>
    </w:p>
    <w:p>
      <w:pPr>
        <w:pStyle w:val="32"/>
      </w:pPr>
      <w:r>
        <w:t>2、支出说明</w:t>
      </w:r>
    </w:p>
    <w:p>
      <w:pPr>
        <w:pStyle w:val="20"/>
      </w:pPr>
      <w:r>
        <w:t>收支预算总表支出栏、基本支出表、项目支出表按经济分类和支出功能分类科目编制，反映行唐县人民法院年度</w:t>
      </w:r>
      <w:r>
        <w:rPr>
          <w:rFonts w:hint="eastAsia"/>
        </w:rPr>
        <w:t>单位</w:t>
      </w:r>
      <w:r>
        <w:t>预算中支出预算的总体情况。2022年部门支出预算为2301.57万元，其中</w:t>
      </w:r>
      <w:r>
        <w:rPr>
          <w:rFonts w:hint="eastAsia" w:asciiTheme="minorEastAsia" w:hAnsiTheme="minorEastAsia" w:eastAsiaTheme="minorEastAsia"/>
          <w:lang w:eastAsia="zh-CN"/>
        </w:rPr>
        <w:t>：</w:t>
      </w:r>
      <w:r>
        <w:t>基本支出1164.57万元，包括人员经费997.95万元和日常公用经费166.62万元；项目支出1137万元，</w:t>
      </w:r>
      <w:r>
        <w:rPr>
          <w:rFonts w:hint="eastAsia"/>
        </w:rPr>
        <w:t>主要有司法辅助人员管理经费、司法救助资金、法院综合业务经费、法院聘用制书记员经费以及上级专款等</w:t>
      </w:r>
      <w:r>
        <w:t>。</w:t>
      </w:r>
    </w:p>
    <w:p>
      <w:pPr>
        <w:pStyle w:val="32"/>
        <w:ind w:firstLine="0"/>
        <w:rPr>
          <w:lang w:val="uk-UA"/>
        </w:rPr>
      </w:pPr>
    </w:p>
    <w:p>
      <w:pPr>
        <w:pStyle w:val="32"/>
      </w:pPr>
      <w:r>
        <w:t>3、比上年增减情况</w:t>
      </w:r>
    </w:p>
    <w:p>
      <w:pPr>
        <w:pStyle w:val="20"/>
        <w:rPr>
          <w:lang w:val="uk-UA"/>
        </w:rPr>
      </w:pPr>
      <w:r>
        <w:t>2022年</w:t>
      </w:r>
      <w:r>
        <w:rPr>
          <w:rFonts w:hint="eastAsia"/>
        </w:rPr>
        <w:t>单位</w:t>
      </w:r>
      <w:r>
        <w:t>预算2301.57万元。比</w:t>
      </w:r>
      <w:r>
        <w:rPr>
          <w:rFonts w:hint="eastAsia"/>
        </w:rPr>
        <w:t>2</w:t>
      </w:r>
      <w:r>
        <w:t>021</w:t>
      </w:r>
      <w:r>
        <w:rPr>
          <w:rFonts w:hint="eastAsia"/>
        </w:rPr>
        <w:t>年</w:t>
      </w:r>
      <w:r>
        <w:t>增长320.48万元，其中：基本支出增长45.68万元。原因：人员</w:t>
      </w:r>
      <w:r>
        <w:rPr>
          <w:rFonts w:hint="eastAsia"/>
          <w:lang w:eastAsia="zh-CN"/>
        </w:rPr>
        <w:t>工资调增导致人员</w:t>
      </w:r>
      <w:r>
        <w:t>经费增加。项目支出增加274.8万元，主要为增加</w:t>
      </w:r>
      <w:r>
        <w:rPr>
          <w:rFonts w:hint="eastAsia"/>
        </w:rPr>
        <w:t>了涉诉涉执信访案件救助资金以及上级专款</w:t>
      </w:r>
      <w:r>
        <w:t>项目。</w:t>
      </w:r>
    </w:p>
    <w:p>
      <w:pPr>
        <w:spacing w:before="10" w:after="10"/>
        <w:ind w:firstLine="640"/>
        <w:outlineLvl w:val="5"/>
      </w:pPr>
      <w:r>
        <w:rPr>
          <w:rFonts w:ascii="黑体" w:hAnsi="黑体" w:eastAsia="黑体" w:cs="黑体"/>
          <w:color w:val="000000"/>
          <w:sz w:val="32"/>
        </w:rPr>
        <w:t>三、机关运行经费安排情况</w:t>
      </w:r>
    </w:p>
    <w:p>
      <w:pPr>
        <w:pStyle w:val="21"/>
      </w:pPr>
      <w:r>
        <w:t>2022年，</w:t>
      </w:r>
      <w:r>
        <w:rPr>
          <w:rFonts w:hint="eastAsia"/>
          <w:lang w:eastAsia="zh-CN"/>
        </w:rPr>
        <w:t>我单位</w:t>
      </w:r>
      <w:r>
        <w:t>机关运行经费共计安排166.62万元，主要用于</w:t>
      </w:r>
      <w:r>
        <w:rPr>
          <w:rFonts w:hint="eastAsia"/>
        </w:rPr>
        <w:t>维持正常办公的</w:t>
      </w:r>
      <w:r>
        <w:t>日常维修、办公用房水电费、办公用房取暖费</w:t>
      </w:r>
      <w:r>
        <w:rPr>
          <w:rFonts w:hint="eastAsia" w:asciiTheme="minorEastAsia" w:hAnsiTheme="minorEastAsia" w:eastAsiaTheme="minorEastAsia"/>
          <w:lang w:eastAsia="zh-CN"/>
        </w:rPr>
        <w:t>、</w:t>
      </w:r>
      <w:r>
        <w:rPr>
          <w:rFonts w:hint="eastAsia"/>
        </w:rPr>
        <w:t>邮电费、电话费</w:t>
      </w:r>
      <w:r>
        <w:t>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t>2022年，</w:t>
      </w:r>
      <w:r>
        <w:rPr>
          <w:rFonts w:hint="eastAsia"/>
          <w:lang w:eastAsia="zh-CN"/>
        </w:rPr>
        <w:t>我单位</w:t>
      </w:r>
      <w:r>
        <w:t>财政拨款“三公”经费预算安排33.5万元，其中因公出国（境）费0万元；公务用车购置及运维费33万元（其中：公务用车购置费为0万元，公务用车运维费33万元）；公务接待费0.5万元。</w:t>
      </w:r>
      <w:r>
        <w:rPr>
          <w:rFonts w:hint="eastAsia"/>
        </w:rPr>
        <w:t>2</w:t>
      </w:r>
      <w:r>
        <w:t>022</w:t>
      </w:r>
      <w:r>
        <w:rPr>
          <w:rFonts w:hint="eastAsia"/>
        </w:rPr>
        <w:t>年“三公”经费</w:t>
      </w:r>
      <w:r>
        <w:t>与2021年相比持平</w:t>
      </w:r>
      <w:r>
        <w:rPr>
          <w:rFonts w:hint="eastAsia" w:asciiTheme="minorEastAsia" w:hAnsiTheme="minorEastAsia" w:eastAsiaTheme="minorEastAsia"/>
          <w:lang w:eastAsia="zh-CN"/>
        </w:rPr>
        <w:t>，</w:t>
      </w:r>
      <w:r>
        <w:rPr>
          <w:rFonts w:hint="eastAsia"/>
        </w:rPr>
        <w:t>无增减变化</w:t>
      </w:r>
      <w:r>
        <w:t>。</w:t>
      </w:r>
    </w:p>
    <w:p>
      <w:pPr>
        <w:spacing w:before="10" w:after="10"/>
        <w:ind w:firstLine="640"/>
        <w:outlineLvl w:val="5"/>
      </w:pPr>
      <w:r>
        <w:rPr>
          <w:rFonts w:ascii="黑体" w:hAnsi="黑体" w:eastAsia="黑体" w:cs="黑体"/>
          <w:color w:val="000000"/>
          <w:sz w:val="32"/>
        </w:rPr>
        <w:t>五、预算绩效信息</w:t>
      </w:r>
    </w:p>
    <w:p>
      <w:pPr>
        <w:pStyle w:val="26"/>
        <w:ind w:firstLine="560"/>
      </w:pP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、法院聘用制书记员经费绩效目标表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1.解决我院书记员人员问题，保证办案工作顺利进行。</w:t>
            </w:r>
          </w:p>
          <w:p>
            <w:pPr>
              <w:pStyle w:val="28"/>
            </w:pPr>
            <w:r>
              <w:t>2.保证书记员日常工作的开展。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书记员数量</w:t>
            </w:r>
          </w:p>
        </w:tc>
        <w:tc>
          <w:tcPr>
            <w:tcW w:w="2835" w:type="dxa"/>
            <w:vAlign w:val="center"/>
          </w:tcPr>
          <w:p>
            <w:pPr>
              <w:pStyle w:val="28"/>
            </w:pPr>
            <w:r>
              <w:t>书记员人数</w:t>
            </w:r>
          </w:p>
        </w:tc>
        <w:tc>
          <w:tcPr>
            <w:tcW w:w="2551" w:type="dxa"/>
            <w:vAlign w:val="center"/>
          </w:tcPr>
          <w:p>
            <w:pPr>
              <w:pStyle w:val="28"/>
            </w:pPr>
            <w:r>
              <w:t>≤26人</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 xml:space="preserve"> 纸质卷宗归档率</w:t>
            </w:r>
          </w:p>
        </w:tc>
        <w:tc>
          <w:tcPr>
            <w:tcW w:w="2835" w:type="dxa"/>
            <w:vAlign w:val="center"/>
          </w:tcPr>
          <w:p>
            <w:pPr>
              <w:pStyle w:val="28"/>
            </w:pPr>
            <w:r>
              <w:t>纸质卷宗归档占全部档案的比例</w:t>
            </w:r>
          </w:p>
        </w:tc>
        <w:tc>
          <w:tcPr>
            <w:tcW w:w="2551" w:type="dxa"/>
            <w:vAlign w:val="center"/>
          </w:tcPr>
          <w:p>
            <w:pPr>
              <w:pStyle w:val="28"/>
            </w:pPr>
            <w:r>
              <w:t>≥85%</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逐月推进</w:t>
            </w:r>
          </w:p>
        </w:tc>
        <w:tc>
          <w:tcPr>
            <w:tcW w:w="2835" w:type="dxa"/>
            <w:vAlign w:val="center"/>
          </w:tcPr>
          <w:p>
            <w:pPr>
              <w:pStyle w:val="28"/>
            </w:pPr>
            <w:r>
              <w:t>按月底分别完成指标</w:t>
            </w:r>
          </w:p>
        </w:tc>
        <w:tc>
          <w:tcPr>
            <w:tcW w:w="2551" w:type="dxa"/>
            <w:vAlign w:val="center"/>
          </w:tcPr>
          <w:p>
            <w:pPr>
              <w:pStyle w:val="28"/>
            </w:pPr>
            <w:r>
              <w:t>2021年12月31日之前完成</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人均经费</w:t>
            </w:r>
          </w:p>
        </w:tc>
        <w:tc>
          <w:tcPr>
            <w:tcW w:w="2835" w:type="dxa"/>
            <w:vAlign w:val="center"/>
          </w:tcPr>
          <w:p>
            <w:pPr>
              <w:pStyle w:val="28"/>
            </w:pPr>
            <w:r>
              <w:t>26名书记员人均每年经费</w:t>
            </w:r>
          </w:p>
        </w:tc>
        <w:tc>
          <w:tcPr>
            <w:tcW w:w="2551" w:type="dxa"/>
            <w:vAlign w:val="center"/>
          </w:tcPr>
          <w:p>
            <w:pPr>
              <w:pStyle w:val="28"/>
            </w:pPr>
            <w:r>
              <w:t>≤4.7万元</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协助案件审理效果</w:t>
            </w:r>
          </w:p>
        </w:tc>
        <w:tc>
          <w:tcPr>
            <w:tcW w:w="2835" w:type="dxa"/>
            <w:vAlign w:val="center"/>
          </w:tcPr>
          <w:p>
            <w:pPr>
              <w:pStyle w:val="28"/>
            </w:pPr>
            <w:r>
              <w:t>聘用制书记员协助法官提高案件审理效率</w:t>
            </w:r>
          </w:p>
        </w:tc>
        <w:tc>
          <w:tcPr>
            <w:tcW w:w="2551" w:type="dxa"/>
            <w:vAlign w:val="center"/>
          </w:tcPr>
          <w:p>
            <w:pPr>
              <w:pStyle w:val="28"/>
            </w:pPr>
            <w:r>
              <w:t>有效</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当事人满意度</w:t>
            </w:r>
          </w:p>
        </w:tc>
        <w:tc>
          <w:tcPr>
            <w:tcW w:w="2835" w:type="dxa"/>
            <w:vAlign w:val="center"/>
          </w:tcPr>
          <w:p>
            <w:pPr>
              <w:pStyle w:val="28"/>
            </w:pPr>
            <w:r>
              <w:t>当事人满意数量占总数的比例</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ind w:firstLine="560"/>
      </w:pP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、法院综合业务经费绩效目标表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1.保障审判执行业务顺利开展；保障机关正常顺利运行</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受理案件数</w:t>
            </w:r>
          </w:p>
        </w:tc>
        <w:tc>
          <w:tcPr>
            <w:tcW w:w="2835" w:type="dxa"/>
            <w:vAlign w:val="center"/>
          </w:tcPr>
          <w:p>
            <w:pPr>
              <w:pStyle w:val="28"/>
            </w:pPr>
            <w:r>
              <w:t>受理案件数</w:t>
            </w:r>
          </w:p>
        </w:tc>
        <w:tc>
          <w:tcPr>
            <w:tcW w:w="2551" w:type="dxa"/>
            <w:vAlign w:val="center"/>
          </w:tcPr>
          <w:p>
            <w:pPr>
              <w:pStyle w:val="28"/>
            </w:pPr>
            <w:r>
              <w:t>≥2000件</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案件办结率</w:t>
            </w:r>
          </w:p>
        </w:tc>
        <w:tc>
          <w:tcPr>
            <w:tcW w:w="2835" w:type="dxa"/>
            <w:vAlign w:val="center"/>
          </w:tcPr>
          <w:p>
            <w:pPr>
              <w:pStyle w:val="28"/>
            </w:pPr>
            <w:r>
              <w:t>案件判决数占审判案件总数的比例</w:t>
            </w:r>
          </w:p>
        </w:tc>
        <w:tc>
          <w:tcPr>
            <w:tcW w:w="2551" w:type="dxa"/>
            <w:vAlign w:val="center"/>
          </w:tcPr>
          <w:p>
            <w:pPr>
              <w:pStyle w:val="28"/>
            </w:pPr>
            <w:r>
              <w:t>≥85%</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法定正常审限内结案率</w:t>
            </w:r>
          </w:p>
        </w:tc>
        <w:tc>
          <w:tcPr>
            <w:tcW w:w="2835" w:type="dxa"/>
            <w:vAlign w:val="center"/>
          </w:tcPr>
          <w:p>
            <w:pPr>
              <w:pStyle w:val="28"/>
            </w:pPr>
            <w:r>
              <w:t>法定（正常）审限内结案率占应结案率</w:t>
            </w:r>
          </w:p>
        </w:tc>
        <w:tc>
          <w:tcPr>
            <w:tcW w:w="2551" w:type="dxa"/>
            <w:vAlign w:val="center"/>
          </w:tcPr>
          <w:p>
            <w:pPr>
              <w:pStyle w:val="28"/>
            </w:pPr>
            <w:r>
              <w:t>≥90%</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w:t>
            </w:r>
          </w:p>
        </w:tc>
        <w:tc>
          <w:tcPr>
            <w:tcW w:w="2835" w:type="dxa"/>
            <w:vAlign w:val="center"/>
          </w:tcPr>
          <w:p>
            <w:pPr>
              <w:pStyle w:val="28"/>
            </w:pPr>
            <w:r>
              <w:t>按项目计划有效控制成本</w:t>
            </w:r>
          </w:p>
        </w:tc>
        <w:tc>
          <w:tcPr>
            <w:tcW w:w="2551" w:type="dxa"/>
            <w:vAlign w:val="center"/>
          </w:tcPr>
          <w:p>
            <w:pPr>
              <w:pStyle w:val="28"/>
            </w:pPr>
            <w:r>
              <w:t>140万元</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化解社会矛盾，为经济社会发展提供良好环境</w:t>
            </w:r>
          </w:p>
        </w:tc>
        <w:tc>
          <w:tcPr>
            <w:tcW w:w="2835" w:type="dxa"/>
            <w:vAlign w:val="center"/>
          </w:tcPr>
          <w:p>
            <w:pPr>
              <w:pStyle w:val="28"/>
            </w:pPr>
            <w:r>
              <w:t>化解社会矛盾，为经济社会发展提供良好环境</w:t>
            </w:r>
          </w:p>
        </w:tc>
        <w:tc>
          <w:tcPr>
            <w:tcW w:w="2551" w:type="dxa"/>
            <w:vAlign w:val="center"/>
          </w:tcPr>
          <w:p>
            <w:pPr>
              <w:pStyle w:val="28"/>
            </w:pPr>
            <w:r>
              <w:t>长期</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维护社会稳定发展</w:t>
            </w:r>
          </w:p>
        </w:tc>
        <w:tc>
          <w:tcPr>
            <w:tcW w:w="2835" w:type="dxa"/>
            <w:vAlign w:val="center"/>
          </w:tcPr>
          <w:p>
            <w:pPr>
              <w:pStyle w:val="28"/>
            </w:pPr>
            <w:r>
              <w:t>维护设备稳定发展</w:t>
            </w:r>
          </w:p>
        </w:tc>
        <w:tc>
          <w:tcPr>
            <w:tcW w:w="2551" w:type="dxa"/>
            <w:vAlign w:val="center"/>
          </w:tcPr>
          <w:p>
            <w:pPr>
              <w:pStyle w:val="28"/>
            </w:pPr>
            <w:r>
              <w:t>长期</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办案人员满意度</w:t>
            </w:r>
          </w:p>
        </w:tc>
        <w:tc>
          <w:tcPr>
            <w:tcW w:w="2835" w:type="dxa"/>
            <w:vAlign w:val="center"/>
          </w:tcPr>
          <w:p>
            <w:pPr>
              <w:pStyle w:val="28"/>
            </w:pPr>
            <w:r>
              <w:t>调查中满意和较满意的人数占调查总人数的比率</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pP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、涉诉涉执信访案件救助资金绩效目标表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1.有针对性的给予案件当事人一定的困难救助，帮助其摆脱生活困境，通过当事人接受司法救助，使问题的到解决。提现党和政府民生关怀，充分发挥救助金作用。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救助人次</w:t>
            </w:r>
          </w:p>
        </w:tc>
        <w:tc>
          <w:tcPr>
            <w:tcW w:w="2835" w:type="dxa"/>
            <w:vAlign w:val="center"/>
          </w:tcPr>
          <w:p>
            <w:pPr>
              <w:pStyle w:val="28"/>
            </w:pPr>
            <w:r>
              <w:t>救助人次</w:t>
            </w:r>
          </w:p>
        </w:tc>
        <w:tc>
          <w:tcPr>
            <w:tcW w:w="2551" w:type="dxa"/>
            <w:vAlign w:val="center"/>
          </w:tcPr>
          <w:p>
            <w:pPr>
              <w:pStyle w:val="28"/>
            </w:pPr>
            <w:r>
              <w:t>≥1人次</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救助金有效支付率</w:t>
            </w:r>
          </w:p>
        </w:tc>
        <w:tc>
          <w:tcPr>
            <w:tcW w:w="2835" w:type="dxa"/>
            <w:vAlign w:val="center"/>
          </w:tcPr>
          <w:p>
            <w:pPr>
              <w:pStyle w:val="28"/>
            </w:pPr>
            <w:r>
              <w:t>收到救助金占支付救助金的比例</w:t>
            </w:r>
          </w:p>
        </w:tc>
        <w:tc>
          <w:tcPr>
            <w:tcW w:w="2551" w:type="dxa"/>
            <w:vAlign w:val="center"/>
          </w:tcPr>
          <w:p>
            <w:pPr>
              <w:pStyle w:val="28"/>
            </w:pPr>
            <w:r>
              <w:t>100%</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2022年全年</w:t>
            </w:r>
          </w:p>
        </w:tc>
        <w:tc>
          <w:tcPr>
            <w:tcW w:w="2835" w:type="dxa"/>
            <w:vAlign w:val="center"/>
          </w:tcPr>
          <w:p>
            <w:pPr>
              <w:pStyle w:val="28"/>
            </w:pPr>
            <w:r>
              <w:t>突出重点，主要选择遭受严重伤害和不幸，家庭条件特别困难等进行救助</w:t>
            </w:r>
          </w:p>
        </w:tc>
        <w:tc>
          <w:tcPr>
            <w:tcW w:w="2551" w:type="dxa"/>
            <w:vAlign w:val="center"/>
          </w:tcPr>
          <w:p>
            <w:pPr>
              <w:pStyle w:val="28"/>
            </w:pPr>
            <w:r>
              <w:t>符合</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w:t>
            </w:r>
          </w:p>
        </w:tc>
        <w:tc>
          <w:tcPr>
            <w:tcW w:w="2835" w:type="dxa"/>
            <w:vAlign w:val="center"/>
          </w:tcPr>
          <w:p>
            <w:pPr>
              <w:pStyle w:val="28"/>
            </w:pPr>
            <w:r>
              <w:t>按项目计划有效控制成本</w:t>
            </w:r>
          </w:p>
        </w:tc>
        <w:tc>
          <w:tcPr>
            <w:tcW w:w="2551" w:type="dxa"/>
            <w:vAlign w:val="center"/>
          </w:tcPr>
          <w:p>
            <w:pPr>
              <w:pStyle w:val="28"/>
            </w:pPr>
            <w:r>
              <w:t>45.8万元</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维护社会稳定</w:t>
            </w:r>
          </w:p>
        </w:tc>
        <w:tc>
          <w:tcPr>
            <w:tcW w:w="2835" w:type="dxa"/>
            <w:vAlign w:val="center"/>
          </w:tcPr>
          <w:p>
            <w:pPr>
              <w:pStyle w:val="28"/>
            </w:pPr>
            <w:r>
              <w:t>改善民生、健全社会</w:t>
            </w:r>
          </w:p>
        </w:tc>
        <w:tc>
          <w:tcPr>
            <w:tcW w:w="2551" w:type="dxa"/>
            <w:vAlign w:val="center"/>
          </w:tcPr>
          <w:p>
            <w:pPr>
              <w:pStyle w:val="28"/>
            </w:pPr>
            <w:r>
              <w:t>有效提升</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受益对象满意度</w:t>
            </w:r>
          </w:p>
        </w:tc>
        <w:tc>
          <w:tcPr>
            <w:tcW w:w="2835" w:type="dxa"/>
            <w:vAlign w:val="center"/>
          </w:tcPr>
          <w:p>
            <w:pPr>
              <w:pStyle w:val="28"/>
            </w:pPr>
            <w:r>
              <w:t>调查中满意和较满意的人数占调查总人数的比率</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ind w:firstLine="560"/>
      </w:pP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、司法辅助人员管理经费绩效目标表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1.解决人员不足问题，保障法院工作顺利开展，提高办案效率</w:t>
            </w:r>
          </w:p>
          <w:p>
            <w:pPr>
              <w:pStyle w:val="28"/>
            </w:pPr>
            <w:r>
              <w:t>2.保证法警、内勤等人员的日常工作开展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司法辅助人员</w:t>
            </w:r>
          </w:p>
        </w:tc>
        <w:tc>
          <w:tcPr>
            <w:tcW w:w="2835" w:type="dxa"/>
            <w:vAlign w:val="center"/>
          </w:tcPr>
          <w:p>
            <w:pPr>
              <w:pStyle w:val="28"/>
            </w:pPr>
            <w:r>
              <w:t>司法辅助管理人员数量</w:t>
            </w:r>
          </w:p>
        </w:tc>
        <w:tc>
          <w:tcPr>
            <w:tcW w:w="2551" w:type="dxa"/>
            <w:vAlign w:val="center"/>
          </w:tcPr>
          <w:p>
            <w:pPr>
              <w:pStyle w:val="28"/>
            </w:pPr>
            <w:r>
              <w:t>≤68人</w:t>
            </w:r>
          </w:p>
          <w:p>
            <w:pPr>
              <w:pStyle w:val="28"/>
            </w:pP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拨付率</w:t>
            </w:r>
          </w:p>
        </w:tc>
        <w:tc>
          <w:tcPr>
            <w:tcW w:w="2835" w:type="dxa"/>
            <w:vAlign w:val="center"/>
          </w:tcPr>
          <w:p>
            <w:pPr>
              <w:pStyle w:val="28"/>
            </w:pPr>
            <w:r>
              <w:t>已拨付经费占全部拨付资金的比例</w:t>
            </w:r>
          </w:p>
        </w:tc>
        <w:tc>
          <w:tcPr>
            <w:tcW w:w="2551" w:type="dxa"/>
            <w:vAlign w:val="center"/>
          </w:tcPr>
          <w:p>
            <w:pPr>
              <w:pStyle w:val="28"/>
            </w:pPr>
            <w:r>
              <w:t>≥85%</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w:t>
            </w:r>
          </w:p>
        </w:tc>
        <w:tc>
          <w:tcPr>
            <w:tcW w:w="2835" w:type="dxa"/>
            <w:vAlign w:val="center"/>
          </w:tcPr>
          <w:p>
            <w:pPr>
              <w:pStyle w:val="28"/>
            </w:pPr>
            <w:r>
              <w:t>人均工资实际支出</w:t>
            </w:r>
          </w:p>
        </w:tc>
        <w:tc>
          <w:tcPr>
            <w:tcW w:w="2551" w:type="dxa"/>
            <w:vAlign w:val="center"/>
          </w:tcPr>
          <w:p>
            <w:pPr>
              <w:pStyle w:val="28"/>
            </w:pPr>
            <w:r>
              <w:t>≤2.78万元</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逐月推进</w:t>
            </w:r>
          </w:p>
        </w:tc>
        <w:tc>
          <w:tcPr>
            <w:tcW w:w="2835" w:type="dxa"/>
            <w:vAlign w:val="center"/>
          </w:tcPr>
          <w:p>
            <w:pPr>
              <w:pStyle w:val="28"/>
            </w:pPr>
            <w:r>
              <w:t>按月底分别完成指标</w:t>
            </w:r>
          </w:p>
        </w:tc>
        <w:tc>
          <w:tcPr>
            <w:tcW w:w="2551" w:type="dxa"/>
            <w:vAlign w:val="center"/>
          </w:tcPr>
          <w:p>
            <w:pPr>
              <w:pStyle w:val="28"/>
            </w:pPr>
            <w:r>
              <w:t>2021年12月31日之前完成</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业务保障能力提升情况</w:t>
            </w:r>
          </w:p>
        </w:tc>
        <w:tc>
          <w:tcPr>
            <w:tcW w:w="2835" w:type="dxa"/>
            <w:vAlign w:val="center"/>
          </w:tcPr>
          <w:p>
            <w:pPr>
              <w:pStyle w:val="28"/>
            </w:pPr>
            <w:r>
              <w:t>提升保障法院审判执行能力</w:t>
            </w:r>
          </w:p>
        </w:tc>
        <w:tc>
          <w:tcPr>
            <w:tcW w:w="2551" w:type="dxa"/>
            <w:vAlign w:val="center"/>
          </w:tcPr>
          <w:p>
            <w:pPr>
              <w:pStyle w:val="28"/>
            </w:pPr>
            <w:r>
              <w:t>逐步提高</w:t>
            </w:r>
          </w:p>
        </w:tc>
        <w:tc>
          <w:tcPr>
            <w:tcW w:w="2268"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ind w:firstLine="560"/>
      </w:pP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、司法救助资金绩效目标表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1.有针对性的给予案件当事人一定的困难救助，帮助其摆脱生活困境，通过当事人接受司法救助，使问题的到解决。提现党和政府民生关怀，充分发挥救助金作用。</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救助人次</w:t>
            </w:r>
          </w:p>
          <w:p>
            <w:pPr>
              <w:pStyle w:val="28"/>
            </w:pPr>
          </w:p>
        </w:tc>
        <w:tc>
          <w:tcPr>
            <w:tcW w:w="2835" w:type="dxa"/>
            <w:vAlign w:val="center"/>
          </w:tcPr>
          <w:p>
            <w:pPr>
              <w:pStyle w:val="28"/>
            </w:pPr>
            <w:r>
              <w:t>救助人次</w:t>
            </w:r>
          </w:p>
        </w:tc>
        <w:tc>
          <w:tcPr>
            <w:tcW w:w="2551" w:type="dxa"/>
            <w:vAlign w:val="center"/>
          </w:tcPr>
          <w:p>
            <w:pPr>
              <w:pStyle w:val="28"/>
            </w:pPr>
            <w:r>
              <w:t>≥1人次</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救助金有效支付率</w:t>
            </w:r>
          </w:p>
          <w:p>
            <w:pPr>
              <w:pStyle w:val="28"/>
            </w:pPr>
          </w:p>
        </w:tc>
        <w:tc>
          <w:tcPr>
            <w:tcW w:w="2835" w:type="dxa"/>
            <w:vAlign w:val="center"/>
          </w:tcPr>
          <w:p>
            <w:pPr>
              <w:pStyle w:val="28"/>
            </w:pPr>
            <w:r>
              <w:t>收到救助金占支付救助金的比例</w:t>
            </w:r>
          </w:p>
        </w:tc>
        <w:tc>
          <w:tcPr>
            <w:tcW w:w="2551" w:type="dxa"/>
            <w:vAlign w:val="center"/>
          </w:tcPr>
          <w:p>
            <w:pPr>
              <w:pStyle w:val="28"/>
            </w:pPr>
            <w:r>
              <w:t>100%</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2022年全年</w:t>
            </w:r>
          </w:p>
        </w:tc>
        <w:tc>
          <w:tcPr>
            <w:tcW w:w="2835" w:type="dxa"/>
            <w:vAlign w:val="center"/>
          </w:tcPr>
          <w:p>
            <w:pPr>
              <w:pStyle w:val="28"/>
            </w:pPr>
            <w:r>
              <w:t>突出重点，主要选择遭受严重伤害和不幸，家庭条件特别困难等进行救助</w:t>
            </w:r>
          </w:p>
        </w:tc>
        <w:tc>
          <w:tcPr>
            <w:tcW w:w="2551" w:type="dxa"/>
            <w:vAlign w:val="center"/>
          </w:tcPr>
          <w:p>
            <w:pPr>
              <w:pStyle w:val="28"/>
            </w:pPr>
            <w:r>
              <w:t>符合</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w:t>
            </w:r>
          </w:p>
          <w:p>
            <w:pPr>
              <w:pStyle w:val="28"/>
            </w:pPr>
          </w:p>
        </w:tc>
        <w:tc>
          <w:tcPr>
            <w:tcW w:w="2835" w:type="dxa"/>
            <w:vAlign w:val="center"/>
          </w:tcPr>
          <w:p>
            <w:pPr>
              <w:pStyle w:val="28"/>
            </w:pPr>
            <w:r>
              <w:t>按项目计划有效控制成本</w:t>
            </w:r>
          </w:p>
        </w:tc>
        <w:tc>
          <w:tcPr>
            <w:tcW w:w="2551" w:type="dxa"/>
            <w:vAlign w:val="center"/>
          </w:tcPr>
          <w:p>
            <w:pPr>
              <w:pStyle w:val="28"/>
            </w:pPr>
            <w:r>
              <w:t>10万元</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维护社会稳定</w:t>
            </w:r>
          </w:p>
        </w:tc>
        <w:tc>
          <w:tcPr>
            <w:tcW w:w="2835" w:type="dxa"/>
            <w:vAlign w:val="center"/>
          </w:tcPr>
          <w:p>
            <w:pPr>
              <w:pStyle w:val="28"/>
            </w:pPr>
            <w:r>
              <w:t>改善民生、健全社会</w:t>
            </w:r>
          </w:p>
        </w:tc>
        <w:tc>
          <w:tcPr>
            <w:tcW w:w="2551" w:type="dxa"/>
            <w:vAlign w:val="center"/>
          </w:tcPr>
          <w:p>
            <w:pPr>
              <w:pStyle w:val="28"/>
            </w:pPr>
            <w:r>
              <w:t>有效提升</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受益对象满意度</w:t>
            </w:r>
          </w:p>
          <w:p>
            <w:pPr>
              <w:pStyle w:val="28"/>
            </w:pPr>
          </w:p>
        </w:tc>
        <w:tc>
          <w:tcPr>
            <w:tcW w:w="2835" w:type="dxa"/>
            <w:vAlign w:val="center"/>
          </w:tcPr>
          <w:p>
            <w:pPr>
              <w:pStyle w:val="28"/>
            </w:pPr>
            <w:r>
              <w:t>调查中满意和较满意的人数占调查总人数的比率</w:t>
            </w:r>
          </w:p>
          <w:p>
            <w:pPr>
              <w:pStyle w:val="28"/>
            </w:pP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ind w:firstLine="560"/>
      </w:pPr>
      <w:r>
        <w:rPr>
          <w:rFonts w:hint="eastAsia" w:ascii="方正仿宋_GBK" w:hAnsi="方正仿宋_GBK" w:eastAsia="方正仿宋_GBK" w:cs="方正仿宋_GBK"/>
          <w:b/>
          <w:color w:val="000000"/>
          <w:sz w:val="28"/>
          <w:lang w:eastAsia="zh-CN"/>
        </w:rPr>
        <w:t>6</w:t>
      </w:r>
      <w:r>
        <w:rPr>
          <w:rFonts w:ascii="方正仿宋_GBK" w:hAnsi="方正仿宋_GBK" w:eastAsia="方正仿宋_GBK" w:cs="方正仿宋_GBK"/>
          <w:b/>
          <w:color w:val="000000"/>
          <w:sz w:val="28"/>
        </w:rPr>
        <w:t>、物业管理费绩效目标表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加强法院机关安全保卫工作。维护法院审判、办公秩序，保证机关和工作人员安全，预防和避免事故发生，及时消除安全隐患。维护社会安定稳定，依法惩治违法犯罪维护社会大局安定稳定执法办案公正高效廉洁司法形象。</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保洁安保人员</w:t>
            </w:r>
          </w:p>
          <w:p>
            <w:pPr>
              <w:pStyle w:val="28"/>
            </w:pPr>
          </w:p>
        </w:tc>
        <w:tc>
          <w:tcPr>
            <w:tcW w:w="2835" w:type="dxa"/>
            <w:vAlign w:val="center"/>
          </w:tcPr>
          <w:p>
            <w:pPr>
              <w:pStyle w:val="28"/>
            </w:pPr>
            <w:r>
              <w:t>保洁安保人员数量</w:t>
            </w:r>
          </w:p>
        </w:tc>
        <w:tc>
          <w:tcPr>
            <w:tcW w:w="2551" w:type="dxa"/>
            <w:vAlign w:val="center"/>
          </w:tcPr>
          <w:p>
            <w:pPr>
              <w:pStyle w:val="28"/>
            </w:pPr>
            <w:r>
              <w:t>≤7人</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案件结案率</w:t>
            </w:r>
          </w:p>
          <w:p>
            <w:pPr>
              <w:pStyle w:val="28"/>
            </w:pPr>
          </w:p>
        </w:tc>
        <w:tc>
          <w:tcPr>
            <w:tcW w:w="2835" w:type="dxa"/>
            <w:vAlign w:val="center"/>
          </w:tcPr>
          <w:p>
            <w:pPr>
              <w:pStyle w:val="28"/>
            </w:pPr>
            <w:r>
              <w:t>案件判决数占审判案件总数的比例</w:t>
            </w:r>
          </w:p>
          <w:p>
            <w:pPr>
              <w:pStyle w:val="28"/>
            </w:pPr>
          </w:p>
        </w:tc>
        <w:tc>
          <w:tcPr>
            <w:tcW w:w="2551" w:type="dxa"/>
            <w:vAlign w:val="center"/>
          </w:tcPr>
          <w:p>
            <w:pPr>
              <w:pStyle w:val="28"/>
            </w:pPr>
            <w:r>
              <w:t>≥85%</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支付物业管理费时间</w:t>
            </w:r>
          </w:p>
          <w:p>
            <w:pPr>
              <w:pStyle w:val="28"/>
            </w:pPr>
          </w:p>
        </w:tc>
        <w:tc>
          <w:tcPr>
            <w:tcW w:w="2835" w:type="dxa"/>
            <w:vAlign w:val="center"/>
          </w:tcPr>
          <w:p>
            <w:pPr>
              <w:pStyle w:val="28"/>
            </w:pPr>
            <w:r>
              <w:t>按时间节点进行支付</w:t>
            </w:r>
          </w:p>
        </w:tc>
        <w:tc>
          <w:tcPr>
            <w:tcW w:w="2551" w:type="dxa"/>
            <w:vAlign w:val="center"/>
          </w:tcPr>
          <w:p>
            <w:pPr>
              <w:pStyle w:val="28"/>
            </w:pPr>
            <w:r>
              <w:t>2022年12月底完成</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全年支付物业管理费</w:t>
            </w:r>
          </w:p>
        </w:tc>
        <w:tc>
          <w:tcPr>
            <w:tcW w:w="2835" w:type="dxa"/>
            <w:vAlign w:val="center"/>
          </w:tcPr>
          <w:p>
            <w:pPr>
              <w:pStyle w:val="28"/>
            </w:pPr>
            <w:r>
              <w:t>全年支付物业管理费金额</w:t>
            </w:r>
          </w:p>
        </w:tc>
        <w:tc>
          <w:tcPr>
            <w:tcW w:w="2551" w:type="dxa"/>
            <w:vAlign w:val="center"/>
          </w:tcPr>
          <w:p>
            <w:pPr>
              <w:pStyle w:val="28"/>
            </w:pPr>
            <w:r>
              <w:t>16万元</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业务保障能力</w:t>
            </w:r>
          </w:p>
        </w:tc>
        <w:tc>
          <w:tcPr>
            <w:tcW w:w="2835" w:type="dxa"/>
            <w:vAlign w:val="center"/>
          </w:tcPr>
          <w:p>
            <w:pPr>
              <w:pStyle w:val="28"/>
            </w:pPr>
            <w:r>
              <w:t>保障相关业务、工作等开展的情况</w:t>
            </w:r>
          </w:p>
        </w:tc>
        <w:tc>
          <w:tcPr>
            <w:tcW w:w="2551" w:type="dxa"/>
            <w:vAlign w:val="center"/>
          </w:tcPr>
          <w:p>
            <w:pPr>
              <w:pStyle w:val="28"/>
            </w:pPr>
            <w:r>
              <w:t>有效控制</w:t>
            </w:r>
          </w:p>
        </w:tc>
        <w:tc>
          <w:tcPr>
            <w:tcW w:w="2268"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调查中满意和较满意的人数占调查总人数的比率</w:t>
            </w:r>
          </w:p>
          <w:p>
            <w:pPr>
              <w:pStyle w:val="28"/>
            </w:pPr>
          </w:p>
        </w:tc>
        <w:tc>
          <w:tcPr>
            <w:tcW w:w="2551" w:type="dxa"/>
            <w:vAlign w:val="center"/>
          </w:tcPr>
          <w:p>
            <w:pPr>
              <w:pStyle w:val="28"/>
            </w:pPr>
            <w:r>
              <w:t>≥90%</w:t>
            </w:r>
          </w:p>
        </w:tc>
        <w:tc>
          <w:tcPr>
            <w:tcW w:w="2268"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2022年，行唐县人民法院本级安排政府采购预算170.00万元。具体内容见下表。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161001行唐县人民法院本级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170.00</w:t>
            </w:r>
          </w:p>
        </w:tc>
        <w:tc>
          <w:tcPr>
            <w:tcW w:w="964" w:type="dxa"/>
            <w:vAlign w:val="center"/>
          </w:tcPr>
          <w:p>
            <w:pPr>
              <w:pStyle w:val="17"/>
            </w:pPr>
            <w:r>
              <w:t>170.00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行唐县人民法院本级小计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170.00</w:t>
            </w:r>
          </w:p>
        </w:tc>
        <w:tc>
          <w:tcPr>
            <w:tcW w:w="964" w:type="dxa"/>
            <w:vAlign w:val="center"/>
          </w:tcPr>
          <w:p>
            <w:pPr>
              <w:pStyle w:val="17"/>
            </w:pPr>
            <w:r>
              <w:t>170.00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lang w:eastAsia="zh-CN"/>
              </w:rPr>
            </w:pPr>
            <w:r>
              <w:rPr>
                <w:rFonts w:hint="eastAsia"/>
                <w:lang w:eastAsia="zh-CN"/>
              </w:rPr>
              <w:t>涉密</w:t>
            </w:r>
          </w:p>
        </w:tc>
        <w:tc>
          <w:tcPr>
            <w:tcW w:w="964" w:type="dxa"/>
            <w:vAlign w:val="center"/>
          </w:tcPr>
          <w:p>
            <w:pPr>
              <w:pStyle w:val="13"/>
            </w:pPr>
            <w:r>
              <w:t>177.00</w:t>
            </w:r>
          </w:p>
        </w:tc>
        <w:tc>
          <w:tcPr>
            <w:tcW w:w="1134" w:type="dxa"/>
            <w:vAlign w:val="center"/>
          </w:tcPr>
          <w:p>
            <w:pPr>
              <w:pStyle w:val="14"/>
              <w:rPr>
                <w:lang w:eastAsia="zh-CN"/>
              </w:rPr>
            </w:pPr>
            <w:r>
              <w:rPr>
                <w:rFonts w:hint="eastAsia"/>
                <w:lang w:eastAsia="zh-CN"/>
              </w:rPr>
              <w:t>涉密</w:t>
            </w:r>
          </w:p>
        </w:tc>
        <w:tc>
          <w:tcPr>
            <w:tcW w:w="1134" w:type="dxa"/>
            <w:vAlign w:val="center"/>
          </w:tcPr>
          <w:p>
            <w:pPr>
              <w:pStyle w:val="14"/>
            </w:pPr>
            <w:r>
              <w:rPr>
                <w:rFonts w:hint="eastAsia"/>
                <w:lang w:eastAsia="zh-CN"/>
              </w:rPr>
              <w:t>涉密</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80.00</w:t>
            </w:r>
          </w:p>
        </w:tc>
        <w:tc>
          <w:tcPr>
            <w:tcW w:w="964" w:type="dxa"/>
            <w:vAlign w:val="center"/>
          </w:tcPr>
          <w:p>
            <w:pPr>
              <w:pStyle w:val="13"/>
            </w:pPr>
            <w:r>
              <w:t>80.00</w:t>
            </w:r>
          </w:p>
        </w:tc>
        <w:tc>
          <w:tcPr>
            <w:tcW w:w="964" w:type="dxa"/>
            <w:vAlign w:val="center"/>
          </w:tcPr>
          <w:p>
            <w:pPr>
              <w:pStyle w:val="13"/>
            </w:pPr>
            <w:r>
              <w:t>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lang w:eastAsia="zh-CN"/>
              </w:rPr>
            </w:pPr>
            <w:r>
              <w:rPr>
                <w:rFonts w:hint="eastAsia"/>
                <w:lang w:eastAsia="zh-CN"/>
              </w:rPr>
              <w:t>涉密</w:t>
            </w:r>
          </w:p>
        </w:tc>
        <w:tc>
          <w:tcPr>
            <w:tcW w:w="964" w:type="dxa"/>
            <w:vAlign w:val="center"/>
          </w:tcPr>
          <w:p>
            <w:pPr>
              <w:pStyle w:val="13"/>
            </w:pPr>
            <w:r>
              <w:t>79.00</w:t>
            </w:r>
          </w:p>
        </w:tc>
        <w:tc>
          <w:tcPr>
            <w:tcW w:w="1134" w:type="dxa"/>
            <w:vAlign w:val="center"/>
          </w:tcPr>
          <w:p>
            <w:pPr>
              <w:pStyle w:val="14"/>
              <w:rPr>
                <w:lang w:eastAsia="zh-CN"/>
              </w:rPr>
            </w:pPr>
            <w:r>
              <w:rPr>
                <w:rFonts w:hint="eastAsia"/>
                <w:lang w:eastAsia="zh-CN"/>
              </w:rPr>
              <w:t>涉密</w:t>
            </w:r>
          </w:p>
        </w:tc>
        <w:tc>
          <w:tcPr>
            <w:tcW w:w="1134" w:type="dxa"/>
            <w:vAlign w:val="center"/>
          </w:tcPr>
          <w:p>
            <w:pPr>
              <w:pStyle w:val="14"/>
            </w:pPr>
            <w:r>
              <w:rPr>
                <w:rFonts w:hint="eastAsia"/>
                <w:lang w:eastAsia="zh-CN"/>
              </w:rPr>
              <w:t>涉密</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lang w:eastAsia="zh-CN"/>
              </w:rPr>
            </w:pPr>
            <w:r>
              <w:rPr>
                <w:rFonts w:hint="eastAsia"/>
                <w:lang w:eastAsia="zh-CN"/>
              </w:rPr>
              <w:t>涉密</w:t>
            </w:r>
          </w:p>
        </w:tc>
        <w:tc>
          <w:tcPr>
            <w:tcW w:w="964" w:type="dxa"/>
            <w:vAlign w:val="center"/>
          </w:tcPr>
          <w:p>
            <w:pPr>
              <w:pStyle w:val="13"/>
            </w:pPr>
            <w:r>
              <w:t>100.00</w:t>
            </w:r>
          </w:p>
        </w:tc>
        <w:tc>
          <w:tcPr>
            <w:tcW w:w="1134" w:type="dxa"/>
            <w:vAlign w:val="center"/>
          </w:tcPr>
          <w:p>
            <w:pPr>
              <w:pStyle w:val="14"/>
              <w:rPr>
                <w:lang w:eastAsia="zh-CN"/>
              </w:rPr>
            </w:pPr>
            <w:r>
              <w:rPr>
                <w:rFonts w:hint="eastAsia"/>
                <w:lang w:eastAsia="zh-CN"/>
              </w:rPr>
              <w:t>涉密</w:t>
            </w:r>
          </w:p>
        </w:tc>
        <w:tc>
          <w:tcPr>
            <w:tcW w:w="1134" w:type="dxa"/>
            <w:vAlign w:val="center"/>
          </w:tcPr>
          <w:p>
            <w:pPr>
              <w:pStyle w:val="14"/>
            </w:pPr>
            <w:r>
              <w:rPr>
                <w:rFonts w:hint="eastAsia"/>
                <w:lang w:eastAsia="zh-CN"/>
              </w:rPr>
              <w:t>涉密</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lang w:eastAsia="zh-CN"/>
              </w:rPr>
            </w:pPr>
            <w:r>
              <w:rPr>
                <w:rFonts w:hint="eastAsia"/>
                <w:lang w:eastAsia="zh-CN"/>
              </w:rPr>
              <w:t>涉密</w:t>
            </w:r>
          </w:p>
        </w:tc>
        <w:tc>
          <w:tcPr>
            <w:tcW w:w="964" w:type="dxa"/>
            <w:vAlign w:val="center"/>
          </w:tcPr>
          <w:p>
            <w:pPr>
              <w:pStyle w:val="13"/>
            </w:pPr>
            <w:r>
              <w:t>100.00</w:t>
            </w:r>
          </w:p>
        </w:tc>
        <w:tc>
          <w:tcPr>
            <w:tcW w:w="1134" w:type="dxa"/>
            <w:vAlign w:val="center"/>
          </w:tcPr>
          <w:p>
            <w:pPr>
              <w:pStyle w:val="14"/>
              <w:rPr>
                <w:lang w:eastAsia="zh-CN"/>
              </w:rPr>
            </w:pPr>
            <w:r>
              <w:rPr>
                <w:rFonts w:hint="eastAsia"/>
                <w:lang w:eastAsia="zh-CN"/>
              </w:rPr>
              <w:t>涉密</w:t>
            </w:r>
          </w:p>
        </w:tc>
        <w:tc>
          <w:tcPr>
            <w:tcW w:w="1134" w:type="dxa"/>
            <w:vAlign w:val="center"/>
          </w:tcPr>
          <w:p>
            <w:pPr>
              <w:pStyle w:val="14"/>
            </w:pPr>
            <w:r>
              <w:rPr>
                <w:rFonts w:hint="eastAsia"/>
                <w:lang w:eastAsia="zh-CN"/>
              </w:rPr>
              <w:t>涉密</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行唐县人民法院本级上年末固定资产金额为1862.10万元（详见下表）。本年度拟购置固定资产总额为170.00万元，已按要求列入政府采购预算，详见政府采购预算表。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161001行唐县人民法院本级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5100</w:t>
            </w:r>
          </w:p>
        </w:tc>
        <w:tc>
          <w:tcPr>
            <w:tcW w:w="2835" w:type="dxa"/>
            <w:vAlign w:val="center"/>
          </w:tcPr>
          <w:p>
            <w:pPr>
              <w:pStyle w:val="13"/>
            </w:pPr>
            <w:r>
              <w:t>368.04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5100</w:t>
            </w:r>
          </w:p>
        </w:tc>
        <w:tc>
          <w:tcPr>
            <w:tcW w:w="2835" w:type="dxa"/>
            <w:vAlign w:val="center"/>
          </w:tcPr>
          <w:p>
            <w:pPr>
              <w:pStyle w:val="13"/>
            </w:pPr>
            <w:r>
              <w:t>368.04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11</w:t>
            </w:r>
          </w:p>
        </w:tc>
        <w:tc>
          <w:tcPr>
            <w:tcW w:w="2835" w:type="dxa"/>
            <w:vAlign w:val="center"/>
          </w:tcPr>
          <w:p>
            <w:pPr>
              <w:pStyle w:val="13"/>
            </w:pPr>
            <w:r>
              <w:t>159.50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59.37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1089</w:t>
            </w:r>
          </w:p>
        </w:tc>
        <w:tc>
          <w:tcPr>
            <w:tcW w:w="2835" w:type="dxa"/>
            <w:vAlign w:val="center"/>
          </w:tcPr>
          <w:p>
            <w:pPr>
              <w:pStyle w:val="13"/>
            </w:pPr>
            <w:r>
              <w:t>1445.19</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5MmY1YWU0M2YyM2ZlYzJiZGM4N2IwNmJjOTVkYzIifQ=="/>
  </w:docVars>
  <w:rsids>
    <w:rsidRoot w:val="00695A45"/>
    <w:rsid w:val="00136261"/>
    <w:rsid w:val="001B6758"/>
    <w:rsid w:val="003563D2"/>
    <w:rsid w:val="00642162"/>
    <w:rsid w:val="00695A45"/>
    <w:rsid w:val="00782CB7"/>
    <w:rsid w:val="007D2499"/>
    <w:rsid w:val="008B748E"/>
    <w:rsid w:val="00C32044"/>
    <w:rsid w:val="00CE4C4C"/>
    <w:rsid w:val="00D12B8A"/>
    <w:rsid w:val="00E35061"/>
    <w:rsid w:val="00FF4B6B"/>
    <w:rsid w:val="01CA68BF"/>
    <w:rsid w:val="01D467A5"/>
    <w:rsid w:val="04CA7DBA"/>
    <w:rsid w:val="0B22312D"/>
    <w:rsid w:val="189746FE"/>
    <w:rsid w:val="18F80B67"/>
    <w:rsid w:val="194E4BF6"/>
    <w:rsid w:val="1B901E18"/>
    <w:rsid w:val="204A3B16"/>
    <w:rsid w:val="23010A3C"/>
    <w:rsid w:val="32800E53"/>
    <w:rsid w:val="3DE24BC0"/>
    <w:rsid w:val="429359E9"/>
    <w:rsid w:val="45D73ADC"/>
    <w:rsid w:val="52EE6359"/>
    <w:rsid w:val="57D9471C"/>
    <w:rsid w:val="598E50E7"/>
    <w:rsid w:val="5A32165F"/>
    <w:rsid w:val="60EA6D0A"/>
    <w:rsid w:val="719A6DD5"/>
    <w:rsid w:val="7D8464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ind w:firstLine="560"/>
    </w:pPr>
    <w:rPr>
      <w:rFonts w:eastAsia="方正仿宋_GBK" w:cs="Times New Roman"/>
      <w:color w:val="000000"/>
      <w:sz w:val="28"/>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0">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1">
    <w:name w:val="单元格样式20"/>
    <w:basedOn w:val="1"/>
    <w:autoRedefine/>
    <w:qFormat/>
    <w:uiPriority w:val="0"/>
    <w:rPr>
      <w:rFonts w:ascii="方正小标宋_GBK" w:hAnsi="方正小标宋_GBK" w:eastAsia="方正小标宋_GBK" w:cs="方正小标宋_GBK"/>
    </w:rPr>
  </w:style>
  <w:style w:type="paragraph" w:customStyle="1" w:styleId="12">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4">
    <w:name w:val="单元格样式2"/>
    <w:basedOn w:val="1"/>
    <w:autoRedefine/>
    <w:qFormat/>
    <w:uiPriority w:val="0"/>
    <w:rPr>
      <w:rFonts w:ascii="方正书宋_GBK" w:hAnsi="方正书宋_GBK" w:eastAsia="方正书宋_GBK" w:cs="方正书宋_GBK"/>
      <w:sz w:val="21"/>
    </w:rPr>
  </w:style>
  <w:style w:type="paragraph" w:customStyle="1" w:styleId="15">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6">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7">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8">
    <w:name w:val="单元格样式5"/>
    <w:basedOn w:val="1"/>
    <w:autoRedefine/>
    <w:qFormat/>
    <w:uiPriority w:val="0"/>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autoRedefine/>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autoRedefine/>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autoRedefine/>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autoRedefine/>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autoRedefine/>
    <w:qFormat/>
    <w:uiPriority w:val="0"/>
    <w:pPr>
      <w:spacing w:line="500" w:lineRule="exact"/>
      <w:ind w:firstLine="560"/>
    </w:pPr>
    <w:rPr>
      <w:rFonts w:eastAsia="方正仿宋_GBK" w:cs="Times New Roman"/>
      <w:sz w:val="28"/>
    </w:rPr>
  </w:style>
  <w:style w:type="paragraph" w:customStyle="1" w:styleId="26">
    <w:name w:val="Normal_71d6429b-1b54-4726-8daa-ca1331ba88b3"/>
    <w:autoRedefine/>
    <w:qFormat/>
    <w:uiPriority w:val="0"/>
    <w:rPr>
      <w:rFonts w:ascii="Times New Roman" w:hAnsi="Times New Roman" w:eastAsia="Times New Roman" w:cstheme="minorBidi"/>
      <w:sz w:val="24"/>
      <w:szCs w:val="24"/>
      <w:lang w:val="en-US" w:eastAsia="uk-UA" w:bidi="ar-SA"/>
    </w:rPr>
  </w:style>
  <w:style w:type="paragraph" w:customStyle="1" w:styleId="27">
    <w:name w:val="单元格样式1_b5716d49-aebd-491d-ab56-7422b94c6eae"/>
    <w:basedOn w:val="1"/>
    <w:autoRedefine/>
    <w:qFormat/>
    <w:uiPriority w:val="0"/>
    <w:pPr>
      <w:jc w:val="center"/>
    </w:pPr>
    <w:rPr>
      <w:rFonts w:ascii="方正书宋_GBK" w:hAnsi="方正书宋_GBK" w:eastAsia="方正书宋_GBK" w:cs="方正书宋_GBK"/>
      <w:b/>
      <w:sz w:val="21"/>
    </w:rPr>
  </w:style>
  <w:style w:type="paragraph" w:customStyle="1" w:styleId="28">
    <w:name w:val="单元格样式2_92c22041-7182-4a09-a6b3-ebe9d415897e"/>
    <w:basedOn w:val="1"/>
    <w:autoRedefine/>
    <w:qFormat/>
    <w:uiPriority w:val="0"/>
    <w:rPr>
      <w:rFonts w:ascii="方正书宋_GBK" w:hAnsi="方正书宋_GBK" w:eastAsia="方正书宋_GBK" w:cs="方正书宋_GBK"/>
      <w:sz w:val="21"/>
    </w:rPr>
  </w:style>
  <w:style w:type="paragraph" w:customStyle="1" w:styleId="29">
    <w:name w:val="单元格样式3_dd458294-5889-49f3-a34d-9c7689f579b5"/>
    <w:basedOn w:val="1"/>
    <w:autoRedefine/>
    <w:qFormat/>
    <w:uiPriority w:val="0"/>
    <w:pPr>
      <w:jc w:val="center"/>
    </w:pPr>
    <w:rPr>
      <w:rFonts w:ascii="方正书宋_GBK" w:hAnsi="方正书宋_GBK" w:eastAsia="方正书宋_GBK" w:cs="方正书宋_GBK"/>
      <w:sz w:val="21"/>
    </w:rPr>
  </w:style>
  <w:style w:type="paragraph" w:customStyle="1" w:styleId="30">
    <w:name w:val="单元格样式23"/>
    <w:basedOn w:val="1"/>
    <w:autoRedefine/>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autoRedefine/>
    <w:qFormat/>
    <w:uiPriority w:val="0"/>
    <w:pPr>
      <w:spacing w:line="500" w:lineRule="exact"/>
      <w:ind w:firstLine="560"/>
    </w:pPr>
    <w:rPr>
      <w:rFonts w:eastAsia="方正仿宋_GBK" w:cs="Times New Roman"/>
      <w:sz w:val="28"/>
    </w:rPr>
  </w:style>
  <w:style w:type="paragraph" w:customStyle="1" w:styleId="32">
    <w:name w:val="插入文本样式-插入预算公开单位预算安排的总体情况文件"/>
    <w:basedOn w:val="1"/>
    <w:autoRedefine/>
    <w:qFormat/>
    <w:uiPriority w:val="0"/>
    <w:pPr>
      <w:spacing w:line="500" w:lineRule="exact"/>
      <w:ind w:firstLine="560"/>
    </w:pPr>
    <w:rPr>
      <w:rFonts w:eastAsia="方正仿宋_GBK" w:cs="Times New Roman"/>
      <w:sz w:val="28"/>
    </w:rPr>
  </w:style>
  <w:style w:type="paragraph" w:customStyle="1" w:styleId="33">
    <w:name w:val="插入文本样式-插入预算公开单位机关运行经费安排情况文件"/>
    <w:basedOn w:val="1"/>
    <w:autoRedefine/>
    <w:qFormat/>
    <w:uiPriority w:val="0"/>
    <w:pPr>
      <w:spacing w:line="500" w:lineRule="exact"/>
      <w:ind w:firstLine="560"/>
    </w:pPr>
    <w:rPr>
      <w:rFonts w:eastAsia="方正仿宋_GBK" w:cs="Times New Roman"/>
      <w:sz w:val="28"/>
    </w:rPr>
  </w:style>
  <w:style w:type="paragraph" w:customStyle="1" w:styleId="34">
    <w:name w:val="插入文本样式-插入预算公开单位财政拨款三公经费预算情况及增减变化原因文件"/>
    <w:basedOn w:val="1"/>
    <w:autoRedefine/>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2022-02-15T14:28:46Z</dcterms:created>
  <dcterms:modified xsi:type="dcterms:W3CDTF">2022-02-15T06:28:46Z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2022-02-15T14:28:45Z</dcterms:created>
  <dcterms:modified xsi:type="dcterms:W3CDTF">2022-02-15T06:28:45Z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2022-02-15T14:28:43Z</dcterms:created>
  <dcterms:modified xsi:type="dcterms:W3CDTF">2022-02-15T06:28:42Z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2022-02-15T14:28:48Z</dcterms:created>
  <dcterms:modified xsi:type="dcterms:W3CDTF">2022-02-15T06:28:48Z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14E0A2E-EE70-4C94-9272-0CFC3FAF970F}">
  <ds:schemaRefs/>
</ds:datastoreItem>
</file>

<file path=customXml/itemProps2.xml><?xml version="1.0" encoding="utf-8"?>
<ds:datastoreItem xmlns:ds="http://schemas.openxmlformats.org/officeDocument/2006/customXml" ds:itemID="{781F0F12-403B-4BA1-ADC9-AF17C07684A4}">
  <ds:schemaRefs/>
</ds:datastoreItem>
</file>

<file path=customXml/itemProps3.xml><?xml version="1.0" encoding="utf-8"?>
<ds:datastoreItem xmlns:ds="http://schemas.openxmlformats.org/officeDocument/2006/customXml" ds:itemID="{89BD6856-AB5D-42C4-B83E-90A6468C8FA1}">
  <ds:schemaRefs/>
</ds:datastoreItem>
</file>

<file path=customXml/itemProps4.xml><?xml version="1.0" encoding="utf-8"?>
<ds:datastoreItem xmlns:ds="http://schemas.openxmlformats.org/officeDocument/2006/customXml" ds:itemID="{3EBFDE7B-FE90-48C1-8CA1-0BB0CDCD39BF}">
  <ds:schemaRefs/>
</ds:datastoreItem>
</file>

<file path=customXml/itemProps5.xml><?xml version="1.0" encoding="utf-8"?>
<ds:datastoreItem xmlns:ds="http://schemas.openxmlformats.org/officeDocument/2006/customXml" ds:itemID="{BF37F5C1-2561-4342-95CE-06C807375D45}">
  <ds:schemaRefs/>
</ds:datastoreItem>
</file>

<file path=customXml/itemProps6.xml><?xml version="1.0" encoding="utf-8"?>
<ds:datastoreItem xmlns:ds="http://schemas.openxmlformats.org/officeDocument/2006/customXml" ds:itemID="{29CBE0D0-9AD2-4E3A-9B73-D9827EC0C20C}">
  <ds:schemaRefs/>
</ds:datastoreItem>
</file>

<file path=customXml/itemProps7.xml><?xml version="1.0" encoding="utf-8"?>
<ds:datastoreItem xmlns:ds="http://schemas.openxmlformats.org/officeDocument/2006/customXml" ds:itemID="{902A1E49-8051-41D1-80BB-A7D581FB84ED}">
  <ds:schemaRefs/>
</ds:datastoreItem>
</file>

<file path=customXml/itemProps8.xml><?xml version="1.0" encoding="utf-8"?>
<ds:datastoreItem xmlns:ds="http://schemas.openxmlformats.org/officeDocument/2006/customXml" ds:itemID="{BAD0C69D-0AE5-4EDD-BB56-515C7D33E55A}">
  <ds:schemaRefs/>
</ds:datastoreItem>
</file>

<file path=docProps/app.xml><?xml version="1.0" encoding="utf-8"?>
<Properties xmlns="http://schemas.openxmlformats.org/officeDocument/2006/extended-properties" xmlns:vt="http://schemas.openxmlformats.org/officeDocument/2006/docPropsVTypes">
  <Template>Normal</Template>
  <Pages>26</Pages>
  <Words>7302</Words>
  <Characters>9129</Characters>
  <Lines>91</Lines>
  <Paragraphs>25</Paragraphs>
  <TotalTime>0</TotalTime>
  <ScaleCrop>false</ScaleCrop>
  <LinksUpToDate>false</LinksUpToDate>
  <CharactersWithSpaces>9301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2022-02-15T14:28:00Z</dcterms:created>
  <dc:creator>Lenovo</dc:creator>
  <cp:lastModifiedBy>超级峰</cp:lastModifiedBy>
  <cp:lastPrinted>2022-02-16T08:26:00Z</cp:lastPrinted>
  <dcterms:modified xsi:type="dcterms:W3CDTF">2024-01-12T03:34:43Z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4523CC418339494DA4CC0C9053AEB4A9</vt:lpwstr>
  </property>
</Properties>
</file>